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47AD" w14:textId="77777777" w:rsidR="00D56C8C" w:rsidRDefault="00D56C8C" w:rsidP="00D56C8C">
      <w:pPr>
        <w:pStyle w:val="Header"/>
      </w:pPr>
      <w:r>
        <w:t>Australian Capital Territory</w:t>
      </w:r>
    </w:p>
    <w:p w14:paraId="2B469955" w14:textId="18F0E7AD" w:rsidR="00D56C8C" w:rsidRPr="00442935" w:rsidRDefault="00D56C8C" w:rsidP="00D56C8C">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 xml:space="preserve">Plan Variation 381) Approval </w:t>
      </w:r>
      <w:r w:rsidRPr="00442935">
        <w:rPr>
          <w:rFonts w:ascii="Arial" w:hAnsi="Arial"/>
          <w:szCs w:val="36"/>
        </w:rPr>
        <w:t>20</w:t>
      </w:r>
      <w:r>
        <w:rPr>
          <w:rFonts w:ascii="Arial" w:hAnsi="Arial"/>
          <w:szCs w:val="36"/>
        </w:rPr>
        <w:t>22</w:t>
      </w:r>
    </w:p>
    <w:p w14:paraId="4E75116B" w14:textId="59CEC2B1" w:rsidR="00D56C8C" w:rsidRPr="00D56C8C" w:rsidRDefault="00D56C8C" w:rsidP="00D56C8C">
      <w:pPr>
        <w:pStyle w:val="Heading5"/>
        <w:spacing w:before="340"/>
        <w:rPr>
          <w:rFonts w:ascii="Arial" w:eastAsia="Times New Roman" w:hAnsi="Arial" w:cs="Arial"/>
          <w:b/>
          <w:color w:val="auto"/>
          <w:szCs w:val="24"/>
        </w:rPr>
      </w:pPr>
      <w:r w:rsidRPr="00D56C8C">
        <w:rPr>
          <w:rFonts w:ascii="Arial" w:eastAsia="Times New Roman" w:hAnsi="Arial" w:cs="Arial"/>
          <w:b/>
          <w:color w:val="auto"/>
          <w:szCs w:val="24"/>
        </w:rPr>
        <w:t>Notifiable instrument NI20</w:t>
      </w:r>
      <w:r>
        <w:rPr>
          <w:rFonts w:ascii="Arial" w:eastAsia="Times New Roman" w:hAnsi="Arial" w:cs="Arial"/>
          <w:b/>
          <w:color w:val="auto"/>
          <w:szCs w:val="24"/>
        </w:rPr>
        <w:t>22</w:t>
      </w:r>
      <w:r w:rsidRPr="00D56C8C">
        <w:rPr>
          <w:rFonts w:ascii="Arial" w:eastAsia="Times New Roman" w:hAnsi="Arial" w:cs="Arial"/>
          <w:b/>
          <w:color w:val="auto"/>
          <w:szCs w:val="24"/>
        </w:rPr>
        <w:t>-</w:t>
      </w:r>
      <w:r w:rsidR="00A73E68">
        <w:rPr>
          <w:rFonts w:ascii="Arial" w:eastAsia="Times New Roman" w:hAnsi="Arial" w:cs="Arial"/>
          <w:b/>
          <w:color w:val="auto"/>
          <w:szCs w:val="24"/>
        </w:rPr>
        <w:t>94</w:t>
      </w:r>
    </w:p>
    <w:p w14:paraId="7C2A10E8" w14:textId="77777777" w:rsidR="00D56C8C" w:rsidRPr="004B2EAF" w:rsidRDefault="00D56C8C" w:rsidP="00D56C8C">
      <w:pPr>
        <w:pStyle w:val="madeunder"/>
        <w:spacing w:before="300" w:after="0" w:line="240" w:lineRule="auto"/>
        <w:rPr>
          <w:rFonts w:ascii="Times New Roman" w:hAnsi="Times New Roman" w:cs="Times New Roman"/>
          <w:sz w:val="24"/>
          <w:szCs w:val="20"/>
        </w:rPr>
      </w:pPr>
      <w:bookmarkStart w:id="0" w:name="Citation"/>
      <w:r w:rsidRPr="004B2EAF">
        <w:rPr>
          <w:rFonts w:ascii="Times New Roman" w:hAnsi="Times New Roman" w:cs="Times New Roman"/>
          <w:sz w:val="24"/>
          <w:szCs w:val="20"/>
        </w:rPr>
        <w:t>made under the</w:t>
      </w:r>
    </w:p>
    <w:p w14:paraId="74D788B8" w14:textId="77777777" w:rsidR="00D56C8C" w:rsidRDefault="00D56C8C" w:rsidP="00D56C8C">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0BA4DF2D" w14:textId="77777777" w:rsidR="00D56C8C" w:rsidRDefault="00D56C8C" w:rsidP="00D56C8C">
      <w:pPr>
        <w:pStyle w:val="CoverActName"/>
        <w:spacing w:before="60" w:after="0" w:line="240" w:lineRule="auto"/>
        <w:jc w:val="left"/>
        <w:rPr>
          <w:rFonts w:ascii="Arial" w:eastAsia="Times New Roman" w:hAnsi="Arial"/>
          <w:bCs w:val="0"/>
          <w:sz w:val="20"/>
          <w:szCs w:val="20"/>
        </w:rPr>
      </w:pPr>
    </w:p>
    <w:bookmarkEnd w:id="0"/>
    <w:p w14:paraId="4F127D37" w14:textId="77777777" w:rsidR="00D56C8C" w:rsidRPr="00A13376" w:rsidRDefault="00D56C8C" w:rsidP="00D56C8C">
      <w:pPr>
        <w:pStyle w:val="N-line3"/>
        <w:pBdr>
          <w:top w:val="single" w:sz="12" w:space="1" w:color="auto"/>
          <w:bottom w:val="none" w:sz="0" w:space="0" w:color="auto"/>
        </w:pBdr>
        <w:spacing w:after="0" w:line="240" w:lineRule="auto"/>
        <w:jc w:val="left"/>
        <w:rPr>
          <w:rFonts w:ascii="Arial" w:hAnsi="Arial"/>
          <w:sz w:val="24"/>
        </w:rPr>
      </w:pPr>
    </w:p>
    <w:p w14:paraId="135A85D8" w14:textId="77777777" w:rsidR="00D56C8C" w:rsidRPr="00227454" w:rsidRDefault="00D56C8C" w:rsidP="00D56C8C">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12CD614D" w14:textId="4E3D5FAD" w:rsidR="00D56C8C" w:rsidRDefault="00D56C8C" w:rsidP="00D56C8C">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w:t>
      </w:r>
      <w:r>
        <w:rPr>
          <w:rFonts w:ascii="Times New Roman" w:hAnsi="Times New Roman"/>
          <w:i/>
          <w:lang w:eastAsia="en-AU"/>
        </w:rPr>
        <w:t>381</w:t>
      </w:r>
      <w:r w:rsidRPr="00785870">
        <w:rPr>
          <w:rFonts w:ascii="Times New Roman" w:hAnsi="Times New Roman"/>
          <w:i/>
          <w:lang w:eastAsia="en-AU"/>
        </w:rPr>
        <w:t>) Approval 20</w:t>
      </w:r>
      <w:r>
        <w:rPr>
          <w:rFonts w:ascii="Times New Roman" w:hAnsi="Times New Roman"/>
          <w:i/>
          <w:lang w:eastAsia="en-AU"/>
        </w:rPr>
        <w:t>22</w:t>
      </w:r>
      <w:r w:rsidRPr="00785870">
        <w:rPr>
          <w:rFonts w:ascii="Times New Roman" w:hAnsi="Times New Roman"/>
          <w:lang w:eastAsia="en-AU"/>
        </w:rPr>
        <w:t>.</w:t>
      </w:r>
    </w:p>
    <w:p w14:paraId="7AFA28DD" w14:textId="44877D72" w:rsidR="00D56C8C" w:rsidRDefault="00D56C8C" w:rsidP="00D56C8C">
      <w:pPr>
        <w:autoSpaceDE w:val="0"/>
        <w:autoSpaceDN w:val="0"/>
        <w:adjustRightInd w:val="0"/>
        <w:spacing w:before="300"/>
        <w:ind w:left="720" w:hanging="720"/>
        <w:rPr>
          <w:rFonts w:cs="Arial"/>
          <w:b/>
          <w:lang w:eastAsia="en-AU"/>
        </w:rPr>
      </w:pPr>
      <w:r>
        <w:rPr>
          <w:rFonts w:cs="Arial"/>
          <w:b/>
          <w:lang w:eastAsia="en-AU"/>
        </w:rPr>
        <w:t>2</w:t>
      </w:r>
      <w:r>
        <w:rPr>
          <w:rFonts w:cs="Arial"/>
          <w:b/>
          <w:lang w:eastAsia="en-AU"/>
        </w:rPr>
        <w:tab/>
        <w:t>Commencement</w:t>
      </w:r>
    </w:p>
    <w:p w14:paraId="69FEAA15" w14:textId="77777777" w:rsidR="00D56C8C" w:rsidRPr="001A2545" w:rsidRDefault="00D56C8C" w:rsidP="00D56C8C">
      <w:pPr>
        <w:autoSpaceDE w:val="0"/>
        <w:autoSpaceDN w:val="0"/>
        <w:adjustRightInd w:val="0"/>
        <w:spacing w:before="140"/>
        <w:ind w:left="720"/>
        <w:rPr>
          <w:rFonts w:cs="Arial"/>
          <w:bCs/>
          <w:lang w:eastAsia="en-AU"/>
        </w:rPr>
      </w:pPr>
      <w:r w:rsidRPr="001A2545">
        <w:rPr>
          <w:rFonts w:ascii="Times New Roman" w:hAnsi="Times New Roman"/>
          <w:lang w:eastAsia="en-AU"/>
        </w:rPr>
        <w:t>This instrument commences on the day after its notification day.</w:t>
      </w:r>
    </w:p>
    <w:p w14:paraId="6C1A726E" w14:textId="49224F8B" w:rsidR="00D56C8C" w:rsidRPr="00227454" w:rsidRDefault="00D56C8C" w:rsidP="00D56C8C">
      <w:pPr>
        <w:autoSpaceDE w:val="0"/>
        <w:autoSpaceDN w:val="0"/>
        <w:adjustRightInd w:val="0"/>
        <w:spacing w:before="300"/>
        <w:rPr>
          <w:rFonts w:cs="Arial"/>
          <w:b/>
          <w:lang w:eastAsia="en-AU"/>
        </w:rPr>
      </w:pPr>
      <w:r>
        <w:rPr>
          <w:rFonts w:cs="Arial"/>
          <w:b/>
          <w:lang w:eastAsia="en-AU"/>
        </w:rPr>
        <w:t>3</w:t>
      </w:r>
      <w:r>
        <w:rPr>
          <w:rFonts w:cs="Arial"/>
          <w:b/>
          <w:lang w:eastAsia="en-AU"/>
        </w:rPr>
        <w:tab/>
      </w:r>
      <w:r w:rsidRPr="00227454">
        <w:rPr>
          <w:rFonts w:cs="Arial"/>
          <w:b/>
          <w:lang w:eastAsia="en-AU"/>
        </w:rPr>
        <w:t>Approval of draft plan variation</w:t>
      </w:r>
    </w:p>
    <w:p w14:paraId="4DA4CD49" w14:textId="18AA6840" w:rsidR="00D56C8C" w:rsidRPr="00564A4F" w:rsidRDefault="00D56C8C" w:rsidP="00D56C8C">
      <w:pPr>
        <w:tabs>
          <w:tab w:val="left" w:pos="-720"/>
        </w:tabs>
        <w:spacing w:before="140"/>
        <w:ind w:left="709"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I approve under section 76</w:t>
      </w:r>
      <w:r>
        <w:rPr>
          <w:rFonts w:ascii="Times New Roman" w:hAnsi="Times New Roman"/>
          <w:lang w:eastAsia="en-AU"/>
        </w:rPr>
        <w:t xml:space="preserve"> </w:t>
      </w:r>
      <w:r w:rsidRPr="00564A4F">
        <w:rPr>
          <w:rFonts w:ascii="Times New Roman" w:hAnsi="Times New Roman"/>
          <w:lang w:eastAsia="en-AU"/>
        </w:rPr>
        <w:t>(2)</w:t>
      </w:r>
      <w:r>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plan variation</w:t>
      </w:r>
      <w:r>
        <w:rPr>
          <w:rFonts w:ascii="Times New Roman" w:hAnsi="Times New Roman"/>
          <w:lang w:eastAsia="en-AU"/>
        </w:rPr>
        <w:t xml:space="preserve"> 381</w:t>
      </w:r>
      <w:r w:rsidRPr="00564A4F">
        <w:rPr>
          <w:rFonts w:ascii="Times New Roman" w:hAnsi="Times New Roman"/>
          <w:lang w:eastAsia="en-AU"/>
        </w:rPr>
        <w:t xml:space="preserve"> to the Territory Plan.</w:t>
      </w:r>
    </w:p>
    <w:p w14:paraId="466455F1" w14:textId="77777777" w:rsidR="00D56C8C" w:rsidRPr="00564A4F" w:rsidRDefault="00D56C8C" w:rsidP="00D56C8C">
      <w:pPr>
        <w:tabs>
          <w:tab w:val="left" w:pos="-720"/>
        </w:tabs>
        <w:spacing w:before="140"/>
        <w:ind w:left="709"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1241D206" w14:textId="199FA997" w:rsidR="00D56C8C" w:rsidRPr="00564A4F" w:rsidRDefault="00D56C8C" w:rsidP="00D56C8C">
      <w:pPr>
        <w:tabs>
          <w:tab w:val="left" w:pos="-720"/>
        </w:tabs>
        <w:spacing w:before="140"/>
        <w:ind w:left="709"/>
        <w:rPr>
          <w:rFonts w:ascii="Times New Roman" w:hAnsi="Times New Roman"/>
          <w:i/>
          <w:lang w:eastAsia="en-AU"/>
        </w:rPr>
      </w:pPr>
      <w:r w:rsidRPr="00564A4F">
        <w:rPr>
          <w:rFonts w:ascii="Times New Roman" w:hAnsi="Times New Roman"/>
          <w:b/>
          <w:i/>
          <w:lang w:eastAsia="en-AU"/>
        </w:rPr>
        <w:t>plan variation</w:t>
      </w:r>
      <w:r>
        <w:rPr>
          <w:rFonts w:ascii="Times New Roman" w:hAnsi="Times New Roman"/>
          <w:b/>
          <w:i/>
          <w:lang w:eastAsia="en-AU"/>
        </w:rPr>
        <w:t xml:space="preserve"> 381</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plan variation in the schedule. </w:t>
      </w:r>
    </w:p>
    <w:p w14:paraId="0222F0FF" w14:textId="77777777" w:rsidR="00D56C8C" w:rsidRPr="00227454" w:rsidRDefault="00D56C8C" w:rsidP="00D56C8C">
      <w:pPr>
        <w:autoSpaceDE w:val="0"/>
        <w:autoSpaceDN w:val="0"/>
        <w:adjustRightInd w:val="0"/>
        <w:spacing w:before="240" w:after="120"/>
        <w:rPr>
          <w:rFonts w:cs="Arial"/>
          <w:b/>
          <w:lang w:eastAsia="en-AU"/>
        </w:rPr>
      </w:pPr>
    </w:p>
    <w:p w14:paraId="11841EB0" w14:textId="77777777" w:rsidR="00D56C8C" w:rsidRPr="00785870" w:rsidRDefault="00D56C8C" w:rsidP="00D56C8C">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1499F453" w14:textId="77777777" w:rsidR="00D56C8C" w:rsidRPr="00785870" w:rsidRDefault="00D56C8C" w:rsidP="00D56C8C">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713EC8F9" w14:textId="2AE0D6E7" w:rsidR="00D56C8C" w:rsidRPr="00785870" w:rsidRDefault="00A73E68" w:rsidP="00D56C8C">
      <w:pPr>
        <w:autoSpaceDE w:val="0"/>
        <w:autoSpaceDN w:val="0"/>
        <w:adjustRightInd w:val="0"/>
        <w:rPr>
          <w:rFonts w:ascii="Times New Roman" w:hAnsi="Times New Roman"/>
          <w:lang w:eastAsia="en-AU"/>
        </w:rPr>
      </w:pPr>
      <w:r>
        <w:rPr>
          <w:rFonts w:ascii="Times New Roman" w:hAnsi="Times New Roman"/>
          <w:lang w:eastAsia="en-AU"/>
        </w:rPr>
        <w:t>22 February</w:t>
      </w:r>
      <w:r w:rsidR="00D56C8C">
        <w:rPr>
          <w:rFonts w:ascii="Times New Roman" w:hAnsi="Times New Roman"/>
          <w:lang w:eastAsia="en-AU"/>
        </w:rPr>
        <w:t xml:space="preserve"> </w:t>
      </w:r>
      <w:r w:rsidR="00D56C8C" w:rsidRPr="00785870">
        <w:rPr>
          <w:rFonts w:ascii="Times New Roman" w:hAnsi="Times New Roman"/>
          <w:lang w:eastAsia="en-AU"/>
        </w:rPr>
        <w:t>20</w:t>
      </w:r>
      <w:r w:rsidR="00D56C8C">
        <w:rPr>
          <w:rFonts w:ascii="Times New Roman" w:hAnsi="Times New Roman"/>
          <w:lang w:eastAsia="en-AU"/>
        </w:rPr>
        <w:t>22</w:t>
      </w:r>
    </w:p>
    <w:p w14:paraId="10B0FAD6" w14:textId="77777777" w:rsidR="00D56C8C" w:rsidRPr="00227454" w:rsidRDefault="00D56C8C" w:rsidP="00D56C8C">
      <w:pPr>
        <w:autoSpaceDE w:val="0"/>
        <w:autoSpaceDN w:val="0"/>
        <w:adjustRightInd w:val="0"/>
        <w:spacing w:before="240" w:after="120"/>
        <w:rPr>
          <w:rFonts w:cs="Arial"/>
          <w:lang w:eastAsia="en-AU"/>
        </w:rPr>
      </w:pPr>
    </w:p>
    <w:p w14:paraId="14ECF390" w14:textId="0E48573F" w:rsidR="0016319B" w:rsidRDefault="0016319B" w:rsidP="00D93017">
      <w:pPr>
        <w:pStyle w:val="BodyText"/>
      </w:pPr>
    </w:p>
    <w:p w14:paraId="0D36E91A" w14:textId="77777777" w:rsidR="0016319B" w:rsidRDefault="0016319B">
      <w:pPr>
        <w:rPr>
          <w:rFonts w:cs="Arial"/>
        </w:rPr>
      </w:pPr>
      <w:r>
        <w:br w:type="page"/>
      </w:r>
    </w:p>
    <w:p w14:paraId="73E7F6C4" w14:textId="77777777" w:rsidR="00D93017" w:rsidRDefault="00D93017" w:rsidP="00D93017">
      <w:pPr>
        <w:pStyle w:val="BodyText"/>
      </w:pPr>
    </w:p>
    <w:p w14:paraId="1CD58BE6" w14:textId="77777777" w:rsidR="00EF6D27" w:rsidRDefault="00EF6D27" w:rsidP="00D93017">
      <w:pPr>
        <w:pStyle w:val="BodyText"/>
        <w:jc w:val="center"/>
        <w:rPr>
          <w:i/>
          <w:sz w:val="32"/>
          <w:szCs w:val="32"/>
        </w:rPr>
      </w:pPr>
    </w:p>
    <w:p w14:paraId="4C4A9133" w14:textId="7EB91131" w:rsidR="001C7FD4" w:rsidRPr="00D93017" w:rsidRDefault="001C7FD4" w:rsidP="00D93017">
      <w:pPr>
        <w:pStyle w:val="BodyText"/>
        <w:jc w:val="center"/>
        <w:rPr>
          <w:i/>
          <w:sz w:val="32"/>
          <w:szCs w:val="32"/>
        </w:rPr>
      </w:pPr>
      <w:r w:rsidRPr="00D93017">
        <w:rPr>
          <w:i/>
          <w:sz w:val="32"/>
          <w:szCs w:val="32"/>
        </w:rPr>
        <w:t>Planning and Development Act 2007</w:t>
      </w:r>
    </w:p>
    <w:p w14:paraId="63B129F1" w14:textId="77777777" w:rsidR="001C7FD4" w:rsidRPr="00D93017" w:rsidRDefault="001C7FD4" w:rsidP="00D93017">
      <w:pPr>
        <w:pStyle w:val="BodyText"/>
      </w:pPr>
    </w:p>
    <w:p w14:paraId="1EA2E948" w14:textId="6D669BE5"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16319B">
        <w:rPr>
          <w:rFonts w:ascii="Arial" w:hAnsi="Arial" w:cs="Arial"/>
          <w:caps w:val="0"/>
          <w:sz w:val="64"/>
          <w:szCs w:val="64"/>
        </w:rPr>
        <w:t>381</w:t>
      </w:r>
    </w:p>
    <w:p w14:paraId="6ADC23C1" w14:textId="77777777" w:rsidR="005A252E" w:rsidRDefault="005A252E" w:rsidP="00D93017">
      <w:pPr>
        <w:pStyle w:val="BodyText"/>
      </w:pPr>
    </w:p>
    <w:p w14:paraId="1A549096" w14:textId="77777777" w:rsidR="005A252E" w:rsidRDefault="005A252E" w:rsidP="00D93017">
      <w:pPr>
        <w:pStyle w:val="BodyText"/>
      </w:pPr>
    </w:p>
    <w:p w14:paraId="16EECB62" w14:textId="15AA6389" w:rsidR="00AA3627" w:rsidRPr="00EF6D27" w:rsidRDefault="00EF6D27" w:rsidP="00AA3627">
      <w:pPr>
        <w:pStyle w:val="TATitleexplanatoryheading"/>
        <w:spacing w:after="120"/>
        <w:rPr>
          <w:i/>
          <w:sz w:val="20"/>
          <w:szCs w:val="20"/>
        </w:rPr>
      </w:pPr>
      <w:r w:rsidRPr="00EF6D27">
        <w:rPr>
          <w:sz w:val="48"/>
        </w:rPr>
        <w:t>Local Centre</w:t>
      </w:r>
      <w:r w:rsidR="00312672">
        <w:rPr>
          <w:sz w:val="48"/>
        </w:rPr>
        <w:t xml:space="preserve"> </w:t>
      </w:r>
      <w:r>
        <w:rPr>
          <w:sz w:val="48"/>
        </w:rPr>
        <w:t>s</w:t>
      </w:r>
      <w:r w:rsidRPr="00EF6D27">
        <w:rPr>
          <w:sz w:val="48"/>
        </w:rPr>
        <w:t>hop size</w:t>
      </w:r>
    </w:p>
    <w:p w14:paraId="4A7823C0" w14:textId="3CB360CB" w:rsidR="004965FA" w:rsidRDefault="004965FA" w:rsidP="00D93017">
      <w:pPr>
        <w:pStyle w:val="BodyText"/>
      </w:pPr>
    </w:p>
    <w:p w14:paraId="48953372" w14:textId="1EE3853E" w:rsidR="009424EA" w:rsidRDefault="009424EA" w:rsidP="00D93017">
      <w:pPr>
        <w:pStyle w:val="BodyText"/>
      </w:pPr>
    </w:p>
    <w:p w14:paraId="197B536C" w14:textId="77777777" w:rsidR="009424EA" w:rsidRDefault="009424EA" w:rsidP="00D93017">
      <w:pPr>
        <w:pStyle w:val="BodyText"/>
      </w:pPr>
    </w:p>
    <w:p w14:paraId="1462875B" w14:textId="77777777" w:rsidR="009424EA" w:rsidRPr="00134218" w:rsidRDefault="009424EA" w:rsidP="00D93017">
      <w:pPr>
        <w:pStyle w:val="BodyText"/>
      </w:pPr>
    </w:p>
    <w:p w14:paraId="7E006772" w14:textId="77777777"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7D9215E7" w14:textId="54C2BEE1" w:rsidR="001C7FD4" w:rsidRPr="0074529E" w:rsidRDefault="00AE0C37" w:rsidP="000C334B">
      <w:pPr>
        <w:pStyle w:val="BlockText"/>
        <w:jc w:val="center"/>
      </w:pPr>
      <w:r>
        <w:rPr>
          <w:rFonts w:cs="Arial"/>
          <w:i/>
          <w:szCs w:val="24"/>
        </w:rPr>
        <w:t>Planning and Development Act 2007</w:t>
      </w:r>
    </w:p>
    <w:p w14:paraId="085B6AB7" w14:textId="77777777" w:rsidR="0074529E" w:rsidRDefault="0074529E" w:rsidP="00D93017">
      <w:pPr>
        <w:pStyle w:val="BodyText"/>
      </w:pPr>
    </w:p>
    <w:p w14:paraId="76B89095" w14:textId="77777777" w:rsidR="009424EA" w:rsidRDefault="006466FF" w:rsidP="00D93017">
      <w:pPr>
        <w:pStyle w:val="BodyText"/>
        <w:sectPr w:rsidR="009424EA" w:rsidSect="00B87E35">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720" w:footer="589" w:gutter="0"/>
          <w:pgNumType w:fmt="lowerRoman" w:start="1"/>
          <w:cols w:space="720"/>
          <w:titlePg/>
          <w:docGrid w:linePitch="326"/>
        </w:sectPr>
      </w:pPr>
      <w:r w:rsidRPr="0074529E">
        <w:br w:type="page"/>
      </w:r>
    </w:p>
    <w:p w14:paraId="3619A135" w14:textId="7BEAB898" w:rsidR="006466FF" w:rsidRPr="0074529E" w:rsidRDefault="006466FF" w:rsidP="00D93017">
      <w:pPr>
        <w:pStyle w:val="BodyText"/>
      </w:pPr>
    </w:p>
    <w:p w14:paraId="104A46F9" w14:textId="77777777" w:rsidR="006466FF" w:rsidRDefault="006466FF" w:rsidP="00D93017">
      <w:pPr>
        <w:pStyle w:val="BodyText"/>
      </w:pPr>
    </w:p>
    <w:p w14:paraId="4328AB5C" w14:textId="77777777" w:rsidR="006466FF" w:rsidRPr="00D93017" w:rsidRDefault="006466FF" w:rsidP="00D93017">
      <w:pPr>
        <w:pStyle w:val="BodyText"/>
        <w:jc w:val="center"/>
        <w:rPr>
          <w:i/>
        </w:rPr>
      </w:pPr>
      <w:r w:rsidRPr="00D93017">
        <w:rPr>
          <w:i/>
        </w:rPr>
        <w:t>This page is intentionally blank.</w:t>
      </w:r>
    </w:p>
    <w:p w14:paraId="0A42B108" w14:textId="77777777" w:rsidR="006466FF" w:rsidRDefault="006466FF" w:rsidP="00D93017">
      <w:pPr>
        <w:pStyle w:val="BodyText"/>
      </w:pPr>
      <w:r>
        <w:br w:type="page"/>
      </w:r>
    </w:p>
    <w:p w14:paraId="3B8E33C2" w14:textId="77777777" w:rsidR="00D93017" w:rsidRDefault="00D93017" w:rsidP="00D93017">
      <w:pPr>
        <w:pStyle w:val="ContentsTitle"/>
      </w:pPr>
      <w:r w:rsidRPr="00785E51">
        <w:lastRenderedPageBreak/>
        <w:t>Contents</w:t>
      </w:r>
    </w:p>
    <w:p w14:paraId="4698EEFE" w14:textId="69543F01" w:rsidR="0021409C"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93482440" w:history="1">
        <w:r w:rsidR="0021409C" w:rsidRPr="00E90B7D">
          <w:rPr>
            <w:rStyle w:val="Hyperlink"/>
          </w:rPr>
          <w:t>1.</w:t>
        </w:r>
        <w:r w:rsidR="0021409C">
          <w:rPr>
            <w:rFonts w:asciiTheme="minorHAnsi" w:hAnsiTheme="minorHAnsi" w:cstheme="minorBidi"/>
            <w:b w:val="0"/>
            <w:caps w:val="0"/>
            <w:sz w:val="22"/>
            <w:szCs w:val="22"/>
          </w:rPr>
          <w:tab/>
        </w:r>
        <w:r w:rsidR="0021409C" w:rsidRPr="00E90B7D">
          <w:rPr>
            <w:rStyle w:val="Hyperlink"/>
          </w:rPr>
          <w:t>EXPLANATORY STATEMENT</w:t>
        </w:r>
        <w:r w:rsidR="0021409C">
          <w:rPr>
            <w:webHidden/>
          </w:rPr>
          <w:tab/>
        </w:r>
        <w:r w:rsidR="0021409C">
          <w:rPr>
            <w:webHidden/>
          </w:rPr>
          <w:fldChar w:fldCharType="begin"/>
        </w:r>
        <w:r w:rsidR="0021409C">
          <w:rPr>
            <w:webHidden/>
          </w:rPr>
          <w:instrText xml:space="preserve"> PAGEREF _Toc93482440 \h </w:instrText>
        </w:r>
        <w:r w:rsidR="0021409C">
          <w:rPr>
            <w:webHidden/>
          </w:rPr>
        </w:r>
        <w:r w:rsidR="0021409C">
          <w:rPr>
            <w:webHidden/>
          </w:rPr>
          <w:fldChar w:fldCharType="separate"/>
        </w:r>
        <w:r w:rsidR="0021409C">
          <w:rPr>
            <w:webHidden/>
          </w:rPr>
          <w:t>1</w:t>
        </w:r>
        <w:r w:rsidR="0021409C">
          <w:rPr>
            <w:webHidden/>
          </w:rPr>
          <w:fldChar w:fldCharType="end"/>
        </w:r>
      </w:hyperlink>
    </w:p>
    <w:p w14:paraId="74155372" w14:textId="5FD69DB5" w:rsidR="0021409C" w:rsidRDefault="00656428">
      <w:pPr>
        <w:pStyle w:val="TOC2"/>
        <w:rPr>
          <w:rFonts w:asciiTheme="minorHAnsi" w:hAnsiTheme="minorHAnsi" w:cstheme="minorBidi"/>
          <w:sz w:val="22"/>
          <w:szCs w:val="22"/>
        </w:rPr>
      </w:pPr>
      <w:hyperlink w:anchor="_Toc93482441" w:history="1">
        <w:r w:rsidR="0021409C" w:rsidRPr="00E90B7D">
          <w:rPr>
            <w:rStyle w:val="Hyperlink"/>
          </w:rPr>
          <w:t>1.1</w:t>
        </w:r>
        <w:r w:rsidR="0021409C">
          <w:rPr>
            <w:rFonts w:asciiTheme="minorHAnsi" w:hAnsiTheme="minorHAnsi" w:cstheme="minorBidi"/>
            <w:sz w:val="22"/>
            <w:szCs w:val="22"/>
          </w:rPr>
          <w:tab/>
        </w:r>
        <w:r w:rsidR="0021409C" w:rsidRPr="00E90B7D">
          <w:rPr>
            <w:rStyle w:val="Hyperlink"/>
          </w:rPr>
          <w:t>Background</w:t>
        </w:r>
        <w:r w:rsidR="0021409C">
          <w:rPr>
            <w:webHidden/>
          </w:rPr>
          <w:tab/>
        </w:r>
        <w:r w:rsidR="0021409C">
          <w:rPr>
            <w:webHidden/>
          </w:rPr>
          <w:fldChar w:fldCharType="begin"/>
        </w:r>
        <w:r w:rsidR="0021409C">
          <w:rPr>
            <w:webHidden/>
          </w:rPr>
          <w:instrText xml:space="preserve"> PAGEREF _Toc93482441 \h </w:instrText>
        </w:r>
        <w:r w:rsidR="0021409C">
          <w:rPr>
            <w:webHidden/>
          </w:rPr>
        </w:r>
        <w:r w:rsidR="0021409C">
          <w:rPr>
            <w:webHidden/>
          </w:rPr>
          <w:fldChar w:fldCharType="separate"/>
        </w:r>
        <w:r w:rsidR="0021409C">
          <w:rPr>
            <w:webHidden/>
          </w:rPr>
          <w:t>1</w:t>
        </w:r>
        <w:r w:rsidR="0021409C">
          <w:rPr>
            <w:webHidden/>
          </w:rPr>
          <w:fldChar w:fldCharType="end"/>
        </w:r>
      </w:hyperlink>
    </w:p>
    <w:p w14:paraId="712F400F" w14:textId="0D2BFABE" w:rsidR="0021409C" w:rsidRDefault="00656428">
      <w:pPr>
        <w:pStyle w:val="TOC2"/>
        <w:rPr>
          <w:rFonts w:asciiTheme="minorHAnsi" w:hAnsiTheme="minorHAnsi" w:cstheme="minorBidi"/>
          <w:sz w:val="22"/>
          <w:szCs w:val="22"/>
        </w:rPr>
      </w:pPr>
      <w:hyperlink w:anchor="_Toc93482442" w:history="1">
        <w:r w:rsidR="0021409C" w:rsidRPr="00E90B7D">
          <w:rPr>
            <w:rStyle w:val="Hyperlink"/>
          </w:rPr>
          <w:t>1.2</w:t>
        </w:r>
        <w:r w:rsidR="0021409C">
          <w:rPr>
            <w:rFonts w:asciiTheme="minorHAnsi" w:hAnsiTheme="minorHAnsi" w:cstheme="minorBidi"/>
            <w:sz w:val="22"/>
            <w:szCs w:val="22"/>
          </w:rPr>
          <w:tab/>
        </w:r>
        <w:r w:rsidR="0021409C" w:rsidRPr="00E90B7D">
          <w:rPr>
            <w:rStyle w:val="Hyperlink"/>
          </w:rPr>
          <w:t>Summary of the Proposal</w:t>
        </w:r>
        <w:r w:rsidR="0021409C">
          <w:rPr>
            <w:webHidden/>
          </w:rPr>
          <w:tab/>
        </w:r>
        <w:r w:rsidR="0021409C">
          <w:rPr>
            <w:webHidden/>
          </w:rPr>
          <w:fldChar w:fldCharType="begin"/>
        </w:r>
        <w:r w:rsidR="0021409C">
          <w:rPr>
            <w:webHidden/>
          </w:rPr>
          <w:instrText xml:space="preserve"> PAGEREF _Toc93482442 \h </w:instrText>
        </w:r>
        <w:r w:rsidR="0021409C">
          <w:rPr>
            <w:webHidden/>
          </w:rPr>
        </w:r>
        <w:r w:rsidR="0021409C">
          <w:rPr>
            <w:webHidden/>
          </w:rPr>
          <w:fldChar w:fldCharType="separate"/>
        </w:r>
        <w:r w:rsidR="0021409C">
          <w:rPr>
            <w:webHidden/>
          </w:rPr>
          <w:t>3</w:t>
        </w:r>
        <w:r w:rsidR="0021409C">
          <w:rPr>
            <w:webHidden/>
          </w:rPr>
          <w:fldChar w:fldCharType="end"/>
        </w:r>
      </w:hyperlink>
    </w:p>
    <w:p w14:paraId="3CB98532" w14:textId="7FB19E77" w:rsidR="0021409C" w:rsidRDefault="00656428">
      <w:pPr>
        <w:pStyle w:val="TOC2"/>
        <w:rPr>
          <w:rFonts w:asciiTheme="minorHAnsi" w:hAnsiTheme="minorHAnsi" w:cstheme="minorBidi"/>
          <w:sz w:val="22"/>
          <w:szCs w:val="22"/>
        </w:rPr>
      </w:pPr>
      <w:hyperlink w:anchor="_Toc93482443" w:history="1">
        <w:r w:rsidR="0021409C" w:rsidRPr="00E90B7D">
          <w:rPr>
            <w:rStyle w:val="Hyperlink"/>
          </w:rPr>
          <w:t>1.3</w:t>
        </w:r>
        <w:r w:rsidR="0021409C">
          <w:rPr>
            <w:rFonts w:asciiTheme="minorHAnsi" w:hAnsiTheme="minorHAnsi" w:cstheme="minorBidi"/>
            <w:sz w:val="22"/>
            <w:szCs w:val="22"/>
          </w:rPr>
          <w:tab/>
        </w:r>
        <w:r w:rsidR="0021409C" w:rsidRPr="00E90B7D">
          <w:rPr>
            <w:rStyle w:val="Hyperlink"/>
          </w:rPr>
          <w:t>The National Capital Plan</w:t>
        </w:r>
        <w:r w:rsidR="0021409C">
          <w:rPr>
            <w:webHidden/>
          </w:rPr>
          <w:tab/>
        </w:r>
        <w:r w:rsidR="0021409C">
          <w:rPr>
            <w:webHidden/>
          </w:rPr>
          <w:fldChar w:fldCharType="begin"/>
        </w:r>
        <w:r w:rsidR="0021409C">
          <w:rPr>
            <w:webHidden/>
          </w:rPr>
          <w:instrText xml:space="preserve"> PAGEREF _Toc93482443 \h </w:instrText>
        </w:r>
        <w:r w:rsidR="0021409C">
          <w:rPr>
            <w:webHidden/>
          </w:rPr>
        </w:r>
        <w:r w:rsidR="0021409C">
          <w:rPr>
            <w:webHidden/>
          </w:rPr>
          <w:fldChar w:fldCharType="separate"/>
        </w:r>
        <w:r w:rsidR="0021409C">
          <w:rPr>
            <w:webHidden/>
          </w:rPr>
          <w:t>3</w:t>
        </w:r>
        <w:r w:rsidR="0021409C">
          <w:rPr>
            <w:webHidden/>
          </w:rPr>
          <w:fldChar w:fldCharType="end"/>
        </w:r>
      </w:hyperlink>
    </w:p>
    <w:p w14:paraId="3437B1D8" w14:textId="6CC423D4" w:rsidR="0021409C" w:rsidRDefault="00656428">
      <w:pPr>
        <w:pStyle w:val="TOC2"/>
        <w:rPr>
          <w:rFonts w:asciiTheme="minorHAnsi" w:hAnsiTheme="minorHAnsi" w:cstheme="minorBidi"/>
          <w:sz w:val="22"/>
          <w:szCs w:val="22"/>
        </w:rPr>
      </w:pPr>
      <w:hyperlink w:anchor="_Toc93482444" w:history="1">
        <w:r w:rsidR="0021409C" w:rsidRPr="00E90B7D">
          <w:rPr>
            <w:rStyle w:val="Hyperlink"/>
          </w:rPr>
          <w:t>1.4</w:t>
        </w:r>
        <w:r w:rsidR="0021409C">
          <w:rPr>
            <w:rFonts w:asciiTheme="minorHAnsi" w:hAnsiTheme="minorHAnsi" w:cstheme="minorBidi"/>
            <w:sz w:val="22"/>
            <w:szCs w:val="22"/>
          </w:rPr>
          <w:tab/>
        </w:r>
        <w:r w:rsidR="0021409C" w:rsidRPr="00E90B7D">
          <w:rPr>
            <w:rStyle w:val="Hyperlink"/>
          </w:rPr>
          <w:t>Current Territory Plan Provisions</w:t>
        </w:r>
        <w:r w:rsidR="0021409C">
          <w:rPr>
            <w:webHidden/>
          </w:rPr>
          <w:tab/>
        </w:r>
        <w:r w:rsidR="0021409C">
          <w:rPr>
            <w:webHidden/>
          </w:rPr>
          <w:fldChar w:fldCharType="begin"/>
        </w:r>
        <w:r w:rsidR="0021409C">
          <w:rPr>
            <w:webHidden/>
          </w:rPr>
          <w:instrText xml:space="preserve"> PAGEREF _Toc93482444 \h </w:instrText>
        </w:r>
        <w:r w:rsidR="0021409C">
          <w:rPr>
            <w:webHidden/>
          </w:rPr>
        </w:r>
        <w:r w:rsidR="0021409C">
          <w:rPr>
            <w:webHidden/>
          </w:rPr>
          <w:fldChar w:fldCharType="separate"/>
        </w:r>
        <w:r w:rsidR="0021409C">
          <w:rPr>
            <w:webHidden/>
          </w:rPr>
          <w:t>3</w:t>
        </w:r>
        <w:r w:rsidR="0021409C">
          <w:rPr>
            <w:webHidden/>
          </w:rPr>
          <w:fldChar w:fldCharType="end"/>
        </w:r>
      </w:hyperlink>
    </w:p>
    <w:p w14:paraId="57AE8DC6" w14:textId="4451F2F6" w:rsidR="0021409C" w:rsidRDefault="00656428">
      <w:pPr>
        <w:pStyle w:val="TOC2"/>
        <w:rPr>
          <w:rFonts w:asciiTheme="minorHAnsi" w:hAnsiTheme="minorHAnsi" w:cstheme="minorBidi"/>
          <w:sz w:val="22"/>
          <w:szCs w:val="22"/>
        </w:rPr>
      </w:pPr>
      <w:hyperlink w:anchor="_Toc93482445" w:history="1">
        <w:r w:rsidR="0021409C" w:rsidRPr="00E90B7D">
          <w:rPr>
            <w:rStyle w:val="Hyperlink"/>
          </w:rPr>
          <w:t>1.5</w:t>
        </w:r>
        <w:r w:rsidR="0021409C">
          <w:rPr>
            <w:rFonts w:asciiTheme="minorHAnsi" w:hAnsiTheme="minorHAnsi" w:cstheme="minorBidi"/>
            <w:sz w:val="22"/>
            <w:szCs w:val="22"/>
          </w:rPr>
          <w:tab/>
        </w:r>
        <w:r w:rsidR="0021409C" w:rsidRPr="00E90B7D">
          <w:rPr>
            <w:rStyle w:val="Hyperlink"/>
          </w:rPr>
          <w:t>Changes to the Territory Plan</w:t>
        </w:r>
        <w:r w:rsidR="0021409C">
          <w:rPr>
            <w:webHidden/>
          </w:rPr>
          <w:tab/>
        </w:r>
        <w:r w:rsidR="0021409C">
          <w:rPr>
            <w:webHidden/>
          </w:rPr>
          <w:fldChar w:fldCharType="begin"/>
        </w:r>
        <w:r w:rsidR="0021409C">
          <w:rPr>
            <w:webHidden/>
          </w:rPr>
          <w:instrText xml:space="preserve"> PAGEREF _Toc93482445 \h </w:instrText>
        </w:r>
        <w:r w:rsidR="0021409C">
          <w:rPr>
            <w:webHidden/>
          </w:rPr>
        </w:r>
        <w:r w:rsidR="0021409C">
          <w:rPr>
            <w:webHidden/>
          </w:rPr>
          <w:fldChar w:fldCharType="separate"/>
        </w:r>
        <w:r w:rsidR="0021409C">
          <w:rPr>
            <w:webHidden/>
          </w:rPr>
          <w:t>4</w:t>
        </w:r>
        <w:r w:rsidR="0021409C">
          <w:rPr>
            <w:webHidden/>
          </w:rPr>
          <w:fldChar w:fldCharType="end"/>
        </w:r>
      </w:hyperlink>
    </w:p>
    <w:p w14:paraId="5E81CAC1" w14:textId="43458A80" w:rsidR="0021409C" w:rsidRDefault="00656428">
      <w:pPr>
        <w:pStyle w:val="TOC2"/>
        <w:rPr>
          <w:rFonts w:asciiTheme="minorHAnsi" w:hAnsiTheme="minorHAnsi" w:cstheme="minorBidi"/>
          <w:sz w:val="22"/>
          <w:szCs w:val="22"/>
        </w:rPr>
      </w:pPr>
      <w:hyperlink w:anchor="_Toc93482446" w:history="1">
        <w:r w:rsidR="0021409C" w:rsidRPr="00E90B7D">
          <w:rPr>
            <w:rStyle w:val="Hyperlink"/>
          </w:rPr>
          <w:t>1.6</w:t>
        </w:r>
        <w:r w:rsidR="0021409C">
          <w:rPr>
            <w:rFonts w:asciiTheme="minorHAnsi" w:hAnsiTheme="minorHAnsi" w:cstheme="minorBidi"/>
            <w:sz w:val="22"/>
            <w:szCs w:val="22"/>
          </w:rPr>
          <w:tab/>
        </w:r>
        <w:r w:rsidR="0021409C" w:rsidRPr="00E90B7D">
          <w:rPr>
            <w:rStyle w:val="Hyperlink"/>
          </w:rPr>
          <w:t>Consultation on the Draft Variation</w:t>
        </w:r>
        <w:r w:rsidR="0021409C">
          <w:rPr>
            <w:webHidden/>
          </w:rPr>
          <w:tab/>
        </w:r>
        <w:r w:rsidR="0021409C">
          <w:rPr>
            <w:webHidden/>
          </w:rPr>
          <w:fldChar w:fldCharType="begin"/>
        </w:r>
        <w:r w:rsidR="0021409C">
          <w:rPr>
            <w:webHidden/>
          </w:rPr>
          <w:instrText xml:space="preserve"> PAGEREF _Toc93482446 \h </w:instrText>
        </w:r>
        <w:r w:rsidR="0021409C">
          <w:rPr>
            <w:webHidden/>
          </w:rPr>
        </w:r>
        <w:r w:rsidR="0021409C">
          <w:rPr>
            <w:webHidden/>
          </w:rPr>
          <w:fldChar w:fldCharType="separate"/>
        </w:r>
        <w:r w:rsidR="0021409C">
          <w:rPr>
            <w:webHidden/>
          </w:rPr>
          <w:t>4</w:t>
        </w:r>
        <w:r w:rsidR="0021409C">
          <w:rPr>
            <w:webHidden/>
          </w:rPr>
          <w:fldChar w:fldCharType="end"/>
        </w:r>
      </w:hyperlink>
    </w:p>
    <w:p w14:paraId="344C488C" w14:textId="7B78F926" w:rsidR="0021409C" w:rsidRDefault="00656428">
      <w:pPr>
        <w:pStyle w:val="TOC2"/>
        <w:rPr>
          <w:rFonts w:asciiTheme="minorHAnsi" w:hAnsiTheme="minorHAnsi" w:cstheme="minorBidi"/>
          <w:sz w:val="22"/>
          <w:szCs w:val="22"/>
        </w:rPr>
      </w:pPr>
      <w:hyperlink w:anchor="_Toc93482447" w:history="1">
        <w:r w:rsidR="0021409C" w:rsidRPr="00E90B7D">
          <w:rPr>
            <w:rStyle w:val="Hyperlink"/>
          </w:rPr>
          <w:t>1.7</w:t>
        </w:r>
        <w:r w:rsidR="0021409C">
          <w:rPr>
            <w:rFonts w:asciiTheme="minorHAnsi" w:hAnsiTheme="minorHAnsi" w:cstheme="minorBidi"/>
            <w:sz w:val="22"/>
            <w:szCs w:val="22"/>
          </w:rPr>
          <w:tab/>
        </w:r>
        <w:r w:rsidR="0021409C" w:rsidRPr="00E90B7D">
          <w:rPr>
            <w:rStyle w:val="Hyperlink"/>
          </w:rPr>
          <w:t>Revisions to the Draft Variation Recommended to the Minister</w:t>
        </w:r>
        <w:r w:rsidR="0021409C">
          <w:rPr>
            <w:webHidden/>
          </w:rPr>
          <w:tab/>
        </w:r>
        <w:r w:rsidR="0021409C">
          <w:rPr>
            <w:webHidden/>
          </w:rPr>
          <w:fldChar w:fldCharType="begin"/>
        </w:r>
        <w:r w:rsidR="0021409C">
          <w:rPr>
            <w:webHidden/>
          </w:rPr>
          <w:instrText xml:space="preserve"> PAGEREF _Toc93482447 \h </w:instrText>
        </w:r>
        <w:r w:rsidR="0021409C">
          <w:rPr>
            <w:webHidden/>
          </w:rPr>
        </w:r>
        <w:r w:rsidR="0021409C">
          <w:rPr>
            <w:webHidden/>
          </w:rPr>
          <w:fldChar w:fldCharType="separate"/>
        </w:r>
        <w:r w:rsidR="0021409C">
          <w:rPr>
            <w:webHidden/>
          </w:rPr>
          <w:t>4</w:t>
        </w:r>
        <w:r w:rsidR="0021409C">
          <w:rPr>
            <w:webHidden/>
          </w:rPr>
          <w:fldChar w:fldCharType="end"/>
        </w:r>
      </w:hyperlink>
    </w:p>
    <w:p w14:paraId="6D87F50E" w14:textId="1A634929" w:rsidR="0021409C" w:rsidRDefault="00656428">
      <w:pPr>
        <w:pStyle w:val="TOC1"/>
        <w:rPr>
          <w:rFonts w:asciiTheme="minorHAnsi" w:hAnsiTheme="minorHAnsi" w:cstheme="minorBidi"/>
          <w:b w:val="0"/>
          <w:caps w:val="0"/>
          <w:sz w:val="22"/>
          <w:szCs w:val="22"/>
        </w:rPr>
      </w:pPr>
      <w:hyperlink w:anchor="_Toc93482448" w:history="1">
        <w:r w:rsidR="0021409C" w:rsidRPr="00E90B7D">
          <w:rPr>
            <w:rStyle w:val="Hyperlink"/>
          </w:rPr>
          <w:t>2.</w:t>
        </w:r>
        <w:r w:rsidR="0021409C">
          <w:rPr>
            <w:rFonts w:asciiTheme="minorHAnsi" w:hAnsiTheme="minorHAnsi" w:cstheme="minorBidi"/>
            <w:b w:val="0"/>
            <w:caps w:val="0"/>
            <w:sz w:val="22"/>
            <w:szCs w:val="22"/>
          </w:rPr>
          <w:tab/>
        </w:r>
        <w:r w:rsidR="0021409C" w:rsidRPr="00E90B7D">
          <w:rPr>
            <w:rStyle w:val="Hyperlink"/>
          </w:rPr>
          <w:t>VARIATION</w:t>
        </w:r>
        <w:r w:rsidR="0021409C">
          <w:rPr>
            <w:webHidden/>
          </w:rPr>
          <w:tab/>
        </w:r>
        <w:r w:rsidR="0021409C">
          <w:rPr>
            <w:webHidden/>
          </w:rPr>
          <w:fldChar w:fldCharType="begin"/>
        </w:r>
        <w:r w:rsidR="0021409C">
          <w:rPr>
            <w:webHidden/>
          </w:rPr>
          <w:instrText xml:space="preserve"> PAGEREF _Toc93482448 \h </w:instrText>
        </w:r>
        <w:r w:rsidR="0021409C">
          <w:rPr>
            <w:webHidden/>
          </w:rPr>
        </w:r>
        <w:r w:rsidR="0021409C">
          <w:rPr>
            <w:webHidden/>
          </w:rPr>
          <w:fldChar w:fldCharType="separate"/>
        </w:r>
        <w:r w:rsidR="0021409C">
          <w:rPr>
            <w:webHidden/>
          </w:rPr>
          <w:t>5</w:t>
        </w:r>
        <w:r w:rsidR="0021409C">
          <w:rPr>
            <w:webHidden/>
          </w:rPr>
          <w:fldChar w:fldCharType="end"/>
        </w:r>
      </w:hyperlink>
    </w:p>
    <w:p w14:paraId="13D0FDE5" w14:textId="328F8621" w:rsidR="0021409C" w:rsidRDefault="00656428">
      <w:pPr>
        <w:pStyle w:val="TOC2"/>
        <w:rPr>
          <w:rFonts w:asciiTheme="minorHAnsi" w:hAnsiTheme="minorHAnsi" w:cstheme="minorBidi"/>
          <w:sz w:val="22"/>
          <w:szCs w:val="22"/>
        </w:rPr>
      </w:pPr>
      <w:hyperlink w:anchor="_Toc93482449" w:history="1">
        <w:r w:rsidR="0021409C" w:rsidRPr="00E90B7D">
          <w:rPr>
            <w:rStyle w:val="Hyperlink"/>
          </w:rPr>
          <w:t>2.1</w:t>
        </w:r>
        <w:r w:rsidR="0021409C">
          <w:rPr>
            <w:rFonts w:asciiTheme="minorHAnsi" w:hAnsiTheme="minorHAnsi" w:cstheme="minorBidi"/>
            <w:sz w:val="22"/>
            <w:szCs w:val="22"/>
          </w:rPr>
          <w:tab/>
        </w:r>
        <w:r w:rsidR="0021409C" w:rsidRPr="00E90B7D">
          <w:rPr>
            <w:rStyle w:val="Hyperlink"/>
          </w:rPr>
          <w:t>Variation to the Territory Plan</w:t>
        </w:r>
        <w:r w:rsidR="0021409C">
          <w:rPr>
            <w:webHidden/>
          </w:rPr>
          <w:tab/>
        </w:r>
        <w:r w:rsidR="0021409C">
          <w:rPr>
            <w:webHidden/>
          </w:rPr>
          <w:fldChar w:fldCharType="begin"/>
        </w:r>
        <w:r w:rsidR="0021409C">
          <w:rPr>
            <w:webHidden/>
          </w:rPr>
          <w:instrText xml:space="preserve"> PAGEREF _Toc93482449 \h </w:instrText>
        </w:r>
        <w:r w:rsidR="0021409C">
          <w:rPr>
            <w:webHidden/>
          </w:rPr>
        </w:r>
        <w:r w:rsidR="0021409C">
          <w:rPr>
            <w:webHidden/>
          </w:rPr>
          <w:fldChar w:fldCharType="separate"/>
        </w:r>
        <w:r w:rsidR="0021409C">
          <w:rPr>
            <w:webHidden/>
          </w:rPr>
          <w:t>5</w:t>
        </w:r>
        <w:r w:rsidR="0021409C">
          <w:rPr>
            <w:webHidden/>
          </w:rPr>
          <w:fldChar w:fldCharType="end"/>
        </w:r>
      </w:hyperlink>
    </w:p>
    <w:p w14:paraId="48F1962F" w14:textId="53A8EB91" w:rsidR="001C7FD4" w:rsidRDefault="001A4AA3" w:rsidP="006C39CF">
      <w:pPr>
        <w:pStyle w:val="TOC1"/>
      </w:pPr>
      <w:r>
        <w:fldChar w:fldCharType="end"/>
      </w:r>
    </w:p>
    <w:p w14:paraId="771B5FFD" w14:textId="77777777" w:rsidR="006466FF" w:rsidRDefault="006466FF" w:rsidP="00D93017">
      <w:pPr>
        <w:pStyle w:val="BodyText"/>
      </w:pPr>
      <w:r>
        <w:br w:type="page"/>
      </w:r>
    </w:p>
    <w:p w14:paraId="703E61B9" w14:textId="77777777" w:rsidR="006466FF" w:rsidRDefault="006466FF" w:rsidP="00D93017">
      <w:pPr>
        <w:pStyle w:val="BodyText"/>
      </w:pPr>
    </w:p>
    <w:p w14:paraId="2437D6F1" w14:textId="77777777" w:rsidR="006466FF" w:rsidRDefault="006466FF" w:rsidP="00D93017">
      <w:pPr>
        <w:pStyle w:val="BodyText"/>
      </w:pPr>
    </w:p>
    <w:p w14:paraId="0D3DA236" w14:textId="77777777" w:rsidR="006466FF" w:rsidRPr="00D93017" w:rsidRDefault="006466FF" w:rsidP="00D93017">
      <w:pPr>
        <w:pStyle w:val="BodyText"/>
        <w:jc w:val="center"/>
        <w:rPr>
          <w:i/>
        </w:rPr>
      </w:pPr>
      <w:r w:rsidRPr="00D93017">
        <w:rPr>
          <w:i/>
        </w:rPr>
        <w:t>This page is intentionally blank.</w:t>
      </w:r>
    </w:p>
    <w:p w14:paraId="1084B01C" w14:textId="77777777" w:rsidR="006466FF" w:rsidRPr="00137C11" w:rsidRDefault="006466FF" w:rsidP="00D93017">
      <w:pPr>
        <w:pStyle w:val="BodyText"/>
      </w:pPr>
    </w:p>
    <w:p w14:paraId="4D64E861" w14:textId="77777777" w:rsidR="006466FF" w:rsidRDefault="006466FF" w:rsidP="00D93017">
      <w:pPr>
        <w:pStyle w:val="BodyText"/>
        <w:sectPr w:rsidR="006466FF" w:rsidSect="00B87E35">
          <w:headerReference w:type="default" r:id="rId14"/>
          <w:pgSz w:w="11907" w:h="16840" w:code="9"/>
          <w:pgMar w:top="1440" w:right="1080" w:bottom="1440" w:left="1080" w:header="720" w:footer="589" w:gutter="0"/>
          <w:pgNumType w:fmt="lowerRoman" w:start="1"/>
          <w:cols w:space="720"/>
          <w:titlePg/>
          <w:docGrid w:linePitch="326"/>
        </w:sectPr>
      </w:pPr>
    </w:p>
    <w:p w14:paraId="3333B2A5" w14:textId="77777777" w:rsidR="001C7FD4" w:rsidRDefault="001C7FD4" w:rsidP="001C7FD4">
      <w:pPr>
        <w:pStyle w:val="Head1"/>
        <w:numPr>
          <w:ilvl w:val="0"/>
          <w:numId w:val="3"/>
        </w:numPr>
        <w:tabs>
          <w:tab w:val="clear" w:pos="851"/>
        </w:tabs>
        <w:ind w:left="851" w:hanging="851"/>
      </w:pPr>
      <w:bookmarkStart w:id="1" w:name="_Toc93482440"/>
      <w:r>
        <w:lastRenderedPageBreak/>
        <w:t>EXPLANATORY STATEMENT</w:t>
      </w:r>
      <w:bookmarkEnd w:id="1"/>
    </w:p>
    <w:p w14:paraId="615942E0" w14:textId="77777777" w:rsidR="001C7FD4" w:rsidRPr="00C3544D" w:rsidRDefault="001C7FD4" w:rsidP="00D93017">
      <w:pPr>
        <w:pStyle w:val="Head2"/>
        <w:keepNext/>
        <w:rPr>
          <w:rFonts w:cs="Arial"/>
          <w:szCs w:val="28"/>
        </w:rPr>
      </w:pPr>
      <w:bookmarkStart w:id="2" w:name="_Toc93482441"/>
      <w:r w:rsidRPr="00006764">
        <w:rPr>
          <w:rFonts w:cs="Arial"/>
        </w:rPr>
        <w:t>Background</w:t>
      </w:r>
      <w:bookmarkEnd w:id="2"/>
    </w:p>
    <w:p w14:paraId="15E90F0D" w14:textId="77777777" w:rsidR="00312672" w:rsidRDefault="00312672" w:rsidP="00312672">
      <w:pPr>
        <w:pStyle w:val="BodyText"/>
      </w:pPr>
      <w:r w:rsidRPr="00B90DB4">
        <w:t xml:space="preserve">Territory Plan </w:t>
      </w:r>
      <w:r>
        <w:t xml:space="preserve">variation </w:t>
      </w:r>
      <w:r w:rsidRPr="00B90DB4">
        <w:t xml:space="preserve">V304 which commenced in April 2015, placed </w:t>
      </w:r>
      <w:r>
        <w:t xml:space="preserve">a </w:t>
      </w:r>
      <w:r w:rsidRPr="00B90DB4">
        <w:t>maximum 1000m</w:t>
      </w:r>
      <w:r w:rsidRPr="00B90DB4">
        <w:rPr>
          <w:vertAlign w:val="superscript"/>
        </w:rPr>
        <w:t>2</w:t>
      </w:r>
      <w:r w:rsidRPr="00B90DB4">
        <w:t xml:space="preserve"> </w:t>
      </w:r>
      <w:r>
        <w:t>gross floor area (</w:t>
      </w:r>
      <w:r w:rsidRPr="00B90DB4">
        <w:t>GFA</w:t>
      </w:r>
      <w:r>
        <w:t>)</w:t>
      </w:r>
      <w:r w:rsidRPr="00B90DB4">
        <w:t xml:space="preserve"> limit on shops in local centres. Previously there w</w:t>
      </w:r>
      <w:r>
        <w:t>as</w:t>
      </w:r>
      <w:r w:rsidRPr="00B90DB4">
        <w:t xml:space="preserve"> no limit on the GFA of </w:t>
      </w:r>
      <w:r>
        <w:t>a shop at local centres.</w:t>
      </w:r>
    </w:p>
    <w:p w14:paraId="28F3153B" w14:textId="77777777" w:rsidR="00312672" w:rsidRDefault="00312672" w:rsidP="00312672">
      <w:pPr>
        <w:pStyle w:val="BodyText"/>
      </w:pPr>
      <w:r>
        <w:t xml:space="preserve">The development of V304 started with the </w:t>
      </w:r>
      <w:bookmarkStart w:id="3" w:name="_Hlk69385217"/>
      <w:r>
        <w:t>commercial zones policy review (phase 1) discussion paper, released in 2011</w:t>
      </w:r>
      <w:bookmarkEnd w:id="3"/>
      <w:r>
        <w:t xml:space="preserve">. There was feedback on various issues affecting development in commercial zones including supermarket sizes at local centres.  </w:t>
      </w:r>
    </w:p>
    <w:p w14:paraId="1082320F" w14:textId="77777777" w:rsidR="00312672" w:rsidRDefault="00312672" w:rsidP="00312672">
      <w:pPr>
        <w:pStyle w:val="BodyText"/>
      </w:pPr>
      <w:r>
        <w:t xml:space="preserve">A total of 49 public comments were received about this discussion paper. Apart from individual comments, submissions were received from Woolworths Ltd, Coles supermarkets, </w:t>
      </w:r>
      <w:proofErr w:type="spellStart"/>
      <w:r>
        <w:t>Supabarn</w:t>
      </w:r>
      <w:proofErr w:type="spellEnd"/>
      <w:r>
        <w:t xml:space="preserve"> and various IGA supermarkets, five centre landowners/developers, Housing Institute of Australia, Planning Institute of Australia, a planning consultant, five community groups and/or associations and the ACT Greens.  Importantly, there was</w:t>
      </w:r>
    </w:p>
    <w:p w14:paraId="6DC710B6" w14:textId="77777777" w:rsidR="00312672" w:rsidRDefault="00312672" w:rsidP="00312672">
      <w:pPr>
        <w:pStyle w:val="BodyText"/>
        <w:numPr>
          <w:ilvl w:val="0"/>
          <w:numId w:val="28"/>
        </w:numPr>
      </w:pPr>
      <w:r>
        <w:t xml:space="preserve">strong support for: </w:t>
      </w:r>
    </w:p>
    <w:p w14:paraId="08D8F6DA" w14:textId="77777777" w:rsidR="00312672" w:rsidRPr="00B90DB4" w:rsidRDefault="00312672" w:rsidP="00312672">
      <w:pPr>
        <w:pStyle w:val="BodyText"/>
        <w:numPr>
          <w:ilvl w:val="0"/>
          <w:numId w:val="27"/>
        </w:numPr>
      </w:pPr>
      <w:r>
        <w:t>limiting supermarket sizes in local centres; and to</w:t>
      </w:r>
    </w:p>
    <w:p w14:paraId="0682CFDB" w14:textId="77777777" w:rsidR="00312672" w:rsidRDefault="00312672" w:rsidP="00312672">
      <w:pPr>
        <w:pStyle w:val="BodyText"/>
        <w:numPr>
          <w:ilvl w:val="0"/>
          <w:numId w:val="27"/>
        </w:numPr>
        <w:rPr>
          <w:szCs w:val="24"/>
        </w:rPr>
      </w:pPr>
      <w:r>
        <w:t xml:space="preserve">assessing the potential economic impacts of ‘significant’ </w:t>
      </w:r>
      <w:r w:rsidRPr="00B90DB4">
        <w:rPr>
          <w:szCs w:val="24"/>
        </w:rPr>
        <w:t xml:space="preserve">supermarket developments </w:t>
      </w:r>
      <w:r>
        <w:rPr>
          <w:szCs w:val="24"/>
        </w:rPr>
        <w:t>at</w:t>
      </w:r>
      <w:r w:rsidRPr="00B90DB4">
        <w:rPr>
          <w:szCs w:val="24"/>
        </w:rPr>
        <w:t xml:space="preserve"> adjacent centres.</w:t>
      </w:r>
    </w:p>
    <w:p w14:paraId="636CC30C" w14:textId="77777777" w:rsidR="00312672" w:rsidRDefault="00312672" w:rsidP="00312672">
      <w:pPr>
        <w:pStyle w:val="BodyText"/>
        <w:numPr>
          <w:ilvl w:val="0"/>
          <w:numId w:val="28"/>
        </w:numPr>
      </w:pPr>
      <w:r>
        <w:t>some support for:</w:t>
      </w:r>
    </w:p>
    <w:p w14:paraId="5E838FEE" w14:textId="77777777" w:rsidR="00312672" w:rsidRDefault="00312672" w:rsidP="00312672">
      <w:pPr>
        <w:pStyle w:val="BodyText"/>
        <w:numPr>
          <w:ilvl w:val="0"/>
          <w:numId w:val="27"/>
        </w:numPr>
      </w:pPr>
      <w:r>
        <w:t>r</w:t>
      </w:r>
      <w:r w:rsidRPr="00B90DB4">
        <w:t>eflect</w:t>
      </w:r>
      <w:r>
        <w:t>ing</w:t>
      </w:r>
      <w:r w:rsidRPr="00B90DB4">
        <w:t xml:space="preserve"> centres hierarchy in commercial zones</w:t>
      </w:r>
      <w:r>
        <w:t>; and to</w:t>
      </w:r>
    </w:p>
    <w:p w14:paraId="78357EDD" w14:textId="77777777" w:rsidR="00312672" w:rsidRPr="00B90DB4" w:rsidRDefault="00312672" w:rsidP="00312672">
      <w:pPr>
        <w:pStyle w:val="BodyText"/>
        <w:numPr>
          <w:ilvl w:val="0"/>
          <w:numId w:val="27"/>
        </w:numPr>
      </w:pPr>
      <w:r>
        <w:t>undertaking z</w:t>
      </w:r>
      <w:r w:rsidRPr="00B90DB4">
        <w:t>oning changes on a case-by-case basis</w:t>
      </w:r>
      <w:r>
        <w:t>.</w:t>
      </w:r>
    </w:p>
    <w:p w14:paraId="3750E995" w14:textId="6FD142FF" w:rsidR="00312672" w:rsidRDefault="00312672" w:rsidP="00312672">
      <w:pPr>
        <w:pStyle w:val="BodyText"/>
      </w:pPr>
      <w:r>
        <w:t>In 2013 the former ACT Legislative Assembly Select Committee issued its findings on the ACT Supermarket Competition Policy. Of relevance to the Territory Plan provisions was the following recommendation:</w:t>
      </w:r>
    </w:p>
    <w:p w14:paraId="361DD85D" w14:textId="77777777" w:rsidR="00312672" w:rsidRPr="002B400C" w:rsidRDefault="00312672" w:rsidP="00312672">
      <w:pPr>
        <w:pStyle w:val="BodyText"/>
        <w:ind w:left="720"/>
        <w:rPr>
          <w:i/>
          <w:iCs/>
        </w:rPr>
      </w:pPr>
      <w:r w:rsidRPr="002B400C">
        <w:rPr>
          <w:i/>
          <w:iCs/>
        </w:rPr>
        <w:t>Recommendation 7 – The Committee recommends that the Territory Plan be revised to specify gross floor area limits for supermarkets in local centres.</w:t>
      </w:r>
    </w:p>
    <w:p w14:paraId="32023C75" w14:textId="78ACDE67" w:rsidR="00312672" w:rsidRDefault="00312672" w:rsidP="00312672">
      <w:pPr>
        <w:pStyle w:val="BodyText"/>
      </w:pPr>
      <w:r>
        <w:t xml:space="preserve">Draft Variation DV304 was released for public comment in 2013 and was informed by the Select Committee recommendations of 2013 and the commercial zones policy review discussion paper of 2011.  </w:t>
      </w:r>
    </w:p>
    <w:p w14:paraId="2FEC36FE" w14:textId="77777777" w:rsidR="00312672" w:rsidRDefault="00312672" w:rsidP="00312672">
      <w:pPr>
        <w:pStyle w:val="BodyText"/>
        <w:spacing w:after="0"/>
      </w:pPr>
      <w:r>
        <w:t>DV304 proposed a maximum gross floor area of 1500m</w:t>
      </w:r>
      <w:r>
        <w:rPr>
          <w:vertAlign w:val="superscript"/>
        </w:rPr>
        <w:t>2</w:t>
      </w:r>
      <w:r>
        <w:t xml:space="preserve"> for shops selling food (including supermarkets) in local centres. However, there was also a provision that set a </w:t>
      </w:r>
      <w:r w:rsidRPr="001B27A4">
        <w:rPr>
          <w:i/>
          <w:iCs/>
        </w:rPr>
        <w:t>‘net selling area’</w:t>
      </w:r>
      <w:r>
        <w:t xml:space="preserve"> for these shops at a maximum of 1000m</w:t>
      </w:r>
      <w:r w:rsidRPr="009053DC">
        <w:rPr>
          <w:vertAlign w:val="superscript"/>
        </w:rPr>
        <w:t>2</w:t>
      </w:r>
      <w:r>
        <w:t>. For this provision the ‘</w:t>
      </w:r>
      <w:r>
        <w:rPr>
          <w:bCs/>
        </w:rPr>
        <w:t>n</w:t>
      </w:r>
      <w:r w:rsidRPr="001B27A4">
        <w:rPr>
          <w:bCs/>
        </w:rPr>
        <w:t>et selling area</w:t>
      </w:r>
      <w:r>
        <w:rPr>
          <w:bCs/>
        </w:rPr>
        <w:t>’</w:t>
      </w:r>
      <w:r w:rsidRPr="008A2CEC">
        <w:t xml:space="preserve"> </w:t>
      </w:r>
      <w:r>
        <w:t xml:space="preserve">was defined in the proposed rule as that part of the </w:t>
      </w:r>
      <w:r w:rsidRPr="001B27A4">
        <w:rPr>
          <w:iCs/>
        </w:rPr>
        <w:t>gross floor area</w:t>
      </w:r>
      <w:r>
        <w:t xml:space="preserve"> of a shop that is: </w:t>
      </w:r>
    </w:p>
    <w:p w14:paraId="14066C78" w14:textId="77777777" w:rsidR="00312672" w:rsidRDefault="00312672" w:rsidP="00312672">
      <w:pPr>
        <w:pStyle w:val="BodyText"/>
        <w:spacing w:after="0"/>
        <w:ind w:left="720"/>
      </w:pPr>
      <w:r>
        <w:lastRenderedPageBreak/>
        <w:t xml:space="preserve">a) used for the display and sale of goods, and </w:t>
      </w:r>
    </w:p>
    <w:p w14:paraId="557BE1ED" w14:textId="77777777" w:rsidR="00312672" w:rsidRDefault="00312672" w:rsidP="00312672">
      <w:pPr>
        <w:pStyle w:val="BodyText"/>
        <w:ind w:left="720"/>
      </w:pPr>
      <w:r>
        <w:t xml:space="preserve">b) ordinarily accessible to the public. </w:t>
      </w:r>
    </w:p>
    <w:p w14:paraId="0C9732FE" w14:textId="77777777" w:rsidR="00312672" w:rsidRDefault="00312672" w:rsidP="00312672">
      <w:pPr>
        <w:pStyle w:val="BodyText"/>
        <w:rPr>
          <w:bCs/>
        </w:rPr>
      </w:pPr>
      <w:r>
        <w:t>A total of</w:t>
      </w:r>
      <w:r w:rsidRPr="00AD20D3">
        <w:t xml:space="preserve"> 1</w:t>
      </w:r>
      <w:r>
        <w:t>4</w:t>
      </w:r>
      <w:r w:rsidRPr="00AD20D3">
        <w:t xml:space="preserve"> submissions </w:t>
      </w:r>
      <w:r>
        <w:t xml:space="preserve">were </w:t>
      </w:r>
      <w:r w:rsidRPr="00AD20D3">
        <w:t>received during the formal public notification period</w:t>
      </w:r>
      <w:r>
        <w:t xml:space="preserve"> for DV304</w:t>
      </w:r>
      <w:r w:rsidRPr="00AD20D3">
        <w:t>. The majority of submissions were from</w:t>
      </w:r>
      <w:r>
        <w:t xml:space="preserve"> supermarket</w:t>
      </w:r>
      <w:r w:rsidRPr="00AD20D3">
        <w:t xml:space="preserve"> </w:t>
      </w:r>
      <w:r>
        <w:t xml:space="preserve">businesses and comments </w:t>
      </w:r>
      <w:r w:rsidRPr="00586E86">
        <w:rPr>
          <w:bCs/>
        </w:rPr>
        <w:t>relate</w:t>
      </w:r>
      <w:r>
        <w:rPr>
          <w:bCs/>
        </w:rPr>
        <w:t>d primarily</w:t>
      </w:r>
      <w:r w:rsidRPr="00586E86">
        <w:rPr>
          <w:bCs/>
        </w:rPr>
        <w:t xml:space="preserve"> to the proposed GFA limits and the proposed re-alignment of commercial zones boundaries in some group centres.</w:t>
      </w:r>
      <w:r>
        <w:rPr>
          <w:bCs/>
        </w:rPr>
        <w:t xml:space="preserve">  Key issues raised about DV304, which include comments about local centres:</w:t>
      </w:r>
    </w:p>
    <w:p w14:paraId="1F8BF159" w14:textId="77777777" w:rsidR="00312672" w:rsidRDefault="00312672" w:rsidP="00312672">
      <w:pPr>
        <w:pStyle w:val="BodyText"/>
        <w:numPr>
          <w:ilvl w:val="0"/>
          <w:numId w:val="27"/>
        </w:numPr>
        <w:spacing w:after="0"/>
      </w:pPr>
      <w:r>
        <w:t>result in poor urban planning outcomes</w:t>
      </w:r>
    </w:p>
    <w:p w14:paraId="56B6AA37" w14:textId="77777777" w:rsidR="00312672" w:rsidRPr="00E610A1" w:rsidRDefault="00312672" w:rsidP="00312672">
      <w:pPr>
        <w:pStyle w:val="BodyText"/>
        <w:numPr>
          <w:ilvl w:val="0"/>
          <w:numId w:val="27"/>
        </w:numPr>
        <w:spacing w:after="0"/>
      </w:pPr>
      <w:r>
        <w:t xml:space="preserve">diminish convenience retailing </w:t>
      </w:r>
    </w:p>
    <w:p w14:paraId="38ACD360" w14:textId="77777777" w:rsidR="00312672" w:rsidRDefault="00312672" w:rsidP="00312672">
      <w:pPr>
        <w:pStyle w:val="BodyText"/>
        <w:numPr>
          <w:ilvl w:val="0"/>
          <w:numId w:val="27"/>
        </w:numPr>
        <w:spacing w:after="0"/>
      </w:pPr>
      <w:r>
        <w:t>create an oversupply of supermarket and retail space</w:t>
      </w:r>
    </w:p>
    <w:p w14:paraId="5935EA15" w14:textId="77777777" w:rsidR="00312672" w:rsidRDefault="00312672" w:rsidP="00312672">
      <w:pPr>
        <w:pStyle w:val="BodyText"/>
        <w:numPr>
          <w:ilvl w:val="0"/>
          <w:numId w:val="27"/>
        </w:numPr>
        <w:spacing w:after="0"/>
      </w:pPr>
      <w:r>
        <w:t>may affect the retail hierarchy of centres</w:t>
      </w:r>
    </w:p>
    <w:p w14:paraId="04620A2A" w14:textId="77777777" w:rsidR="00312672" w:rsidRDefault="00312672" w:rsidP="00312672">
      <w:pPr>
        <w:pStyle w:val="BodyText"/>
        <w:numPr>
          <w:ilvl w:val="0"/>
          <w:numId w:val="27"/>
        </w:numPr>
        <w:spacing w:after="0"/>
      </w:pPr>
      <w:r>
        <w:t>the proposed GFA limits are excessive</w:t>
      </w:r>
    </w:p>
    <w:p w14:paraId="402C9B44" w14:textId="77777777" w:rsidR="00312672" w:rsidRDefault="00312672" w:rsidP="00312672">
      <w:pPr>
        <w:pStyle w:val="BodyText"/>
        <w:numPr>
          <w:ilvl w:val="0"/>
          <w:numId w:val="27"/>
        </w:numPr>
        <w:spacing w:after="0"/>
      </w:pPr>
      <w:r>
        <w:t>the proposed introduction of the term ‘net selling area’ is considered to be unnecessary</w:t>
      </w:r>
    </w:p>
    <w:p w14:paraId="0A4D476A" w14:textId="77777777" w:rsidR="00312672" w:rsidRDefault="00312672" w:rsidP="00312672">
      <w:pPr>
        <w:pStyle w:val="BodyText"/>
        <w:numPr>
          <w:ilvl w:val="0"/>
          <w:numId w:val="27"/>
        </w:numPr>
        <w:spacing w:after="0"/>
      </w:pPr>
      <w:r>
        <w:t>the definitions of GFA and NSA are potentially confusing and complex</w:t>
      </w:r>
    </w:p>
    <w:p w14:paraId="51B95A77" w14:textId="77777777" w:rsidR="00312672" w:rsidRDefault="00312672" w:rsidP="00312672">
      <w:pPr>
        <w:pStyle w:val="BodyText"/>
        <w:numPr>
          <w:ilvl w:val="0"/>
          <w:numId w:val="27"/>
        </w:numPr>
        <w:spacing w:after="0"/>
      </w:pPr>
      <w:r>
        <w:t>the proposed GFA limits may affect the viability of centres and result in pressure on available car parking areas</w:t>
      </w:r>
    </w:p>
    <w:p w14:paraId="4ED06078" w14:textId="77777777" w:rsidR="00312672" w:rsidRDefault="00312672" w:rsidP="00312672">
      <w:pPr>
        <w:pStyle w:val="BodyText"/>
        <w:numPr>
          <w:ilvl w:val="0"/>
          <w:numId w:val="27"/>
        </w:numPr>
        <w:spacing w:after="0"/>
      </w:pPr>
      <w:r>
        <w:t>the proposed GFA limits are considered to be inconsistent with the directions of the Commercial zones policy review (phase 1) discussion paper.</w:t>
      </w:r>
    </w:p>
    <w:p w14:paraId="2B11C23F" w14:textId="77777777" w:rsidR="00312672" w:rsidRDefault="00312672" w:rsidP="00312672">
      <w:pPr>
        <w:pStyle w:val="BodyText"/>
        <w:spacing w:after="0"/>
        <w:ind w:left="1080"/>
      </w:pPr>
    </w:p>
    <w:p w14:paraId="6355BEE1" w14:textId="77777777" w:rsidR="00312672" w:rsidRPr="00041125" w:rsidRDefault="00312672" w:rsidP="00312672">
      <w:pPr>
        <w:pStyle w:val="BodyText"/>
      </w:pPr>
      <w:r>
        <w:t>The recommended DV304 was revised in response to the public comments received. This included an amendment to the maximum GFA for supermarkets in local centres to 1000m</w:t>
      </w:r>
      <w:r>
        <w:rPr>
          <w:vertAlign w:val="superscript"/>
        </w:rPr>
        <w:t>2</w:t>
      </w:r>
      <w:r>
        <w:t xml:space="preserve"> inclusive of net selling area and all ‘back of house’ floor space. The primary reason for the GFA limit of 1000m</w:t>
      </w:r>
      <w:r>
        <w:rPr>
          <w:vertAlign w:val="superscript"/>
        </w:rPr>
        <w:t>2</w:t>
      </w:r>
      <w:r>
        <w:t xml:space="preserve"> was to maintain the existing hierarchy of commercial centres. However, it was noted, at the time, that some existing supermarkets in local centres had already been developed beyond the maximum 1000m</w:t>
      </w:r>
      <w:r>
        <w:rPr>
          <w:vertAlign w:val="superscript"/>
        </w:rPr>
        <w:t>2</w:t>
      </w:r>
      <w:r>
        <w:t xml:space="preserve"> in the variation. A criterion was introduced to account for lawfully constructed supermarkets above this limit, already lodged development applications, and existing approvals that were already in place. V304 commenced in April 2015. </w:t>
      </w:r>
    </w:p>
    <w:p w14:paraId="6B88AF54" w14:textId="75AF8722" w:rsidR="00312672" w:rsidRDefault="00312672" w:rsidP="00312672">
      <w:pPr>
        <w:pStyle w:val="BodyText"/>
      </w:pPr>
      <w:r>
        <w:t xml:space="preserve">In recent times, the viability and competitiveness of local centres has come into question. With social and consumer behaviour change, particularly evident in response to COVID-19, the role of local centres in our urban fabric is changing. To further understand this change, a strategic investigation of the effectiveness of the Territory Plan policy for local centres is being conducted. Variation 381 facilitates changes to the local centre policies for supermarket sizes to improve both the viability and competitiveness of local centres. </w:t>
      </w:r>
    </w:p>
    <w:p w14:paraId="1ADD1E9D" w14:textId="77777777" w:rsidR="00312672" w:rsidRDefault="00312672" w:rsidP="00312672">
      <w:pPr>
        <w:pStyle w:val="BodyText"/>
      </w:pPr>
    </w:p>
    <w:p w14:paraId="0772CCCD" w14:textId="77777777" w:rsidR="00F15049" w:rsidRPr="00E215A4" w:rsidRDefault="00F15049" w:rsidP="00D93017">
      <w:pPr>
        <w:pStyle w:val="Head2"/>
        <w:keepNext/>
        <w:rPr>
          <w:szCs w:val="28"/>
        </w:rPr>
      </w:pPr>
      <w:bookmarkStart w:id="4" w:name="_Toc93482442"/>
      <w:r>
        <w:rPr>
          <w:rFonts w:cs="Arial"/>
        </w:rPr>
        <w:lastRenderedPageBreak/>
        <w:t>Summary of the Proposal</w:t>
      </w:r>
      <w:bookmarkEnd w:id="4"/>
    </w:p>
    <w:p w14:paraId="630471DC" w14:textId="44C1C5A8" w:rsidR="00312672" w:rsidRDefault="00312672" w:rsidP="00312672">
      <w:pPr>
        <w:pStyle w:val="BodyText"/>
      </w:pPr>
      <w:r>
        <w:t>This variation i</w:t>
      </w:r>
      <w:r w:rsidRPr="005F006B">
        <w:t>ncrease</w:t>
      </w:r>
      <w:r>
        <w:t>s</w:t>
      </w:r>
      <w:r w:rsidRPr="005F006B">
        <w:t xml:space="preserve"> the </w:t>
      </w:r>
      <w:r>
        <w:t xml:space="preserve">maximum GFA </w:t>
      </w:r>
      <w:r w:rsidRPr="005F006B">
        <w:t>for shops in local centres from 1000m</w:t>
      </w:r>
      <w:r w:rsidRPr="005F006B">
        <w:rPr>
          <w:vertAlign w:val="superscript"/>
        </w:rPr>
        <w:t>2</w:t>
      </w:r>
      <w:r w:rsidRPr="005F006B">
        <w:t xml:space="preserve"> to 1500m</w:t>
      </w:r>
      <w:r w:rsidRPr="005F006B">
        <w:rPr>
          <w:vertAlign w:val="superscript"/>
        </w:rPr>
        <w:t>2</w:t>
      </w:r>
      <w:r>
        <w:t>.</w:t>
      </w:r>
    </w:p>
    <w:p w14:paraId="7FF5A429" w14:textId="77777777" w:rsidR="00312672" w:rsidRDefault="00312672" w:rsidP="00D93017">
      <w:pPr>
        <w:pStyle w:val="BodyText"/>
        <w:rPr>
          <w:highlight w:val="yellow"/>
        </w:rPr>
      </w:pPr>
    </w:p>
    <w:p w14:paraId="1E806976" w14:textId="77777777" w:rsidR="001C7FD4" w:rsidRPr="00E215A4" w:rsidRDefault="001C7FD4" w:rsidP="00D93017">
      <w:pPr>
        <w:pStyle w:val="Head2"/>
        <w:keepNext/>
        <w:rPr>
          <w:szCs w:val="28"/>
        </w:rPr>
      </w:pPr>
      <w:bookmarkStart w:id="5" w:name="_Toc93482443"/>
      <w:bookmarkStart w:id="6" w:name="_Toc134526692"/>
      <w:r w:rsidRPr="00006764">
        <w:rPr>
          <w:rFonts w:cs="Arial"/>
        </w:rPr>
        <w:t>The</w:t>
      </w:r>
      <w:r w:rsidRPr="00E215A4">
        <w:rPr>
          <w:szCs w:val="28"/>
        </w:rPr>
        <w:t xml:space="preserve"> National Capital Plan</w:t>
      </w:r>
      <w:bookmarkEnd w:id="5"/>
    </w:p>
    <w:p w14:paraId="3F5A8FA9"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0461E4A" w14:textId="77777777"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14:paraId="6D04B2D4" w14:textId="77777777"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84D66D3" w14:textId="77777777"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bookmarkEnd w:id="6"/>
    <w:p w14:paraId="39B9C3F6" w14:textId="51820E6A" w:rsidR="001C7FD4" w:rsidRDefault="001C7FD4" w:rsidP="001C7FD4">
      <w:pPr>
        <w:pStyle w:val="BodyText"/>
        <w:spacing w:after="0"/>
      </w:pPr>
    </w:p>
    <w:p w14:paraId="49BC4671" w14:textId="77777777" w:rsidR="001C7FD4" w:rsidRDefault="00F15049" w:rsidP="00D93017">
      <w:pPr>
        <w:pStyle w:val="Head2"/>
        <w:keepNext/>
        <w:rPr>
          <w:rFonts w:cs="Arial"/>
        </w:rPr>
      </w:pPr>
      <w:bookmarkStart w:id="7" w:name="_Toc93482444"/>
      <w:r>
        <w:rPr>
          <w:rFonts w:cs="Arial"/>
        </w:rPr>
        <w:t>Current Territory Plan Provisions</w:t>
      </w:r>
      <w:bookmarkEnd w:id="7"/>
    </w:p>
    <w:p w14:paraId="5DB290EE" w14:textId="77777777" w:rsidR="00312672" w:rsidRPr="00CE61E2" w:rsidRDefault="00312672" w:rsidP="00312672">
      <w:pPr>
        <w:pStyle w:val="BodyText"/>
        <w:keepNext/>
      </w:pPr>
      <w:r>
        <w:t xml:space="preserve">Rule R51A in the </w:t>
      </w:r>
      <w:r w:rsidRPr="00CE61E2">
        <w:t>Commercial Zones Development Code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312672" w14:paraId="075A228D" w14:textId="77777777" w:rsidTr="00C046E0">
        <w:trPr>
          <w:trHeight w:val="350"/>
        </w:trPr>
        <w:tc>
          <w:tcPr>
            <w:tcW w:w="9245" w:type="dxa"/>
            <w:gridSpan w:val="2"/>
            <w:shd w:val="clear" w:color="auto" w:fill="E6E6E6"/>
          </w:tcPr>
          <w:p w14:paraId="266EE529" w14:textId="77777777" w:rsidR="00312672" w:rsidRDefault="00312672" w:rsidP="00C046E0">
            <w:pPr>
              <w:pStyle w:val="TableParagraph"/>
              <w:keepNext/>
              <w:tabs>
                <w:tab w:val="left" w:pos="708"/>
              </w:tabs>
              <w:spacing w:before="62"/>
              <w:ind w:left="108"/>
              <w:rPr>
                <w:b/>
                <w:sz w:val="20"/>
              </w:rPr>
            </w:pPr>
            <w:r>
              <w:rPr>
                <w:b/>
                <w:sz w:val="20"/>
              </w:rPr>
              <w:t>15.6</w:t>
            </w:r>
            <w:r>
              <w:rPr>
                <w:b/>
                <w:sz w:val="20"/>
              </w:rPr>
              <w:tab/>
              <w:t>Shops</w:t>
            </w:r>
            <w:r>
              <w:rPr>
                <w:b/>
                <w:spacing w:val="-1"/>
                <w:sz w:val="20"/>
              </w:rPr>
              <w:t xml:space="preserve"> </w:t>
            </w:r>
            <w:r>
              <w:rPr>
                <w:b/>
                <w:sz w:val="20"/>
              </w:rPr>
              <w:t>–</w:t>
            </w:r>
            <w:r>
              <w:rPr>
                <w:b/>
                <w:spacing w:val="-1"/>
                <w:sz w:val="20"/>
              </w:rPr>
              <w:t xml:space="preserve"> </w:t>
            </w:r>
            <w:r>
              <w:rPr>
                <w:b/>
                <w:sz w:val="20"/>
              </w:rPr>
              <w:t>floor</w:t>
            </w:r>
            <w:r>
              <w:rPr>
                <w:b/>
                <w:spacing w:val="1"/>
                <w:sz w:val="20"/>
              </w:rPr>
              <w:t xml:space="preserve"> </w:t>
            </w:r>
            <w:r>
              <w:rPr>
                <w:b/>
                <w:sz w:val="20"/>
              </w:rPr>
              <w:t>area</w:t>
            </w:r>
          </w:p>
        </w:tc>
      </w:tr>
      <w:tr w:rsidR="00312672" w14:paraId="42876D3E" w14:textId="77777777" w:rsidTr="00C046E0">
        <w:trPr>
          <w:trHeight w:val="3673"/>
        </w:trPr>
        <w:tc>
          <w:tcPr>
            <w:tcW w:w="4622" w:type="dxa"/>
          </w:tcPr>
          <w:p w14:paraId="27EC27BB" w14:textId="77777777" w:rsidR="00312672" w:rsidRDefault="00312672" w:rsidP="00C046E0">
            <w:pPr>
              <w:pStyle w:val="TableParagraph"/>
              <w:spacing w:before="60"/>
              <w:rPr>
                <w:sz w:val="20"/>
              </w:rPr>
            </w:pPr>
            <w:r>
              <w:rPr>
                <w:sz w:val="20"/>
              </w:rPr>
              <w:t>R51A</w:t>
            </w:r>
          </w:p>
          <w:p w14:paraId="29BD06BA" w14:textId="77777777" w:rsidR="00312672" w:rsidRDefault="00312672" w:rsidP="00C046E0">
            <w:pPr>
              <w:pStyle w:val="TableParagraph"/>
              <w:spacing w:before="107" w:line="288" w:lineRule="auto"/>
              <w:ind w:right="627"/>
              <w:rPr>
                <w:sz w:val="20"/>
              </w:rPr>
            </w:pPr>
            <w:r>
              <w:rPr>
                <w:sz w:val="20"/>
              </w:rPr>
              <w:t xml:space="preserve">The maximum </w:t>
            </w:r>
            <w:r>
              <w:rPr>
                <w:i/>
                <w:sz w:val="20"/>
              </w:rPr>
              <w:t xml:space="preserve">gross floor area </w:t>
            </w:r>
            <w:r>
              <w:rPr>
                <w:sz w:val="20"/>
              </w:rPr>
              <w:t xml:space="preserve">for a </w:t>
            </w:r>
            <w:r>
              <w:rPr>
                <w:i/>
                <w:sz w:val="20"/>
              </w:rPr>
              <w:t xml:space="preserve">shop </w:t>
            </w:r>
            <w:r>
              <w:rPr>
                <w:sz w:val="20"/>
              </w:rPr>
              <w:t>is</w:t>
            </w:r>
            <w:r>
              <w:rPr>
                <w:spacing w:val="-53"/>
                <w:sz w:val="20"/>
              </w:rPr>
              <w:t xml:space="preserve"> </w:t>
            </w:r>
            <w:r>
              <w:rPr>
                <w:sz w:val="20"/>
              </w:rPr>
              <w:t>1000m</w:t>
            </w:r>
            <w:r>
              <w:rPr>
                <w:sz w:val="20"/>
                <w:vertAlign w:val="superscript"/>
              </w:rPr>
              <w:t>2</w:t>
            </w:r>
            <w:r>
              <w:rPr>
                <w:sz w:val="20"/>
              </w:rPr>
              <w:t>.</w:t>
            </w:r>
          </w:p>
        </w:tc>
        <w:tc>
          <w:tcPr>
            <w:tcW w:w="4623" w:type="dxa"/>
          </w:tcPr>
          <w:p w14:paraId="53B7E696" w14:textId="77777777" w:rsidR="00312672" w:rsidRDefault="00312672" w:rsidP="00C046E0">
            <w:pPr>
              <w:pStyle w:val="TableParagraph"/>
              <w:spacing w:before="60"/>
              <w:rPr>
                <w:sz w:val="20"/>
              </w:rPr>
            </w:pPr>
            <w:r>
              <w:rPr>
                <w:sz w:val="20"/>
              </w:rPr>
              <w:t>C51A</w:t>
            </w:r>
          </w:p>
          <w:p w14:paraId="5115DA3D" w14:textId="77777777" w:rsidR="00312672" w:rsidRDefault="00312672" w:rsidP="00C046E0">
            <w:pPr>
              <w:pStyle w:val="TableParagraph"/>
              <w:spacing w:before="107" w:line="288" w:lineRule="auto"/>
              <w:ind w:right="216"/>
              <w:rPr>
                <w:sz w:val="20"/>
              </w:rPr>
            </w:pPr>
            <w:r>
              <w:rPr>
                <w:sz w:val="20"/>
              </w:rPr>
              <w:t xml:space="preserve">An existing </w:t>
            </w:r>
            <w:r>
              <w:rPr>
                <w:i/>
                <w:sz w:val="20"/>
              </w:rPr>
              <w:t xml:space="preserve">shop </w:t>
            </w:r>
            <w:r>
              <w:rPr>
                <w:sz w:val="20"/>
              </w:rPr>
              <w:t xml:space="preserve">that exceeds a </w:t>
            </w:r>
            <w:r>
              <w:rPr>
                <w:i/>
                <w:sz w:val="20"/>
              </w:rPr>
              <w:t>gross floor area</w:t>
            </w:r>
            <w:r>
              <w:rPr>
                <w:i/>
                <w:spacing w:val="-53"/>
                <w:sz w:val="20"/>
              </w:rPr>
              <w:t xml:space="preserve"> </w:t>
            </w:r>
            <w:r>
              <w:rPr>
                <w:sz w:val="20"/>
              </w:rPr>
              <w:t>of 1000m</w:t>
            </w:r>
            <w:r>
              <w:rPr>
                <w:sz w:val="20"/>
                <w:vertAlign w:val="superscript"/>
              </w:rPr>
              <w:t>2</w:t>
            </w:r>
            <w:r>
              <w:rPr>
                <w:sz w:val="20"/>
              </w:rPr>
              <w:t xml:space="preserve"> may be redeveloped up to its existing</w:t>
            </w:r>
            <w:r>
              <w:rPr>
                <w:spacing w:val="-53"/>
                <w:sz w:val="20"/>
              </w:rPr>
              <w:t xml:space="preserve"> </w:t>
            </w:r>
            <w:r>
              <w:rPr>
                <w:i/>
                <w:sz w:val="20"/>
              </w:rPr>
              <w:t xml:space="preserve">gross floor area </w:t>
            </w:r>
            <w:r>
              <w:rPr>
                <w:sz w:val="20"/>
              </w:rPr>
              <w:t>where the shop complies with</w:t>
            </w:r>
            <w:r>
              <w:rPr>
                <w:spacing w:val="1"/>
                <w:sz w:val="20"/>
              </w:rPr>
              <w:t xml:space="preserve"> </w:t>
            </w:r>
            <w:r>
              <w:rPr>
                <w:sz w:val="20"/>
              </w:rPr>
              <w:t>one of</w:t>
            </w:r>
            <w:r>
              <w:rPr>
                <w:spacing w:val="-1"/>
                <w:sz w:val="20"/>
              </w:rPr>
              <w:t xml:space="preserve"> </w:t>
            </w:r>
            <w:r>
              <w:rPr>
                <w:sz w:val="20"/>
              </w:rPr>
              <w:t>the</w:t>
            </w:r>
            <w:r>
              <w:rPr>
                <w:spacing w:val="-1"/>
                <w:sz w:val="20"/>
              </w:rPr>
              <w:t xml:space="preserve"> </w:t>
            </w:r>
            <w:r>
              <w:rPr>
                <w:sz w:val="20"/>
              </w:rPr>
              <w:t>following:</w:t>
            </w:r>
          </w:p>
          <w:p w14:paraId="4E623684" w14:textId="77777777" w:rsidR="00312672" w:rsidRDefault="00312672" w:rsidP="00312672">
            <w:pPr>
              <w:pStyle w:val="TableParagraph"/>
              <w:numPr>
                <w:ilvl w:val="0"/>
                <w:numId w:val="29"/>
              </w:numPr>
              <w:tabs>
                <w:tab w:val="left" w:pos="560"/>
                <w:tab w:val="left" w:pos="561"/>
              </w:tabs>
              <w:spacing w:before="60" w:line="288" w:lineRule="auto"/>
              <w:ind w:right="758"/>
              <w:rPr>
                <w:sz w:val="20"/>
              </w:rPr>
            </w:pPr>
            <w:r>
              <w:rPr>
                <w:sz w:val="20"/>
              </w:rPr>
              <w:t>was lawfully constructed on or before</w:t>
            </w:r>
            <w:r>
              <w:rPr>
                <w:spacing w:val="-53"/>
                <w:sz w:val="20"/>
              </w:rPr>
              <w:t xml:space="preserve"> </w:t>
            </w:r>
            <w:r>
              <w:rPr>
                <w:sz w:val="20"/>
              </w:rPr>
              <w:t>10</w:t>
            </w:r>
            <w:r>
              <w:rPr>
                <w:spacing w:val="-1"/>
                <w:sz w:val="20"/>
              </w:rPr>
              <w:t xml:space="preserve"> </w:t>
            </w:r>
            <w:r>
              <w:rPr>
                <w:sz w:val="20"/>
              </w:rPr>
              <w:t>April</w:t>
            </w:r>
            <w:r>
              <w:rPr>
                <w:spacing w:val="-1"/>
                <w:sz w:val="20"/>
              </w:rPr>
              <w:t xml:space="preserve"> </w:t>
            </w:r>
            <w:r>
              <w:rPr>
                <w:sz w:val="20"/>
              </w:rPr>
              <w:t>2015</w:t>
            </w:r>
          </w:p>
          <w:p w14:paraId="28D2566C" w14:textId="77777777" w:rsidR="00312672" w:rsidRDefault="00312672" w:rsidP="00312672">
            <w:pPr>
              <w:pStyle w:val="TableParagraph"/>
              <w:numPr>
                <w:ilvl w:val="0"/>
                <w:numId w:val="29"/>
              </w:numPr>
              <w:tabs>
                <w:tab w:val="left" w:pos="560"/>
                <w:tab w:val="left" w:pos="561"/>
              </w:tabs>
              <w:spacing w:before="60" w:line="288" w:lineRule="auto"/>
              <w:ind w:right="126"/>
              <w:rPr>
                <w:sz w:val="20"/>
              </w:rPr>
            </w:pPr>
            <w:r>
              <w:rPr>
                <w:sz w:val="20"/>
              </w:rPr>
              <w:t>was</w:t>
            </w:r>
            <w:r>
              <w:rPr>
                <w:spacing w:val="-4"/>
                <w:sz w:val="20"/>
              </w:rPr>
              <w:t xml:space="preserve"> </w:t>
            </w:r>
            <w:r>
              <w:rPr>
                <w:sz w:val="20"/>
              </w:rPr>
              <w:t>subject</w:t>
            </w:r>
            <w:r>
              <w:rPr>
                <w:spacing w:val="-3"/>
                <w:sz w:val="20"/>
              </w:rPr>
              <w:t xml:space="preserve"> </w:t>
            </w:r>
            <w:r>
              <w:rPr>
                <w:sz w:val="20"/>
              </w:rPr>
              <w:t>to</w:t>
            </w:r>
            <w:r>
              <w:rPr>
                <w:spacing w:val="-3"/>
                <w:sz w:val="20"/>
              </w:rPr>
              <w:t xml:space="preserve"> </w:t>
            </w:r>
            <w:r>
              <w:rPr>
                <w:sz w:val="20"/>
              </w:rPr>
              <w:t>development</w:t>
            </w:r>
            <w:r>
              <w:rPr>
                <w:spacing w:val="-4"/>
                <w:sz w:val="20"/>
              </w:rPr>
              <w:t xml:space="preserve"> </w:t>
            </w:r>
            <w:r>
              <w:rPr>
                <w:sz w:val="20"/>
              </w:rPr>
              <w:t>approval</w:t>
            </w:r>
            <w:r>
              <w:rPr>
                <w:spacing w:val="-3"/>
                <w:sz w:val="20"/>
              </w:rPr>
              <w:t xml:space="preserve"> </w:t>
            </w:r>
            <w:r>
              <w:rPr>
                <w:sz w:val="20"/>
              </w:rPr>
              <w:t>issued</w:t>
            </w:r>
            <w:r>
              <w:rPr>
                <w:spacing w:val="-52"/>
                <w:sz w:val="20"/>
              </w:rPr>
              <w:t xml:space="preserve"> </w:t>
            </w:r>
            <w:r>
              <w:rPr>
                <w:sz w:val="20"/>
              </w:rPr>
              <w:t>on</w:t>
            </w:r>
            <w:r>
              <w:rPr>
                <w:spacing w:val="-1"/>
                <w:sz w:val="20"/>
              </w:rPr>
              <w:t xml:space="preserve"> </w:t>
            </w:r>
            <w:r>
              <w:rPr>
                <w:sz w:val="20"/>
              </w:rPr>
              <w:t>or before</w:t>
            </w:r>
            <w:r>
              <w:rPr>
                <w:spacing w:val="-1"/>
                <w:sz w:val="20"/>
              </w:rPr>
              <w:t xml:space="preserve"> </w:t>
            </w:r>
            <w:r>
              <w:rPr>
                <w:sz w:val="20"/>
              </w:rPr>
              <w:t>10 April</w:t>
            </w:r>
            <w:r>
              <w:rPr>
                <w:spacing w:val="-1"/>
                <w:sz w:val="20"/>
              </w:rPr>
              <w:t xml:space="preserve"> </w:t>
            </w:r>
            <w:r>
              <w:rPr>
                <w:sz w:val="20"/>
              </w:rPr>
              <w:t>2015</w:t>
            </w:r>
          </w:p>
          <w:p w14:paraId="284A395D" w14:textId="77777777" w:rsidR="00312672" w:rsidRDefault="00312672" w:rsidP="00312672">
            <w:pPr>
              <w:pStyle w:val="TableParagraph"/>
              <w:numPr>
                <w:ilvl w:val="0"/>
                <w:numId w:val="29"/>
              </w:numPr>
              <w:tabs>
                <w:tab w:val="left" w:pos="560"/>
                <w:tab w:val="left" w:pos="561"/>
              </w:tabs>
              <w:spacing w:before="60" w:line="288" w:lineRule="auto"/>
              <w:ind w:right="70"/>
              <w:rPr>
                <w:sz w:val="20"/>
              </w:rPr>
            </w:pPr>
            <w:r>
              <w:rPr>
                <w:sz w:val="20"/>
              </w:rPr>
              <w:t>was</w:t>
            </w:r>
            <w:r>
              <w:rPr>
                <w:spacing w:val="-3"/>
                <w:sz w:val="20"/>
              </w:rPr>
              <w:t xml:space="preserve"> </w:t>
            </w:r>
            <w:r>
              <w:rPr>
                <w:sz w:val="20"/>
              </w:rPr>
              <w:t>the</w:t>
            </w:r>
            <w:r>
              <w:rPr>
                <w:spacing w:val="-2"/>
                <w:sz w:val="20"/>
              </w:rPr>
              <w:t xml:space="preserve"> </w:t>
            </w:r>
            <w:r>
              <w:rPr>
                <w:sz w:val="20"/>
              </w:rPr>
              <w:t>subject</w:t>
            </w:r>
            <w:r>
              <w:rPr>
                <w:spacing w:val="-2"/>
                <w:sz w:val="20"/>
              </w:rPr>
              <w:t xml:space="preserve"> </w:t>
            </w:r>
            <w:r>
              <w:rPr>
                <w:sz w:val="20"/>
              </w:rPr>
              <w:t>of</w:t>
            </w:r>
            <w:r>
              <w:rPr>
                <w:spacing w:val="-4"/>
                <w:sz w:val="20"/>
              </w:rPr>
              <w:t xml:space="preserve"> </w:t>
            </w:r>
            <w:r>
              <w:rPr>
                <w:sz w:val="20"/>
              </w:rPr>
              <w:t>a</w:t>
            </w:r>
            <w:r>
              <w:rPr>
                <w:spacing w:val="-3"/>
                <w:sz w:val="20"/>
              </w:rPr>
              <w:t xml:space="preserve"> </w:t>
            </w:r>
            <w:r>
              <w:rPr>
                <w:sz w:val="20"/>
              </w:rPr>
              <w:t>development</w:t>
            </w:r>
            <w:r>
              <w:rPr>
                <w:spacing w:val="-3"/>
                <w:sz w:val="20"/>
              </w:rPr>
              <w:t xml:space="preserve"> </w:t>
            </w:r>
            <w:r>
              <w:rPr>
                <w:sz w:val="20"/>
              </w:rPr>
              <w:t>application</w:t>
            </w:r>
            <w:r>
              <w:rPr>
                <w:spacing w:val="-53"/>
                <w:sz w:val="20"/>
              </w:rPr>
              <w:t xml:space="preserve"> </w:t>
            </w:r>
            <w:r>
              <w:rPr>
                <w:sz w:val="20"/>
              </w:rPr>
              <w:t>lodged on or before 10 April 2015 that was</w:t>
            </w:r>
            <w:r>
              <w:rPr>
                <w:spacing w:val="1"/>
                <w:sz w:val="20"/>
              </w:rPr>
              <w:t xml:space="preserve"> </w:t>
            </w:r>
            <w:r>
              <w:rPr>
                <w:sz w:val="20"/>
              </w:rPr>
              <w:t>subsequently</w:t>
            </w:r>
            <w:r>
              <w:rPr>
                <w:spacing w:val="-1"/>
                <w:sz w:val="20"/>
              </w:rPr>
              <w:t xml:space="preserve"> </w:t>
            </w:r>
            <w:r>
              <w:rPr>
                <w:sz w:val="20"/>
              </w:rPr>
              <w:t>approved.</w:t>
            </w:r>
          </w:p>
        </w:tc>
      </w:tr>
    </w:tbl>
    <w:p w14:paraId="6076AFCC" w14:textId="77777777" w:rsidR="00312672" w:rsidRDefault="00312672" w:rsidP="00312672">
      <w:pPr>
        <w:pStyle w:val="BodyText"/>
        <w:rPr>
          <w:b/>
        </w:rPr>
      </w:pPr>
    </w:p>
    <w:p w14:paraId="520CE3BD" w14:textId="77777777" w:rsidR="001C7FD4" w:rsidRDefault="001C7FD4" w:rsidP="00D93017">
      <w:pPr>
        <w:pStyle w:val="Head2"/>
        <w:keepNext/>
        <w:rPr>
          <w:rFonts w:cs="Arial"/>
        </w:rPr>
      </w:pPr>
      <w:bookmarkStart w:id="8" w:name="_Toc93482445"/>
      <w:r>
        <w:rPr>
          <w:rFonts w:cs="Arial"/>
        </w:rPr>
        <w:lastRenderedPageBreak/>
        <w:t>Changes to the Territory Plan</w:t>
      </w:r>
      <w:bookmarkEnd w:id="8"/>
    </w:p>
    <w:p w14:paraId="5389A97E" w14:textId="77777777"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63382CD3" w14:textId="77777777" w:rsidR="001C7FD4" w:rsidRDefault="001C7FD4" w:rsidP="00D93017">
      <w:pPr>
        <w:pStyle w:val="BodyText"/>
      </w:pPr>
    </w:p>
    <w:p w14:paraId="49F27D52" w14:textId="77777777" w:rsidR="001C7FD4" w:rsidRDefault="001C7FD4" w:rsidP="00D93017">
      <w:pPr>
        <w:pStyle w:val="Head2"/>
        <w:keepNext/>
        <w:rPr>
          <w:rFonts w:cs="Arial"/>
        </w:rPr>
      </w:pPr>
      <w:bookmarkStart w:id="9" w:name="_Toc93482446"/>
      <w:r>
        <w:rPr>
          <w:rFonts w:cs="Arial"/>
        </w:rPr>
        <w:t xml:space="preserve">Consultation on the </w:t>
      </w:r>
      <w:r w:rsidR="00DB6CD9">
        <w:rPr>
          <w:rFonts w:cs="Arial"/>
        </w:rPr>
        <w:t>Draft Variation</w:t>
      </w:r>
      <w:bookmarkEnd w:id="9"/>
    </w:p>
    <w:p w14:paraId="76BE97B7" w14:textId="59EBD15D" w:rsidR="008B77D9" w:rsidRPr="006764C0" w:rsidRDefault="0021409C" w:rsidP="008B77D9">
      <w:pPr>
        <w:pStyle w:val="BodyText"/>
      </w:pPr>
      <w:r>
        <w:t xml:space="preserve">The draft variation was released </w:t>
      </w:r>
      <w:r w:rsidR="008B77D9">
        <w:t>for public comment between</w:t>
      </w:r>
      <w:r w:rsidR="00FF3012">
        <w:t xml:space="preserve"> 7 May 2021</w:t>
      </w:r>
      <w:r w:rsidR="008B77D9">
        <w:t xml:space="preserve"> and </w:t>
      </w:r>
      <w:r w:rsidR="00FF3012">
        <w:t>25</w:t>
      </w:r>
      <w:r>
        <w:t> </w:t>
      </w:r>
      <w:r w:rsidR="00FF3012">
        <w:t xml:space="preserve">June 2021. </w:t>
      </w:r>
      <w:r w:rsidR="008B77D9">
        <w:t xml:space="preserve">A consultation notice under section 63 of the </w:t>
      </w:r>
      <w:r w:rsidR="008B77D9" w:rsidRPr="009842A5">
        <w:rPr>
          <w:i/>
        </w:rPr>
        <w:t xml:space="preserve">Planning and </w:t>
      </w:r>
      <w:r w:rsidR="008B77D9">
        <w:rPr>
          <w:i/>
        </w:rPr>
        <w:t>Development</w:t>
      </w:r>
      <w:r w:rsidR="008B77D9" w:rsidRPr="009842A5">
        <w:rPr>
          <w:i/>
        </w:rPr>
        <w:t xml:space="preserve"> Act </w:t>
      </w:r>
      <w:r w:rsidR="008B77D9">
        <w:rPr>
          <w:i/>
        </w:rPr>
        <w:t>2007</w:t>
      </w:r>
      <w:r w:rsidR="008B77D9">
        <w:t xml:space="preserve"> (P&amp;D Act) was published on the ACT Legislation Register on</w:t>
      </w:r>
      <w:r w:rsidR="00511D58">
        <w:t xml:space="preserve"> 6 May 2021. </w:t>
      </w:r>
      <w:r>
        <w:t>A</w:t>
      </w:r>
      <w:r w:rsidRPr="0021409C">
        <w:t xml:space="preserve"> public notice was p</w:t>
      </w:r>
      <w:r>
        <w:t xml:space="preserve">laced on the ACT Government public notices website on </w:t>
      </w:r>
      <w:r w:rsidRPr="0021409C">
        <w:t>24 May 2021.</w:t>
      </w:r>
    </w:p>
    <w:p w14:paraId="08CF3B06" w14:textId="724E205A" w:rsidR="008B77D9" w:rsidRDefault="008B77D9" w:rsidP="008B77D9">
      <w:pPr>
        <w:pStyle w:val="BodyText"/>
      </w:pPr>
      <w:r>
        <w:t>A total of</w:t>
      </w:r>
      <w:r w:rsidR="00FF3012">
        <w:t xml:space="preserve"> four </w:t>
      </w:r>
      <w:r>
        <w:t xml:space="preserve">written submissions were received, which included submissions from </w:t>
      </w:r>
      <w:r w:rsidR="00FF3012">
        <w:t>P</w:t>
      </w:r>
      <w:r w:rsidR="00FF3012">
        <w:rPr>
          <w:sz w:val="23"/>
          <w:szCs w:val="23"/>
        </w:rPr>
        <w:t xml:space="preserve">lanit Strategic + Transport Town Planning, Molonglo Valley Community Forum, Canberra Town Planning on behalf of </w:t>
      </w:r>
      <w:proofErr w:type="spellStart"/>
      <w:r w:rsidR="00FF3012">
        <w:rPr>
          <w:sz w:val="23"/>
          <w:szCs w:val="23"/>
        </w:rPr>
        <w:t>Inceptio</w:t>
      </w:r>
      <w:proofErr w:type="spellEnd"/>
      <w:r w:rsidR="00FF3012">
        <w:rPr>
          <w:sz w:val="23"/>
          <w:szCs w:val="23"/>
        </w:rPr>
        <w:t xml:space="preserve"> Group and ALDI Stores. </w:t>
      </w:r>
    </w:p>
    <w:p w14:paraId="11180C41" w14:textId="1AFD6A16" w:rsidR="008B77D9" w:rsidRDefault="008B77D9" w:rsidP="008B77D9">
      <w:pPr>
        <w:pStyle w:val="BodyText"/>
      </w:pPr>
      <w:r>
        <w:t xml:space="preserve">Main issues raised by submitters included: </w:t>
      </w:r>
    </w:p>
    <w:p w14:paraId="06DB86CB" w14:textId="3E07E837" w:rsidR="008237BA" w:rsidRDefault="008237BA" w:rsidP="008237BA">
      <w:pPr>
        <w:pStyle w:val="BodyText"/>
        <w:numPr>
          <w:ilvl w:val="0"/>
          <w:numId w:val="28"/>
        </w:numPr>
      </w:pPr>
      <w:r>
        <w:t>support for the draft variation</w:t>
      </w:r>
    </w:p>
    <w:p w14:paraId="7853324F" w14:textId="40615B43" w:rsidR="008237BA" w:rsidRDefault="008237BA" w:rsidP="008237BA">
      <w:pPr>
        <w:pStyle w:val="BodyText"/>
        <w:numPr>
          <w:ilvl w:val="0"/>
          <w:numId w:val="28"/>
        </w:numPr>
      </w:pPr>
      <w:r>
        <w:t>desire to maintain Canberra’s centres hierarchy</w:t>
      </w:r>
      <w:r w:rsidR="00074BEA">
        <w:t xml:space="preserve"> and achieve viable and competitive local centres</w:t>
      </w:r>
    </w:p>
    <w:p w14:paraId="57F98639" w14:textId="77777777" w:rsidR="008237BA" w:rsidRDefault="00BE4E8D" w:rsidP="0021409C">
      <w:pPr>
        <w:pStyle w:val="BodyText"/>
      </w:pPr>
      <w:r>
        <w:t xml:space="preserve">The </w:t>
      </w:r>
      <w:r w:rsidRPr="0021409C">
        <w:t>a</w:t>
      </w:r>
      <w:r w:rsidR="006764C0" w:rsidRPr="0021409C">
        <w:t>bove</w:t>
      </w:r>
      <w:r w:rsidR="006764C0">
        <w:t xml:space="preserve"> issues were considered and </w:t>
      </w:r>
      <w:r>
        <w:t xml:space="preserve">are </w:t>
      </w:r>
      <w:r w:rsidR="006764C0">
        <w:t xml:space="preserve">detailed in a report on consultation.  </w:t>
      </w:r>
    </w:p>
    <w:p w14:paraId="132FB09E" w14:textId="48F63E30" w:rsidR="006764C0" w:rsidRDefault="008237BA" w:rsidP="00006764">
      <w:pPr>
        <w:pStyle w:val="BodyText"/>
        <w:spacing w:after="240"/>
      </w:pPr>
      <w:r>
        <w:t xml:space="preserve">A change to the draft variation </w:t>
      </w:r>
      <w:r w:rsidRPr="008237BA">
        <w:t xml:space="preserve">was </w:t>
      </w:r>
      <w:r w:rsidR="008B77D9" w:rsidRPr="008237BA">
        <w:t>informed by the issues raised</w:t>
      </w:r>
      <w:r w:rsidRPr="008237BA">
        <w:t xml:space="preserve"> during consultation</w:t>
      </w:r>
      <w:r w:rsidR="008B77D9" w:rsidRPr="008237BA">
        <w:t xml:space="preserve">. </w:t>
      </w:r>
      <w:r w:rsidR="00BE4E8D" w:rsidRPr="008237BA">
        <w:t>The outcomes of co</w:t>
      </w:r>
      <w:r w:rsidR="00BE4E8D">
        <w:t>nsultation</w:t>
      </w:r>
      <w:r w:rsidR="006764C0">
        <w:t xml:space="preserve"> were considered by the Minister responsible for planning prior to approval of this variation.</w:t>
      </w:r>
    </w:p>
    <w:p w14:paraId="7453E40B" w14:textId="77777777" w:rsidR="001C7FD4" w:rsidRDefault="001C7FD4" w:rsidP="00D93017">
      <w:pPr>
        <w:pStyle w:val="Head2"/>
        <w:keepNext/>
        <w:rPr>
          <w:rFonts w:cs="Arial"/>
        </w:rPr>
      </w:pPr>
      <w:bookmarkStart w:id="10" w:name="_Toc93482447"/>
      <w:r>
        <w:rPr>
          <w:rFonts w:cs="Arial"/>
        </w:rPr>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10"/>
    </w:p>
    <w:p w14:paraId="3B5C0803" w14:textId="77777777" w:rsidR="00074BEA" w:rsidRDefault="009B3BED" w:rsidP="00BE4E8D">
      <w:pPr>
        <w:pStyle w:val="BodyText"/>
        <w:spacing w:after="240"/>
      </w:pPr>
      <w:r>
        <w:t xml:space="preserve">No changes </w:t>
      </w:r>
      <w:r w:rsidR="00074BEA">
        <w:t xml:space="preserve">have been made to the draft variation following the referral of the recommended version to the Minister responsible for planning. </w:t>
      </w:r>
    </w:p>
    <w:p w14:paraId="51606811" w14:textId="54BB9550" w:rsidR="009B3BED" w:rsidRDefault="00074BEA" w:rsidP="00BE4E8D">
      <w:pPr>
        <w:pStyle w:val="BodyText"/>
        <w:spacing w:after="240"/>
      </w:pPr>
      <w:r>
        <w:t xml:space="preserve"> </w:t>
      </w:r>
    </w:p>
    <w:p w14:paraId="1276A492" w14:textId="6C944270" w:rsidR="00074BEA" w:rsidRDefault="00074BEA" w:rsidP="00BE4E8D">
      <w:pPr>
        <w:pStyle w:val="BodyText"/>
        <w:spacing w:after="240"/>
      </w:pPr>
    </w:p>
    <w:p w14:paraId="0EC5B4E2" w14:textId="51B8EEAF" w:rsidR="00074BEA" w:rsidRDefault="00074BEA" w:rsidP="00BE4E8D">
      <w:pPr>
        <w:pStyle w:val="BodyText"/>
        <w:spacing w:after="240"/>
      </w:pPr>
    </w:p>
    <w:p w14:paraId="3EA98C56" w14:textId="09799424" w:rsidR="00074BEA" w:rsidRDefault="00074BEA" w:rsidP="00BE4E8D">
      <w:pPr>
        <w:pStyle w:val="BodyText"/>
        <w:spacing w:after="240"/>
      </w:pPr>
    </w:p>
    <w:p w14:paraId="1834D4D7" w14:textId="77777777" w:rsidR="00074BEA" w:rsidRDefault="00074BEA" w:rsidP="00BE4E8D">
      <w:pPr>
        <w:pStyle w:val="BodyText"/>
        <w:spacing w:after="240"/>
      </w:pPr>
    </w:p>
    <w:p w14:paraId="6E1EC8BB" w14:textId="7150616D" w:rsidR="00312672" w:rsidRDefault="00312672" w:rsidP="00312672">
      <w:pPr>
        <w:pStyle w:val="Head1"/>
        <w:numPr>
          <w:ilvl w:val="0"/>
          <w:numId w:val="0"/>
        </w:numPr>
        <w:tabs>
          <w:tab w:val="clear" w:pos="851"/>
        </w:tabs>
        <w:ind w:left="567"/>
        <w:rPr>
          <w:rFonts w:cs="Arial"/>
        </w:rPr>
      </w:pPr>
    </w:p>
    <w:p w14:paraId="33B679ED" w14:textId="7A703F27" w:rsidR="00A0287B" w:rsidRDefault="00A0287B" w:rsidP="00A0287B">
      <w:pPr>
        <w:pStyle w:val="BodyText"/>
      </w:pPr>
    </w:p>
    <w:p w14:paraId="0B13EFD3" w14:textId="2E07A3B9" w:rsidR="001C7FD4" w:rsidRDefault="001C7FD4" w:rsidP="0092522E">
      <w:pPr>
        <w:pStyle w:val="Head1"/>
        <w:numPr>
          <w:ilvl w:val="0"/>
          <w:numId w:val="3"/>
        </w:numPr>
        <w:tabs>
          <w:tab w:val="clear" w:pos="567"/>
          <w:tab w:val="clear" w:pos="851"/>
        </w:tabs>
        <w:rPr>
          <w:rFonts w:cs="Arial"/>
        </w:rPr>
      </w:pPr>
      <w:bookmarkStart w:id="11" w:name="_Toc93482448"/>
      <w:r>
        <w:rPr>
          <w:rFonts w:cs="Arial"/>
        </w:rPr>
        <w:lastRenderedPageBreak/>
        <w:t>VARIATION</w:t>
      </w:r>
      <w:bookmarkEnd w:id="11"/>
      <w:r w:rsidR="00D5669E">
        <w:rPr>
          <w:rFonts w:cs="Arial"/>
        </w:rPr>
        <w:t xml:space="preserve"> </w:t>
      </w:r>
    </w:p>
    <w:p w14:paraId="16E41E8A" w14:textId="170AFF72" w:rsidR="006C39CF" w:rsidRDefault="006C39CF" w:rsidP="00D93017">
      <w:pPr>
        <w:pStyle w:val="Head2"/>
        <w:keepNext/>
        <w:rPr>
          <w:rFonts w:cs="Arial"/>
        </w:rPr>
      </w:pPr>
      <w:bookmarkStart w:id="12" w:name="_Toc93482449"/>
      <w:bookmarkStart w:id="13" w:name="_Toc189989954"/>
      <w:r>
        <w:rPr>
          <w:rFonts w:cs="Arial"/>
        </w:rPr>
        <w:t>Variation to the Territory Plan</w:t>
      </w:r>
      <w:bookmarkEnd w:id="12"/>
      <w:r>
        <w:rPr>
          <w:rFonts w:cs="Arial"/>
        </w:rPr>
        <w:t xml:space="preserve"> </w:t>
      </w:r>
    </w:p>
    <w:p w14:paraId="541D90CA" w14:textId="21445BF9" w:rsidR="008B77D9" w:rsidRDefault="008B77D9" w:rsidP="008B77D9">
      <w:pPr>
        <w:pStyle w:val="TAsubheadinglocationinterritoryplan"/>
      </w:pPr>
      <w:r>
        <w:t>Variation to the</w:t>
      </w:r>
      <w:r w:rsidR="00312672">
        <w:t xml:space="preserve"> Commercial Zones Development Code</w:t>
      </w:r>
    </w:p>
    <w:p w14:paraId="0D486AE1" w14:textId="1082419E" w:rsidR="008B77D9" w:rsidRPr="00312672" w:rsidRDefault="00312672" w:rsidP="00AF1CF3">
      <w:pPr>
        <w:pStyle w:val="TAeditorialitemgeneralheading"/>
      </w:pPr>
      <w:r w:rsidRPr="00216FFE">
        <w:t xml:space="preserve">Part D – Additional controls for local centres, Element 15: Use, 15.6 Shops – floor area, Rule R51A  </w:t>
      </w:r>
      <w:r w:rsidR="008B77D9" w:rsidRPr="00312672">
        <w:t xml:space="preserve"> </w:t>
      </w:r>
    </w:p>
    <w:p w14:paraId="3B5ABF7C" w14:textId="2370D077" w:rsidR="00312672" w:rsidRDefault="00312672" w:rsidP="008B77D9">
      <w:pPr>
        <w:pStyle w:val="BodyText"/>
      </w:pPr>
    </w:p>
    <w:p w14:paraId="4C81132E" w14:textId="77777777" w:rsidR="00312672" w:rsidRPr="00216FFE" w:rsidRDefault="00312672" w:rsidP="00312672">
      <w:pPr>
        <w:pStyle w:val="TAeditorialinstructions"/>
        <w:ind w:left="0"/>
      </w:pPr>
      <w:r w:rsidRPr="00216FFE">
        <w:t>Substitute</w:t>
      </w:r>
    </w:p>
    <w:p w14:paraId="0EC9B92F" w14:textId="77777777" w:rsidR="00312672" w:rsidRPr="00216FFE" w:rsidRDefault="00312672" w:rsidP="00312672">
      <w:pPr>
        <w:pStyle w:val="TABodytextinstructioncontentsubtitle"/>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312672" w:rsidRPr="00216FFE" w14:paraId="72A400EF" w14:textId="77777777" w:rsidTr="00C046E0">
        <w:trPr>
          <w:trHeight w:val="350"/>
        </w:trPr>
        <w:tc>
          <w:tcPr>
            <w:tcW w:w="9245" w:type="dxa"/>
            <w:gridSpan w:val="2"/>
            <w:shd w:val="clear" w:color="auto" w:fill="E6E6E6"/>
          </w:tcPr>
          <w:p w14:paraId="6BD20202" w14:textId="77777777" w:rsidR="00312672" w:rsidRPr="00216FFE" w:rsidRDefault="00312672" w:rsidP="00C046E0">
            <w:pPr>
              <w:pStyle w:val="TableParagraph"/>
              <w:tabs>
                <w:tab w:val="left" w:pos="708"/>
              </w:tabs>
              <w:spacing w:before="62"/>
              <w:rPr>
                <w:b/>
                <w:sz w:val="20"/>
              </w:rPr>
            </w:pPr>
            <w:bookmarkStart w:id="14" w:name="_bookmark59"/>
            <w:bookmarkEnd w:id="14"/>
            <w:r w:rsidRPr="00216FFE">
              <w:rPr>
                <w:b/>
                <w:sz w:val="20"/>
              </w:rPr>
              <w:t>15.6</w:t>
            </w:r>
            <w:r w:rsidRPr="00216FFE">
              <w:rPr>
                <w:b/>
                <w:sz w:val="20"/>
              </w:rPr>
              <w:tab/>
              <w:t>Shops</w:t>
            </w:r>
            <w:r w:rsidRPr="00216FFE">
              <w:rPr>
                <w:b/>
                <w:spacing w:val="-1"/>
                <w:sz w:val="20"/>
              </w:rPr>
              <w:t xml:space="preserve"> </w:t>
            </w:r>
            <w:r w:rsidRPr="00216FFE">
              <w:rPr>
                <w:b/>
                <w:sz w:val="20"/>
              </w:rPr>
              <w:t>–</w:t>
            </w:r>
            <w:r w:rsidRPr="00216FFE">
              <w:rPr>
                <w:b/>
                <w:spacing w:val="-1"/>
                <w:sz w:val="20"/>
              </w:rPr>
              <w:t xml:space="preserve"> </w:t>
            </w:r>
            <w:r w:rsidRPr="00216FFE">
              <w:rPr>
                <w:b/>
                <w:sz w:val="20"/>
              </w:rPr>
              <w:t>floor</w:t>
            </w:r>
            <w:r w:rsidRPr="00216FFE">
              <w:rPr>
                <w:b/>
                <w:spacing w:val="1"/>
                <w:sz w:val="20"/>
              </w:rPr>
              <w:t xml:space="preserve"> </w:t>
            </w:r>
            <w:r w:rsidRPr="00216FFE">
              <w:rPr>
                <w:b/>
                <w:sz w:val="20"/>
              </w:rPr>
              <w:t>area</w:t>
            </w:r>
          </w:p>
        </w:tc>
      </w:tr>
      <w:tr w:rsidR="00312672" w14:paraId="41DD033E" w14:textId="77777777" w:rsidTr="00C046E0">
        <w:trPr>
          <w:trHeight w:val="3673"/>
        </w:trPr>
        <w:tc>
          <w:tcPr>
            <w:tcW w:w="4622" w:type="dxa"/>
          </w:tcPr>
          <w:p w14:paraId="18C4B48E" w14:textId="77777777" w:rsidR="00312672" w:rsidRPr="00216FFE" w:rsidRDefault="00312672" w:rsidP="00C046E0">
            <w:pPr>
              <w:pStyle w:val="TableParagraph"/>
              <w:spacing w:before="60"/>
              <w:rPr>
                <w:sz w:val="20"/>
              </w:rPr>
            </w:pPr>
            <w:r w:rsidRPr="00216FFE">
              <w:rPr>
                <w:sz w:val="20"/>
              </w:rPr>
              <w:t>R51A</w:t>
            </w:r>
          </w:p>
          <w:p w14:paraId="4D4F7C6F" w14:textId="77777777" w:rsidR="00312672" w:rsidRDefault="00312672" w:rsidP="00C046E0">
            <w:pPr>
              <w:pStyle w:val="TableParagraph"/>
              <w:spacing w:before="107" w:line="288" w:lineRule="auto"/>
              <w:ind w:right="627"/>
              <w:rPr>
                <w:sz w:val="20"/>
              </w:rPr>
            </w:pPr>
            <w:r w:rsidRPr="008C26C8">
              <w:rPr>
                <w:sz w:val="20"/>
              </w:rPr>
              <w:t xml:space="preserve">The maximum </w:t>
            </w:r>
            <w:r w:rsidRPr="008C26C8">
              <w:rPr>
                <w:i/>
                <w:sz w:val="20"/>
              </w:rPr>
              <w:t xml:space="preserve">gross floor area </w:t>
            </w:r>
            <w:r w:rsidRPr="008C26C8">
              <w:rPr>
                <w:sz w:val="20"/>
              </w:rPr>
              <w:t xml:space="preserve">for a </w:t>
            </w:r>
            <w:r w:rsidRPr="008C26C8">
              <w:rPr>
                <w:i/>
                <w:sz w:val="20"/>
              </w:rPr>
              <w:t xml:space="preserve">shop </w:t>
            </w:r>
            <w:r w:rsidRPr="008C26C8">
              <w:rPr>
                <w:sz w:val="20"/>
              </w:rPr>
              <w:t>is</w:t>
            </w:r>
            <w:r w:rsidRPr="008C26C8">
              <w:rPr>
                <w:spacing w:val="-53"/>
                <w:sz w:val="20"/>
              </w:rPr>
              <w:t xml:space="preserve"> </w:t>
            </w:r>
            <w:r w:rsidRPr="008C26C8">
              <w:rPr>
                <w:sz w:val="20"/>
              </w:rPr>
              <w:t>1500m</w:t>
            </w:r>
            <w:r w:rsidRPr="008C26C8">
              <w:rPr>
                <w:sz w:val="20"/>
                <w:vertAlign w:val="superscript"/>
              </w:rPr>
              <w:t>2</w:t>
            </w:r>
            <w:r w:rsidRPr="008C26C8">
              <w:rPr>
                <w:sz w:val="20"/>
              </w:rPr>
              <w:t>.</w:t>
            </w:r>
          </w:p>
          <w:p w14:paraId="7D6587C9" w14:textId="77777777" w:rsidR="00312672" w:rsidRPr="00DB3B4C" w:rsidRDefault="00312672" w:rsidP="00C046E0">
            <w:pPr>
              <w:pStyle w:val="TableParagraph"/>
              <w:spacing w:before="107" w:line="288" w:lineRule="auto"/>
              <w:ind w:right="627"/>
              <w:rPr>
                <w:sz w:val="18"/>
                <w:szCs w:val="18"/>
              </w:rPr>
            </w:pPr>
            <w:r w:rsidRPr="00F83442">
              <w:rPr>
                <w:b/>
                <w:bCs/>
                <w:sz w:val="18"/>
                <w:szCs w:val="18"/>
              </w:rPr>
              <w:t>Note:</w:t>
            </w:r>
            <w:r w:rsidRPr="00DB3B4C">
              <w:rPr>
                <w:sz w:val="18"/>
                <w:szCs w:val="18"/>
              </w:rPr>
              <w:t xml:space="preserve"> For the purpose of this rule, the GFA of a shop includes any ancillary retail (such as liquor) and back of house areas and associated uses exclusively for the shop, such as offices, storage and circulation spaces.</w:t>
            </w:r>
          </w:p>
        </w:tc>
        <w:tc>
          <w:tcPr>
            <w:tcW w:w="4623" w:type="dxa"/>
          </w:tcPr>
          <w:p w14:paraId="3B172594" w14:textId="77777777" w:rsidR="00312672" w:rsidRPr="00216FFE" w:rsidRDefault="00312672" w:rsidP="00C046E0">
            <w:pPr>
              <w:pStyle w:val="TableParagraph"/>
              <w:spacing w:before="60"/>
              <w:rPr>
                <w:sz w:val="20"/>
              </w:rPr>
            </w:pPr>
            <w:r w:rsidRPr="00216FFE">
              <w:rPr>
                <w:sz w:val="20"/>
              </w:rPr>
              <w:t>C51A</w:t>
            </w:r>
          </w:p>
          <w:p w14:paraId="0209667A" w14:textId="77777777" w:rsidR="00312672" w:rsidRPr="00216FFE" w:rsidRDefault="00312672" w:rsidP="00C046E0">
            <w:pPr>
              <w:pStyle w:val="TableParagraph"/>
              <w:spacing w:before="107" w:line="288" w:lineRule="auto"/>
              <w:ind w:right="216"/>
              <w:rPr>
                <w:sz w:val="20"/>
              </w:rPr>
            </w:pPr>
            <w:r w:rsidRPr="00216FFE">
              <w:rPr>
                <w:sz w:val="20"/>
              </w:rPr>
              <w:t xml:space="preserve">An existing </w:t>
            </w:r>
            <w:r w:rsidRPr="00216FFE">
              <w:rPr>
                <w:i/>
                <w:sz w:val="20"/>
              </w:rPr>
              <w:t xml:space="preserve">shop </w:t>
            </w:r>
            <w:r w:rsidRPr="00216FFE">
              <w:rPr>
                <w:sz w:val="20"/>
              </w:rPr>
              <w:t xml:space="preserve">that exceeds a </w:t>
            </w:r>
            <w:r w:rsidRPr="00216FFE">
              <w:rPr>
                <w:i/>
                <w:sz w:val="20"/>
              </w:rPr>
              <w:t>gross floor area</w:t>
            </w:r>
            <w:r w:rsidRPr="00216FFE">
              <w:rPr>
                <w:i/>
                <w:spacing w:val="-53"/>
                <w:sz w:val="20"/>
              </w:rPr>
              <w:t xml:space="preserve"> </w:t>
            </w:r>
            <w:r w:rsidRPr="008C26C8">
              <w:rPr>
                <w:sz w:val="20"/>
              </w:rPr>
              <w:t>of 1500m</w:t>
            </w:r>
            <w:r w:rsidRPr="008C26C8">
              <w:rPr>
                <w:sz w:val="20"/>
                <w:vertAlign w:val="superscript"/>
              </w:rPr>
              <w:t>2</w:t>
            </w:r>
            <w:r w:rsidRPr="008C26C8">
              <w:rPr>
                <w:sz w:val="20"/>
              </w:rPr>
              <w:t xml:space="preserve"> may </w:t>
            </w:r>
            <w:r w:rsidRPr="00216FFE">
              <w:rPr>
                <w:sz w:val="20"/>
              </w:rPr>
              <w:t>be redeveloped up to its existing</w:t>
            </w:r>
            <w:r w:rsidRPr="00216FFE">
              <w:rPr>
                <w:spacing w:val="-53"/>
                <w:sz w:val="20"/>
              </w:rPr>
              <w:t xml:space="preserve"> </w:t>
            </w:r>
            <w:r w:rsidRPr="00216FFE">
              <w:rPr>
                <w:i/>
                <w:sz w:val="20"/>
              </w:rPr>
              <w:t xml:space="preserve">gross floor area </w:t>
            </w:r>
            <w:r w:rsidRPr="00216FFE">
              <w:rPr>
                <w:sz w:val="20"/>
              </w:rPr>
              <w:t>where the shop complies with</w:t>
            </w:r>
            <w:r w:rsidRPr="00216FFE">
              <w:rPr>
                <w:spacing w:val="1"/>
                <w:sz w:val="20"/>
              </w:rPr>
              <w:t xml:space="preserve"> </w:t>
            </w:r>
            <w:r w:rsidRPr="00216FFE">
              <w:rPr>
                <w:sz w:val="20"/>
              </w:rPr>
              <w:t>one of</w:t>
            </w:r>
            <w:r w:rsidRPr="00216FFE">
              <w:rPr>
                <w:spacing w:val="-1"/>
                <w:sz w:val="20"/>
              </w:rPr>
              <w:t xml:space="preserve"> </w:t>
            </w:r>
            <w:r w:rsidRPr="00216FFE">
              <w:rPr>
                <w:sz w:val="20"/>
              </w:rPr>
              <w:t>the</w:t>
            </w:r>
            <w:r w:rsidRPr="00216FFE">
              <w:rPr>
                <w:spacing w:val="-1"/>
                <w:sz w:val="20"/>
              </w:rPr>
              <w:t xml:space="preserve"> </w:t>
            </w:r>
            <w:r w:rsidRPr="00216FFE">
              <w:rPr>
                <w:sz w:val="20"/>
              </w:rPr>
              <w:t>following:</w:t>
            </w:r>
          </w:p>
          <w:p w14:paraId="3DAD0347" w14:textId="77777777" w:rsidR="00312672" w:rsidRPr="00216FFE" w:rsidRDefault="00312672" w:rsidP="00511D58">
            <w:pPr>
              <w:pStyle w:val="TableParagraph"/>
              <w:numPr>
                <w:ilvl w:val="0"/>
                <w:numId w:val="30"/>
              </w:numPr>
              <w:tabs>
                <w:tab w:val="left" w:pos="560"/>
                <w:tab w:val="left" w:pos="561"/>
              </w:tabs>
              <w:spacing w:before="60" w:line="288" w:lineRule="auto"/>
              <w:ind w:right="758"/>
              <w:rPr>
                <w:sz w:val="20"/>
              </w:rPr>
            </w:pPr>
            <w:r w:rsidRPr="00216FFE">
              <w:rPr>
                <w:sz w:val="20"/>
              </w:rPr>
              <w:t>was lawfully constructed on or before</w:t>
            </w:r>
            <w:r w:rsidRPr="00216FFE">
              <w:rPr>
                <w:spacing w:val="-53"/>
                <w:sz w:val="20"/>
              </w:rPr>
              <w:t xml:space="preserve"> </w:t>
            </w:r>
            <w:r w:rsidRPr="00216FFE">
              <w:rPr>
                <w:sz w:val="20"/>
              </w:rPr>
              <w:t>10</w:t>
            </w:r>
            <w:r w:rsidRPr="00216FFE">
              <w:rPr>
                <w:spacing w:val="-1"/>
                <w:sz w:val="20"/>
              </w:rPr>
              <w:t xml:space="preserve"> </w:t>
            </w:r>
            <w:r w:rsidRPr="00216FFE">
              <w:rPr>
                <w:sz w:val="20"/>
              </w:rPr>
              <w:t>April</w:t>
            </w:r>
            <w:r w:rsidRPr="00216FFE">
              <w:rPr>
                <w:spacing w:val="-1"/>
                <w:sz w:val="20"/>
              </w:rPr>
              <w:t xml:space="preserve"> </w:t>
            </w:r>
            <w:r w:rsidRPr="00216FFE">
              <w:rPr>
                <w:sz w:val="20"/>
              </w:rPr>
              <w:t>2015</w:t>
            </w:r>
          </w:p>
          <w:p w14:paraId="31639409" w14:textId="77777777" w:rsidR="00312672" w:rsidRPr="00216FFE" w:rsidRDefault="00312672" w:rsidP="00511D58">
            <w:pPr>
              <w:pStyle w:val="TableParagraph"/>
              <w:numPr>
                <w:ilvl w:val="0"/>
                <w:numId w:val="30"/>
              </w:numPr>
              <w:tabs>
                <w:tab w:val="left" w:pos="560"/>
                <w:tab w:val="left" w:pos="561"/>
              </w:tabs>
              <w:spacing w:before="60" w:line="288" w:lineRule="auto"/>
              <w:ind w:right="126"/>
              <w:rPr>
                <w:sz w:val="20"/>
              </w:rPr>
            </w:pPr>
            <w:r w:rsidRPr="00216FFE">
              <w:rPr>
                <w:sz w:val="20"/>
              </w:rPr>
              <w:t>was</w:t>
            </w:r>
            <w:r w:rsidRPr="00216FFE">
              <w:rPr>
                <w:spacing w:val="-4"/>
                <w:sz w:val="20"/>
              </w:rPr>
              <w:t xml:space="preserve"> </w:t>
            </w:r>
            <w:r w:rsidRPr="00216FFE">
              <w:rPr>
                <w:sz w:val="20"/>
              </w:rPr>
              <w:t>subject</w:t>
            </w:r>
            <w:r w:rsidRPr="00216FFE">
              <w:rPr>
                <w:spacing w:val="-3"/>
                <w:sz w:val="20"/>
              </w:rPr>
              <w:t xml:space="preserve"> </w:t>
            </w:r>
            <w:r w:rsidRPr="00216FFE">
              <w:rPr>
                <w:sz w:val="20"/>
              </w:rPr>
              <w:t>to</w:t>
            </w:r>
            <w:r w:rsidRPr="00216FFE">
              <w:rPr>
                <w:spacing w:val="-3"/>
                <w:sz w:val="20"/>
              </w:rPr>
              <w:t xml:space="preserve"> </w:t>
            </w:r>
            <w:r w:rsidRPr="00216FFE">
              <w:rPr>
                <w:sz w:val="20"/>
              </w:rPr>
              <w:t>development</w:t>
            </w:r>
            <w:r w:rsidRPr="00216FFE">
              <w:rPr>
                <w:spacing w:val="-4"/>
                <w:sz w:val="20"/>
              </w:rPr>
              <w:t xml:space="preserve"> </w:t>
            </w:r>
            <w:r w:rsidRPr="00216FFE">
              <w:rPr>
                <w:sz w:val="20"/>
              </w:rPr>
              <w:t>approval</w:t>
            </w:r>
            <w:r w:rsidRPr="00216FFE">
              <w:rPr>
                <w:spacing w:val="-3"/>
                <w:sz w:val="20"/>
              </w:rPr>
              <w:t xml:space="preserve"> </w:t>
            </w:r>
            <w:r w:rsidRPr="00216FFE">
              <w:rPr>
                <w:sz w:val="20"/>
              </w:rPr>
              <w:t>issued</w:t>
            </w:r>
            <w:r w:rsidRPr="00216FFE">
              <w:rPr>
                <w:spacing w:val="-52"/>
                <w:sz w:val="20"/>
              </w:rPr>
              <w:t xml:space="preserve"> </w:t>
            </w:r>
            <w:r w:rsidRPr="00216FFE">
              <w:rPr>
                <w:sz w:val="20"/>
              </w:rPr>
              <w:t>on</w:t>
            </w:r>
            <w:r w:rsidRPr="00216FFE">
              <w:rPr>
                <w:spacing w:val="-1"/>
                <w:sz w:val="20"/>
              </w:rPr>
              <w:t xml:space="preserve"> </w:t>
            </w:r>
            <w:r w:rsidRPr="00216FFE">
              <w:rPr>
                <w:sz w:val="20"/>
              </w:rPr>
              <w:t>or before</w:t>
            </w:r>
            <w:r w:rsidRPr="00216FFE">
              <w:rPr>
                <w:spacing w:val="-1"/>
                <w:sz w:val="20"/>
              </w:rPr>
              <w:t xml:space="preserve"> </w:t>
            </w:r>
            <w:r w:rsidRPr="00216FFE">
              <w:rPr>
                <w:sz w:val="20"/>
              </w:rPr>
              <w:t>10 April</w:t>
            </w:r>
            <w:r w:rsidRPr="00216FFE">
              <w:rPr>
                <w:spacing w:val="-1"/>
                <w:sz w:val="20"/>
              </w:rPr>
              <w:t xml:space="preserve"> </w:t>
            </w:r>
            <w:r w:rsidRPr="00216FFE">
              <w:rPr>
                <w:sz w:val="20"/>
              </w:rPr>
              <w:t>2015</w:t>
            </w:r>
          </w:p>
          <w:p w14:paraId="5432F48F" w14:textId="77777777" w:rsidR="00312672" w:rsidRPr="00216FFE" w:rsidRDefault="00312672" w:rsidP="00511D58">
            <w:pPr>
              <w:pStyle w:val="TableParagraph"/>
              <w:numPr>
                <w:ilvl w:val="0"/>
                <w:numId w:val="30"/>
              </w:numPr>
              <w:tabs>
                <w:tab w:val="left" w:pos="560"/>
                <w:tab w:val="left" w:pos="561"/>
              </w:tabs>
              <w:spacing w:before="60" w:line="288" w:lineRule="auto"/>
              <w:ind w:right="70"/>
              <w:rPr>
                <w:sz w:val="20"/>
              </w:rPr>
            </w:pPr>
            <w:r w:rsidRPr="00216FFE">
              <w:rPr>
                <w:sz w:val="20"/>
              </w:rPr>
              <w:t>was</w:t>
            </w:r>
            <w:r w:rsidRPr="00216FFE">
              <w:rPr>
                <w:spacing w:val="-3"/>
                <w:sz w:val="20"/>
              </w:rPr>
              <w:t xml:space="preserve"> </w:t>
            </w:r>
            <w:r w:rsidRPr="00216FFE">
              <w:rPr>
                <w:sz w:val="20"/>
              </w:rPr>
              <w:t>the</w:t>
            </w:r>
            <w:r w:rsidRPr="00216FFE">
              <w:rPr>
                <w:spacing w:val="-2"/>
                <w:sz w:val="20"/>
              </w:rPr>
              <w:t xml:space="preserve"> </w:t>
            </w:r>
            <w:r w:rsidRPr="00216FFE">
              <w:rPr>
                <w:sz w:val="20"/>
              </w:rPr>
              <w:t>subject</w:t>
            </w:r>
            <w:r w:rsidRPr="00216FFE">
              <w:rPr>
                <w:spacing w:val="-2"/>
                <w:sz w:val="20"/>
              </w:rPr>
              <w:t xml:space="preserve"> </w:t>
            </w:r>
            <w:r w:rsidRPr="00216FFE">
              <w:rPr>
                <w:sz w:val="20"/>
              </w:rPr>
              <w:t>of</w:t>
            </w:r>
            <w:r w:rsidRPr="00216FFE">
              <w:rPr>
                <w:spacing w:val="-4"/>
                <w:sz w:val="20"/>
              </w:rPr>
              <w:t xml:space="preserve"> </w:t>
            </w:r>
            <w:r w:rsidRPr="00216FFE">
              <w:rPr>
                <w:sz w:val="20"/>
              </w:rPr>
              <w:t>a</w:t>
            </w:r>
            <w:r w:rsidRPr="00216FFE">
              <w:rPr>
                <w:spacing w:val="-3"/>
                <w:sz w:val="20"/>
              </w:rPr>
              <w:t xml:space="preserve"> </w:t>
            </w:r>
            <w:r w:rsidRPr="00216FFE">
              <w:rPr>
                <w:sz w:val="20"/>
              </w:rPr>
              <w:t>development</w:t>
            </w:r>
            <w:r w:rsidRPr="00216FFE">
              <w:rPr>
                <w:spacing w:val="-3"/>
                <w:sz w:val="20"/>
              </w:rPr>
              <w:t xml:space="preserve"> </w:t>
            </w:r>
            <w:r w:rsidRPr="00216FFE">
              <w:rPr>
                <w:sz w:val="20"/>
              </w:rPr>
              <w:t>application</w:t>
            </w:r>
            <w:r w:rsidRPr="00216FFE">
              <w:rPr>
                <w:spacing w:val="-53"/>
                <w:sz w:val="20"/>
              </w:rPr>
              <w:t xml:space="preserve"> </w:t>
            </w:r>
            <w:r w:rsidRPr="00216FFE">
              <w:rPr>
                <w:sz w:val="20"/>
              </w:rPr>
              <w:t>lodged on or before 10 April 2015 that was</w:t>
            </w:r>
            <w:r w:rsidRPr="00216FFE">
              <w:rPr>
                <w:spacing w:val="1"/>
                <w:sz w:val="20"/>
              </w:rPr>
              <w:t xml:space="preserve"> </w:t>
            </w:r>
            <w:r w:rsidRPr="00216FFE">
              <w:rPr>
                <w:sz w:val="20"/>
              </w:rPr>
              <w:t>subsequently</w:t>
            </w:r>
            <w:r w:rsidRPr="00216FFE">
              <w:rPr>
                <w:spacing w:val="-1"/>
                <w:sz w:val="20"/>
              </w:rPr>
              <w:t xml:space="preserve"> </w:t>
            </w:r>
            <w:r w:rsidRPr="00216FFE">
              <w:rPr>
                <w:sz w:val="20"/>
              </w:rPr>
              <w:t>approved.</w:t>
            </w:r>
          </w:p>
        </w:tc>
      </w:tr>
    </w:tbl>
    <w:p w14:paraId="56D22D93" w14:textId="77777777" w:rsidR="00312672" w:rsidRDefault="00312672" w:rsidP="00312672">
      <w:pPr>
        <w:pStyle w:val="BodyText"/>
      </w:pPr>
    </w:p>
    <w:p w14:paraId="582B4840" w14:textId="77777777" w:rsidR="00312672" w:rsidRDefault="00312672" w:rsidP="00312672">
      <w:pPr>
        <w:pStyle w:val="BodyText"/>
        <w:rPr>
          <w:sz w:val="17"/>
        </w:rPr>
      </w:pPr>
    </w:p>
    <w:p w14:paraId="39FA2598" w14:textId="0F7FB604" w:rsidR="00312672" w:rsidRPr="008B77D9" w:rsidRDefault="00312672" w:rsidP="00312672">
      <w:pPr>
        <w:pStyle w:val="BodyText"/>
      </w:pPr>
      <w:r>
        <w:br w:type="page"/>
      </w:r>
    </w:p>
    <w:bookmarkEnd w:id="13"/>
    <w:p w14:paraId="31752576" w14:textId="6A1B9CD5" w:rsidR="001C7FD4" w:rsidRDefault="001C7FD4" w:rsidP="004965FA">
      <w:pPr>
        <w:pStyle w:val="BodyText"/>
        <w:spacing w:after="240"/>
        <w:rPr>
          <w:b/>
          <w:bCs/>
        </w:rPr>
      </w:pPr>
      <w:r>
        <w:rPr>
          <w:b/>
          <w:bCs/>
        </w:rPr>
        <w:lastRenderedPageBreak/>
        <w:t>Interpretation service</w:t>
      </w:r>
    </w:p>
    <w:p w14:paraId="762AFC8D" w14:textId="77777777" w:rsidR="001C7FD4" w:rsidRDefault="00346D1B" w:rsidP="00D93017">
      <w:pPr>
        <w:pStyle w:val="BodyText"/>
      </w:pPr>
      <w:r>
        <w:rPr>
          <w:noProof/>
          <w:lang w:eastAsia="en-AU"/>
        </w:rPr>
        <w:drawing>
          <wp:inline distT="0" distB="0" distL="0" distR="0" wp14:anchorId="0D6BF4D6" wp14:editId="019C6BD8">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5"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A27A182" w14:textId="77777777" w:rsidR="00356231" w:rsidRPr="0070443B" w:rsidRDefault="00356231" w:rsidP="00D93017">
      <w:pPr>
        <w:pStyle w:val="BodyText"/>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B524" w14:textId="77777777" w:rsidR="00D95535" w:rsidRDefault="00D95535">
      <w:r>
        <w:separator/>
      </w:r>
    </w:p>
  </w:endnote>
  <w:endnote w:type="continuationSeparator" w:id="0">
    <w:p w14:paraId="36742C90" w14:textId="77777777" w:rsidR="00D95535" w:rsidRDefault="00D9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3058" w14:textId="77777777" w:rsidR="00656428" w:rsidRDefault="0065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2255210"/>
      <w:docPartObj>
        <w:docPartGallery w:val="Page Numbers (Bottom of Page)"/>
        <w:docPartUnique/>
      </w:docPartObj>
    </w:sdtPr>
    <w:sdtEndPr/>
    <w:sdtContent>
      <w:sdt>
        <w:sdtPr>
          <w:rPr>
            <w:rFonts w:ascii="Arial" w:hAnsi="Arial" w:cs="Arial"/>
          </w:rPr>
          <w:id w:val="60070121"/>
          <w:docPartObj>
            <w:docPartGallery w:val="Page Numbers (Top of Page)"/>
            <w:docPartUnique/>
          </w:docPartObj>
        </w:sdtPr>
        <w:sdtEndPr/>
        <w:sdtContent>
          <w:p w14:paraId="40E61FDC" w14:textId="7EB2D055" w:rsidR="00D56C8C" w:rsidRDefault="00D56C8C"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Pr>
                <w:rFonts w:ascii="Arial" w:hAnsi="Arial" w:cs="Arial"/>
              </w:rPr>
              <w:t>5</w:t>
            </w:r>
            <w:r w:rsidRPr="007456C5">
              <w:rPr>
                <w:rFonts w:ascii="Arial" w:hAnsi="Arial" w:cs="Arial"/>
              </w:rPr>
              <w:fldChar w:fldCharType="end"/>
            </w:r>
          </w:p>
          <w:p w14:paraId="57611EE0" w14:textId="40AC4896" w:rsidR="00D56C8C" w:rsidRDefault="00D56C8C" w:rsidP="007456C5">
            <w:pPr>
              <w:pStyle w:val="Footer"/>
              <w:tabs>
                <w:tab w:val="clear" w:pos="4153"/>
                <w:tab w:val="clear" w:pos="8306"/>
                <w:tab w:val="right" w:pos="6096"/>
              </w:tabs>
              <w:rPr>
                <w:rFonts w:ascii="Arial" w:hAnsi="Arial" w:cs="Arial"/>
              </w:rPr>
            </w:pPr>
            <w:r w:rsidRPr="00EF6D27">
              <w:rPr>
                <w:rFonts w:ascii="Arial" w:hAnsi="Arial" w:cs="Arial"/>
              </w:rPr>
              <w:t xml:space="preserve">Variation </w:t>
            </w:r>
            <w:r w:rsidR="00EF6D27" w:rsidRPr="00EF6D27">
              <w:rPr>
                <w:rFonts w:ascii="Arial" w:hAnsi="Arial" w:cs="Arial"/>
              </w:rPr>
              <w:t>381</w:t>
            </w:r>
          </w:p>
        </w:sdtContent>
      </w:sdt>
    </w:sdtContent>
  </w:sdt>
  <w:p w14:paraId="2C696840" w14:textId="62D13D35" w:rsidR="00656428" w:rsidRPr="00656428" w:rsidRDefault="00656428" w:rsidP="00656428">
    <w:pPr>
      <w:pStyle w:val="Footer"/>
      <w:tabs>
        <w:tab w:val="clear" w:pos="4153"/>
        <w:tab w:val="clear" w:pos="8306"/>
        <w:tab w:val="right" w:pos="6096"/>
      </w:tabs>
      <w:rPr>
        <w:rFonts w:ascii="Arial" w:hAnsi="Arial" w:cs="Arial"/>
        <w:sz w:val="14"/>
      </w:rPr>
    </w:pPr>
    <w:r w:rsidRPr="0065642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0FD6" w14:textId="10023B5E" w:rsidR="00656428" w:rsidRPr="00656428" w:rsidRDefault="00656428" w:rsidP="00656428">
    <w:pPr>
      <w:pStyle w:val="Footer"/>
      <w:rPr>
        <w:rFonts w:ascii="Arial" w:hAnsi="Arial" w:cs="Arial"/>
        <w:sz w:val="14"/>
      </w:rPr>
    </w:pPr>
    <w:r w:rsidRPr="0065642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08D5" w14:textId="77777777" w:rsidR="00D95535" w:rsidRDefault="00D95535">
      <w:r>
        <w:separator/>
      </w:r>
    </w:p>
  </w:footnote>
  <w:footnote w:type="continuationSeparator" w:id="0">
    <w:p w14:paraId="632A28E1" w14:textId="77777777" w:rsidR="00D95535" w:rsidRDefault="00D9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3DB0" w14:textId="77777777" w:rsidR="00656428" w:rsidRDefault="00656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1342" w14:textId="014B0317" w:rsidR="00EF6D27" w:rsidRPr="00D93017" w:rsidRDefault="00EF6D27" w:rsidP="00EF6D27">
    <w:pPr>
      <w:pStyle w:val="Header"/>
      <w:spacing w:before="360"/>
      <w:ind w:left="-142"/>
      <w:rPr>
        <w:rFonts w:ascii="Calibri" w:hAnsi="Calibri" w:cs="Calibri"/>
        <w:b/>
        <w:sz w:val="32"/>
        <w:szCs w:val="32"/>
      </w:rPr>
    </w:pPr>
    <w:r>
      <w:rPr>
        <w:noProof/>
        <w:lang w:eastAsia="en-AU"/>
      </w:rPr>
      <w:drawing>
        <wp:inline distT="0" distB="0" distL="0" distR="0" wp14:anchorId="24BB446E" wp14:editId="3F3D030F">
          <wp:extent cx="2604799" cy="969872"/>
          <wp:effectExtent l="19050" t="0" r="5051" b="0"/>
          <wp:docPr id="6"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sidRPr="00EF6D27">
      <w:rPr>
        <w:rFonts w:ascii="Calibri" w:hAnsi="Calibri" w:cs="Calibri"/>
        <w:b/>
        <w:sz w:val="32"/>
        <w:szCs w:val="32"/>
      </w:rPr>
      <w:t xml:space="preserve"> </w:t>
    </w:r>
    <w:r>
      <w:rPr>
        <w:rFonts w:ascii="Calibri" w:hAnsi="Calibri" w:cs="Calibri"/>
        <w:b/>
        <w:sz w:val="32"/>
        <w:szCs w:val="32"/>
      </w:rPr>
      <w:tab/>
    </w:r>
    <w:r>
      <w:rPr>
        <w:rFonts w:ascii="Calibri" w:hAnsi="Calibri" w:cs="Calibri"/>
        <w:b/>
        <w:sz w:val="32"/>
        <w:szCs w:val="32"/>
      </w:rPr>
      <w:tab/>
    </w:r>
    <w:r w:rsidRPr="000C334B">
      <w:rPr>
        <w:rFonts w:ascii="Calibri" w:hAnsi="Calibri" w:cs="Calibri"/>
        <w:b/>
        <w:sz w:val="32"/>
        <w:szCs w:val="32"/>
      </w:rPr>
      <w:t xml:space="preserve">Schedule (See section </w:t>
    </w:r>
    <w:r>
      <w:rPr>
        <w:rFonts w:ascii="Calibri" w:hAnsi="Calibri" w:cs="Calibri"/>
        <w:b/>
        <w:sz w:val="32"/>
        <w:szCs w:val="32"/>
      </w:rPr>
      <w:t>3</w:t>
    </w:r>
    <w:r w:rsidRPr="000C334B">
      <w:rPr>
        <w:rFonts w:ascii="Calibri" w:hAnsi="Calibri" w:cs="Calibri"/>
        <w:b/>
        <w:sz w:val="32"/>
        <w:szCs w:val="32"/>
      </w:rPr>
      <w:t>(2))</w:t>
    </w:r>
  </w:p>
  <w:p w14:paraId="2A8B78F6" w14:textId="4FE1A8B6" w:rsidR="00EF6D27" w:rsidRDefault="00EF6D27">
    <w:pPr>
      <w:pStyle w:val="Header"/>
    </w:pPr>
  </w:p>
  <w:p w14:paraId="0A4D5CE1" w14:textId="77777777" w:rsidR="00EF6D27" w:rsidRDefault="00EF6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1054" w14:textId="77777777" w:rsidR="00656428" w:rsidRDefault="00656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A7D8" w14:textId="77777777" w:rsidR="009424EA" w:rsidRDefault="009424EA">
    <w:pPr>
      <w:pStyle w:val="Header"/>
    </w:pPr>
  </w:p>
  <w:p w14:paraId="3E66E1BC" w14:textId="77777777" w:rsidR="009424EA" w:rsidRDefault="0094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5"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8C30519"/>
    <w:multiLevelType w:val="hybridMultilevel"/>
    <w:tmpl w:val="70CA99EE"/>
    <w:lvl w:ilvl="0" w:tplc="7E86386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3" w15:restartNumberingAfterBreak="0">
    <w:nsid w:val="72DA70AE"/>
    <w:multiLevelType w:val="hybridMultilevel"/>
    <w:tmpl w:val="C8AE4A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120AC"/>
    <w:multiLevelType w:val="hybridMultilevel"/>
    <w:tmpl w:val="59F809BE"/>
    <w:lvl w:ilvl="0" w:tplc="17CC59FC">
      <w:start w:val="1"/>
      <w:numFmt w:val="lowerLetter"/>
      <w:lvlText w:val="%1)"/>
      <w:lvlJc w:val="left"/>
      <w:pPr>
        <w:ind w:left="561" w:hanging="454"/>
      </w:pPr>
      <w:rPr>
        <w:rFonts w:ascii="Arial" w:eastAsia="Arial" w:hAnsi="Arial" w:cs="Arial" w:hint="default"/>
        <w:w w:val="100"/>
        <w:sz w:val="20"/>
        <w:szCs w:val="20"/>
        <w:lang w:val="en-AU" w:eastAsia="en-US" w:bidi="ar-SA"/>
      </w:rPr>
    </w:lvl>
    <w:lvl w:ilvl="1" w:tplc="AD784FDC">
      <w:numFmt w:val="bullet"/>
      <w:lvlText w:val="•"/>
      <w:lvlJc w:val="left"/>
      <w:pPr>
        <w:ind w:left="965" w:hanging="454"/>
      </w:pPr>
      <w:rPr>
        <w:rFonts w:hint="default"/>
        <w:lang w:val="en-AU" w:eastAsia="en-US" w:bidi="ar-SA"/>
      </w:rPr>
    </w:lvl>
    <w:lvl w:ilvl="2" w:tplc="3962C21A">
      <w:numFmt w:val="bullet"/>
      <w:lvlText w:val="•"/>
      <w:lvlJc w:val="left"/>
      <w:pPr>
        <w:ind w:left="1370" w:hanging="454"/>
      </w:pPr>
      <w:rPr>
        <w:rFonts w:hint="default"/>
        <w:lang w:val="en-AU" w:eastAsia="en-US" w:bidi="ar-SA"/>
      </w:rPr>
    </w:lvl>
    <w:lvl w:ilvl="3" w:tplc="DFEAC66C">
      <w:numFmt w:val="bullet"/>
      <w:lvlText w:val="•"/>
      <w:lvlJc w:val="left"/>
      <w:pPr>
        <w:ind w:left="1775" w:hanging="454"/>
      </w:pPr>
      <w:rPr>
        <w:rFonts w:hint="default"/>
        <w:lang w:val="en-AU" w:eastAsia="en-US" w:bidi="ar-SA"/>
      </w:rPr>
    </w:lvl>
    <w:lvl w:ilvl="4" w:tplc="A52E7420">
      <w:numFmt w:val="bullet"/>
      <w:lvlText w:val="•"/>
      <w:lvlJc w:val="left"/>
      <w:pPr>
        <w:ind w:left="2181" w:hanging="454"/>
      </w:pPr>
      <w:rPr>
        <w:rFonts w:hint="default"/>
        <w:lang w:val="en-AU" w:eastAsia="en-US" w:bidi="ar-SA"/>
      </w:rPr>
    </w:lvl>
    <w:lvl w:ilvl="5" w:tplc="84CC1158">
      <w:numFmt w:val="bullet"/>
      <w:lvlText w:val="•"/>
      <w:lvlJc w:val="left"/>
      <w:pPr>
        <w:ind w:left="2586" w:hanging="454"/>
      </w:pPr>
      <w:rPr>
        <w:rFonts w:hint="default"/>
        <w:lang w:val="en-AU" w:eastAsia="en-US" w:bidi="ar-SA"/>
      </w:rPr>
    </w:lvl>
    <w:lvl w:ilvl="6" w:tplc="AAE8F844">
      <w:numFmt w:val="bullet"/>
      <w:lvlText w:val="•"/>
      <w:lvlJc w:val="left"/>
      <w:pPr>
        <w:ind w:left="2991" w:hanging="454"/>
      </w:pPr>
      <w:rPr>
        <w:rFonts w:hint="default"/>
        <w:lang w:val="en-AU" w:eastAsia="en-US" w:bidi="ar-SA"/>
      </w:rPr>
    </w:lvl>
    <w:lvl w:ilvl="7" w:tplc="DF009E58">
      <w:numFmt w:val="bullet"/>
      <w:lvlText w:val="•"/>
      <w:lvlJc w:val="left"/>
      <w:pPr>
        <w:ind w:left="3397" w:hanging="454"/>
      </w:pPr>
      <w:rPr>
        <w:rFonts w:hint="default"/>
        <w:lang w:val="en-AU" w:eastAsia="en-US" w:bidi="ar-SA"/>
      </w:rPr>
    </w:lvl>
    <w:lvl w:ilvl="8" w:tplc="1186818E">
      <w:numFmt w:val="bullet"/>
      <w:lvlText w:val="•"/>
      <w:lvlJc w:val="left"/>
      <w:pPr>
        <w:ind w:left="3802" w:hanging="454"/>
      </w:pPr>
      <w:rPr>
        <w:rFonts w:hint="default"/>
        <w:lang w:val="en-AU" w:eastAsia="en-US" w:bidi="ar-SA"/>
      </w:rPr>
    </w:lvl>
  </w:abstractNum>
  <w:abstractNum w:abstractNumId="16" w15:restartNumberingAfterBreak="0">
    <w:nsid w:val="792B3066"/>
    <w:multiLevelType w:val="hybridMultilevel"/>
    <w:tmpl w:val="59F809BE"/>
    <w:lvl w:ilvl="0" w:tplc="17CC59FC">
      <w:start w:val="1"/>
      <w:numFmt w:val="lowerLetter"/>
      <w:lvlText w:val="%1)"/>
      <w:lvlJc w:val="left"/>
      <w:pPr>
        <w:ind w:left="561" w:hanging="454"/>
      </w:pPr>
      <w:rPr>
        <w:rFonts w:ascii="Arial" w:eastAsia="Arial" w:hAnsi="Arial" w:cs="Arial" w:hint="default"/>
        <w:w w:val="100"/>
        <w:sz w:val="20"/>
        <w:szCs w:val="20"/>
        <w:lang w:val="en-AU" w:eastAsia="en-US" w:bidi="ar-SA"/>
      </w:rPr>
    </w:lvl>
    <w:lvl w:ilvl="1" w:tplc="AD784FDC">
      <w:numFmt w:val="bullet"/>
      <w:lvlText w:val="•"/>
      <w:lvlJc w:val="left"/>
      <w:pPr>
        <w:ind w:left="965" w:hanging="454"/>
      </w:pPr>
      <w:rPr>
        <w:rFonts w:hint="default"/>
        <w:lang w:val="en-AU" w:eastAsia="en-US" w:bidi="ar-SA"/>
      </w:rPr>
    </w:lvl>
    <w:lvl w:ilvl="2" w:tplc="3962C21A">
      <w:numFmt w:val="bullet"/>
      <w:lvlText w:val="•"/>
      <w:lvlJc w:val="left"/>
      <w:pPr>
        <w:ind w:left="1370" w:hanging="454"/>
      </w:pPr>
      <w:rPr>
        <w:rFonts w:hint="default"/>
        <w:lang w:val="en-AU" w:eastAsia="en-US" w:bidi="ar-SA"/>
      </w:rPr>
    </w:lvl>
    <w:lvl w:ilvl="3" w:tplc="DFEAC66C">
      <w:numFmt w:val="bullet"/>
      <w:lvlText w:val="•"/>
      <w:lvlJc w:val="left"/>
      <w:pPr>
        <w:ind w:left="1775" w:hanging="454"/>
      </w:pPr>
      <w:rPr>
        <w:rFonts w:hint="default"/>
        <w:lang w:val="en-AU" w:eastAsia="en-US" w:bidi="ar-SA"/>
      </w:rPr>
    </w:lvl>
    <w:lvl w:ilvl="4" w:tplc="A52E7420">
      <w:numFmt w:val="bullet"/>
      <w:lvlText w:val="•"/>
      <w:lvlJc w:val="left"/>
      <w:pPr>
        <w:ind w:left="2181" w:hanging="454"/>
      </w:pPr>
      <w:rPr>
        <w:rFonts w:hint="default"/>
        <w:lang w:val="en-AU" w:eastAsia="en-US" w:bidi="ar-SA"/>
      </w:rPr>
    </w:lvl>
    <w:lvl w:ilvl="5" w:tplc="84CC1158">
      <w:numFmt w:val="bullet"/>
      <w:lvlText w:val="•"/>
      <w:lvlJc w:val="left"/>
      <w:pPr>
        <w:ind w:left="2586" w:hanging="454"/>
      </w:pPr>
      <w:rPr>
        <w:rFonts w:hint="default"/>
        <w:lang w:val="en-AU" w:eastAsia="en-US" w:bidi="ar-SA"/>
      </w:rPr>
    </w:lvl>
    <w:lvl w:ilvl="6" w:tplc="AAE8F844">
      <w:numFmt w:val="bullet"/>
      <w:lvlText w:val="•"/>
      <w:lvlJc w:val="left"/>
      <w:pPr>
        <w:ind w:left="2991" w:hanging="454"/>
      </w:pPr>
      <w:rPr>
        <w:rFonts w:hint="default"/>
        <w:lang w:val="en-AU" w:eastAsia="en-US" w:bidi="ar-SA"/>
      </w:rPr>
    </w:lvl>
    <w:lvl w:ilvl="7" w:tplc="DF009E58">
      <w:numFmt w:val="bullet"/>
      <w:lvlText w:val="•"/>
      <w:lvlJc w:val="left"/>
      <w:pPr>
        <w:ind w:left="3397" w:hanging="454"/>
      </w:pPr>
      <w:rPr>
        <w:rFonts w:hint="default"/>
        <w:lang w:val="en-AU" w:eastAsia="en-US" w:bidi="ar-SA"/>
      </w:rPr>
    </w:lvl>
    <w:lvl w:ilvl="8" w:tplc="1186818E">
      <w:numFmt w:val="bullet"/>
      <w:lvlText w:val="•"/>
      <w:lvlJc w:val="left"/>
      <w:pPr>
        <w:ind w:left="3802" w:hanging="454"/>
      </w:pPr>
      <w:rPr>
        <w:rFonts w:hint="default"/>
        <w:lang w:val="en-AU" w:eastAsia="en-US" w:bidi="ar-SA"/>
      </w:rPr>
    </w:lvl>
  </w:abstractNum>
  <w:abstractNum w:abstractNumId="17" w15:restartNumberingAfterBreak="0">
    <w:nsid w:val="7E41493B"/>
    <w:multiLevelType w:val="hybridMultilevel"/>
    <w:tmpl w:val="5D9C9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2"/>
  </w:num>
  <w:num w:numId="23">
    <w:abstractNumId w:val="9"/>
  </w:num>
  <w:num w:numId="24">
    <w:abstractNumId w:val="9"/>
  </w:num>
  <w:num w:numId="25">
    <w:abstractNumId w:val="7"/>
  </w:num>
  <w:num w:numId="26">
    <w:abstractNumId w:val="11"/>
  </w:num>
  <w:num w:numId="27">
    <w:abstractNumId w:val="13"/>
  </w:num>
  <w:num w:numId="28">
    <w:abstractNumId w:val="17"/>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D4"/>
    <w:rsid w:val="00006764"/>
    <w:rsid w:val="00065817"/>
    <w:rsid w:val="00074BEA"/>
    <w:rsid w:val="00084447"/>
    <w:rsid w:val="00096FC2"/>
    <w:rsid w:val="000C334B"/>
    <w:rsid w:val="000C4F0A"/>
    <w:rsid w:val="000C7078"/>
    <w:rsid w:val="000F6D6B"/>
    <w:rsid w:val="0015090C"/>
    <w:rsid w:val="00161834"/>
    <w:rsid w:val="0016319B"/>
    <w:rsid w:val="001A4AA3"/>
    <w:rsid w:val="001B34D2"/>
    <w:rsid w:val="001C7FD4"/>
    <w:rsid w:val="001E089E"/>
    <w:rsid w:val="0021409C"/>
    <w:rsid w:val="00222529"/>
    <w:rsid w:val="002429BC"/>
    <w:rsid w:val="002541B6"/>
    <w:rsid w:val="002672A4"/>
    <w:rsid w:val="00295977"/>
    <w:rsid w:val="002C0B57"/>
    <w:rsid w:val="002D7E17"/>
    <w:rsid w:val="002E43AD"/>
    <w:rsid w:val="00312672"/>
    <w:rsid w:val="00346D1B"/>
    <w:rsid w:val="003558AD"/>
    <w:rsid w:val="00356231"/>
    <w:rsid w:val="0036285F"/>
    <w:rsid w:val="003B648B"/>
    <w:rsid w:val="003F30D0"/>
    <w:rsid w:val="004031E0"/>
    <w:rsid w:val="004160CF"/>
    <w:rsid w:val="00426208"/>
    <w:rsid w:val="0043284E"/>
    <w:rsid w:val="00456E7A"/>
    <w:rsid w:val="00460DD4"/>
    <w:rsid w:val="004843F2"/>
    <w:rsid w:val="004965FA"/>
    <w:rsid w:val="004A1C57"/>
    <w:rsid w:val="00511D58"/>
    <w:rsid w:val="00563F0A"/>
    <w:rsid w:val="00575B48"/>
    <w:rsid w:val="00581EDB"/>
    <w:rsid w:val="005A252E"/>
    <w:rsid w:val="006466FF"/>
    <w:rsid w:val="00656428"/>
    <w:rsid w:val="00674AC8"/>
    <w:rsid w:val="006764C0"/>
    <w:rsid w:val="006C39CF"/>
    <w:rsid w:val="0070443B"/>
    <w:rsid w:val="0074529E"/>
    <w:rsid w:val="007456C5"/>
    <w:rsid w:val="00754569"/>
    <w:rsid w:val="0078707C"/>
    <w:rsid w:val="00787F02"/>
    <w:rsid w:val="007D65CA"/>
    <w:rsid w:val="008237BA"/>
    <w:rsid w:val="0085707F"/>
    <w:rsid w:val="0085779E"/>
    <w:rsid w:val="00866334"/>
    <w:rsid w:val="008A2BAC"/>
    <w:rsid w:val="008A388F"/>
    <w:rsid w:val="008B77D9"/>
    <w:rsid w:val="008D6E3B"/>
    <w:rsid w:val="008F5692"/>
    <w:rsid w:val="0092522E"/>
    <w:rsid w:val="009424EA"/>
    <w:rsid w:val="009B3BED"/>
    <w:rsid w:val="009C3888"/>
    <w:rsid w:val="00A0287B"/>
    <w:rsid w:val="00A06D67"/>
    <w:rsid w:val="00A73776"/>
    <w:rsid w:val="00A73E68"/>
    <w:rsid w:val="00A74C38"/>
    <w:rsid w:val="00A84F8E"/>
    <w:rsid w:val="00AA3627"/>
    <w:rsid w:val="00AA764E"/>
    <w:rsid w:val="00AC51AC"/>
    <w:rsid w:val="00AD0137"/>
    <w:rsid w:val="00AE0C37"/>
    <w:rsid w:val="00AF75FF"/>
    <w:rsid w:val="00B05685"/>
    <w:rsid w:val="00B87E35"/>
    <w:rsid w:val="00BE4E8D"/>
    <w:rsid w:val="00BE59AB"/>
    <w:rsid w:val="00C010B1"/>
    <w:rsid w:val="00C14346"/>
    <w:rsid w:val="00C3544D"/>
    <w:rsid w:val="00C40CD7"/>
    <w:rsid w:val="00C8148A"/>
    <w:rsid w:val="00C827D2"/>
    <w:rsid w:val="00C83A96"/>
    <w:rsid w:val="00C84118"/>
    <w:rsid w:val="00C92D20"/>
    <w:rsid w:val="00CF2A49"/>
    <w:rsid w:val="00D110BD"/>
    <w:rsid w:val="00D179CD"/>
    <w:rsid w:val="00D37419"/>
    <w:rsid w:val="00D458BB"/>
    <w:rsid w:val="00D5669E"/>
    <w:rsid w:val="00D56C8C"/>
    <w:rsid w:val="00D93017"/>
    <w:rsid w:val="00D95535"/>
    <w:rsid w:val="00D97283"/>
    <w:rsid w:val="00DB6CD9"/>
    <w:rsid w:val="00DC7A6F"/>
    <w:rsid w:val="00DF2B25"/>
    <w:rsid w:val="00E03B8B"/>
    <w:rsid w:val="00E215A4"/>
    <w:rsid w:val="00E22A27"/>
    <w:rsid w:val="00E471D9"/>
    <w:rsid w:val="00EC6492"/>
    <w:rsid w:val="00EF6D27"/>
    <w:rsid w:val="00F062FF"/>
    <w:rsid w:val="00F12CB9"/>
    <w:rsid w:val="00F15049"/>
    <w:rsid w:val="00F254A3"/>
    <w:rsid w:val="00F47A94"/>
    <w:rsid w:val="00F72482"/>
    <w:rsid w:val="00FC63EA"/>
    <w:rsid w:val="00FD1BCE"/>
    <w:rsid w:val="00FF024D"/>
    <w:rsid w:val="00FF3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C35CD"/>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56C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basedOn w:val="Normal"/>
    <w:uiPriority w:val="34"/>
    <w:qFormat/>
    <w:rsid w:val="00754569"/>
    <w:pPr>
      <w:ind w:left="720"/>
      <w:contextualSpacing/>
    </w:pPr>
  </w:style>
  <w:style w:type="character" w:customStyle="1" w:styleId="Heading5Char">
    <w:name w:val="Heading 5 Char"/>
    <w:basedOn w:val="DefaultParagraphFont"/>
    <w:link w:val="Heading5"/>
    <w:semiHidden/>
    <w:rsid w:val="00D56C8C"/>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D56C8C"/>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D56C8C"/>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D56C8C"/>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D56C8C"/>
    <w:pPr>
      <w:tabs>
        <w:tab w:val="left" w:pos="2600"/>
      </w:tabs>
      <w:spacing w:before="200" w:after="60" w:line="276" w:lineRule="auto"/>
      <w:jc w:val="both"/>
    </w:pPr>
    <w:rPr>
      <w:rFonts w:ascii="Calibri" w:eastAsia="Calibri" w:hAnsi="Calibri" w:cs="Arial"/>
      <w:b/>
      <w:bCs/>
      <w:sz w:val="22"/>
      <w:szCs w:val="24"/>
    </w:rPr>
  </w:style>
  <w:style w:type="character" w:styleId="Emphasis">
    <w:name w:val="Emphasis"/>
    <w:qFormat/>
    <w:rsid w:val="00D56C8C"/>
    <w:rPr>
      <w:i/>
      <w:iCs/>
    </w:rPr>
  </w:style>
  <w:style w:type="paragraph" w:customStyle="1" w:styleId="TableParagraph">
    <w:name w:val="Table Paragraph"/>
    <w:basedOn w:val="Normal"/>
    <w:uiPriority w:val="1"/>
    <w:qFormat/>
    <w:rsid w:val="00312672"/>
    <w:pPr>
      <w:widowControl w:val="0"/>
      <w:autoSpaceDE w:val="0"/>
      <w:autoSpaceDN w:val="0"/>
      <w:ind w:left="107"/>
    </w:pPr>
    <w:rPr>
      <w:rFonts w:eastAsia="Arial" w:cs="Arial"/>
      <w:sz w:val="22"/>
      <w:szCs w:val="22"/>
    </w:rPr>
  </w:style>
  <w:style w:type="table" w:styleId="TableGrid">
    <w:name w:val="Table Grid"/>
    <w:basedOn w:val="TableNormal"/>
    <w:rsid w:val="0051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393">
      <w:bodyDiv w:val="1"/>
      <w:marLeft w:val="0"/>
      <w:marRight w:val="0"/>
      <w:marTop w:val="0"/>
      <w:marBottom w:val="0"/>
      <w:divBdr>
        <w:top w:val="none" w:sz="0" w:space="0" w:color="auto"/>
        <w:left w:val="none" w:sz="0" w:space="0" w:color="auto"/>
        <w:bottom w:val="none" w:sz="0" w:space="0" w:color="auto"/>
        <w:right w:val="none" w:sz="0" w:space="0" w:color="auto"/>
      </w:divBdr>
    </w:div>
    <w:div w:id="1105997697">
      <w:bodyDiv w:val="1"/>
      <w:marLeft w:val="0"/>
      <w:marRight w:val="0"/>
      <w:marTop w:val="0"/>
      <w:marBottom w:val="0"/>
      <w:divBdr>
        <w:top w:val="none" w:sz="0" w:space="0" w:color="auto"/>
        <w:left w:val="none" w:sz="0" w:space="0" w:color="auto"/>
        <w:bottom w:val="none" w:sz="0" w:space="0" w:color="auto"/>
        <w:right w:val="none" w:sz="0" w:space="0" w:color="auto"/>
      </w:divBdr>
    </w:div>
    <w:div w:id="1126240983">
      <w:bodyDiv w:val="1"/>
      <w:marLeft w:val="0"/>
      <w:marRight w:val="0"/>
      <w:marTop w:val="0"/>
      <w:marBottom w:val="0"/>
      <w:divBdr>
        <w:top w:val="none" w:sz="0" w:space="0" w:color="auto"/>
        <w:left w:val="none" w:sz="0" w:space="0" w:color="auto"/>
        <w:bottom w:val="none" w:sz="0" w:space="0" w:color="auto"/>
        <w:right w:val="none" w:sz="0" w:space="0" w:color="auto"/>
      </w:divBdr>
    </w:div>
    <w:div w:id="12796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83-B504-455A-B151-8E7EAF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1607</Words>
  <Characters>8511</Characters>
  <Application>Microsoft Office Word</Application>
  <DocSecurity>0</DocSecurity>
  <Lines>246</Lines>
  <Paragraphs>107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10046</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ridsdale</dc:creator>
  <cp:lastModifiedBy>Moxon, KarenL</cp:lastModifiedBy>
  <cp:revision>4</cp:revision>
  <cp:lastPrinted>2012-06-18T06:09:00Z</cp:lastPrinted>
  <dcterms:created xsi:type="dcterms:W3CDTF">2022-02-23T05:54:00Z</dcterms:created>
  <dcterms:modified xsi:type="dcterms:W3CDTF">2022-02-23T05:54:00Z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A32605629</vt:lpwstr>
  </property>
  <property fmtid="{D5CDD505-2E9C-101B-9397-08002B2CF9AE}" pid="3" name="Objective-Comment">
    <vt:lpwstr/>
  </property>
  <property fmtid="{D5CDD505-2E9C-101B-9397-08002B2CF9AE}" pid="4" name="Objective-CreationStamp">
    <vt:filetime>2022-01-19T00:15:31Z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2022-02-23T05:34:51Z</vt:filetime>
  </property>
  <property fmtid="{D5CDD505-2E9C-101B-9397-08002B2CF9AE}" pid="8" name="Objective-ModificationStamp">
    <vt:filetime>2022-02-23T05:34:51Z</vt:filetime>
  </property>
  <property fmtid="{D5CDD505-2E9C-101B-9397-08002B2CF9AE}" pid="9" name="Objective-Owner">
    <vt:lpwstr>Chris Thompson</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Correspondence:Planning and Urban Policy:01. January:22/06139 Ministerial Information Brief - Gentleman - DV381 Local centre shop size - approval and tabling:</vt:lpwstr>
  </property>
  <property fmtid="{D5CDD505-2E9C-101B-9397-08002B2CF9AE}" pid="11" name="Objective-Parent">
    <vt:lpwstr>22/06139 Ministerial Information Brief - Gentleman - DV381 Local centre shop size - approval and tabling</vt:lpwstr>
  </property>
  <property fmtid="{D5CDD505-2E9C-101B-9397-08002B2CF9AE}" pid="12" name="Objective-State">
    <vt:lpwstr>Published</vt:lpwstr>
  </property>
  <property fmtid="{D5CDD505-2E9C-101B-9397-08002B2CF9AE}" pid="13" name="Objective-Title">
    <vt:lpwstr>Att B - DV381 - Notifiable Instrument s76(2)</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2</vt:r8>
  </property>
  <property fmtid="{D5CDD505-2E9C-101B-9397-08002B2CF9AE}" pid="17" name="Objective-FileNumber">
    <vt:lpwstr>1-2022/06139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