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27DB7" w:rsidRPr="00B46256" w:rsidRDefault="00E27DB7" w:rsidP="00E27DB7">
      <w:pPr>
        <w:pStyle w:val="Billname"/>
        <w:spacing w:before="120" w:after="0"/>
        <w:rPr>
          <w:rFonts w:cs="Arial"/>
          <w:b w:val="0"/>
          <w:bCs/>
          <w:sz w:val="24"/>
          <w:szCs w:val="24"/>
        </w:rPr>
      </w:pPr>
      <w:r w:rsidRPr="00B46256">
        <w:rPr>
          <w:rFonts w:cs="Arial"/>
          <w:b w:val="0"/>
          <w:bCs/>
          <w:sz w:val="24"/>
          <w:szCs w:val="24"/>
        </w:rPr>
        <w:t>Australian Capital Territory</w:t>
      </w:r>
    </w:p>
    <w:p w:rsidR="00E27DB7" w:rsidRDefault="00E27DB7" w:rsidP="00E27DB7">
      <w:pPr>
        <w:pStyle w:val="Billname"/>
        <w:spacing w:before="700" w:after="0"/>
        <w:rPr>
          <w:rFonts w:cs="Arial"/>
        </w:rPr>
      </w:pPr>
      <w:r>
        <w:rPr>
          <w:rFonts w:cs="Arial"/>
        </w:rPr>
        <w:t>Planning and Development (Technical Amendment</w:t>
      </w:r>
      <w:r w:rsidRPr="00630D37">
        <w:rPr>
          <w:rFonts w:cs="Arial"/>
          <w:b w:val="0"/>
          <w:caps/>
        </w:rPr>
        <w:t>—</w:t>
      </w:r>
      <w:r w:rsidR="007E661F" w:rsidRPr="007E661F">
        <w:rPr>
          <w:rFonts w:cs="Arial"/>
          <w:bCs/>
        </w:rPr>
        <w:t xml:space="preserve">Code </w:t>
      </w:r>
      <w:r w:rsidR="00A16625">
        <w:rPr>
          <w:rFonts w:cs="Arial"/>
          <w:bCs/>
        </w:rPr>
        <w:t>A</w:t>
      </w:r>
      <w:r w:rsidR="007E661F" w:rsidRPr="007E661F">
        <w:rPr>
          <w:rFonts w:cs="Arial"/>
          <w:bCs/>
        </w:rPr>
        <w:t>mendments</w:t>
      </w:r>
      <w:r>
        <w:rPr>
          <w:rFonts w:cs="Arial"/>
        </w:rPr>
        <w:t>) Plan Variation 202</w:t>
      </w:r>
      <w:r w:rsidR="00306E74">
        <w:rPr>
          <w:rFonts w:cs="Arial"/>
        </w:rPr>
        <w:t>3</w:t>
      </w:r>
      <w:r w:rsidR="00B13AEC">
        <w:rPr>
          <w:rFonts w:cs="Arial"/>
        </w:rPr>
        <w:t xml:space="preserve"> (</w:t>
      </w:r>
      <w:r w:rsidR="009F2070">
        <w:rPr>
          <w:rFonts w:cs="Arial"/>
        </w:rPr>
        <w:t>No 2</w:t>
      </w:r>
      <w:r w:rsidR="00B13AEC">
        <w:rPr>
          <w:rFonts w:cs="Arial"/>
        </w:rPr>
        <w:t>)</w:t>
      </w:r>
    </w:p>
    <w:p w:rsidR="00E27DB7" w:rsidRPr="00982B83" w:rsidRDefault="00E27DB7" w:rsidP="00E27DB7">
      <w:pPr>
        <w:pStyle w:val="Heading5"/>
        <w:spacing w:before="340"/>
        <w:rPr>
          <w:rFonts w:ascii="Arial" w:hAnsi="Arial" w:cs="Arial"/>
          <w:bCs w:val="0"/>
          <w:i w:val="0"/>
          <w:iCs w:val="0"/>
          <w:caps/>
          <w:sz w:val="24"/>
          <w:szCs w:val="24"/>
        </w:rPr>
      </w:pPr>
      <w:bookmarkStart w:id="0" w:name="Citation"/>
      <w:r w:rsidRPr="00982B83">
        <w:rPr>
          <w:rFonts w:ascii="Arial" w:hAnsi="Arial" w:cs="Arial"/>
          <w:bCs w:val="0"/>
          <w:i w:val="0"/>
          <w:iCs w:val="0"/>
          <w:sz w:val="24"/>
          <w:szCs w:val="24"/>
        </w:rPr>
        <w:t xml:space="preserve">Notifiable </w:t>
      </w:r>
      <w:r>
        <w:rPr>
          <w:rFonts w:ascii="Arial" w:hAnsi="Arial" w:cs="Arial"/>
          <w:bCs w:val="0"/>
          <w:i w:val="0"/>
          <w:iCs w:val="0"/>
          <w:sz w:val="24"/>
          <w:szCs w:val="24"/>
        </w:rPr>
        <w:t>i</w:t>
      </w:r>
      <w:r w:rsidRPr="00982B83">
        <w:rPr>
          <w:rFonts w:ascii="Arial" w:hAnsi="Arial" w:cs="Arial"/>
          <w:bCs w:val="0"/>
          <w:i w:val="0"/>
          <w:iCs w:val="0"/>
          <w:sz w:val="24"/>
          <w:szCs w:val="24"/>
        </w:rPr>
        <w:t xml:space="preserve">nstrument </w:t>
      </w:r>
      <w:r w:rsidRPr="00982B83">
        <w:rPr>
          <w:rFonts w:ascii="Arial" w:hAnsi="Arial" w:cs="Arial"/>
          <w:bCs w:val="0"/>
          <w:i w:val="0"/>
          <w:iCs w:val="0"/>
          <w:caps/>
          <w:sz w:val="24"/>
          <w:szCs w:val="24"/>
        </w:rPr>
        <w:t>NI202</w:t>
      </w:r>
      <w:r w:rsidR="00233E85">
        <w:rPr>
          <w:rFonts w:ascii="Arial" w:hAnsi="Arial" w:cs="Arial"/>
          <w:bCs w:val="0"/>
          <w:i w:val="0"/>
          <w:iCs w:val="0"/>
          <w:caps/>
          <w:sz w:val="24"/>
          <w:szCs w:val="24"/>
        </w:rPr>
        <w:t>3</w:t>
      </w:r>
      <w:r w:rsidRPr="00714062">
        <w:rPr>
          <w:rFonts w:ascii="Arial" w:hAnsi="Arial" w:cs="Arial"/>
          <w:bCs w:val="0"/>
          <w:i w:val="0"/>
          <w:iCs w:val="0"/>
          <w:caps/>
          <w:sz w:val="24"/>
          <w:szCs w:val="24"/>
        </w:rPr>
        <w:t>–</w:t>
      </w:r>
      <w:r w:rsidR="004C3618">
        <w:rPr>
          <w:rFonts w:ascii="Arial" w:hAnsi="Arial" w:cs="Arial"/>
          <w:bCs w:val="0"/>
          <w:i w:val="0"/>
          <w:iCs w:val="0"/>
          <w:caps/>
          <w:sz w:val="24"/>
          <w:szCs w:val="24"/>
        </w:rPr>
        <w:t>156</w:t>
      </w:r>
    </w:p>
    <w:p w:rsidR="00E27DB7" w:rsidRPr="00B46256" w:rsidRDefault="00E27DB7" w:rsidP="00E27DB7">
      <w:pPr>
        <w:spacing w:before="340"/>
        <w:rPr>
          <w:rFonts w:cs="Arial"/>
          <w:b/>
        </w:rPr>
      </w:pPr>
      <w:r w:rsidRPr="00B46256">
        <w:rPr>
          <w:rFonts w:cs="Arial"/>
          <w:b/>
        </w:rPr>
        <w:t xml:space="preserve">Technical </w:t>
      </w:r>
      <w:r w:rsidR="00E21A60">
        <w:rPr>
          <w:rFonts w:cs="Arial"/>
          <w:b/>
        </w:rPr>
        <w:t>a</w:t>
      </w:r>
      <w:r w:rsidRPr="00B46256">
        <w:rPr>
          <w:rFonts w:cs="Arial"/>
          <w:b/>
        </w:rPr>
        <w:t>mendment No 202</w:t>
      </w:r>
      <w:r w:rsidR="00B13AEC">
        <w:rPr>
          <w:rFonts w:cs="Arial"/>
          <w:b/>
        </w:rPr>
        <w:t>3</w:t>
      </w:r>
      <w:r w:rsidRPr="00B46256">
        <w:rPr>
          <w:rFonts w:cs="Arial"/>
          <w:b/>
        </w:rPr>
        <w:t>-</w:t>
      </w:r>
      <w:r w:rsidR="00B13AEC">
        <w:rPr>
          <w:rFonts w:cs="Arial"/>
          <w:b/>
        </w:rPr>
        <w:t>02</w:t>
      </w:r>
    </w:p>
    <w:p w:rsidR="00E27DB7" w:rsidRPr="00084521" w:rsidRDefault="00E27DB7" w:rsidP="00E27DB7">
      <w:pPr>
        <w:pStyle w:val="madeunder"/>
        <w:spacing w:before="300" w:after="0"/>
        <w:rPr>
          <w:rFonts w:ascii="Times New Roman" w:hAnsi="Times New Roman"/>
          <w:szCs w:val="24"/>
        </w:rPr>
      </w:pPr>
      <w:r w:rsidRPr="00084521">
        <w:rPr>
          <w:rFonts w:ascii="Times New Roman" w:hAnsi="Times New Roman"/>
          <w:szCs w:val="24"/>
        </w:rPr>
        <w:t>made under the</w:t>
      </w:r>
    </w:p>
    <w:bookmarkEnd w:id="0"/>
    <w:p w:rsidR="00E27DB7" w:rsidRDefault="00E27DB7" w:rsidP="00E27DB7">
      <w:pPr>
        <w:pStyle w:val="CoverActName"/>
        <w:spacing w:before="320" w:after="0"/>
        <w:rPr>
          <w:rFonts w:cs="Arial"/>
          <w:sz w:val="20"/>
        </w:rPr>
      </w:pPr>
      <w:r>
        <w:rPr>
          <w:rFonts w:cs="Arial"/>
          <w:sz w:val="20"/>
        </w:rPr>
        <w:t xml:space="preserve">Planning and Development Act 2007, s 89 (Making technical amendments) </w:t>
      </w:r>
    </w:p>
    <w:p w:rsidR="00E27DB7" w:rsidRPr="0062559C" w:rsidRDefault="00E27DB7" w:rsidP="00E27DB7">
      <w:pPr>
        <w:pStyle w:val="CoverActName"/>
        <w:spacing w:before="60" w:after="0"/>
        <w:rPr>
          <w:rFonts w:cs="Arial"/>
          <w:b w:val="0"/>
          <w:bCs/>
          <w:szCs w:val="24"/>
        </w:rPr>
      </w:pPr>
    </w:p>
    <w:p w:rsidR="00E27DB7" w:rsidRDefault="00E27DB7" w:rsidP="00E27DB7">
      <w:pPr>
        <w:pStyle w:val="N-line3"/>
        <w:pBdr>
          <w:top w:val="single" w:sz="12" w:space="1" w:color="auto"/>
          <w:bottom w:val="none" w:sz="0" w:space="0" w:color="auto"/>
        </w:pBdr>
        <w:jc w:val="left"/>
        <w:rPr>
          <w:rFonts w:cs="Arial"/>
        </w:rPr>
      </w:pPr>
    </w:p>
    <w:p w:rsidR="00E27DB7" w:rsidRPr="00B46256" w:rsidRDefault="00E27DB7" w:rsidP="00E27DB7">
      <w:pPr>
        <w:pStyle w:val="BodyText"/>
        <w:spacing w:before="60" w:after="60"/>
        <w:rPr>
          <w:rFonts w:cs="Arial"/>
          <w:b/>
          <w:bCs/>
        </w:rPr>
      </w:pPr>
      <w:r w:rsidRPr="00B46256">
        <w:rPr>
          <w:rFonts w:cs="Arial"/>
          <w:b/>
          <w:bCs/>
        </w:rPr>
        <w:t>1</w:t>
      </w:r>
      <w:r w:rsidRPr="00B46256">
        <w:rPr>
          <w:rFonts w:cs="Arial"/>
          <w:b/>
          <w:bCs/>
        </w:rPr>
        <w:tab/>
        <w:t>Name of instrument</w:t>
      </w:r>
    </w:p>
    <w:p w:rsidR="00E27DB7" w:rsidRDefault="00E27DB7" w:rsidP="00E27DB7">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Development (Technical Amendment</w:t>
      </w:r>
      <w:r>
        <w:rPr>
          <w:rFonts w:ascii="Times New Roman" w:hAnsi="Times New Roman"/>
          <w:b w:val="0"/>
          <w:i/>
          <w:sz w:val="24"/>
          <w:szCs w:val="24"/>
        </w:rPr>
        <w:t>–</w:t>
      </w:r>
      <w:r w:rsidR="007E661F">
        <w:rPr>
          <w:rFonts w:ascii="Times New Roman" w:hAnsi="Times New Roman"/>
          <w:b w:val="0"/>
          <w:i/>
          <w:sz w:val="24"/>
          <w:szCs w:val="24"/>
        </w:rPr>
        <w:t xml:space="preserve">Code </w:t>
      </w:r>
      <w:r w:rsidR="00A16625">
        <w:rPr>
          <w:rFonts w:ascii="Times New Roman" w:hAnsi="Times New Roman"/>
          <w:b w:val="0"/>
          <w:i/>
          <w:sz w:val="24"/>
          <w:szCs w:val="24"/>
        </w:rPr>
        <w:t>A</w:t>
      </w:r>
      <w:r w:rsidR="007E661F">
        <w:rPr>
          <w:rFonts w:ascii="Times New Roman" w:hAnsi="Times New Roman"/>
          <w:b w:val="0"/>
          <w:i/>
          <w:sz w:val="24"/>
          <w:szCs w:val="24"/>
        </w:rPr>
        <w:t>mendments</w:t>
      </w:r>
      <w:r>
        <w:rPr>
          <w:rFonts w:ascii="Times New Roman" w:hAnsi="Times New Roman"/>
          <w:b w:val="0"/>
          <w:i/>
          <w:sz w:val="24"/>
          <w:szCs w:val="24"/>
        </w:rPr>
        <w:t xml:space="preserve">) </w:t>
      </w:r>
      <w:r w:rsidRPr="003B53B5">
        <w:rPr>
          <w:rFonts w:ascii="Times New Roman" w:hAnsi="Times New Roman"/>
          <w:b w:val="0"/>
          <w:i/>
          <w:sz w:val="24"/>
          <w:szCs w:val="24"/>
        </w:rPr>
        <w:t xml:space="preserve">Plan </w:t>
      </w:r>
      <w:r>
        <w:rPr>
          <w:rFonts w:ascii="Times New Roman" w:hAnsi="Times New Roman"/>
          <w:b w:val="0"/>
          <w:i/>
          <w:sz w:val="24"/>
          <w:szCs w:val="24"/>
        </w:rPr>
        <w:t>Variation 202</w:t>
      </w:r>
      <w:r w:rsidR="00B13AEC">
        <w:rPr>
          <w:rFonts w:ascii="Times New Roman" w:hAnsi="Times New Roman"/>
          <w:b w:val="0"/>
          <w:i/>
          <w:sz w:val="24"/>
          <w:szCs w:val="24"/>
        </w:rPr>
        <w:t>3</w:t>
      </w:r>
      <w:r w:rsidR="009F2070">
        <w:rPr>
          <w:rFonts w:ascii="Times New Roman" w:hAnsi="Times New Roman"/>
          <w:b w:val="0"/>
          <w:i/>
          <w:sz w:val="24"/>
          <w:szCs w:val="24"/>
        </w:rPr>
        <w:t xml:space="preserve"> (No 2)</w:t>
      </w:r>
      <w:r>
        <w:rPr>
          <w:rFonts w:ascii="Times New Roman" w:hAnsi="Times New Roman"/>
          <w:b w:val="0"/>
          <w:sz w:val="24"/>
          <w:szCs w:val="24"/>
        </w:rPr>
        <w:t>.</w:t>
      </w:r>
    </w:p>
    <w:p w:rsidR="00E27DB7" w:rsidRPr="00B46256" w:rsidRDefault="00E27DB7" w:rsidP="00E27DB7">
      <w:pPr>
        <w:pStyle w:val="BodyText"/>
        <w:spacing w:before="300" w:after="0"/>
        <w:rPr>
          <w:rFonts w:eastAsia="Calibri" w:cs="Arial"/>
          <w:b/>
          <w:bCs/>
        </w:rPr>
      </w:pPr>
      <w:r w:rsidRPr="00B46256">
        <w:rPr>
          <w:rFonts w:cs="Arial"/>
          <w:b/>
          <w:bCs/>
        </w:rPr>
        <w:t>2</w:t>
      </w:r>
      <w:r w:rsidRPr="00B46256">
        <w:rPr>
          <w:rFonts w:cs="Arial"/>
          <w:b/>
          <w:bCs/>
        </w:rPr>
        <w:tab/>
      </w:r>
      <w:r w:rsidRPr="00B46256">
        <w:rPr>
          <w:rFonts w:eastAsia="Calibri" w:cs="Arial"/>
          <w:b/>
          <w:bCs/>
        </w:rPr>
        <w:t>Commencement</w:t>
      </w:r>
    </w:p>
    <w:p w:rsidR="00E27DB7" w:rsidRPr="00B46256" w:rsidRDefault="00E27DB7" w:rsidP="00E27DB7">
      <w:pPr>
        <w:pStyle w:val="BodyText"/>
        <w:spacing w:before="140" w:after="0"/>
        <w:ind w:left="720"/>
        <w:rPr>
          <w:rFonts w:ascii="Times New Roman" w:eastAsia="Calibri" w:hAnsi="Times New Roman"/>
          <w:bCs/>
        </w:rPr>
      </w:pPr>
      <w:r w:rsidRPr="00B46256">
        <w:rPr>
          <w:rFonts w:ascii="Times New Roman" w:eastAsia="Calibri" w:hAnsi="Times New Roman"/>
          <w:bCs/>
        </w:rPr>
        <w:t xml:space="preserve">This instrument commences </w:t>
      </w:r>
      <w:r w:rsidR="00445645">
        <w:rPr>
          <w:rFonts w:ascii="Times New Roman" w:eastAsia="Calibri" w:hAnsi="Times New Roman"/>
          <w:bCs/>
        </w:rPr>
        <w:t xml:space="preserve">on </w:t>
      </w:r>
      <w:r w:rsidR="007A1C5F">
        <w:rPr>
          <w:rFonts w:ascii="Times New Roman" w:eastAsia="Calibri" w:hAnsi="Times New Roman"/>
          <w:bCs/>
        </w:rPr>
        <w:t xml:space="preserve">the day after </w:t>
      </w:r>
      <w:r w:rsidR="00445645">
        <w:rPr>
          <w:rFonts w:ascii="Times New Roman" w:eastAsia="Calibri" w:hAnsi="Times New Roman"/>
          <w:bCs/>
        </w:rPr>
        <w:t xml:space="preserve">its </w:t>
      </w:r>
      <w:r w:rsidR="007A1C5F">
        <w:rPr>
          <w:rFonts w:ascii="Times New Roman" w:eastAsia="Calibri" w:hAnsi="Times New Roman"/>
          <w:bCs/>
        </w:rPr>
        <w:t>notification</w:t>
      </w:r>
      <w:r w:rsidR="00445645">
        <w:rPr>
          <w:rFonts w:ascii="Times New Roman" w:eastAsia="Calibri" w:hAnsi="Times New Roman"/>
          <w:bCs/>
        </w:rPr>
        <w:t xml:space="preserve"> day</w:t>
      </w:r>
      <w:r w:rsidR="007A1C5F">
        <w:rPr>
          <w:rFonts w:ascii="Times New Roman" w:eastAsia="Calibri" w:hAnsi="Times New Roman"/>
          <w:bCs/>
        </w:rPr>
        <w:t>.</w:t>
      </w:r>
      <w:r w:rsidRPr="00B46256">
        <w:rPr>
          <w:rFonts w:ascii="Times New Roman" w:eastAsia="Calibri" w:hAnsi="Times New Roman"/>
          <w:bCs/>
        </w:rPr>
        <w:t xml:space="preserve"> </w:t>
      </w:r>
    </w:p>
    <w:p w:rsidR="00E27DB7" w:rsidRPr="00B46256" w:rsidRDefault="00E27DB7" w:rsidP="00E27DB7">
      <w:pPr>
        <w:pStyle w:val="BodyText"/>
        <w:spacing w:before="300" w:after="0"/>
        <w:rPr>
          <w:rFonts w:eastAsia="Calibri" w:cs="Arial"/>
          <w:b/>
          <w:bCs/>
        </w:rPr>
      </w:pPr>
      <w:r w:rsidRPr="00B46256">
        <w:rPr>
          <w:rFonts w:eastAsia="Calibri" w:cs="Arial"/>
          <w:b/>
          <w:bCs/>
        </w:rPr>
        <w:t>3</w:t>
      </w:r>
      <w:r w:rsidRPr="00B46256">
        <w:rPr>
          <w:rFonts w:eastAsia="Calibri" w:cs="Arial"/>
          <w:b/>
          <w:bCs/>
        </w:rPr>
        <w:tab/>
        <w:t>Technical amendment</w:t>
      </w:r>
    </w:p>
    <w:p w:rsidR="00E27DB7" w:rsidRPr="00DF7C32" w:rsidRDefault="00E27DB7" w:rsidP="00E27DB7">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the </w:t>
      </w:r>
      <w:r w:rsidRPr="00DF7C32">
        <w:rPr>
          <w:rFonts w:ascii="Times New Roman" w:hAnsi="Times New Roman"/>
          <w:b w:val="0"/>
          <w:i/>
          <w:sz w:val="24"/>
          <w:szCs w:val="24"/>
        </w:rPr>
        <w:t>Planning</w:t>
      </w:r>
      <w:r>
        <w:rPr>
          <w:rFonts w:ascii="Times New Roman" w:hAnsi="Times New Roman"/>
          <w:b w:val="0"/>
          <w:i/>
          <w:sz w:val="24"/>
          <w:szCs w:val="24"/>
        </w:rPr>
        <w:t xml:space="preserve"> </w:t>
      </w:r>
      <w:r w:rsidRPr="00DF7C32">
        <w:rPr>
          <w:rFonts w:ascii="Times New Roman" w:hAnsi="Times New Roman"/>
          <w:b w:val="0"/>
          <w:i/>
          <w:sz w:val="24"/>
          <w:szCs w:val="24"/>
        </w:rPr>
        <w:t>and</w:t>
      </w:r>
      <w:r>
        <w:rPr>
          <w:rFonts w:ascii="Times New Roman" w:hAnsi="Times New Roman"/>
          <w:b w:val="0"/>
          <w:i/>
          <w:sz w:val="24"/>
          <w:szCs w:val="24"/>
        </w:rPr>
        <w:t xml:space="preserve"> </w:t>
      </w:r>
      <w:r w:rsidRPr="00DF7C32">
        <w:rPr>
          <w:rFonts w:ascii="Times New Roman" w:hAnsi="Times New Roman"/>
          <w:b w:val="0"/>
          <w:i/>
          <w:sz w:val="24"/>
          <w:szCs w:val="24"/>
        </w:rPr>
        <w:t>Development</w:t>
      </w:r>
      <w:r>
        <w:rPr>
          <w:rFonts w:ascii="Times New Roman" w:hAnsi="Times New Roman"/>
          <w:b w:val="0"/>
          <w:i/>
          <w:sz w:val="24"/>
          <w:szCs w:val="24"/>
        </w:rPr>
        <w:t xml:space="preserve"> </w:t>
      </w:r>
      <w:r w:rsidRPr="00DF7C32">
        <w:rPr>
          <w:rFonts w:ascii="Times New Roman" w:hAnsi="Times New Roman"/>
          <w:b w:val="0"/>
          <w:i/>
          <w:sz w:val="24"/>
          <w:szCs w:val="24"/>
        </w:rPr>
        <w:t>Act2007</w:t>
      </w:r>
      <w:r w:rsidR="006906B6" w:rsidRPr="00871C1B">
        <w:rPr>
          <w:rFonts w:ascii="Times New Roman" w:hAnsi="Times New Roman"/>
          <w:b w:val="0"/>
          <w:iCs/>
          <w:sz w:val="24"/>
          <w:szCs w:val="24"/>
        </w:rPr>
        <w:t>, section 89</w:t>
      </w:r>
      <w:r w:rsidR="00445645">
        <w:rPr>
          <w:rFonts w:ascii="Times New Roman" w:hAnsi="Times New Roman"/>
          <w:b w:val="0"/>
          <w:iCs/>
          <w:sz w:val="24"/>
          <w:szCs w:val="24"/>
        </w:rPr>
        <w:t> </w:t>
      </w:r>
      <w:r w:rsidR="006906B6" w:rsidRPr="00871C1B">
        <w:rPr>
          <w:rFonts w:ascii="Times New Roman" w:hAnsi="Times New Roman"/>
          <w:b w:val="0"/>
          <w:iCs/>
          <w:sz w:val="24"/>
          <w:szCs w:val="24"/>
        </w:rPr>
        <w:t>(1)</w:t>
      </w:r>
      <w:r w:rsidR="00445645">
        <w:rPr>
          <w:rFonts w:ascii="Times New Roman" w:hAnsi="Times New Roman"/>
          <w:b w:val="0"/>
          <w:iCs/>
          <w:sz w:val="24"/>
          <w:szCs w:val="24"/>
        </w:rPr>
        <w:t> </w:t>
      </w:r>
      <w:r w:rsidR="006906B6" w:rsidRPr="00871C1B">
        <w:rPr>
          <w:rFonts w:ascii="Times New Roman" w:hAnsi="Times New Roman"/>
          <w:b w:val="0"/>
          <w:iCs/>
          <w:sz w:val="24"/>
          <w:szCs w:val="24"/>
        </w:rPr>
        <w:t>(a)</w:t>
      </w:r>
      <w:r w:rsidR="006906B6">
        <w:rPr>
          <w:rFonts w:ascii="Times New Roman" w:hAnsi="Times New Roman"/>
          <w:b w:val="0"/>
          <w:iCs/>
          <w:sz w:val="24"/>
          <w:szCs w:val="24"/>
        </w:rPr>
        <w:t>,</w:t>
      </w:r>
      <w:r w:rsidR="006906B6" w:rsidRPr="00871C1B">
        <w:rPr>
          <w:rFonts w:ascii="Times New Roman" w:hAnsi="Times New Roman"/>
          <w:b w:val="0"/>
          <w:iCs/>
          <w:sz w:val="24"/>
          <w:szCs w:val="24"/>
        </w:rPr>
        <w:t xml:space="preserve"> </w:t>
      </w:r>
      <w:r w:rsidRPr="00A16625">
        <w:rPr>
          <w:rFonts w:ascii="Times New Roman" w:hAnsi="Times New Roman"/>
          <w:b w:val="0"/>
          <w:iCs/>
          <w:sz w:val="24"/>
          <w:szCs w:val="24"/>
        </w:rPr>
        <w:t>that</w:t>
      </w:r>
      <w:r>
        <w:rPr>
          <w:rFonts w:ascii="Times New Roman" w:hAnsi="Times New Roman"/>
          <w:b w:val="0"/>
          <w:sz w:val="24"/>
          <w:szCs w:val="24"/>
        </w:rPr>
        <w:t xml:space="preserve"> the </w:t>
      </w:r>
      <w:r w:rsidR="007E661F">
        <w:rPr>
          <w:rFonts w:ascii="Times New Roman" w:hAnsi="Times New Roman"/>
          <w:b w:val="0"/>
          <w:sz w:val="24"/>
          <w:szCs w:val="24"/>
        </w:rPr>
        <w:t xml:space="preserve">Code amendments </w:t>
      </w:r>
      <w:r w:rsidRPr="00DF7C32">
        <w:rPr>
          <w:rFonts w:ascii="Times New Roman" w:hAnsi="Times New Roman"/>
          <w:b w:val="0"/>
          <w:sz w:val="24"/>
          <w:szCs w:val="24"/>
        </w:rPr>
        <w:t>plan variation is a technical amendment to the Territory Plan</w:t>
      </w:r>
      <w:r>
        <w:rPr>
          <w:rFonts w:ascii="Times New Roman" w:hAnsi="Times New Roman"/>
          <w:b w:val="0"/>
          <w:sz w:val="24"/>
          <w:szCs w:val="24"/>
        </w:rPr>
        <w:t>.</w:t>
      </w:r>
    </w:p>
    <w:p w:rsidR="00E27DB7" w:rsidRPr="00B46256" w:rsidRDefault="00E27DB7" w:rsidP="00E27DB7">
      <w:pPr>
        <w:pStyle w:val="BodyText"/>
        <w:spacing w:before="300" w:after="0"/>
        <w:ind w:left="720" w:hanging="720"/>
        <w:rPr>
          <w:rFonts w:cs="Arial"/>
          <w:b/>
          <w:bCs/>
        </w:rPr>
      </w:pPr>
      <w:r w:rsidRPr="00B46256">
        <w:rPr>
          <w:rFonts w:cs="Arial"/>
          <w:b/>
          <w:bCs/>
        </w:rPr>
        <w:t>4</w:t>
      </w:r>
      <w:r w:rsidRPr="00B46256">
        <w:rPr>
          <w:rFonts w:cs="Arial"/>
          <w:b/>
          <w:bCs/>
        </w:rPr>
        <w:tab/>
      </w:r>
      <w:r w:rsidRPr="00B46256">
        <w:rPr>
          <w:rFonts w:eastAsia="Calibri" w:cs="Arial"/>
          <w:b/>
          <w:bCs/>
        </w:rPr>
        <w:t>Dictionary</w:t>
      </w:r>
    </w:p>
    <w:p w:rsidR="00E27DB7" w:rsidRPr="00B46256" w:rsidRDefault="00E27DB7" w:rsidP="00E27DB7">
      <w:pPr>
        <w:pStyle w:val="BodyText"/>
        <w:spacing w:before="140" w:after="0"/>
        <w:ind w:left="720"/>
        <w:rPr>
          <w:rFonts w:ascii="Times New Roman" w:hAnsi="Times New Roman"/>
          <w:bCs/>
        </w:rPr>
      </w:pPr>
      <w:r w:rsidRPr="00B46256">
        <w:rPr>
          <w:rFonts w:ascii="Times New Roman" w:hAnsi="Times New Roman"/>
          <w:bCs/>
        </w:rPr>
        <w:t>In this instrument:</w:t>
      </w:r>
    </w:p>
    <w:p w:rsidR="00E27DB7" w:rsidRPr="00B46256" w:rsidRDefault="007E661F" w:rsidP="00E27DB7">
      <w:pPr>
        <w:pStyle w:val="BodyText"/>
        <w:spacing w:before="140" w:after="0"/>
        <w:ind w:left="720"/>
        <w:rPr>
          <w:rFonts w:ascii="Times New Roman" w:hAnsi="Times New Roman"/>
          <w:b/>
          <w:bCs/>
        </w:rPr>
      </w:pPr>
      <w:r>
        <w:rPr>
          <w:rFonts w:ascii="Times New Roman" w:hAnsi="Times New Roman"/>
          <w:b/>
          <w:bCs/>
          <w:i/>
        </w:rPr>
        <w:t xml:space="preserve">Code amendments </w:t>
      </w:r>
      <w:r w:rsidR="00E27DB7" w:rsidRPr="00B46256">
        <w:rPr>
          <w:rFonts w:ascii="Times New Roman" w:hAnsi="Times New Roman"/>
          <w:b/>
          <w:bCs/>
          <w:i/>
        </w:rPr>
        <w:t>plan variation</w:t>
      </w:r>
      <w:r w:rsidR="00E27DB7" w:rsidRPr="00B46256">
        <w:rPr>
          <w:rFonts w:ascii="Times New Roman" w:hAnsi="Times New Roman"/>
          <w:bCs/>
        </w:rPr>
        <w:t xml:space="preserve"> means the technical amendment to the Territory Plan, variation 202</w:t>
      </w:r>
      <w:r w:rsidR="00B13AEC">
        <w:rPr>
          <w:rFonts w:ascii="Times New Roman" w:hAnsi="Times New Roman"/>
          <w:bCs/>
        </w:rPr>
        <w:t>3-02</w:t>
      </w:r>
      <w:r w:rsidR="00E27DB7" w:rsidRPr="00B46256">
        <w:rPr>
          <w:rFonts w:ascii="Times New Roman" w:hAnsi="Times New Roman"/>
          <w:bCs/>
        </w:rPr>
        <w:t xml:space="preserve">, </w:t>
      </w:r>
      <w:r w:rsidR="009F2070">
        <w:rPr>
          <w:rFonts w:ascii="Times New Roman" w:hAnsi="Times New Roman"/>
          <w:bCs/>
        </w:rPr>
        <w:t xml:space="preserve">as set out </w:t>
      </w:r>
      <w:r w:rsidR="00E27DB7" w:rsidRPr="00B46256">
        <w:rPr>
          <w:rFonts w:ascii="Times New Roman" w:hAnsi="Times New Roman"/>
          <w:bCs/>
        </w:rPr>
        <w:t>in the schedule.</w:t>
      </w:r>
    </w:p>
    <w:p w:rsidR="00E27DB7" w:rsidRPr="00B46256" w:rsidRDefault="00B13AEC" w:rsidP="00E27DB7">
      <w:pPr>
        <w:spacing w:before="720"/>
        <w:rPr>
          <w:rFonts w:ascii="Times New Roman" w:hAnsi="Times New Roman"/>
        </w:rPr>
      </w:pPr>
      <w:r>
        <w:rPr>
          <w:rFonts w:ascii="Times New Roman" w:hAnsi="Times New Roman"/>
        </w:rPr>
        <w:t>Freya O’Brien</w:t>
      </w:r>
    </w:p>
    <w:p w:rsidR="00E27DB7" w:rsidRPr="00B46256" w:rsidRDefault="00E27DB7" w:rsidP="00E27DB7">
      <w:pPr>
        <w:rPr>
          <w:rFonts w:ascii="Times New Roman" w:hAnsi="Times New Roman"/>
          <w:bCs/>
        </w:rPr>
      </w:pPr>
      <w:r w:rsidRPr="00B46256">
        <w:rPr>
          <w:rFonts w:ascii="Times New Roman" w:hAnsi="Times New Roman"/>
          <w:bCs/>
        </w:rPr>
        <w:t>Delegate of the planning and land authority</w:t>
      </w:r>
    </w:p>
    <w:p w:rsidR="00E27DB7" w:rsidRPr="00B46256" w:rsidRDefault="00AE6497" w:rsidP="00E27DB7">
      <w:r>
        <w:rPr>
          <w:rFonts w:ascii="Times New Roman" w:hAnsi="Times New Roman"/>
        </w:rPr>
        <w:t>28</w:t>
      </w:r>
      <w:r w:rsidR="00984AA1">
        <w:rPr>
          <w:rFonts w:ascii="Times New Roman" w:hAnsi="Times New Roman"/>
        </w:rPr>
        <w:t xml:space="preserve"> </w:t>
      </w:r>
      <w:r w:rsidR="00BD064B">
        <w:rPr>
          <w:rFonts w:ascii="Times New Roman" w:hAnsi="Times New Roman"/>
        </w:rPr>
        <w:t xml:space="preserve">March </w:t>
      </w:r>
      <w:r w:rsidR="00C02D65">
        <w:rPr>
          <w:rFonts w:ascii="Times New Roman" w:hAnsi="Times New Roman"/>
        </w:rPr>
        <w:t>202</w:t>
      </w:r>
      <w:r w:rsidR="00233E85">
        <w:rPr>
          <w:rFonts w:ascii="Times New Roman" w:hAnsi="Times New Roman"/>
        </w:rPr>
        <w:t>3</w:t>
      </w:r>
    </w:p>
    <w:p w:rsidR="001D04F6" w:rsidRPr="00C31C20" w:rsidRDefault="00E27DB7" w:rsidP="001D04F6">
      <w:pPr>
        <w:pStyle w:val="TAtitlepageplanninganddevelopmentact"/>
      </w:pPr>
      <w:r>
        <w:br w:type="page"/>
      </w:r>
    </w:p>
    <w:p w:rsidR="001D04F6" w:rsidRDefault="001D04F6" w:rsidP="001D04F6">
      <w:pPr>
        <w:pStyle w:val="TAtitlepageplanninganddevelopmentact"/>
      </w:pPr>
    </w:p>
    <w:p w:rsidR="001D04F6" w:rsidRPr="00875E26" w:rsidRDefault="003E0DA3" w:rsidP="001D04F6">
      <w:pPr>
        <w:pStyle w:val="TAtitlepageplanninganddevelopmentact"/>
        <w:rPr>
          <w:i/>
          <w:iCs/>
        </w:rPr>
      </w:pPr>
      <w:r w:rsidRPr="00875E26">
        <w:rPr>
          <w:i/>
          <w:iCs/>
        </w:rPr>
        <w:t xml:space="preserve">Planning </w:t>
      </w:r>
      <w:r w:rsidR="00875E26">
        <w:rPr>
          <w:i/>
          <w:iCs/>
        </w:rPr>
        <w:t>and</w:t>
      </w:r>
      <w:r w:rsidRPr="00875E26">
        <w:rPr>
          <w:i/>
          <w:iCs/>
        </w:rPr>
        <w:t xml:space="preserve"> Development Act 2007</w:t>
      </w:r>
    </w:p>
    <w:p w:rsidR="001D04F6" w:rsidRPr="00BE441E" w:rsidRDefault="001D04F6" w:rsidP="001D04F6">
      <w:pPr>
        <w:pStyle w:val="TAbodytext"/>
      </w:pPr>
    </w:p>
    <w:p w:rsidR="00FC3C0E" w:rsidRPr="00FC3C0E" w:rsidRDefault="00FC3C0E" w:rsidP="00FC3C0E">
      <w:pPr>
        <w:pStyle w:val="TATitlepagedocumenttitle"/>
        <w:pBdr>
          <w:bottom w:val="single" w:sz="4" w:space="14" w:color="auto"/>
        </w:pBdr>
        <w:spacing w:after="0"/>
        <w:rPr>
          <w:sz w:val="24"/>
        </w:rPr>
      </w:pPr>
    </w:p>
    <w:p w:rsidR="001D04F6" w:rsidRPr="00BE441E" w:rsidRDefault="003E0DA3" w:rsidP="00FC3C0E">
      <w:pPr>
        <w:pStyle w:val="TATitlepagedocumenttitle"/>
        <w:pBdr>
          <w:bottom w:val="single" w:sz="4" w:space="14" w:color="auto"/>
        </w:pBdr>
        <w:spacing w:before="120"/>
      </w:pPr>
      <w:r w:rsidRPr="00BE441E">
        <w:t xml:space="preserve">Technical </w:t>
      </w:r>
      <w:r w:rsidRPr="00C31C20">
        <w:t>Amendment</w:t>
      </w:r>
      <w:r w:rsidR="00FC3C0E">
        <w:br/>
      </w:r>
      <w:r w:rsidRPr="00BE441E">
        <w:t>to the Territory Plan</w:t>
      </w:r>
    </w:p>
    <w:p w:rsidR="00FC3C0E" w:rsidRDefault="00FC3C0E" w:rsidP="00FC3C0E">
      <w:pPr>
        <w:pStyle w:val="TATitlepagedocumenttitle"/>
        <w:pBdr>
          <w:bottom w:val="single" w:sz="4" w:space="14" w:color="auto"/>
        </w:pBdr>
        <w:tabs>
          <w:tab w:val="clear" w:pos="720"/>
          <w:tab w:val="clear" w:pos="1440"/>
        </w:tabs>
      </w:pPr>
      <w:bookmarkStart w:id="1" w:name="Variation_number"/>
    </w:p>
    <w:bookmarkEnd w:id="1"/>
    <w:p w:rsidR="001D04F6" w:rsidRPr="00BE441E" w:rsidRDefault="00D53FA4" w:rsidP="00FC3C0E">
      <w:pPr>
        <w:pStyle w:val="TATitlepagedocumenttitle"/>
        <w:pBdr>
          <w:bottom w:val="single" w:sz="4" w:space="14" w:color="auto"/>
        </w:pBdr>
        <w:tabs>
          <w:tab w:val="clear" w:pos="720"/>
          <w:tab w:val="clear" w:pos="1440"/>
        </w:tabs>
      </w:pPr>
      <w:r>
        <w:t>202</w:t>
      </w:r>
      <w:r w:rsidR="00B13AEC">
        <w:t>3-02</w:t>
      </w:r>
    </w:p>
    <w:p w:rsidR="001D04F6" w:rsidRPr="00BE441E" w:rsidRDefault="001D04F6" w:rsidP="001D04F6">
      <w:pPr>
        <w:pStyle w:val="TAbodytext"/>
      </w:pPr>
    </w:p>
    <w:p w:rsidR="001D04F6" w:rsidRDefault="001D04F6" w:rsidP="001D04F6">
      <w:pPr>
        <w:pStyle w:val="TAbodytext"/>
      </w:pPr>
    </w:p>
    <w:p w:rsidR="00766E3C" w:rsidRPr="00BE441E" w:rsidRDefault="00766E3C" w:rsidP="001D04F6">
      <w:pPr>
        <w:pStyle w:val="TAbodytext"/>
      </w:pPr>
    </w:p>
    <w:p w:rsidR="00233E85" w:rsidRDefault="00C94E10" w:rsidP="00766E3C">
      <w:pPr>
        <w:pStyle w:val="TATitleexplanatoryheading"/>
      </w:pPr>
      <w:r>
        <w:t xml:space="preserve">Changes to the </w:t>
      </w:r>
    </w:p>
    <w:p w:rsidR="00766E3C" w:rsidRPr="004827EA" w:rsidRDefault="00C94E10" w:rsidP="00766E3C">
      <w:pPr>
        <w:pStyle w:val="TATitleexplanatoryheading"/>
      </w:pPr>
      <w:r>
        <w:t>W</w:t>
      </w:r>
      <w:r w:rsidR="00B13AEC">
        <w:t>est Belconnen Concept Plan</w:t>
      </w:r>
    </w:p>
    <w:p w:rsidR="007F1642" w:rsidRDefault="007F1642" w:rsidP="007F1642">
      <w:pPr>
        <w:pStyle w:val="TATitleexplanatoryheading"/>
      </w:pPr>
    </w:p>
    <w:p w:rsidR="007F1642" w:rsidRPr="00BE441E" w:rsidRDefault="007F1642" w:rsidP="00F435E2">
      <w:pPr>
        <w:pStyle w:val="TATitleexplanatoryheading"/>
        <w:jc w:val="left"/>
      </w:pPr>
    </w:p>
    <w:p w:rsidR="001D04F6" w:rsidRPr="007D3FA6" w:rsidRDefault="00BD064B" w:rsidP="00FC3C0E">
      <w:pPr>
        <w:pStyle w:val="TAbodytext"/>
        <w:tabs>
          <w:tab w:val="clear" w:pos="720"/>
          <w:tab w:val="clear" w:pos="1440"/>
        </w:tabs>
        <w:jc w:val="center"/>
        <w:rPr>
          <w:sz w:val="40"/>
          <w:szCs w:val="40"/>
        </w:rPr>
      </w:pPr>
      <w:r>
        <w:rPr>
          <w:sz w:val="40"/>
          <w:szCs w:val="40"/>
        </w:rPr>
        <w:t xml:space="preserve">March </w:t>
      </w:r>
      <w:r w:rsidR="007F1642" w:rsidRPr="005045B3">
        <w:rPr>
          <w:sz w:val="40"/>
          <w:szCs w:val="40"/>
        </w:rPr>
        <w:t>202</w:t>
      </w:r>
      <w:r w:rsidR="00233E85">
        <w:rPr>
          <w:sz w:val="40"/>
          <w:szCs w:val="40"/>
        </w:rPr>
        <w:t>3</w:t>
      </w:r>
    </w:p>
    <w:p w:rsidR="001D04F6" w:rsidRDefault="001D04F6" w:rsidP="001D04F6">
      <w:pPr>
        <w:pStyle w:val="TATitlepagemonthandyear"/>
        <w:rPr>
          <w:sz w:val="24"/>
          <w:szCs w:val="24"/>
        </w:rPr>
      </w:pPr>
    </w:p>
    <w:p w:rsidR="00E27DB7" w:rsidRDefault="00E27DB7" w:rsidP="001D04F6">
      <w:pPr>
        <w:pStyle w:val="DVVersionheading"/>
        <w:jc w:val="center"/>
        <w:rPr>
          <w:rFonts w:cs="Calibri"/>
          <w:bCs/>
          <w:sz w:val="24"/>
          <w:szCs w:val="24"/>
        </w:rPr>
      </w:pPr>
    </w:p>
    <w:p w:rsidR="00E27DB7" w:rsidRDefault="00E27DB7" w:rsidP="001D04F6">
      <w:pPr>
        <w:pStyle w:val="DVVersionheading"/>
        <w:jc w:val="center"/>
        <w:rPr>
          <w:rFonts w:cs="Calibri"/>
          <w:bCs/>
          <w:sz w:val="24"/>
          <w:szCs w:val="24"/>
        </w:rPr>
      </w:pPr>
    </w:p>
    <w:p w:rsidR="001D04F6" w:rsidRDefault="00E27DB7" w:rsidP="001D04F6">
      <w:pPr>
        <w:pStyle w:val="DVVersionheading"/>
        <w:jc w:val="center"/>
        <w:rPr>
          <w:rFonts w:cs="Calibri"/>
          <w:b/>
          <w:sz w:val="24"/>
          <w:szCs w:val="24"/>
        </w:rPr>
      </w:pPr>
      <w:r>
        <w:rPr>
          <w:rFonts w:cs="Calibri"/>
          <w:bCs/>
          <w:sz w:val="24"/>
          <w:szCs w:val="24"/>
        </w:rPr>
        <w:t xml:space="preserve">Commencement version </w:t>
      </w:r>
      <w:r>
        <w:rPr>
          <w:rFonts w:cs="Calibri"/>
          <w:bCs/>
          <w:sz w:val="24"/>
          <w:szCs w:val="24"/>
        </w:rPr>
        <w:br/>
        <w:t xml:space="preserve">under section 89 of the </w:t>
      </w:r>
      <w:r>
        <w:rPr>
          <w:rFonts w:cs="Calibri"/>
          <w:i/>
          <w:sz w:val="24"/>
          <w:szCs w:val="24"/>
        </w:rPr>
        <w:t xml:space="preserve">Planning and </w:t>
      </w:r>
      <w:r w:rsidR="003E0DA3">
        <w:rPr>
          <w:rFonts w:cs="Calibri"/>
          <w:i/>
          <w:sz w:val="24"/>
          <w:szCs w:val="24"/>
        </w:rPr>
        <w:t>Development Act 2007</w:t>
      </w:r>
    </w:p>
    <w:p w:rsidR="001D04F6" w:rsidRPr="006C3DEE" w:rsidRDefault="001D04F6" w:rsidP="001D04F6">
      <w:pPr>
        <w:pStyle w:val="TATitlepagemonthandyear"/>
        <w:sectPr w:rsidR="001D04F6" w:rsidRPr="006C3DEE" w:rsidSect="009F2070">
          <w:headerReference w:type="even" r:id="rId8"/>
          <w:headerReference w:type="default" r:id="rId9"/>
          <w:footerReference w:type="even" r:id="rId10"/>
          <w:footerReference w:type="default" r:id="rId11"/>
          <w:headerReference w:type="first" r:id="rId12"/>
          <w:footerReference w:type="first" r:id="rId13"/>
          <w:pgSz w:w="11907" w:h="16840"/>
          <w:pgMar w:top="1361" w:right="1797" w:bottom="1418" w:left="1797" w:header="720" w:footer="1009" w:gutter="0"/>
          <w:pgNumType w:start="1"/>
          <w:cols w:space="720"/>
          <w:titlePg/>
          <w:docGrid w:linePitch="326"/>
        </w:sectPr>
      </w:pPr>
    </w:p>
    <w:p w:rsidR="001D04F6" w:rsidRPr="00BE441E" w:rsidRDefault="003E0DA3" w:rsidP="001D04F6">
      <w:pPr>
        <w:pStyle w:val="TATableofcontentsTitle"/>
      </w:pPr>
      <w:r w:rsidRPr="00BE441E">
        <w:lastRenderedPageBreak/>
        <w:t>Table of Contents</w:t>
      </w:r>
    </w:p>
    <w:p w:rsidR="00984AA1" w:rsidRDefault="00AD2AC7">
      <w:pPr>
        <w:pStyle w:val="TOC1"/>
        <w:tabs>
          <w:tab w:val="right" w:leader="dot" w:pos="8835"/>
        </w:tabs>
        <w:rPr>
          <w:rFonts w:ascii="Calibri" w:hAnsi="Calibri"/>
          <w:caps w:val="0"/>
          <w:sz w:val="22"/>
          <w:szCs w:val="22"/>
        </w:rPr>
      </w:pPr>
      <w:r>
        <w:fldChar w:fldCharType="begin"/>
      </w:r>
      <w:r w:rsidR="003E0DA3">
        <w:instrText xml:space="preserve"> TOC \h \z \t "TA Appendix heading,3,TA section heading,1,TA section heading 2,2,TA section heading 3,3" </w:instrText>
      </w:r>
      <w:r>
        <w:fldChar w:fldCharType="separate"/>
      </w:r>
      <w:hyperlink w:anchor="_Toc130210753" w:history="1">
        <w:r w:rsidR="00984AA1" w:rsidRPr="00976B2C">
          <w:rPr>
            <w:rStyle w:val="Hyperlink"/>
          </w:rPr>
          <w:t>1. INTRODUCTION</w:t>
        </w:r>
        <w:r w:rsidR="00984AA1">
          <w:rPr>
            <w:webHidden/>
          </w:rPr>
          <w:tab/>
        </w:r>
        <w:r w:rsidR="00984AA1">
          <w:rPr>
            <w:webHidden/>
          </w:rPr>
          <w:fldChar w:fldCharType="begin"/>
        </w:r>
        <w:r w:rsidR="00984AA1">
          <w:rPr>
            <w:webHidden/>
          </w:rPr>
          <w:instrText xml:space="preserve"> PAGEREF _Toc130210753 \h </w:instrText>
        </w:r>
        <w:r w:rsidR="00984AA1">
          <w:rPr>
            <w:webHidden/>
          </w:rPr>
        </w:r>
        <w:r w:rsidR="00984AA1">
          <w:rPr>
            <w:webHidden/>
          </w:rPr>
          <w:fldChar w:fldCharType="separate"/>
        </w:r>
        <w:r w:rsidR="00984AA1">
          <w:rPr>
            <w:webHidden/>
          </w:rPr>
          <w:t>1</w:t>
        </w:r>
        <w:r w:rsidR="00984AA1">
          <w:rPr>
            <w:webHidden/>
          </w:rPr>
          <w:fldChar w:fldCharType="end"/>
        </w:r>
      </w:hyperlink>
    </w:p>
    <w:p w:rsidR="00984AA1" w:rsidRDefault="00984AA1">
      <w:pPr>
        <w:pStyle w:val="TOC3"/>
        <w:rPr>
          <w:rFonts w:ascii="Calibri" w:hAnsi="Calibri"/>
          <w:noProof/>
          <w:sz w:val="22"/>
          <w:szCs w:val="22"/>
        </w:rPr>
      </w:pPr>
      <w:hyperlink w:anchor="_Toc130210754" w:history="1">
        <w:r w:rsidRPr="00976B2C">
          <w:rPr>
            <w:rStyle w:val="Hyperlink"/>
            <w:noProof/>
          </w:rPr>
          <w:t>1.1 Purpose</w:t>
        </w:r>
        <w:r>
          <w:rPr>
            <w:noProof/>
            <w:webHidden/>
          </w:rPr>
          <w:tab/>
        </w:r>
        <w:r>
          <w:rPr>
            <w:noProof/>
            <w:webHidden/>
          </w:rPr>
          <w:fldChar w:fldCharType="begin"/>
        </w:r>
        <w:r>
          <w:rPr>
            <w:noProof/>
            <w:webHidden/>
          </w:rPr>
          <w:instrText xml:space="preserve"> PAGEREF _Toc130210754 \h </w:instrText>
        </w:r>
        <w:r>
          <w:rPr>
            <w:noProof/>
            <w:webHidden/>
          </w:rPr>
        </w:r>
        <w:r>
          <w:rPr>
            <w:noProof/>
            <w:webHidden/>
          </w:rPr>
          <w:fldChar w:fldCharType="separate"/>
        </w:r>
        <w:r>
          <w:rPr>
            <w:noProof/>
            <w:webHidden/>
          </w:rPr>
          <w:t>1</w:t>
        </w:r>
        <w:r>
          <w:rPr>
            <w:noProof/>
            <w:webHidden/>
          </w:rPr>
          <w:fldChar w:fldCharType="end"/>
        </w:r>
      </w:hyperlink>
    </w:p>
    <w:p w:rsidR="00984AA1" w:rsidRDefault="00984AA1">
      <w:pPr>
        <w:pStyle w:val="TOC3"/>
        <w:rPr>
          <w:rFonts w:ascii="Calibri" w:hAnsi="Calibri"/>
          <w:noProof/>
          <w:sz w:val="22"/>
          <w:szCs w:val="22"/>
        </w:rPr>
      </w:pPr>
      <w:hyperlink w:anchor="_Toc130210755" w:history="1">
        <w:r w:rsidRPr="00976B2C">
          <w:rPr>
            <w:rStyle w:val="Hyperlink"/>
            <w:noProof/>
          </w:rPr>
          <w:t>1.2 Public consultation</w:t>
        </w:r>
        <w:r>
          <w:rPr>
            <w:noProof/>
            <w:webHidden/>
          </w:rPr>
          <w:tab/>
        </w:r>
        <w:r>
          <w:rPr>
            <w:noProof/>
            <w:webHidden/>
          </w:rPr>
          <w:fldChar w:fldCharType="begin"/>
        </w:r>
        <w:r>
          <w:rPr>
            <w:noProof/>
            <w:webHidden/>
          </w:rPr>
          <w:instrText xml:space="preserve"> PAGEREF _Toc130210755 \h </w:instrText>
        </w:r>
        <w:r>
          <w:rPr>
            <w:noProof/>
            <w:webHidden/>
          </w:rPr>
        </w:r>
        <w:r>
          <w:rPr>
            <w:noProof/>
            <w:webHidden/>
          </w:rPr>
          <w:fldChar w:fldCharType="separate"/>
        </w:r>
        <w:r>
          <w:rPr>
            <w:noProof/>
            <w:webHidden/>
          </w:rPr>
          <w:t>1</w:t>
        </w:r>
        <w:r>
          <w:rPr>
            <w:noProof/>
            <w:webHidden/>
          </w:rPr>
          <w:fldChar w:fldCharType="end"/>
        </w:r>
      </w:hyperlink>
    </w:p>
    <w:p w:rsidR="00984AA1" w:rsidRDefault="00984AA1">
      <w:pPr>
        <w:pStyle w:val="TOC3"/>
        <w:rPr>
          <w:rFonts w:ascii="Calibri" w:hAnsi="Calibri"/>
          <w:noProof/>
          <w:sz w:val="22"/>
          <w:szCs w:val="22"/>
        </w:rPr>
      </w:pPr>
      <w:hyperlink w:anchor="_Toc130210756" w:history="1">
        <w:r w:rsidRPr="00976B2C">
          <w:rPr>
            <w:rStyle w:val="Hyperlink"/>
            <w:noProof/>
          </w:rPr>
          <w:t>1.3 National Capital Authority</w:t>
        </w:r>
        <w:r>
          <w:rPr>
            <w:noProof/>
            <w:webHidden/>
          </w:rPr>
          <w:tab/>
        </w:r>
        <w:r>
          <w:rPr>
            <w:noProof/>
            <w:webHidden/>
          </w:rPr>
          <w:fldChar w:fldCharType="begin"/>
        </w:r>
        <w:r>
          <w:rPr>
            <w:noProof/>
            <w:webHidden/>
          </w:rPr>
          <w:instrText xml:space="preserve"> PAGEREF _Toc130210756 \h </w:instrText>
        </w:r>
        <w:r>
          <w:rPr>
            <w:noProof/>
            <w:webHidden/>
          </w:rPr>
        </w:r>
        <w:r>
          <w:rPr>
            <w:noProof/>
            <w:webHidden/>
          </w:rPr>
          <w:fldChar w:fldCharType="separate"/>
        </w:r>
        <w:r>
          <w:rPr>
            <w:noProof/>
            <w:webHidden/>
          </w:rPr>
          <w:t>1</w:t>
        </w:r>
        <w:r>
          <w:rPr>
            <w:noProof/>
            <w:webHidden/>
          </w:rPr>
          <w:fldChar w:fldCharType="end"/>
        </w:r>
      </w:hyperlink>
    </w:p>
    <w:p w:rsidR="00984AA1" w:rsidRDefault="00984AA1">
      <w:pPr>
        <w:pStyle w:val="TOC3"/>
        <w:rPr>
          <w:rFonts w:ascii="Calibri" w:hAnsi="Calibri"/>
          <w:noProof/>
          <w:sz w:val="22"/>
          <w:szCs w:val="22"/>
        </w:rPr>
      </w:pPr>
      <w:hyperlink w:anchor="_Toc130210757" w:history="1">
        <w:r w:rsidRPr="00976B2C">
          <w:rPr>
            <w:rStyle w:val="Hyperlink"/>
            <w:noProof/>
          </w:rPr>
          <w:t>1.4 Process</w:t>
        </w:r>
        <w:r>
          <w:rPr>
            <w:noProof/>
            <w:webHidden/>
          </w:rPr>
          <w:tab/>
        </w:r>
        <w:r>
          <w:rPr>
            <w:noProof/>
            <w:webHidden/>
          </w:rPr>
          <w:fldChar w:fldCharType="begin"/>
        </w:r>
        <w:r>
          <w:rPr>
            <w:noProof/>
            <w:webHidden/>
          </w:rPr>
          <w:instrText xml:space="preserve"> PAGEREF _Toc130210757 \h </w:instrText>
        </w:r>
        <w:r>
          <w:rPr>
            <w:noProof/>
            <w:webHidden/>
          </w:rPr>
        </w:r>
        <w:r>
          <w:rPr>
            <w:noProof/>
            <w:webHidden/>
          </w:rPr>
          <w:fldChar w:fldCharType="separate"/>
        </w:r>
        <w:r>
          <w:rPr>
            <w:noProof/>
            <w:webHidden/>
          </w:rPr>
          <w:t>1</w:t>
        </w:r>
        <w:r>
          <w:rPr>
            <w:noProof/>
            <w:webHidden/>
          </w:rPr>
          <w:fldChar w:fldCharType="end"/>
        </w:r>
      </w:hyperlink>
    </w:p>
    <w:p w:rsidR="00984AA1" w:rsidRDefault="00984AA1">
      <w:pPr>
        <w:pStyle w:val="TOC3"/>
        <w:rPr>
          <w:rFonts w:ascii="Calibri" w:hAnsi="Calibri"/>
          <w:noProof/>
          <w:sz w:val="22"/>
          <w:szCs w:val="22"/>
        </w:rPr>
      </w:pPr>
      <w:hyperlink w:anchor="_Toc130210758" w:history="1">
        <w:r w:rsidRPr="00976B2C">
          <w:rPr>
            <w:rStyle w:val="Hyperlink"/>
            <w:noProof/>
          </w:rPr>
          <w:t>1.5 Types of technical amendments under the Act</w:t>
        </w:r>
        <w:r>
          <w:rPr>
            <w:noProof/>
            <w:webHidden/>
          </w:rPr>
          <w:tab/>
        </w:r>
        <w:r>
          <w:rPr>
            <w:noProof/>
            <w:webHidden/>
          </w:rPr>
          <w:fldChar w:fldCharType="begin"/>
        </w:r>
        <w:r>
          <w:rPr>
            <w:noProof/>
            <w:webHidden/>
          </w:rPr>
          <w:instrText xml:space="preserve"> PAGEREF _Toc130210758 \h </w:instrText>
        </w:r>
        <w:r>
          <w:rPr>
            <w:noProof/>
            <w:webHidden/>
          </w:rPr>
        </w:r>
        <w:r>
          <w:rPr>
            <w:noProof/>
            <w:webHidden/>
          </w:rPr>
          <w:fldChar w:fldCharType="separate"/>
        </w:r>
        <w:r>
          <w:rPr>
            <w:noProof/>
            <w:webHidden/>
          </w:rPr>
          <w:t>2</w:t>
        </w:r>
        <w:r>
          <w:rPr>
            <w:noProof/>
            <w:webHidden/>
          </w:rPr>
          <w:fldChar w:fldCharType="end"/>
        </w:r>
      </w:hyperlink>
    </w:p>
    <w:p w:rsidR="00984AA1" w:rsidRDefault="00984AA1">
      <w:pPr>
        <w:pStyle w:val="TOC1"/>
        <w:tabs>
          <w:tab w:val="right" w:leader="dot" w:pos="8835"/>
        </w:tabs>
        <w:rPr>
          <w:rFonts w:ascii="Calibri" w:hAnsi="Calibri"/>
          <w:caps w:val="0"/>
          <w:sz w:val="22"/>
          <w:szCs w:val="22"/>
        </w:rPr>
      </w:pPr>
      <w:hyperlink w:anchor="_Toc130210759" w:history="1">
        <w:r w:rsidRPr="00976B2C">
          <w:rPr>
            <w:rStyle w:val="Hyperlink"/>
          </w:rPr>
          <w:t>2. EXPLANATORY STATEMENT</w:t>
        </w:r>
        <w:r>
          <w:rPr>
            <w:webHidden/>
          </w:rPr>
          <w:tab/>
        </w:r>
        <w:r>
          <w:rPr>
            <w:webHidden/>
          </w:rPr>
          <w:fldChar w:fldCharType="begin"/>
        </w:r>
        <w:r>
          <w:rPr>
            <w:webHidden/>
          </w:rPr>
          <w:instrText xml:space="preserve"> PAGEREF _Toc130210759 \h </w:instrText>
        </w:r>
        <w:r>
          <w:rPr>
            <w:webHidden/>
          </w:rPr>
        </w:r>
        <w:r>
          <w:rPr>
            <w:webHidden/>
          </w:rPr>
          <w:fldChar w:fldCharType="separate"/>
        </w:r>
        <w:r>
          <w:rPr>
            <w:webHidden/>
          </w:rPr>
          <w:t>3</w:t>
        </w:r>
        <w:r>
          <w:rPr>
            <w:webHidden/>
          </w:rPr>
          <w:fldChar w:fldCharType="end"/>
        </w:r>
      </w:hyperlink>
    </w:p>
    <w:p w:rsidR="00984AA1" w:rsidRDefault="00984AA1">
      <w:pPr>
        <w:pStyle w:val="TOC3"/>
        <w:rPr>
          <w:rFonts w:ascii="Calibri" w:hAnsi="Calibri"/>
          <w:noProof/>
          <w:sz w:val="22"/>
          <w:szCs w:val="22"/>
        </w:rPr>
      </w:pPr>
      <w:hyperlink w:anchor="_Toc130210760" w:history="1">
        <w:r w:rsidRPr="00976B2C">
          <w:rPr>
            <w:rStyle w:val="Hyperlink"/>
            <w:noProof/>
          </w:rPr>
          <w:t>2.1 Background</w:t>
        </w:r>
        <w:r>
          <w:rPr>
            <w:noProof/>
            <w:webHidden/>
          </w:rPr>
          <w:tab/>
        </w:r>
        <w:r>
          <w:rPr>
            <w:noProof/>
            <w:webHidden/>
          </w:rPr>
          <w:fldChar w:fldCharType="begin"/>
        </w:r>
        <w:r>
          <w:rPr>
            <w:noProof/>
            <w:webHidden/>
          </w:rPr>
          <w:instrText xml:space="preserve"> PAGEREF _Toc130210760 \h </w:instrText>
        </w:r>
        <w:r>
          <w:rPr>
            <w:noProof/>
            <w:webHidden/>
          </w:rPr>
        </w:r>
        <w:r>
          <w:rPr>
            <w:noProof/>
            <w:webHidden/>
          </w:rPr>
          <w:fldChar w:fldCharType="separate"/>
        </w:r>
        <w:r>
          <w:rPr>
            <w:noProof/>
            <w:webHidden/>
          </w:rPr>
          <w:t>3</w:t>
        </w:r>
        <w:r>
          <w:rPr>
            <w:noProof/>
            <w:webHidden/>
          </w:rPr>
          <w:fldChar w:fldCharType="end"/>
        </w:r>
      </w:hyperlink>
    </w:p>
    <w:p w:rsidR="00984AA1" w:rsidRDefault="00984AA1">
      <w:pPr>
        <w:pStyle w:val="TOC3"/>
        <w:rPr>
          <w:rFonts w:ascii="Calibri" w:hAnsi="Calibri"/>
          <w:noProof/>
          <w:sz w:val="22"/>
          <w:szCs w:val="22"/>
        </w:rPr>
      </w:pPr>
      <w:hyperlink w:anchor="_Toc130210761" w:history="1">
        <w:r w:rsidRPr="00976B2C">
          <w:rPr>
            <w:rStyle w:val="Hyperlink"/>
            <w:noProof/>
          </w:rPr>
          <w:t>2.2 Changes to the West Belconnen Concept Plan</w:t>
        </w:r>
        <w:r>
          <w:rPr>
            <w:noProof/>
            <w:webHidden/>
          </w:rPr>
          <w:tab/>
        </w:r>
        <w:r>
          <w:rPr>
            <w:noProof/>
            <w:webHidden/>
          </w:rPr>
          <w:fldChar w:fldCharType="begin"/>
        </w:r>
        <w:r>
          <w:rPr>
            <w:noProof/>
            <w:webHidden/>
          </w:rPr>
          <w:instrText xml:space="preserve"> PAGEREF _Toc130210761 \h </w:instrText>
        </w:r>
        <w:r>
          <w:rPr>
            <w:noProof/>
            <w:webHidden/>
          </w:rPr>
        </w:r>
        <w:r>
          <w:rPr>
            <w:noProof/>
            <w:webHidden/>
          </w:rPr>
          <w:fldChar w:fldCharType="separate"/>
        </w:r>
        <w:r>
          <w:rPr>
            <w:noProof/>
            <w:webHidden/>
          </w:rPr>
          <w:t>3</w:t>
        </w:r>
        <w:r>
          <w:rPr>
            <w:noProof/>
            <w:webHidden/>
          </w:rPr>
          <w:fldChar w:fldCharType="end"/>
        </w:r>
      </w:hyperlink>
    </w:p>
    <w:p w:rsidR="00984AA1" w:rsidRDefault="00984AA1">
      <w:pPr>
        <w:pStyle w:val="TOC1"/>
        <w:tabs>
          <w:tab w:val="right" w:leader="dot" w:pos="8835"/>
        </w:tabs>
        <w:rPr>
          <w:rFonts w:ascii="Calibri" w:hAnsi="Calibri"/>
          <w:caps w:val="0"/>
          <w:sz w:val="22"/>
          <w:szCs w:val="22"/>
        </w:rPr>
      </w:pPr>
      <w:hyperlink w:anchor="_Toc130210762" w:history="1">
        <w:r w:rsidRPr="00976B2C">
          <w:rPr>
            <w:rStyle w:val="Hyperlink"/>
          </w:rPr>
          <w:t>3. TECHNICAL AMENDMENT</w:t>
        </w:r>
        <w:r>
          <w:rPr>
            <w:webHidden/>
          </w:rPr>
          <w:tab/>
        </w:r>
        <w:r>
          <w:rPr>
            <w:webHidden/>
          </w:rPr>
          <w:fldChar w:fldCharType="begin"/>
        </w:r>
        <w:r>
          <w:rPr>
            <w:webHidden/>
          </w:rPr>
          <w:instrText xml:space="preserve"> PAGEREF _Toc130210762 \h </w:instrText>
        </w:r>
        <w:r>
          <w:rPr>
            <w:webHidden/>
          </w:rPr>
        </w:r>
        <w:r>
          <w:rPr>
            <w:webHidden/>
          </w:rPr>
          <w:fldChar w:fldCharType="separate"/>
        </w:r>
        <w:r>
          <w:rPr>
            <w:webHidden/>
          </w:rPr>
          <w:t>6</w:t>
        </w:r>
        <w:r>
          <w:rPr>
            <w:webHidden/>
          </w:rPr>
          <w:fldChar w:fldCharType="end"/>
        </w:r>
      </w:hyperlink>
    </w:p>
    <w:p w:rsidR="00984AA1" w:rsidRDefault="00984AA1">
      <w:pPr>
        <w:pStyle w:val="TOC3"/>
        <w:rPr>
          <w:rFonts w:ascii="Calibri" w:hAnsi="Calibri"/>
          <w:noProof/>
          <w:sz w:val="22"/>
          <w:szCs w:val="22"/>
        </w:rPr>
      </w:pPr>
      <w:hyperlink w:anchor="_Toc130210763" w:history="1">
        <w:r w:rsidRPr="00976B2C">
          <w:rPr>
            <w:rStyle w:val="Hyperlink"/>
            <w:noProof/>
          </w:rPr>
          <w:t>3.1 Variation to the West Belconnen Concept Plan</w:t>
        </w:r>
        <w:r>
          <w:rPr>
            <w:noProof/>
            <w:webHidden/>
          </w:rPr>
          <w:tab/>
        </w:r>
        <w:r>
          <w:rPr>
            <w:noProof/>
            <w:webHidden/>
          </w:rPr>
          <w:fldChar w:fldCharType="begin"/>
        </w:r>
        <w:r>
          <w:rPr>
            <w:noProof/>
            <w:webHidden/>
          </w:rPr>
          <w:instrText xml:space="preserve"> PAGEREF _Toc130210763 \h </w:instrText>
        </w:r>
        <w:r>
          <w:rPr>
            <w:noProof/>
            <w:webHidden/>
          </w:rPr>
        </w:r>
        <w:r>
          <w:rPr>
            <w:noProof/>
            <w:webHidden/>
          </w:rPr>
          <w:fldChar w:fldCharType="separate"/>
        </w:r>
        <w:r>
          <w:rPr>
            <w:noProof/>
            <w:webHidden/>
          </w:rPr>
          <w:t>6</w:t>
        </w:r>
        <w:r>
          <w:rPr>
            <w:noProof/>
            <w:webHidden/>
          </w:rPr>
          <w:fldChar w:fldCharType="end"/>
        </w:r>
      </w:hyperlink>
    </w:p>
    <w:p w:rsidR="001D04F6" w:rsidRPr="00BE441E" w:rsidRDefault="00AD2AC7" w:rsidP="004D0C91">
      <w:pPr>
        <w:pStyle w:val="TOC1"/>
        <w:tabs>
          <w:tab w:val="right" w:leader="dot" w:pos="8835"/>
        </w:tabs>
        <w:sectPr w:rsidR="001D04F6" w:rsidRPr="00BE441E">
          <w:headerReference w:type="default" r:id="rId14"/>
          <w:footerReference w:type="default" r:id="rId15"/>
          <w:pgSz w:w="11907" w:h="16840"/>
          <w:pgMar w:top="1361" w:right="1531" w:bottom="1559" w:left="1531" w:header="720" w:footer="1009" w:gutter="0"/>
          <w:pgNumType w:fmt="lowerRoman" w:start="1"/>
          <w:cols w:space="720"/>
        </w:sectPr>
      </w:pPr>
      <w:r>
        <w:fldChar w:fldCharType="end"/>
      </w:r>
    </w:p>
    <w:p w:rsidR="001D04F6" w:rsidRPr="00BE441E" w:rsidRDefault="003E0DA3" w:rsidP="001D04F6">
      <w:pPr>
        <w:pStyle w:val="TAsectionheading"/>
      </w:pPr>
      <w:bookmarkStart w:id="2" w:name="_Toc254851535"/>
      <w:bookmarkStart w:id="3" w:name="_Toc469927019"/>
      <w:bookmarkStart w:id="4" w:name="_Toc130210753"/>
      <w:r w:rsidRPr="00BE441E">
        <w:lastRenderedPageBreak/>
        <w:t>INTRODUCTION</w:t>
      </w:r>
      <w:bookmarkEnd w:id="2"/>
      <w:bookmarkEnd w:id="3"/>
      <w:bookmarkEnd w:id="4"/>
    </w:p>
    <w:p w:rsidR="00332269" w:rsidRDefault="00F66A90" w:rsidP="00622237">
      <w:pPr>
        <w:pStyle w:val="TAsectionheading3"/>
        <w:spacing w:before="480"/>
        <w:ind w:hanging="862"/>
      </w:pPr>
      <w:bookmarkStart w:id="5" w:name="_Toc327263732"/>
      <w:bookmarkStart w:id="6" w:name="_Toc364933260"/>
      <w:bookmarkStart w:id="7" w:name="_Toc469927020"/>
      <w:bookmarkStart w:id="8" w:name="_Toc214687943"/>
      <w:r>
        <w:t xml:space="preserve">  </w:t>
      </w:r>
      <w:bookmarkStart w:id="9" w:name="_Toc130210754"/>
      <w:r w:rsidR="00332269">
        <w:t>Purpose</w:t>
      </w:r>
      <w:bookmarkEnd w:id="5"/>
      <w:bookmarkEnd w:id="6"/>
      <w:bookmarkEnd w:id="7"/>
      <w:bookmarkEnd w:id="9"/>
    </w:p>
    <w:p w:rsidR="00766E3C" w:rsidRPr="00766E3C" w:rsidRDefault="00766E3C" w:rsidP="00766E3C">
      <w:pPr>
        <w:pStyle w:val="TAbodytext"/>
        <w:spacing w:after="240"/>
        <w:rPr>
          <w:rFonts w:ascii="Times New Roman" w:hAnsi="Times New Roman"/>
        </w:rPr>
      </w:pPr>
      <w:bookmarkStart w:id="10" w:name="_Toc327263733"/>
      <w:bookmarkStart w:id="11" w:name="_Toc364933261"/>
      <w:bookmarkStart w:id="12" w:name="_Toc390767271"/>
      <w:bookmarkStart w:id="13" w:name="_Toc469927021"/>
      <w:r w:rsidRPr="00766E3C">
        <w:t>This technical amendment</w:t>
      </w:r>
      <w:r w:rsidR="006E1140">
        <w:t xml:space="preserve"> </w:t>
      </w:r>
      <w:r w:rsidRPr="00766E3C">
        <w:t>make</w:t>
      </w:r>
      <w:r w:rsidR="00E27DB7">
        <w:t>s</w:t>
      </w:r>
      <w:r w:rsidRPr="00766E3C">
        <w:t xml:space="preserve"> the following changes to the Territory Plan</w:t>
      </w:r>
      <w:r w:rsidRPr="00766E3C">
        <w:rPr>
          <w:rFonts w:ascii="Times New Roman" w:hAnsi="Times New Roman"/>
        </w:rPr>
        <w:t>:</w:t>
      </w:r>
    </w:p>
    <w:p w:rsidR="00B62180" w:rsidRPr="00C14FE1" w:rsidRDefault="00B62180" w:rsidP="00B62180">
      <w:pPr>
        <w:pStyle w:val="TAbodytext"/>
        <w:rPr>
          <w:rFonts w:cs="Arial"/>
          <w:i/>
        </w:rPr>
      </w:pPr>
      <w:bookmarkStart w:id="14" w:name="_Hlk120105991"/>
      <w:r>
        <w:rPr>
          <w:rFonts w:cs="Arial"/>
          <w:i/>
        </w:rPr>
        <w:t xml:space="preserve">West Belconnen Concept Plan </w:t>
      </w:r>
    </w:p>
    <w:p w:rsidR="00B62180" w:rsidRPr="00E84B86" w:rsidRDefault="00B62180" w:rsidP="00B62180">
      <w:pPr>
        <w:pStyle w:val="TAbodytext"/>
        <w:numPr>
          <w:ilvl w:val="0"/>
          <w:numId w:val="20"/>
        </w:numPr>
        <w:spacing w:after="240"/>
        <w:rPr>
          <w:rFonts w:cs="Arial"/>
        </w:rPr>
      </w:pPr>
      <w:r>
        <w:rPr>
          <w:rFonts w:cs="Arial"/>
        </w:rPr>
        <w:t xml:space="preserve">Amend Figure 1 to realign the 500m landfill clearance zone </w:t>
      </w:r>
    </w:p>
    <w:bookmarkEnd w:id="14"/>
    <w:p w:rsidR="00332269" w:rsidRDefault="00D425D2" w:rsidP="00622237">
      <w:pPr>
        <w:pStyle w:val="TAsectionheading3"/>
        <w:spacing w:before="480"/>
        <w:ind w:hanging="862"/>
      </w:pPr>
      <w:r>
        <w:t xml:space="preserve">  </w:t>
      </w:r>
      <w:bookmarkStart w:id="15" w:name="_Toc130210755"/>
      <w:r w:rsidR="00332269">
        <w:t>Public consultation</w:t>
      </w:r>
      <w:bookmarkEnd w:id="10"/>
      <w:bookmarkEnd w:id="11"/>
      <w:bookmarkEnd w:id="12"/>
      <w:bookmarkEnd w:id="13"/>
      <w:bookmarkEnd w:id="15"/>
    </w:p>
    <w:p w:rsidR="00332269" w:rsidRPr="00FA5096" w:rsidRDefault="00332269" w:rsidP="00332269">
      <w:pPr>
        <w:pStyle w:val="TAbodytext"/>
        <w:rPr>
          <w:rFonts w:cs="Arial"/>
        </w:rPr>
      </w:pPr>
      <w:bookmarkStart w:id="16" w:name="_Toc327263734"/>
      <w:bookmarkStart w:id="17" w:name="_Toc364933262"/>
      <w:r w:rsidRPr="00FA5096">
        <w:rPr>
          <w:rFonts w:cs="Arial"/>
        </w:rPr>
        <w:t>Under section 87</w:t>
      </w:r>
      <w:r w:rsidR="00D5081E">
        <w:rPr>
          <w:rFonts w:cs="Arial"/>
        </w:rPr>
        <w:t>(2)(</w:t>
      </w:r>
      <w:r w:rsidR="00766E3C">
        <w:rPr>
          <w:rFonts w:cs="Arial"/>
        </w:rPr>
        <w:t>b</w:t>
      </w:r>
      <w:r w:rsidR="00D5081E">
        <w:rPr>
          <w:rFonts w:cs="Arial"/>
        </w:rPr>
        <w:t>)</w:t>
      </w:r>
      <w:r w:rsidRPr="00FA5096">
        <w:rPr>
          <w:rFonts w:cs="Arial"/>
        </w:rPr>
        <w:t xml:space="preserve"> of the </w:t>
      </w:r>
      <w:r w:rsidRPr="00FA5096">
        <w:rPr>
          <w:rFonts w:cs="Arial"/>
          <w:i/>
        </w:rPr>
        <w:t>Planning and Development Act 2007</w:t>
      </w:r>
      <w:r w:rsidRPr="00FA5096">
        <w:rPr>
          <w:rFonts w:cs="Arial"/>
        </w:rPr>
        <w:t xml:space="preserve"> (the Act) this </w:t>
      </w:r>
      <w:r w:rsidRPr="00FA5096">
        <w:t>type</w:t>
      </w:r>
      <w:r w:rsidRPr="00FA5096">
        <w:rPr>
          <w:rFonts w:cs="Arial"/>
        </w:rPr>
        <w:t xml:space="preserve"> of technical amendment is subject to limited public consultation.   </w:t>
      </w:r>
    </w:p>
    <w:p w:rsidR="00E27DB7" w:rsidRPr="00275C00" w:rsidRDefault="00E27DB7" w:rsidP="00E27DB7">
      <w:pPr>
        <w:tabs>
          <w:tab w:val="left" w:pos="720"/>
          <w:tab w:val="left" w:pos="1440"/>
        </w:tabs>
        <w:spacing w:after="120"/>
        <w:rPr>
          <w:rFonts w:cs="Arial"/>
        </w:rPr>
      </w:pPr>
      <w:r w:rsidRPr="00275C00">
        <w:rPr>
          <w:rFonts w:cs="Arial"/>
        </w:rPr>
        <w:t>TA202</w:t>
      </w:r>
      <w:r w:rsidR="00B62180">
        <w:rPr>
          <w:rFonts w:cs="Arial"/>
        </w:rPr>
        <w:t>3-02</w:t>
      </w:r>
      <w:r w:rsidRPr="00275C00">
        <w:rPr>
          <w:rFonts w:cs="Arial"/>
        </w:rPr>
        <w:t xml:space="preserve"> was released for public consultation from </w:t>
      </w:r>
      <w:r w:rsidR="00B62180">
        <w:rPr>
          <w:rFonts w:cs="Arial"/>
        </w:rPr>
        <w:t xml:space="preserve">20 January 2023 </w:t>
      </w:r>
      <w:r w:rsidRPr="00275C00">
        <w:rPr>
          <w:rFonts w:cs="Arial"/>
        </w:rPr>
        <w:t xml:space="preserve">to </w:t>
      </w:r>
      <w:r w:rsidR="00BD064B">
        <w:rPr>
          <w:rFonts w:cs="Arial"/>
        </w:rPr>
        <w:t>1</w:t>
      </w:r>
      <w:r w:rsidR="00ED0E39">
        <w:rPr>
          <w:rFonts w:cs="Arial"/>
        </w:rPr>
        <w:t>0</w:t>
      </w:r>
      <w:r w:rsidR="00BD064B">
        <w:rPr>
          <w:rFonts w:cs="Arial"/>
        </w:rPr>
        <w:t> March </w:t>
      </w:r>
      <w:r w:rsidR="00B62180">
        <w:rPr>
          <w:rFonts w:cs="Arial"/>
        </w:rPr>
        <w:t>2023</w:t>
      </w:r>
      <w:r w:rsidR="00233E85">
        <w:rPr>
          <w:rFonts w:cs="Arial"/>
        </w:rPr>
        <w:t xml:space="preserve">. </w:t>
      </w:r>
      <w:r w:rsidR="00C52108">
        <w:rPr>
          <w:rFonts w:cs="Arial"/>
        </w:rPr>
        <w:t xml:space="preserve"> </w:t>
      </w:r>
      <w:r w:rsidRPr="00275C00">
        <w:rPr>
          <w:rFonts w:cs="Arial"/>
        </w:rPr>
        <w:t xml:space="preserve"> </w:t>
      </w:r>
    </w:p>
    <w:p w:rsidR="00E27DB7" w:rsidRPr="002B4BF5" w:rsidRDefault="00233E85" w:rsidP="00E27DB7">
      <w:pPr>
        <w:tabs>
          <w:tab w:val="left" w:pos="720"/>
          <w:tab w:val="left" w:pos="1440"/>
        </w:tabs>
        <w:spacing w:after="120"/>
        <w:rPr>
          <w:rFonts w:cs="Arial"/>
        </w:rPr>
      </w:pPr>
      <w:r>
        <w:rPr>
          <w:rFonts w:cs="Arial"/>
        </w:rPr>
        <w:t xml:space="preserve">No </w:t>
      </w:r>
      <w:r w:rsidR="00E27DB7" w:rsidRPr="002B4BF5">
        <w:rPr>
          <w:rFonts w:cs="Arial"/>
        </w:rPr>
        <w:t xml:space="preserve">submissions were received. </w:t>
      </w:r>
    </w:p>
    <w:p w:rsidR="00332269" w:rsidRDefault="00F66A90" w:rsidP="00622237">
      <w:pPr>
        <w:pStyle w:val="TAsectionheading3"/>
        <w:spacing w:before="480"/>
        <w:ind w:hanging="862"/>
      </w:pPr>
      <w:bookmarkStart w:id="18" w:name="_Toc390767272"/>
      <w:bookmarkStart w:id="19" w:name="_Toc469927022"/>
      <w:r>
        <w:t xml:space="preserve">  </w:t>
      </w:r>
      <w:bookmarkStart w:id="20" w:name="_Toc130210756"/>
      <w:r w:rsidR="00332269" w:rsidRPr="006A3135">
        <w:t>National</w:t>
      </w:r>
      <w:r w:rsidR="00332269">
        <w:t xml:space="preserve"> Capital Authority</w:t>
      </w:r>
      <w:bookmarkEnd w:id="16"/>
      <w:bookmarkEnd w:id="17"/>
      <w:bookmarkEnd w:id="18"/>
      <w:bookmarkEnd w:id="19"/>
      <w:bookmarkEnd w:id="20"/>
    </w:p>
    <w:p w:rsidR="00EF7697" w:rsidRDefault="00EF7697" w:rsidP="00EF7697">
      <w:pPr>
        <w:pStyle w:val="BodyText"/>
      </w:pPr>
      <w:r>
        <w:t xml:space="preserve">The </w:t>
      </w:r>
      <w:r w:rsidRPr="00014E7A">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(the Plan) and to keep the NCP under constant review and to propose amendments to it when necessary.  </w:t>
      </w:r>
    </w:p>
    <w:p w:rsidR="00EF7697" w:rsidRPr="00014E7A" w:rsidRDefault="00EF7697" w:rsidP="00EF7697">
      <w:pPr>
        <w:pStyle w:val="BodyText"/>
      </w:pPr>
      <w:r w:rsidRPr="00014E7A">
        <w:t xml:space="preserve">The Plan, which was published in the Commonwealth Gazette on 21 January 1990, is required to ensure </w:t>
      </w:r>
      <w:smartTag w:uri="urn:schemas-microsoft-com:office:smarttags" w:element="place">
        <w:smartTag w:uri="urn:schemas-microsoft-com:office:smarttags" w:element="City">
          <w:r w:rsidRPr="00014E7A">
            <w:t>Canberra</w:t>
          </w:r>
        </w:smartTag>
      </w:smartTag>
      <w:r w:rsidRPr="00014E7A">
        <w:t xml:space="preserve"> and the Territory are planned and developed in accordance with their national significance. The </w:t>
      </w:r>
      <w:r w:rsidRPr="00014E7A">
        <w:rPr>
          <w:i/>
        </w:rPr>
        <w:t>Australian Capital Territory (Planning and Land Management) Act 1988</w:t>
      </w:r>
      <w:r w:rsidRPr="00014E7A">
        <w:t xml:space="preserve"> als</w:t>
      </w:r>
      <w:r w:rsidR="00EE41D9">
        <w:t>o requires the Territory Plan</w:t>
      </w:r>
      <w:r w:rsidRPr="00014E7A">
        <w:t xml:space="preserve"> not</w:t>
      </w:r>
      <w:r w:rsidR="00EE41D9">
        <w:t xml:space="preserve"> be</w:t>
      </w:r>
      <w:r w:rsidRPr="00014E7A">
        <w:t xml:space="preserve"> inconsistent with the Plan. The area</w:t>
      </w:r>
      <w:r>
        <w:t>s covered by this technical amendment are</w:t>
      </w:r>
      <w:r w:rsidRPr="00014E7A">
        <w:t xml:space="preserve"> within urban areas identified in the Plan.</w:t>
      </w:r>
    </w:p>
    <w:p w:rsidR="00DC11BD" w:rsidRDefault="00332269" w:rsidP="00BB2ACE">
      <w:pPr>
        <w:pStyle w:val="TAbodytext"/>
      </w:pPr>
      <w:r w:rsidRPr="00FA5096">
        <w:t>The National Capital Authority has been advised of this technical amendment.</w:t>
      </w:r>
    </w:p>
    <w:p w:rsidR="00332269" w:rsidRDefault="00F66A90" w:rsidP="00962213">
      <w:pPr>
        <w:pStyle w:val="TAsectionheading3"/>
        <w:spacing w:before="480" w:line="240" w:lineRule="auto"/>
        <w:ind w:hanging="862"/>
      </w:pPr>
      <w:bookmarkStart w:id="21" w:name="_Toc327263735"/>
      <w:bookmarkStart w:id="22" w:name="_Toc364933263"/>
      <w:bookmarkStart w:id="23" w:name="_Toc390767273"/>
      <w:bookmarkStart w:id="24" w:name="_Toc469927023"/>
      <w:r>
        <w:t xml:space="preserve">  </w:t>
      </w:r>
      <w:bookmarkStart w:id="25" w:name="_Toc130210757"/>
      <w:r w:rsidR="00332269">
        <w:t>Process</w:t>
      </w:r>
      <w:bookmarkEnd w:id="21"/>
      <w:bookmarkEnd w:id="22"/>
      <w:bookmarkEnd w:id="23"/>
      <w:bookmarkEnd w:id="24"/>
      <w:bookmarkEnd w:id="25"/>
    </w:p>
    <w:p w:rsidR="00332269" w:rsidRPr="00FA5096" w:rsidRDefault="00332269" w:rsidP="00BB2ACE">
      <w:pPr>
        <w:spacing w:after="120"/>
      </w:pPr>
      <w:r w:rsidRPr="00FA5096">
        <w:t xml:space="preserve">This technical amendment has been prepared in accordance with section 87 of the </w:t>
      </w:r>
      <w:r w:rsidRPr="00FA5096">
        <w:rPr>
          <w:i/>
        </w:rPr>
        <w:t>Planning and Development Act 2007</w:t>
      </w:r>
      <w:r w:rsidRPr="00FA5096">
        <w:t xml:space="preserve"> (the Act).</w:t>
      </w:r>
    </w:p>
    <w:p w:rsidR="00FE2ACC" w:rsidRDefault="00332269" w:rsidP="00BB2ACE">
      <w:pPr>
        <w:spacing w:after="120"/>
      </w:pPr>
      <w:r w:rsidRPr="00FA5096">
        <w:t xml:space="preserve">Comments received from the public and the National Capital Authority will be taken into account before the planning and land authority “makes” the technical amendment under section 89 of the Act. The planning and land authority must then notify the public of its decision. </w:t>
      </w:r>
    </w:p>
    <w:p w:rsidR="00C26FFE" w:rsidRDefault="00C26FFE" w:rsidP="00BB2ACE">
      <w:pPr>
        <w:spacing w:after="120"/>
      </w:pPr>
    </w:p>
    <w:p w:rsidR="00C26FFE" w:rsidRDefault="00C26FFE" w:rsidP="00BB2ACE">
      <w:pPr>
        <w:spacing w:after="120"/>
      </w:pPr>
    </w:p>
    <w:p w:rsidR="00EA13A3" w:rsidRPr="00C0173E" w:rsidRDefault="00F66A90" w:rsidP="00622237">
      <w:pPr>
        <w:pStyle w:val="TAsectionheading3"/>
        <w:spacing w:before="480"/>
        <w:ind w:hanging="862"/>
      </w:pPr>
      <w:bookmarkStart w:id="26" w:name="_Toc390767274"/>
      <w:r>
        <w:lastRenderedPageBreak/>
        <w:t xml:space="preserve">  </w:t>
      </w:r>
      <w:bookmarkStart w:id="27" w:name="_Toc130210758"/>
      <w:r w:rsidR="00EA13A3" w:rsidRPr="00C0173E">
        <w:t>Types of technical amendments under the Act</w:t>
      </w:r>
      <w:bookmarkEnd w:id="26"/>
      <w:bookmarkEnd w:id="27"/>
    </w:p>
    <w:p w:rsidR="00EA13A3" w:rsidRPr="00FA5096" w:rsidRDefault="00EA13A3" w:rsidP="00EA13A3">
      <w:pPr>
        <w:pStyle w:val="TAbodytext"/>
      </w:pPr>
      <w:r w:rsidRPr="00FA5096">
        <w:t>The following categories of technical amendments are provided under section 87 of the Act:</w:t>
      </w:r>
    </w:p>
    <w:p w:rsidR="00EA13A3" w:rsidRPr="00FA5096" w:rsidRDefault="00EA13A3">
      <w:pPr>
        <w:pStyle w:val="NoSpacing"/>
        <w:numPr>
          <w:ilvl w:val="0"/>
          <w:numId w:val="9"/>
        </w:numPr>
        <w:spacing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no consultation is needed before it is made under section 89: </w:t>
      </w:r>
    </w:p>
    <w:p w:rsidR="00EA13A3" w:rsidRPr="00FA5096" w:rsidRDefault="00EA13A3" w:rsidP="00EA13A3">
      <w:pPr>
        <w:pStyle w:val="NoSpacing"/>
        <w:spacing w:after="120"/>
        <w:ind w:left="720"/>
        <w:rPr>
          <w:rFonts w:ascii="Arial" w:hAnsi="Arial" w:cs="Arial"/>
          <w:sz w:val="24"/>
          <w:szCs w:val="24"/>
        </w:rPr>
      </w:pPr>
      <w:r w:rsidRPr="00FA5096">
        <w:rPr>
          <w:rFonts w:ascii="Arial" w:hAnsi="Arial" w:cs="Arial"/>
          <w:sz w:val="24"/>
          <w:szCs w:val="24"/>
        </w:rPr>
        <w:t>(a)</w:t>
      </w:r>
      <w:r w:rsidRPr="00FA5096">
        <w:rPr>
          <w:rFonts w:ascii="Arial" w:hAnsi="Arial" w:cs="Arial"/>
          <w:sz w:val="24"/>
          <w:szCs w:val="24"/>
        </w:rPr>
        <w:tab/>
        <w:t xml:space="preserve">a variation (an </w:t>
      </w:r>
      <w:r w:rsidRPr="00FA5096">
        <w:rPr>
          <w:rFonts w:ascii="Arial" w:hAnsi="Arial" w:cs="Arial"/>
          <w:b/>
          <w:i/>
          <w:sz w:val="24"/>
          <w:szCs w:val="24"/>
        </w:rPr>
        <w:t>error variation)</w:t>
      </w:r>
      <w:r w:rsidRPr="00FA5096">
        <w:rPr>
          <w:rFonts w:ascii="Arial" w:hAnsi="Arial" w:cs="Arial"/>
          <w:sz w:val="24"/>
          <w:szCs w:val="24"/>
        </w:rPr>
        <w:t xml:space="preserve"> that – </w:t>
      </w:r>
    </w:p>
    <w:p w:rsidR="00EA13A3" w:rsidRPr="00FA5096" w:rsidRDefault="00EA13A3">
      <w:pPr>
        <w:pStyle w:val="NoSpacing"/>
        <w:numPr>
          <w:ilvl w:val="0"/>
          <w:numId w:val="8"/>
        </w:numPr>
        <w:spacing w:after="120"/>
        <w:ind w:left="1985" w:hanging="284"/>
        <w:rPr>
          <w:rFonts w:ascii="Arial" w:hAnsi="Arial" w:cs="Arial"/>
          <w:sz w:val="24"/>
          <w:szCs w:val="24"/>
        </w:rPr>
      </w:pPr>
      <w:r w:rsidRPr="00FA5096">
        <w:rPr>
          <w:rFonts w:ascii="Arial" w:hAnsi="Arial" w:cs="Arial"/>
          <w:sz w:val="24"/>
          <w:szCs w:val="24"/>
        </w:rPr>
        <w:t>would not adversely affect anyone’s rights if approved; and</w:t>
      </w:r>
    </w:p>
    <w:p w:rsidR="00EA13A3" w:rsidRPr="00FA5096" w:rsidRDefault="00EA13A3">
      <w:pPr>
        <w:pStyle w:val="NoSpacing"/>
        <w:numPr>
          <w:ilvl w:val="0"/>
          <w:numId w:val="8"/>
        </w:numPr>
        <w:spacing w:after="120"/>
        <w:ind w:left="1985" w:hanging="284"/>
        <w:rPr>
          <w:rFonts w:ascii="Arial" w:hAnsi="Arial" w:cs="Arial"/>
          <w:sz w:val="24"/>
          <w:szCs w:val="24"/>
        </w:rPr>
      </w:pPr>
      <w:r w:rsidRPr="00FA5096">
        <w:rPr>
          <w:rFonts w:ascii="Arial" w:hAnsi="Arial" w:cs="Arial"/>
          <w:sz w:val="24"/>
          <w:szCs w:val="24"/>
        </w:rPr>
        <w:t>has as its only object the correction of a formal error in the plan;</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(b)</w:t>
      </w:r>
      <w:r w:rsidRPr="00FA5096">
        <w:rPr>
          <w:rFonts w:ascii="Arial" w:hAnsi="Arial" w:cs="Arial"/>
          <w:sz w:val="24"/>
          <w:szCs w:val="24"/>
        </w:rPr>
        <w:tab/>
        <w:t>a variation to change the boundary of a zone or overlay under section 90A (Rezoning – boundary changes);</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(c)</w:t>
      </w:r>
      <w:r w:rsidRPr="00FA5096">
        <w:rPr>
          <w:rFonts w:ascii="Arial" w:hAnsi="Arial" w:cs="Arial"/>
          <w:sz w:val="24"/>
          <w:szCs w:val="24"/>
        </w:rPr>
        <w:tab/>
        <w:t xml:space="preserve">a variation, other than one </w:t>
      </w:r>
      <w:r w:rsidR="00B902E4">
        <w:rPr>
          <w:rFonts w:ascii="Arial" w:hAnsi="Arial" w:cs="Arial"/>
          <w:sz w:val="24"/>
          <w:szCs w:val="24"/>
        </w:rPr>
        <w:t>to which subsection (2)</w:t>
      </w:r>
      <w:r w:rsidRPr="00FA5096">
        <w:rPr>
          <w:rFonts w:ascii="Arial" w:hAnsi="Arial" w:cs="Arial"/>
          <w:sz w:val="24"/>
          <w:szCs w:val="24"/>
        </w:rPr>
        <w:t>(d) applies, in relation to an estate development plan under section 96 (Effect of approval of estate development plan);</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(d)</w:t>
      </w:r>
      <w:r w:rsidRPr="00FA5096">
        <w:rPr>
          <w:rFonts w:ascii="Arial" w:hAnsi="Arial" w:cs="Arial"/>
          <w:sz w:val="24"/>
          <w:szCs w:val="24"/>
        </w:rPr>
        <w:tab/>
        <w:t>a variation required to bring the territory plan into line with the national capital plan;</w:t>
      </w:r>
    </w:p>
    <w:p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(e)</w:t>
      </w:r>
      <w:r w:rsidRPr="00FA5096">
        <w:rPr>
          <w:rFonts w:ascii="Arial" w:hAnsi="Arial" w:cs="Arial"/>
          <w:sz w:val="24"/>
          <w:szCs w:val="24"/>
        </w:rPr>
        <w:tab/>
        <w:t>a variation to omit something that is obsolete or redundant in the territory plan.</w:t>
      </w:r>
    </w:p>
    <w:p w:rsidR="00EA13A3" w:rsidRPr="00FA5096" w:rsidRDefault="00EA13A3">
      <w:pPr>
        <w:pStyle w:val="NoSpacing"/>
        <w:numPr>
          <w:ilvl w:val="0"/>
          <w:numId w:val="9"/>
        </w:numPr>
        <w:spacing w:before="180"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only limited public consultation is needed under section 90:</w:t>
      </w:r>
    </w:p>
    <w:p w:rsidR="00EA13A3" w:rsidRPr="00FA5096" w:rsidRDefault="00EA13A3">
      <w:pPr>
        <w:pStyle w:val="TAbodytext"/>
        <w:numPr>
          <w:ilvl w:val="0"/>
          <w:numId w:val="10"/>
        </w:numPr>
        <w:tabs>
          <w:tab w:val="clear" w:pos="720"/>
          <w:tab w:val="clear" w:pos="1440"/>
        </w:tabs>
        <w:ind w:left="1418" w:hanging="709"/>
      </w:pPr>
      <w:r w:rsidRPr="00FA5096">
        <w:rPr>
          <w:rFonts w:cs="Arial"/>
        </w:rPr>
        <w:t xml:space="preserve">a variation (a </w:t>
      </w:r>
      <w:r w:rsidRPr="00FA5096">
        <w:rPr>
          <w:rFonts w:cs="Arial"/>
          <w:b/>
          <w:i/>
        </w:rPr>
        <w:t>code variation</w:t>
      </w:r>
      <w:r w:rsidRPr="00FA5096">
        <w:rPr>
          <w:rFonts w:cs="Arial"/>
        </w:rPr>
        <w:t xml:space="preserve">) that – </w:t>
      </w:r>
    </w:p>
    <w:p w:rsidR="00EA13A3" w:rsidRPr="00FA5096" w:rsidRDefault="00EA13A3">
      <w:pPr>
        <w:pStyle w:val="NoSpacing"/>
        <w:numPr>
          <w:ilvl w:val="0"/>
          <w:numId w:val="11"/>
        </w:numPr>
        <w:spacing w:after="120"/>
        <w:ind w:left="1985" w:hanging="284"/>
        <w:rPr>
          <w:rFonts w:ascii="Arial" w:hAnsi="Arial" w:cs="Arial"/>
          <w:sz w:val="24"/>
          <w:szCs w:val="24"/>
        </w:rPr>
      </w:pPr>
      <w:r w:rsidRPr="00FA5096">
        <w:rPr>
          <w:rFonts w:ascii="Arial" w:hAnsi="Arial" w:cs="Arial"/>
          <w:sz w:val="24"/>
          <w:szCs w:val="24"/>
        </w:rPr>
        <w:t>would only change a code; and</w:t>
      </w:r>
    </w:p>
    <w:p w:rsidR="00EA13A3" w:rsidRPr="00FA5096" w:rsidRDefault="00EA13A3">
      <w:pPr>
        <w:pStyle w:val="NoSpacing"/>
        <w:numPr>
          <w:ilvl w:val="0"/>
          <w:numId w:val="11"/>
        </w:numPr>
        <w:spacing w:after="120"/>
        <w:ind w:left="1985" w:hanging="284"/>
        <w:rPr>
          <w:rFonts w:ascii="Arial" w:hAnsi="Arial" w:cs="Arial"/>
          <w:sz w:val="24"/>
          <w:szCs w:val="24"/>
        </w:rPr>
      </w:pPr>
      <w:r w:rsidRPr="00FA5096">
        <w:rPr>
          <w:rFonts w:ascii="Arial" w:hAnsi="Arial" w:cs="Arial"/>
          <w:sz w:val="24"/>
          <w:szCs w:val="24"/>
        </w:rPr>
        <w:t>is consistent with the policy purpose and policy framework of the code; and</w:t>
      </w:r>
    </w:p>
    <w:p w:rsidR="00EA13A3" w:rsidRPr="00FA5096" w:rsidRDefault="00EA13A3">
      <w:pPr>
        <w:pStyle w:val="NoSpacing"/>
        <w:numPr>
          <w:ilvl w:val="0"/>
          <w:numId w:val="11"/>
        </w:numPr>
        <w:spacing w:after="120"/>
        <w:ind w:left="1985" w:hanging="284"/>
        <w:rPr>
          <w:rFonts w:ascii="Arial" w:hAnsi="Arial" w:cs="Arial"/>
          <w:sz w:val="24"/>
          <w:szCs w:val="24"/>
        </w:rPr>
      </w:pPr>
      <w:r w:rsidRPr="00FA5096">
        <w:rPr>
          <w:rFonts w:ascii="Arial" w:hAnsi="Arial" w:cs="Arial"/>
          <w:sz w:val="24"/>
          <w:szCs w:val="24"/>
        </w:rPr>
        <w:t>is not an error variation;</w:t>
      </w:r>
    </w:p>
    <w:p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to change the boundary of a zone under section 90B (Rezoning – development encroaching on adjoining territory land);</w:t>
      </w:r>
    </w:p>
    <w:p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in relation to a future urban area under section 90C (Technical amendments – future urban areas);</w:t>
      </w:r>
    </w:p>
    <w:p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in relation to an estate development pl</w:t>
      </w:r>
      <w:r w:rsidR="00ED6824">
        <w:rPr>
          <w:rFonts w:cs="Arial"/>
        </w:rPr>
        <w:t xml:space="preserve">an under section 96 (Effect of </w:t>
      </w:r>
      <w:r w:rsidRPr="00FA5096">
        <w:rPr>
          <w:rFonts w:cs="Arial"/>
        </w:rPr>
        <w:t>approval of estate development plan) if it incorporates an ongoing provision that was not included in the plan under section 94 (3) (g);</w:t>
      </w:r>
    </w:p>
    <w:p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to clarify the language in the territory plan if it does not change the substance of the plan;</w:t>
      </w:r>
    </w:p>
    <w:p w:rsidR="00EA13A3" w:rsidRPr="00FA5096" w:rsidRDefault="00EA13A3">
      <w:pPr>
        <w:pStyle w:val="TAbodytext"/>
        <w:numPr>
          <w:ilvl w:val="0"/>
          <w:numId w:val="10"/>
        </w:numPr>
        <w:tabs>
          <w:tab w:val="clear" w:pos="720"/>
          <w:tab w:val="clear" w:pos="1440"/>
        </w:tabs>
        <w:ind w:left="1418" w:hanging="709"/>
        <w:rPr>
          <w:rFonts w:cs="Arial"/>
        </w:rPr>
      </w:pPr>
      <w:r w:rsidRPr="00FA5096">
        <w:rPr>
          <w:rFonts w:cs="Arial"/>
        </w:rPr>
        <w:t>a variation to relocate a provision within the territory plan if the substance of the provision is not changed.</w:t>
      </w:r>
    </w:p>
    <w:p w:rsidR="00EA13A3" w:rsidRPr="002F4E5B" w:rsidRDefault="00EA13A3" w:rsidP="00C10A12">
      <w:pPr>
        <w:spacing w:before="240"/>
      </w:pPr>
      <w:r w:rsidRPr="002F4E5B">
        <w:t>TA</w:t>
      </w:r>
      <w:r w:rsidR="00D53FA4">
        <w:t>202</w:t>
      </w:r>
      <w:r w:rsidR="003E1F3F">
        <w:t>3-02</w:t>
      </w:r>
      <w:r w:rsidRPr="002F4E5B">
        <w:t xml:space="preserve"> has been prepa</w:t>
      </w:r>
      <w:r w:rsidR="00C97DE4" w:rsidRPr="002F4E5B">
        <w:t xml:space="preserve">red in accordance with </w:t>
      </w:r>
      <w:r w:rsidR="00C97DE4" w:rsidRPr="00062FE8">
        <w:t>section</w:t>
      </w:r>
      <w:r w:rsidR="009B24BD" w:rsidRPr="00062FE8">
        <w:t xml:space="preserve"> </w:t>
      </w:r>
      <w:r w:rsidRPr="00062FE8">
        <w:t>87(2)(</w:t>
      </w:r>
      <w:r w:rsidR="00E84B86" w:rsidRPr="00062FE8">
        <w:t>a</w:t>
      </w:r>
      <w:r w:rsidRPr="00062FE8">
        <w:t>)</w:t>
      </w:r>
      <w:r w:rsidR="00E84B86" w:rsidRPr="00062FE8">
        <w:t xml:space="preserve"> </w:t>
      </w:r>
      <w:r w:rsidRPr="00062FE8">
        <w:t>of the Act.</w:t>
      </w:r>
    </w:p>
    <w:bookmarkEnd w:id="8"/>
    <w:p w:rsidR="001D04F6" w:rsidRPr="00BE441E" w:rsidRDefault="003E0DA3" w:rsidP="00F6463E">
      <w:pPr>
        <w:pStyle w:val="TAsectionheading"/>
      </w:pPr>
      <w:r>
        <w:br w:type="page"/>
      </w:r>
      <w:bookmarkStart w:id="28" w:name="_Toc254851537"/>
      <w:bookmarkStart w:id="29" w:name="_Toc469927024"/>
      <w:bookmarkStart w:id="30" w:name="_Toc130210759"/>
      <w:r w:rsidRPr="00BE441E">
        <w:lastRenderedPageBreak/>
        <w:t>EXPLANATORY STATEMENT</w:t>
      </w:r>
      <w:bookmarkEnd w:id="28"/>
      <w:bookmarkEnd w:id="29"/>
      <w:bookmarkEnd w:id="30"/>
    </w:p>
    <w:p w:rsidR="001D04F6" w:rsidRDefault="00F21489">
      <w:pPr>
        <w:pStyle w:val="TAsectionheading3"/>
        <w:numPr>
          <w:ilvl w:val="2"/>
          <w:numId w:val="18"/>
        </w:numPr>
        <w:spacing w:before="360"/>
        <w:ind w:hanging="862"/>
      </w:pPr>
      <w:bookmarkStart w:id="31" w:name="_Toc254851538"/>
      <w:bookmarkStart w:id="32" w:name="_Toc469927025"/>
      <w:r>
        <w:t xml:space="preserve">  </w:t>
      </w:r>
      <w:bookmarkStart w:id="33" w:name="_Toc130210760"/>
      <w:r w:rsidR="003E0DA3">
        <w:t>Background</w:t>
      </w:r>
      <w:bookmarkEnd w:id="32"/>
      <w:bookmarkEnd w:id="33"/>
    </w:p>
    <w:p w:rsidR="00686FF4" w:rsidRPr="00C02D65" w:rsidRDefault="000B0E84" w:rsidP="00C90581">
      <w:pPr>
        <w:spacing w:after="120"/>
        <w:rPr>
          <w:b/>
          <w:bCs/>
          <w:noProof/>
          <w:sz w:val="22"/>
          <w:szCs w:val="22"/>
        </w:rPr>
      </w:pPr>
      <w:r w:rsidRPr="00FA5096">
        <w:t xml:space="preserve">This part of the technical amendment document explains the changes to be made to the Territory Plan, the reasons for the change, and a statement of compliance </w:t>
      </w:r>
      <w:r w:rsidRPr="00C02D65">
        <w:t>against the relevant section of the Act.</w:t>
      </w:r>
    </w:p>
    <w:p w:rsidR="00A56561" w:rsidRPr="00C02D65" w:rsidRDefault="00DC11BD">
      <w:pPr>
        <w:pStyle w:val="TAsectionheading3"/>
        <w:numPr>
          <w:ilvl w:val="2"/>
          <w:numId w:val="18"/>
        </w:numPr>
        <w:spacing w:before="360"/>
        <w:ind w:left="426" w:hanging="437"/>
      </w:pPr>
      <w:r w:rsidRPr="00C02D65">
        <w:t xml:space="preserve"> </w:t>
      </w:r>
      <w:r w:rsidR="0044386C" w:rsidRPr="00C02D65">
        <w:t xml:space="preserve"> </w:t>
      </w:r>
      <w:bookmarkStart w:id="34" w:name="_Toc130210761"/>
      <w:r w:rsidR="00D15BEF" w:rsidRPr="00C02D65">
        <w:t>Changes</w:t>
      </w:r>
      <w:r w:rsidR="00A56561" w:rsidRPr="00C02D65">
        <w:t xml:space="preserve"> to the </w:t>
      </w:r>
      <w:r w:rsidR="00C26FFE">
        <w:t>W</w:t>
      </w:r>
      <w:r w:rsidR="003E1F3F">
        <w:t>est Belconnen Concept Plan</w:t>
      </w:r>
      <w:bookmarkEnd w:id="34"/>
      <w:r w:rsidR="00A82D81" w:rsidRPr="00C02D65">
        <w:t xml:space="preserve"> </w:t>
      </w:r>
    </w:p>
    <w:p w:rsidR="003E1F3F" w:rsidRDefault="003E1F3F" w:rsidP="003E1F3F">
      <w:pPr>
        <w:rPr>
          <w:lang w:eastAsia="en-US"/>
        </w:rPr>
      </w:pPr>
      <w:bookmarkStart w:id="35" w:name="_Hlk125012194"/>
      <w:r>
        <w:rPr>
          <w:lang w:eastAsia="en-US"/>
        </w:rPr>
        <w:t xml:space="preserve">Figure 1 is being amended to realign the landfill clearance zone. Figure 1 shows the landfill clearance zone which extends 500m from the boundary of rural block 1586 and containing most of the landfill site. A review of the extent of the landfill site has been undertaken and is detailed in the </w:t>
      </w:r>
      <w:r>
        <w:rPr>
          <w:i/>
          <w:iCs/>
          <w:lang w:eastAsia="en-US"/>
        </w:rPr>
        <w:t>We</w:t>
      </w:r>
      <w:r w:rsidRPr="00AC5F07">
        <w:rPr>
          <w:i/>
          <w:iCs/>
          <w:lang w:eastAsia="en-US"/>
        </w:rPr>
        <w:t>st Belconnen Resource Management Centre – Waste Cells Investigation</w:t>
      </w:r>
      <w:r>
        <w:rPr>
          <w:lang w:eastAsia="en-US"/>
        </w:rPr>
        <w:t xml:space="preserve"> report (26 October 2022). The report recommends that the landfill clearance zone be realigned to match the extent of the landfill site, rather than its current delineation which is based on the block boundary. The ACT Environment Protection Authority (EPA) supports the proposed realignment of the landfill clearance zone, which will continue to provide a buffer of 500m around the landfill site.</w:t>
      </w:r>
    </w:p>
    <w:bookmarkEnd w:id="35"/>
    <w:p w:rsidR="003E1F3F" w:rsidRDefault="003E1F3F" w:rsidP="00C26FFE">
      <w:pPr>
        <w:rPr>
          <w:rFonts w:ascii="Calibri" w:hAnsi="Calibri"/>
          <w:sz w:val="22"/>
          <w:szCs w:val="22"/>
          <w:lang w:eastAsia="en-US"/>
        </w:rPr>
      </w:pPr>
    </w:p>
    <w:p w:rsidR="00C26FFE" w:rsidRDefault="00C26FFE" w:rsidP="00663981">
      <w:pPr>
        <w:rPr>
          <w:rFonts w:cs="Arial"/>
        </w:rPr>
      </w:pPr>
    </w:p>
    <w:p w:rsidR="00C26FFE" w:rsidRDefault="00C26FFE" w:rsidP="00663981">
      <w:pPr>
        <w:rPr>
          <w:rFonts w:cs="Arial"/>
        </w:rPr>
      </w:pPr>
    </w:p>
    <w:p w:rsidR="00C26FFE" w:rsidRDefault="00C26FFE" w:rsidP="00663981">
      <w:pPr>
        <w:rPr>
          <w:rFonts w:cs="Arial"/>
        </w:rPr>
      </w:pPr>
    </w:p>
    <w:p w:rsidR="00C26FFE" w:rsidRDefault="00C26FFE" w:rsidP="00663981">
      <w:pPr>
        <w:rPr>
          <w:rFonts w:cs="Arial"/>
        </w:rPr>
      </w:pPr>
    </w:p>
    <w:p w:rsidR="00C26FFE" w:rsidRDefault="00C26FFE" w:rsidP="00663981">
      <w:pPr>
        <w:rPr>
          <w:rFonts w:cs="Arial"/>
        </w:rPr>
      </w:pPr>
    </w:p>
    <w:p w:rsidR="00C26FFE" w:rsidRDefault="00C26FFE" w:rsidP="00663981">
      <w:pPr>
        <w:rPr>
          <w:rFonts w:cs="Arial"/>
        </w:rPr>
      </w:pPr>
    </w:p>
    <w:p w:rsidR="00C26FFE" w:rsidRDefault="00C26FFE" w:rsidP="00663981">
      <w:pPr>
        <w:rPr>
          <w:rFonts w:cs="Arial"/>
        </w:rPr>
      </w:pPr>
    </w:p>
    <w:p w:rsidR="00C26FFE" w:rsidRDefault="00C26FFE" w:rsidP="00663981">
      <w:pPr>
        <w:rPr>
          <w:rFonts w:cs="Arial"/>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3E1F3F" w:rsidRDefault="003E1F3F" w:rsidP="00C26FFE">
      <w:pPr>
        <w:spacing w:after="120"/>
        <w:rPr>
          <w:rFonts w:cs="Arial"/>
          <w:i/>
          <w:iCs/>
          <w:color w:val="313131"/>
        </w:rPr>
      </w:pPr>
    </w:p>
    <w:p w:rsidR="00C26FFE" w:rsidRDefault="00C26FFE" w:rsidP="00C26FFE">
      <w:pPr>
        <w:spacing w:after="120"/>
        <w:rPr>
          <w:rFonts w:cs="Arial"/>
          <w:i/>
          <w:iCs/>
          <w:color w:val="313131"/>
        </w:rPr>
      </w:pPr>
      <w:r w:rsidRPr="00EA4A86">
        <w:rPr>
          <w:rFonts w:cs="Arial"/>
          <w:i/>
          <w:iCs/>
          <w:color w:val="313131"/>
        </w:rPr>
        <w:lastRenderedPageBreak/>
        <w:t>Existing</w:t>
      </w:r>
      <w:r>
        <w:rPr>
          <w:rFonts w:cs="Arial"/>
          <w:i/>
          <w:iCs/>
          <w:color w:val="313131"/>
        </w:rPr>
        <w:t xml:space="preserve"> Figure </w:t>
      </w:r>
      <w:r w:rsidR="003E1F3F">
        <w:rPr>
          <w:rFonts w:cs="Arial"/>
          <w:i/>
          <w:iCs/>
          <w:color w:val="313131"/>
        </w:rPr>
        <w:t>1</w:t>
      </w:r>
    </w:p>
    <w:p w:rsidR="003E1F3F" w:rsidRDefault="003E1F3F" w:rsidP="00C26FFE">
      <w:pPr>
        <w:spacing w:after="120"/>
        <w:rPr>
          <w:rFonts w:cs="Arial"/>
          <w:color w:val="313131"/>
        </w:rPr>
      </w:pPr>
    </w:p>
    <w:p w:rsidR="00C26FFE" w:rsidRDefault="003E1F3F" w:rsidP="00C26FFE">
      <w:pPr>
        <w:spacing w:after="120"/>
        <w:rPr>
          <w:rFonts w:cs="Arial"/>
          <w:color w:val="31313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551.25pt">
            <v:imagedata r:id="rId16" o:title=""/>
          </v:shape>
        </w:pict>
      </w:r>
    </w:p>
    <w:p w:rsidR="00C26FFE" w:rsidRDefault="00C26FFE" w:rsidP="00C26FFE">
      <w:pPr>
        <w:spacing w:after="120"/>
        <w:rPr>
          <w:rFonts w:cs="Arial"/>
          <w:color w:val="313131"/>
        </w:rPr>
      </w:pPr>
    </w:p>
    <w:p w:rsidR="003E1F3F" w:rsidRDefault="003E1F3F" w:rsidP="00C26FFE">
      <w:pPr>
        <w:spacing w:after="120"/>
        <w:rPr>
          <w:rFonts w:cs="Arial"/>
          <w:color w:val="313131"/>
        </w:rPr>
      </w:pPr>
    </w:p>
    <w:p w:rsidR="003E1F3F" w:rsidRDefault="003E1F3F" w:rsidP="00C26FFE">
      <w:pPr>
        <w:spacing w:after="120"/>
        <w:rPr>
          <w:rFonts w:cs="Arial"/>
          <w:color w:val="313131"/>
        </w:rPr>
      </w:pPr>
    </w:p>
    <w:p w:rsidR="003E1F3F" w:rsidRDefault="003E1F3F" w:rsidP="00C26FFE">
      <w:pPr>
        <w:spacing w:after="120"/>
        <w:rPr>
          <w:rFonts w:cs="Arial"/>
          <w:color w:val="313131"/>
        </w:rPr>
      </w:pPr>
    </w:p>
    <w:p w:rsidR="003E1F3F" w:rsidRDefault="003E1F3F" w:rsidP="00C26FFE">
      <w:pPr>
        <w:spacing w:after="120"/>
        <w:rPr>
          <w:rFonts w:cs="Arial"/>
          <w:color w:val="313131"/>
        </w:rPr>
      </w:pPr>
    </w:p>
    <w:p w:rsidR="00C26FFE" w:rsidRDefault="00C26FFE" w:rsidP="00C26FFE">
      <w:pPr>
        <w:spacing w:after="120"/>
        <w:rPr>
          <w:rFonts w:cs="Arial"/>
          <w:i/>
          <w:iCs/>
          <w:color w:val="313131"/>
        </w:rPr>
      </w:pPr>
      <w:r w:rsidRPr="00EA4A86">
        <w:rPr>
          <w:rFonts w:cs="Arial"/>
          <w:i/>
          <w:iCs/>
          <w:color w:val="313131"/>
        </w:rPr>
        <w:lastRenderedPageBreak/>
        <w:t>Proposed</w:t>
      </w:r>
      <w:r>
        <w:rPr>
          <w:rFonts w:cs="Arial"/>
          <w:i/>
          <w:iCs/>
          <w:color w:val="313131"/>
        </w:rPr>
        <w:t xml:space="preserve"> Figure </w:t>
      </w:r>
      <w:r w:rsidR="003E1F3F">
        <w:rPr>
          <w:rFonts w:cs="Arial"/>
          <w:i/>
          <w:iCs/>
          <w:color w:val="313131"/>
        </w:rPr>
        <w:t>1</w:t>
      </w:r>
      <w:r>
        <w:rPr>
          <w:rFonts w:cs="Arial"/>
          <w:i/>
          <w:iCs/>
          <w:color w:val="313131"/>
        </w:rPr>
        <w:t xml:space="preserve"> </w:t>
      </w:r>
    </w:p>
    <w:p w:rsidR="00984AA1" w:rsidRDefault="00984AA1" w:rsidP="00C26FFE">
      <w:pPr>
        <w:spacing w:after="120"/>
        <w:rPr>
          <w:rFonts w:cs="Arial"/>
          <w:i/>
          <w:iCs/>
          <w:color w:val="313131"/>
        </w:rPr>
      </w:pPr>
    </w:p>
    <w:p w:rsidR="00C26FFE" w:rsidRDefault="00984AA1" w:rsidP="00C26FFE">
      <w:pPr>
        <w:spacing w:after="120"/>
        <w:rPr>
          <w:i/>
          <w:iCs/>
        </w:rPr>
      </w:pPr>
      <w:r>
        <w:pict>
          <v:shape id="_x0000_i1027" type="#_x0000_t75" style="width:420pt;height:485.25pt">
            <v:imagedata r:id="rId17" o:title=""/>
          </v:shape>
        </w:pict>
      </w:r>
    </w:p>
    <w:p w:rsidR="00984AA1" w:rsidRDefault="00984AA1" w:rsidP="00C26FFE">
      <w:pPr>
        <w:spacing w:after="120"/>
        <w:rPr>
          <w:i/>
          <w:iCs/>
        </w:rPr>
      </w:pPr>
    </w:p>
    <w:tbl>
      <w:tblPr>
        <w:tblW w:w="9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2"/>
        <w:gridCol w:w="4479"/>
      </w:tblGrid>
      <w:tr w:rsidR="00C26FFE" w:rsidRPr="00B05192">
        <w:trPr>
          <w:trHeight w:val="279"/>
        </w:trPr>
        <w:tc>
          <w:tcPr>
            <w:tcW w:w="4712" w:type="dxa"/>
          </w:tcPr>
          <w:p w:rsidR="00C26FFE" w:rsidRPr="00B05192" w:rsidRDefault="00C26FFE">
            <w:pPr>
              <w:pStyle w:val="TAbody"/>
              <w:spacing w:before="120" w:after="120"/>
              <w:rPr>
                <w:b/>
                <w:sz w:val="22"/>
                <w:szCs w:val="22"/>
                <w:lang w:val="en-AU"/>
              </w:rPr>
            </w:pPr>
            <w:r w:rsidRPr="00B05192">
              <w:rPr>
                <w:b/>
                <w:sz w:val="22"/>
                <w:szCs w:val="22"/>
                <w:lang w:val="en-AU"/>
              </w:rPr>
              <w:t>Section</w:t>
            </w:r>
          </w:p>
        </w:tc>
        <w:tc>
          <w:tcPr>
            <w:tcW w:w="4479" w:type="dxa"/>
          </w:tcPr>
          <w:p w:rsidR="00C26FFE" w:rsidRPr="00B05192" w:rsidRDefault="00C26FFE">
            <w:pPr>
              <w:pStyle w:val="TAbody"/>
              <w:spacing w:before="120" w:after="120"/>
              <w:rPr>
                <w:b/>
                <w:sz w:val="22"/>
                <w:szCs w:val="22"/>
                <w:lang w:val="en-AU"/>
              </w:rPr>
            </w:pPr>
            <w:r w:rsidRPr="00B05192">
              <w:rPr>
                <w:b/>
                <w:sz w:val="22"/>
                <w:szCs w:val="22"/>
                <w:lang w:val="en-AU"/>
              </w:rPr>
              <w:t>Statement</w:t>
            </w:r>
          </w:p>
        </w:tc>
      </w:tr>
      <w:tr w:rsidR="00C26FFE" w:rsidRPr="00B05192">
        <w:tblPrEx>
          <w:tblLook w:val="01E0" w:firstRow="1" w:lastRow="1" w:firstColumn="1" w:lastColumn="1" w:noHBand="0" w:noVBand="0"/>
        </w:tblPrEx>
        <w:trPr>
          <w:trHeight w:val="70"/>
        </w:trPr>
        <w:tc>
          <w:tcPr>
            <w:tcW w:w="4712" w:type="dxa"/>
          </w:tcPr>
          <w:p w:rsidR="00C26FFE" w:rsidRPr="00B05192" w:rsidRDefault="00C26FFE">
            <w:pPr>
              <w:pStyle w:val="TAbody"/>
              <w:spacing w:before="120"/>
              <w:rPr>
                <w:rFonts w:cs="Arial"/>
                <w:b/>
                <w:sz w:val="22"/>
                <w:szCs w:val="22"/>
                <w:lang w:val="en-AU"/>
              </w:rPr>
            </w:pPr>
            <w:r w:rsidRPr="00B05192">
              <w:rPr>
                <w:rFonts w:cs="Arial"/>
                <w:b/>
                <w:sz w:val="22"/>
                <w:szCs w:val="22"/>
                <w:lang w:val="en-AU"/>
              </w:rPr>
              <w:t>s87(2)(a)</w:t>
            </w:r>
          </w:p>
          <w:p w:rsidR="00C26FFE" w:rsidRPr="00B05192" w:rsidRDefault="00C26FFE">
            <w:pPr>
              <w:autoSpaceDE w:val="0"/>
              <w:autoSpaceDN w:val="0"/>
              <w:adjustRightInd w:val="0"/>
              <w:rPr>
                <w:rFonts w:cs="Arial"/>
                <w:sz w:val="22"/>
                <w:szCs w:val="22"/>
              </w:rPr>
            </w:pPr>
            <w:r w:rsidRPr="00B05192">
              <w:rPr>
                <w:rFonts w:cs="Arial"/>
                <w:sz w:val="22"/>
                <w:szCs w:val="22"/>
              </w:rPr>
              <w:t xml:space="preserve">(a) a variation (a </w:t>
            </w:r>
            <w:r w:rsidRPr="00B05192">
              <w:rPr>
                <w:rFonts w:cs="Arial"/>
                <w:b/>
                <w:bCs/>
                <w:i/>
                <w:iCs/>
                <w:sz w:val="22"/>
                <w:szCs w:val="22"/>
              </w:rPr>
              <w:t>code variation</w:t>
            </w:r>
            <w:r w:rsidRPr="00B05192">
              <w:rPr>
                <w:rFonts w:cs="Arial"/>
                <w:sz w:val="22"/>
                <w:szCs w:val="22"/>
              </w:rPr>
              <w:t>) that—</w:t>
            </w:r>
          </w:p>
          <w:p w:rsidR="00C26FFE" w:rsidRPr="00B05192" w:rsidRDefault="00C26FFE">
            <w:pPr>
              <w:autoSpaceDE w:val="0"/>
              <w:autoSpaceDN w:val="0"/>
              <w:adjustRightInd w:val="0"/>
              <w:rPr>
                <w:rFonts w:cs="Arial"/>
                <w:sz w:val="22"/>
                <w:szCs w:val="22"/>
              </w:rPr>
            </w:pPr>
            <w:r w:rsidRPr="00B05192">
              <w:rPr>
                <w:rFonts w:cs="Arial"/>
                <w:sz w:val="22"/>
                <w:szCs w:val="22"/>
              </w:rPr>
              <w:t>(</w:t>
            </w:r>
            <w:proofErr w:type="spellStart"/>
            <w:r w:rsidRPr="00B05192">
              <w:rPr>
                <w:rFonts w:cs="Arial"/>
                <w:sz w:val="22"/>
                <w:szCs w:val="22"/>
              </w:rPr>
              <w:t>i</w:t>
            </w:r>
            <w:proofErr w:type="spellEnd"/>
            <w:r w:rsidRPr="00B05192">
              <w:rPr>
                <w:rFonts w:cs="Arial"/>
                <w:sz w:val="22"/>
                <w:szCs w:val="22"/>
              </w:rPr>
              <w:t>) would only change a code; and</w:t>
            </w:r>
          </w:p>
          <w:p w:rsidR="00C26FFE" w:rsidRPr="00B05192" w:rsidRDefault="00C26FFE">
            <w:pPr>
              <w:autoSpaceDE w:val="0"/>
              <w:autoSpaceDN w:val="0"/>
              <w:adjustRightInd w:val="0"/>
              <w:rPr>
                <w:rFonts w:cs="Arial"/>
                <w:sz w:val="22"/>
                <w:szCs w:val="22"/>
              </w:rPr>
            </w:pPr>
            <w:r w:rsidRPr="00B05192">
              <w:rPr>
                <w:rFonts w:cs="Arial"/>
                <w:sz w:val="22"/>
                <w:szCs w:val="22"/>
              </w:rPr>
              <w:t xml:space="preserve">(ii) is consistent with the policy purpose and policy framework of the code; and </w:t>
            </w:r>
          </w:p>
          <w:p w:rsidR="00C26FFE" w:rsidRPr="00B05192" w:rsidRDefault="00C26FFE">
            <w:pPr>
              <w:autoSpaceDE w:val="0"/>
              <w:autoSpaceDN w:val="0"/>
              <w:adjustRightInd w:val="0"/>
              <w:rPr>
                <w:sz w:val="22"/>
                <w:szCs w:val="22"/>
              </w:rPr>
            </w:pPr>
            <w:r w:rsidRPr="00B05192">
              <w:rPr>
                <w:rFonts w:cs="Arial"/>
                <w:sz w:val="22"/>
                <w:szCs w:val="22"/>
              </w:rPr>
              <w:t>(iii) is not an error variation</w:t>
            </w:r>
          </w:p>
        </w:tc>
        <w:tc>
          <w:tcPr>
            <w:tcW w:w="4479" w:type="dxa"/>
          </w:tcPr>
          <w:p w:rsidR="003E1F3F" w:rsidRPr="00B05192" w:rsidRDefault="003E1F3F" w:rsidP="003E1F3F">
            <w:pPr>
              <w:pStyle w:val="TAbody"/>
              <w:spacing w:before="120"/>
              <w:rPr>
                <w:sz w:val="22"/>
                <w:szCs w:val="22"/>
                <w:lang w:val="en-AU"/>
              </w:rPr>
            </w:pPr>
            <w:r w:rsidRPr="00B05192">
              <w:rPr>
                <w:sz w:val="22"/>
                <w:szCs w:val="22"/>
                <w:lang w:val="en-AU"/>
              </w:rPr>
              <w:t>Compliant.</w:t>
            </w:r>
          </w:p>
          <w:p w:rsidR="00C26FFE" w:rsidRPr="00B05192" w:rsidRDefault="003E1F3F" w:rsidP="003E1F3F">
            <w:pPr>
              <w:pStyle w:val="TAbody"/>
              <w:spacing w:after="120"/>
              <w:rPr>
                <w:sz w:val="22"/>
                <w:szCs w:val="22"/>
                <w:lang w:val="en-AU"/>
              </w:rPr>
            </w:pPr>
            <w:r w:rsidRPr="00B05192">
              <w:rPr>
                <w:sz w:val="22"/>
                <w:szCs w:val="22"/>
                <w:lang w:val="en-AU"/>
              </w:rPr>
              <w:t>The change</w:t>
            </w:r>
            <w:r>
              <w:rPr>
                <w:sz w:val="22"/>
                <w:szCs w:val="22"/>
                <w:lang w:val="en-AU"/>
              </w:rPr>
              <w:t xml:space="preserve"> is </w:t>
            </w:r>
            <w:r w:rsidR="00B93A64">
              <w:rPr>
                <w:sz w:val="22"/>
                <w:szCs w:val="22"/>
                <w:lang w:val="en-AU"/>
              </w:rPr>
              <w:t xml:space="preserve">being </w:t>
            </w:r>
            <w:r>
              <w:rPr>
                <w:sz w:val="22"/>
                <w:szCs w:val="22"/>
                <w:lang w:val="en-AU"/>
              </w:rPr>
              <w:t xml:space="preserve">made to Figure 1 in the West Belconnen Concept Plan to realign the landfill clearance zone. The change is </w:t>
            </w:r>
            <w:r w:rsidRPr="00B05192">
              <w:rPr>
                <w:sz w:val="22"/>
                <w:szCs w:val="22"/>
                <w:lang w:val="en-AU"/>
              </w:rPr>
              <w:t xml:space="preserve">consistent with the policy intent of </w:t>
            </w:r>
            <w:r>
              <w:rPr>
                <w:sz w:val="22"/>
                <w:szCs w:val="22"/>
                <w:lang w:val="en-AU"/>
              </w:rPr>
              <w:t>restricting development within the clearance zone. The change is supported by the ACT EPA.</w:t>
            </w:r>
          </w:p>
        </w:tc>
      </w:tr>
    </w:tbl>
    <w:p w:rsidR="00062FE8" w:rsidRDefault="00C26FFE">
      <w:pPr>
        <w:pStyle w:val="TAsectionheading"/>
      </w:pPr>
      <w:r>
        <w:br w:type="page"/>
      </w:r>
      <w:bookmarkStart w:id="36" w:name="_Toc254851539"/>
      <w:bookmarkStart w:id="37" w:name="_Toc469927026"/>
      <w:bookmarkStart w:id="38" w:name="_Toc130210762"/>
      <w:bookmarkEnd w:id="31"/>
      <w:r w:rsidR="00062FE8" w:rsidRPr="00BE441E">
        <w:lastRenderedPageBreak/>
        <w:t>TECHNICAL AMENDMENT</w:t>
      </w:r>
      <w:bookmarkEnd w:id="38"/>
    </w:p>
    <w:bookmarkEnd w:id="36"/>
    <w:bookmarkEnd w:id="37"/>
    <w:p w:rsidR="0068565E" w:rsidRDefault="00F6463E">
      <w:r w:rsidRPr="00F6463E">
        <w:t xml:space="preserve">This section of the technical amendment document provides the actual instructions for implementing the changes to the Territory Plan.  </w:t>
      </w:r>
    </w:p>
    <w:p w:rsidR="00CC3991" w:rsidRDefault="00CC3991"/>
    <w:p w:rsidR="00A56561" w:rsidRPr="008105C0" w:rsidRDefault="00A56561">
      <w:pPr>
        <w:pStyle w:val="TAsectionheading3"/>
        <w:numPr>
          <w:ilvl w:val="2"/>
          <w:numId w:val="16"/>
        </w:numPr>
        <w:ind w:hanging="862"/>
      </w:pPr>
      <w:r w:rsidRPr="008105C0">
        <w:t xml:space="preserve">  </w:t>
      </w:r>
      <w:bookmarkStart w:id="39" w:name="_Toc130210763"/>
      <w:r w:rsidRPr="008105C0">
        <w:t xml:space="preserve">Variation to the </w:t>
      </w:r>
      <w:r w:rsidR="00C26FFE">
        <w:t>W</w:t>
      </w:r>
      <w:r w:rsidR="003E1F3F">
        <w:t>est Belconnen Concept Plan</w:t>
      </w:r>
      <w:bookmarkEnd w:id="39"/>
      <w:r w:rsidR="00B43B37">
        <w:t xml:space="preserve"> </w:t>
      </w:r>
      <w:r w:rsidRPr="008105C0">
        <w:t xml:space="preserve"> </w:t>
      </w:r>
    </w:p>
    <w:p w:rsidR="00C26FFE" w:rsidRPr="008105C0" w:rsidRDefault="00577CB0" w:rsidP="00C26FFE">
      <w:pPr>
        <w:pStyle w:val="TAeditorialitemgeneralheading"/>
        <w:numPr>
          <w:ilvl w:val="0"/>
          <w:numId w:val="33"/>
        </w:numPr>
      </w:pPr>
      <w:r>
        <w:t>Figure 1 Clearance Zone Map A</w:t>
      </w:r>
    </w:p>
    <w:p w:rsidR="00C26FFE" w:rsidRPr="008105C0" w:rsidRDefault="00C26FFE" w:rsidP="00C26FFE">
      <w:pPr>
        <w:rPr>
          <w:i/>
        </w:rPr>
      </w:pPr>
    </w:p>
    <w:p w:rsidR="00C26FFE" w:rsidRDefault="00C26FFE" w:rsidP="00C26FFE">
      <w:pPr>
        <w:rPr>
          <w:rFonts w:cs="Arial"/>
          <w:i/>
          <w:iCs/>
        </w:rPr>
      </w:pPr>
      <w:r>
        <w:rPr>
          <w:rFonts w:cs="Arial"/>
          <w:i/>
          <w:iCs/>
        </w:rPr>
        <w:t>s</w:t>
      </w:r>
      <w:r w:rsidRPr="00F200BB">
        <w:rPr>
          <w:rFonts w:cs="Arial"/>
          <w:i/>
          <w:iCs/>
        </w:rPr>
        <w:t>ubstitute</w:t>
      </w:r>
    </w:p>
    <w:p w:rsidR="00C26FFE" w:rsidRDefault="00C26FFE" w:rsidP="00C26FFE">
      <w:pPr>
        <w:ind w:left="851" w:firstLine="142"/>
        <w:rPr>
          <w:i/>
        </w:rPr>
      </w:pPr>
    </w:p>
    <w:p w:rsidR="00C26FFE" w:rsidRDefault="00984AA1" w:rsidP="00C26FFE">
      <w:pPr>
        <w:rPr>
          <w:i/>
        </w:rPr>
      </w:pPr>
      <w:r>
        <w:pict>
          <v:shape id="_x0000_i1028" type="#_x0000_t75" style="width:420pt;height:485.25pt">
            <v:imagedata r:id="rId17" o:title=""/>
          </v:shape>
        </w:pict>
      </w:r>
    </w:p>
    <w:p w:rsidR="00C26FFE" w:rsidRPr="002D3A65" w:rsidRDefault="00C26FFE" w:rsidP="00C26FFE">
      <w:pPr>
        <w:spacing w:before="120"/>
        <w:rPr>
          <w:b/>
          <w:bCs/>
          <w:iCs/>
          <w:sz w:val="22"/>
          <w:szCs w:val="22"/>
        </w:rPr>
      </w:pPr>
      <w:r w:rsidRPr="002D3A65">
        <w:rPr>
          <w:b/>
          <w:bCs/>
          <w:iCs/>
          <w:sz w:val="22"/>
          <w:szCs w:val="22"/>
        </w:rPr>
        <w:t xml:space="preserve">Figure </w:t>
      </w:r>
      <w:r w:rsidR="00577CB0">
        <w:rPr>
          <w:b/>
          <w:bCs/>
          <w:iCs/>
          <w:sz w:val="22"/>
          <w:szCs w:val="22"/>
        </w:rPr>
        <w:t>1</w:t>
      </w:r>
      <w:r w:rsidRPr="002D3A65">
        <w:rPr>
          <w:b/>
          <w:bCs/>
          <w:iCs/>
          <w:sz w:val="22"/>
          <w:szCs w:val="22"/>
        </w:rPr>
        <w:t xml:space="preserve"> </w:t>
      </w:r>
      <w:r w:rsidR="00577CB0">
        <w:rPr>
          <w:b/>
          <w:bCs/>
          <w:iCs/>
          <w:sz w:val="22"/>
          <w:szCs w:val="22"/>
        </w:rPr>
        <w:t>Clearance Zone Map A</w:t>
      </w:r>
    </w:p>
    <w:p w:rsidR="00663981" w:rsidRPr="00F200BB" w:rsidRDefault="00663981" w:rsidP="00663981">
      <w:pPr>
        <w:rPr>
          <w:rFonts w:cs="Arial"/>
        </w:rPr>
      </w:pPr>
    </w:p>
    <w:p w:rsidR="00B05192" w:rsidRDefault="00B05192" w:rsidP="00663981">
      <w:pPr>
        <w:rPr>
          <w:rFonts w:cs="Arial"/>
          <w:b/>
          <w:bCs/>
        </w:rPr>
      </w:pPr>
    </w:p>
    <w:p w:rsidR="00C52108" w:rsidRDefault="00C52108" w:rsidP="00521575">
      <w:pPr>
        <w:ind w:left="851" w:firstLine="142"/>
        <w:rPr>
          <w:i/>
        </w:rPr>
      </w:pPr>
    </w:p>
    <w:p w:rsidR="00577CB0" w:rsidRDefault="00577CB0" w:rsidP="00521575">
      <w:pPr>
        <w:ind w:left="851" w:firstLine="142"/>
      </w:pPr>
    </w:p>
    <w:p w:rsidR="001D04F6" w:rsidRDefault="003E0DA3" w:rsidP="00984AA1">
      <w:pPr>
        <w:ind w:firstLine="142"/>
        <w:jc w:val="both"/>
      </w:pPr>
      <w:r w:rsidRPr="00BE441E">
        <w:t>Interpretation service</w:t>
      </w:r>
    </w:p>
    <w:p w:rsidR="00984AA1" w:rsidRPr="008A2AE9" w:rsidRDefault="00984AA1" w:rsidP="00521575">
      <w:pPr>
        <w:ind w:left="851" w:firstLine="142"/>
      </w:pPr>
    </w:p>
    <w:p w:rsidR="001D04F6" w:rsidRPr="00BE441E" w:rsidRDefault="00521FE2" w:rsidP="001D04F6">
      <w:pPr>
        <w:pStyle w:val="BodyText"/>
      </w:pPr>
      <w:r w:rsidRPr="000742E2">
        <w:rPr>
          <w:noProof/>
        </w:rPr>
        <w:pict>
          <v:shape id="Picture 1" o:spid="_x0000_i1029" type="#_x0000_t75" alt="Trans" style="width:423pt;height:279pt;visibility:visible">
            <v:imagedata r:id="rId18" o:title="Trans"/>
          </v:shape>
        </w:pict>
      </w:r>
    </w:p>
    <w:p w:rsidR="001D04F6" w:rsidRDefault="001D04F6" w:rsidP="001D04F6">
      <w:pPr>
        <w:pStyle w:val="BodyText"/>
      </w:pPr>
    </w:p>
    <w:p w:rsidR="001D04F6" w:rsidRDefault="001D04F6" w:rsidP="001D04F6">
      <w:pPr>
        <w:pStyle w:val="BodyText"/>
      </w:pPr>
    </w:p>
    <w:p w:rsidR="001D04F6" w:rsidRPr="008A2AE9" w:rsidRDefault="001D04F6" w:rsidP="001D04F6">
      <w:pPr>
        <w:pStyle w:val="BodyText"/>
      </w:pPr>
    </w:p>
    <w:sectPr w:rsidR="001D04F6" w:rsidRPr="008A2AE9" w:rsidSect="006E1140">
      <w:headerReference w:type="default" r:id="rId19"/>
      <w:footerReference w:type="default" r:id="rId20"/>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5677" w:rsidRDefault="00C65677">
      <w:r>
        <w:separator/>
      </w:r>
    </w:p>
  </w:endnote>
  <w:endnote w:type="continuationSeparator" w:id="0">
    <w:p w:rsidR="00C65677" w:rsidRDefault="00C65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4CCF" w:rsidRDefault="009B4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4CCF" w:rsidRPr="009B4CCF" w:rsidRDefault="009B4CCF" w:rsidP="009B4CCF">
    <w:pPr>
      <w:pStyle w:val="Footer"/>
      <w:jc w:val="center"/>
      <w:rPr>
        <w:rFonts w:cs="Arial"/>
        <w:sz w:val="14"/>
      </w:rPr>
    </w:pPr>
    <w:r w:rsidRPr="009B4CCF">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4CCF" w:rsidRPr="009B4CCF" w:rsidRDefault="009B4CCF" w:rsidP="009B4CCF">
    <w:pPr>
      <w:pStyle w:val="Footer"/>
      <w:jc w:val="center"/>
      <w:rPr>
        <w:rFonts w:cs="Arial"/>
        <w:sz w:val="14"/>
      </w:rPr>
    </w:pPr>
    <w:r w:rsidRPr="009B4CC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21FA" w:rsidRPr="009B4CCF" w:rsidRDefault="009B4CCF" w:rsidP="009B4CCF">
    <w:pPr>
      <w:pStyle w:val="TAfooter"/>
      <w:rPr>
        <w:sz w:val="14"/>
      </w:rPr>
    </w:pPr>
    <w:r w:rsidRPr="009B4CCF">
      <w:rPr>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21FA" w:rsidRDefault="004420E2" w:rsidP="00521FE2">
    <w:pPr>
      <w:pStyle w:val="Footer"/>
      <w:tabs>
        <w:tab w:val="clear" w:pos="4153"/>
        <w:tab w:val="clear" w:pos="8306"/>
        <w:tab w:val="center" w:pos="4535"/>
        <w:tab w:val="right" w:pos="9070"/>
      </w:tabs>
      <w:jc w:val="both"/>
      <w:rPr>
        <w:sz w:val="22"/>
        <w:szCs w:val="22"/>
      </w:rPr>
    </w:pPr>
    <w:r>
      <w:rPr>
        <w:sz w:val="22"/>
        <w:szCs w:val="22"/>
      </w:rPr>
      <w:t>TA</w:t>
    </w:r>
    <w:r w:rsidR="00D5081E">
      <w:rPr>
        <w:sz w:val="22"/>
        <w:szCs w:val="22"/>
      </w:rPr>
      <w:t>202</w:t>
    </w:r>
    <w:r w:rsidR="003E1F3F">
      <w:rPr>
        <w:sz w:val="22"/>
        <w:szCs w:val="22"/>
      </w:rPr>
      <w:t>3-02</w:t>
    </w:r>
    <w:r>
      <w:rPr>
        <w:sz w:val="22"/>
        <w:szCs w:val="22"/>
      </w:rPr>
      <w:t xml:space="preserve"> </w:t>
    </w:r>
    <w:r w:rsidR="00E27DB7">
      <w:rPr>
        <w:sz w:val="22"/>
        <w:szCs w:val="22"/>
      </w:rPr>
      <w:tab/>
    </w:r>
    <w:r w:rsidR="00BD064B">
      <w:rPr>
        <w:sz w:val="22"/>
        <w:szCs w:val="22"/>
      </w:rPr>
      <w:t xml:space="preserve">March </w:t>
    </w:r>
    <w:r w:rsidR="00E27DB7">
      <w:rPr>
        <w:sz w:val="22"/>
        <w:szCs w:val="22"/>
      </w:rPr>
      <w:t>202</w:t>
    </w:r>
    <w:r w:rsidR="007E661F">
      <w:rPr>
        <w:sz w:val="22"/>
        <w:szCs w:val="22"/>
      </w:rPr>
      <w:t>3</w:t>
    </w:r>
    <w:r w:rsidR="00521FE2" w:rsidRPr="00962213">
      <w:rPr>
        <w:sz w:val="22"/>
        <w:szCs w:val="22"/>
      </w:rPr>
      <w:tab/>
    </w:r>
    <w:r w:rsidR="001D21FA" w:rsidRPr="00C0173E">
      <w:rPr>
        <w:sz w:val="22"/>
        <w:szCs w:val="22"/>
      </w:rPr>
      <w:t>page</w:t>
    </w:r>
    <w:r w:rsidR="001D21FA">
      <w:rPr>
        <w:sz w:val="22"/>
        <w:szCs w:val="22"/>
      </w:rPr>
      <w:t xml:space="preserve"> </w:t>
    </w:r>
    <w:r w:rsidR="001D21FA" w:rsidRPr="00941A1F">
      <w:rPr>
        <w:sz w:val="22"/>
        <w:szCs w:val="22"/>
      </w:rPr>
      <w:fldChar w:fldCharType="begin"/>
    </w:r>
    <w:r w:rsidR="001D21FA" w:rsidRPr="00941A1F">
      <w:rPr>
        <w:sz w:val="22"/>
        <w:szCs w:val="22"/>
      </w:rPr>
      <w:instrText xml:space="preserve"> PAGE   \* MERGEFORMAT </w:instrText>
    </w:r>
    <w:r w:rsidR="001D21FA" w:rsidRPr="00941A1F">
      <w:rPr>
        <w:sz w:val="22"/>
        <w:szCs w:val="22"/>
      </w:rPr>
      <w:fldChar w:fldCharType="separate"/>
    </w:r>
    <w:r w:rsidR="002043EA">
      <w:rPr>
        <w:noProof/>
        <w:sz w:val="22"/>
        <w:szCs w:val="22"/>
      </w:rPr>
      <w:t>16</w:t>
    </w:r>
    <w:r w:rsidR="001D21FA" w:rsidRPr="00941A1F">
      <w:rPr>
        <w:sz w:val="22"/>
        <w:szCs w:val="22"/>
      </w:rPr>
      <w:fldChar w:fldCharType="end"/>
    </w:r>
  </w:p>
  <w:p w:rsidR="009B4CCF" w:rsidRPr="009B4CCF" w:rsidRDefault="009B4CCF" w:rsidP="009B4CCF">
    <w:pPr>
      <w:pStyle w:val="Footer"/>
      <w:tabs>
        <w:tab w:val="clear" w:pos="4153"/>
        <w:tab w:val="clear" w:pos="8306"/>
        <w:tab w:val="center" w:pos="4535"/>
        <w:tab w:val="right" w:pos="9070"/>
      </w:tabs>
      <w:jc w:val="center"/>
      <w:rPr>
        <w:rFonts w:cs="Arial"/>
        <w:sz w:val="14"/>
        <w:szCs w:val="20"/>
      </w:rPr>
    </w:pPr>
    <w:r w:rsidRPr="009B4CCF">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5677" w:rsidRDefault="00C65677">
      <w:r>
        <w:separator/>
      </w:r>
    </w:p>
  </w:footnote>
  <w:footnote w:type="continuationSeparator" w:id="0">
    <w:p w:rsidR="00C65677" w:rsidRDefault="00C65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4CCF" w:rsidRDefault="009B4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7DB7" w:rsidRDefault="00E27DB7" w:rsidP="00E27DB7">
    <w:pPr>
      <w:pStyle w:val="Header"/>
      <w:tabs>
        <w:tab w:val="clear" w:pos="8640"/>
        <w:tab w:val="left" w:pos="5892"/>
      </w:tabs>
    </w:pPr>
    <w:r w:rsidRPr="00521FE2">
      <w:rPr>
        <w:rFonts w:ascii="Calibri" w:hAnsi="Calibri" w:cs="Calibri"/>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1.25pt;height:83.25pt;visibility:visible">
          <v:imagedata r:id="rId1" o:title="ACTGov_EPSDD_inline_black"/>
        </v:shape>
      </w:pict>
    </w:r>
    <w:r>
      <w:rPr>
        <w:rFonts w:ascii="Calibri" w:hAnsi="Calibri" w:cs="Calibri"/>
        <w:b/>
        <w:noProof/>
        <w:sz w:val="32"/>
        <w:szCs w:val="32"/>
      </w:rPr>
      <w:tab/>
    </w:r>
    <w:r w:rsidR="00C22664">
      <w:rPr>
        <w:rFonts w:ascii="Calibri" w:hAnsi="Calibri" w:cs="Calibri"/>
        <w:b/>
        <w:noProof/>
        <w:sz w:val="32"/>
        <w:szCs w:val="32"/>
      </w:rPr>
      <w:tab/>
    </w:r>
    <w:r w:rsidR="00C22664">
      <w:rPr>
        <w:rFonts w:ascii="Calibri" w:hAnsi="Calibri" w:cs="Calibri"/>
        <w:b/>
        <w:noProof/>
        <w:sz w:val="32"/>
        <w:szCs w:val="32"/>
      </w:rPr>
      <w:tab/>
    </w:r>
    <w:r w:rsidR="00B93A64">
      <w:rPr>
        <w:rFonts w:ascii="Calibri" w:hAnsi="Calibri" w:cs="Calibri"/>
        <w:b/>
        <w:noProof/>
        <w:sz w:val="32"/>
        <w:szCs w:val="32"/>
      </w:rPr>
      <w:tab/>
    </w:r>
    <w:r w:rsidR="00C22664">
      <w:rPr>
        <w:rFonts w:ascii="Calibri" w:hAnsi="Calibri" w:cs="Calibri"/>
        <w:b/>
        <w:noProof/>
        <w:sz w:val="32"/>
        <w:szCs w:val="32"/>
      </w:rPr>
      <w:t>Schedule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21FA" w:rsidRPr="00312DF5" w:rsidRDefault="001D21FA" w:rsidP="002B25ED">
    <w:pPr>
      <w:pStyle w:val="Header"/>
      <w:spacing w:before="360"/>
      <w:rPr>
        <w:rFonts w:ascii="Calibri" w:hAnsi="Calibri" w:cs="Calibri"/>
        <w:b/>
        <w:sz w:val="32"/>
        <w:szCs w:val="32"/>
      </w:rPr>
    </w:pPr>
  </w:p>
  <w:p w:rsidR="001D21FA" w:rsidRDefault="001D21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7DB7" w:rsidRDefault="00E27DB7" w:rsidP="00E27DB7">
    <w:pPr>
      <w:pStyle w:val="Header"/>
      <w:tabs>
        <w:tab w:val="clear" w:pos="8640"/>
        <w:tab w:val="left" w:pos="5892"/>
      </w:tabs>
    </w:pPr>
    <w:r>
      <w:rPr>
        <w:rFonts w:ascii="Calibri" w:hAnsi="Calibri" w:cs="Calibri"/>
        <w:b/>
        <w:noProof/>
        <w:sz w:val="32"/>
        <w:szCs w:val="3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21FA" w:rsidRDefault="001D21FA" w:rsidP="001D04F6">
    <w:pPr>
      <w:pStyle w:val="TA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CE6A54"/>
    <w:multiLevelType w:val="multilevel"/>
    <w:tmpl w:val="0C09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EB7A52"/>
    <w:multiLevelType w:val="hybridMultilevel"/>
    <w:tmpl w:val="73B8DCE4"/>
    <w:lvl w:ilvl="0" w:tplc="6472C1B6">
      <w:start w:val="1"/>
      <w:numFmt w:val="decimal"/>
      <w:lvlText w:val="%1."/>
      <w:lvlJc w:val="left"/>
      <w:pPr>
        <w:tabs>
          <w:tab w:val="num" w:pos="720"/>
        </w:tabs>
        <w:ind w:left="720" w:hanging="360"/>
      </w:pPr>
    </w:lvl>
    <w:lvl w:ilvl="1" w:tplc="0A605892" w:tentative="1">
      <w:start w:val="1"/>
      <w:numFmt w:val="lowerLetter"/>
      <w:lvlText w:val="%2."/>
      <w:lvlJc w:val="left"/>
      <w:pPr>
        <w:tabs>
          <w:tab w:val="num" w:pos="1440"/>
        </w:tabs>
        <w:ind w:left="1440" w:hanging="360"/>
      </w:pPr>
    </w:lvl>
    <w:lvl w:ilvl="2" w:tplc="6F7C7478" w:tentative="1">
      <w:start w:val="1"/>
      <w:numFmt w:val="lowerRoman"/>
      <w:lvlText w:val="%3."/>
      <w:lvlJc w:val="right"/>
      <w:pPr>
        <w:tabs>
          <w:tab w:val="num" w:pos="2160"/>
        </w:tabs>
        <w:ind w:left="2160" w:hanging="180"/>
      </w:pPr>
    </w:lvl>
    <w:lvl w:ilvl="3" w:tplc="A7EA2AF4" w:tentative="1">
      <w:start w:val="1"/>
      <w:numFmt w:val="decimal"/>
      <w:lvlText w:val="%4."/>
      <w:lvlJc w:val="left"/>
      <w:pPr>
        <w:tabs>
          <w:tab w:val="num" w:pos="2880"/>
        </w:tabs>
        <w:ind w:left="2880" w:hanging="360"/>
      </w:pPr>
    </w:lvl>
    <w:lvl w:ilvl="4" w:tplc="5BEE2164" w:tentative="1">
      <w:start w:val="1"/>
      <w:numFmt w:val="lowerLetter"/>
      <w:lvlText w:val="%5."/>
      <w:lvlJc w:val="left"/>
      <w:pPr>
        <w:tabs>
          <w:tab w:val="num" w:pos="3600"/>
        </w:tabs>
        <w:ind w:left="3600" w:hanging="360"/>
      </w:pPr>
    </w:lvl>
    <w:lvl w:ilvl="5" w:tplc="79C01A7E" w:tentative="1">
      <w:start w:val="1"/>
      <w:numFmt w:val="lowerRoman"/>
      <w:lvlText w:val="%6."/>
      <w:lvlJc w:val="right"/>
      <w:pPr>
        <w:tabs>
          <w:tab w:val="num" w:pos="4320"/>
        </w:tabs>
        <w:ind w:left="4320" w:hanging="180"/>
      </w:pPr>
    </w:lvl>
    <w:lvl w:ilvl="6" w:tplc="CF80F6D6" w:tentative="1">
      <w:start w:val="1"/>
      <w:numFmt w:val="decimal"/>
      <w:lvlText w:val="%7."/>
      <w:lvlJc w:val="left"/>
      <w:pPr>
        <w:tabs>
          <w:tab w:val="num" w:pos="5040"/>
        </w:tabs>
        <w:ind w:left="5040" w:hanging="360"/>
      </w:pPr>
    </w:lvl>
    <w:lvl w:ilvl="7" w:tplc="2E062BC4" w:tentative="1">
      <w:start w:val="1"/>
      <w:numFmt w:val="lowerLetter"/>
      <w:lvlText w:val="%8."/>
      <w:lvlJc w:val="left"/>
      <w:pPr>
        <w:tabs>
          <w:tab w:val="num" w:pos="5760"/>
        </w:tabs>
        <w:ind w:left="5760" w:hanging="360"/>
      </w:pPr>
    </w:lvl>
    <w:lvl w:ilvl="8" w:tplc="796ECDFC" w:tentative="1">
      <w:start w:val="1"/>
      <w:numFmt w:val="lowerRoman"/>
      <w:lvlText w:val="%9."/>
      <w:lvlJc w:val="right"/>
      <w:pPr>
        <w:tabs>
          <w:tab w:val="num" w:pos="6480"/>
        </w:tabs>
        <w:ind w:left="6480" w:hanging="180"/>
      </w:pPr>
    </w:lvl>
  </w:abstractNum>
  <w:abstractNum w:abstractNumId="3" w15:restartNumberingAfterBreak="0">
    <w:nsid w:val="10C04B94"/>
    <w:multiLevelType w:val="hybridMultilevel"/>
    <w:tmpl w:val="4FA860E8"/>
    <w:lvl w:ilvl="0" w:tplc="0298DA62">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648234BE">
      <w:start w:val="1"/>
      <w:numFmt w:val="lowerRoman"/>
      <w:lvlText w:val="%2)"/>
      <w:lvlJc w:val="left"/>
      <w:pPr>
        <w:ind w:left="1015" w:hanging="454"/>
      </w:pPr>
      <w:rPr>
        <w:rFonts w:ascii="Arial" w:eastAsia="Arial" w:hAnsi="Arial" w:cs="Arial" w:hint="default"/>
        <w:b w:val="0"/>
        <w:bCs w:val="0"/>
        <w:i w:val="0"/>
        <w:iCs w:val="0"/>
        <w:spacing w:val="-1"/>
        <w:w w:val="100"/>
        <w:sz w:val="20"/>
        <w:szCs w:val="20"/>
        <w:lang w:val="en-US" w:eastAsia="en-US" w:bidi="ar-SA"/>
      </w:rPr>
    </w:lvl>
    <w:lvl w:ilvl="2" w:tplc="DC7C2252">
      <w:numFmt w:val="bullet"/>
      <w:lvlText w:val="•"/>
      <w:lvlJc w:val="left"/>
      <w:pPr>
        <w:ind w:left="1419" w:hanging="454"/>
      </w:pPr>
      <w:rPr>
        <w:rFonts w:hint="default"/>
        <w:lang w:val="en-US" w:eastAsia="en-US" w:bidi="ar-SA"/>
      </w:rPr>
    </w:lvl>
    <w:lvl w:ilvl="3" w:tplc="EB9A09C8">
      <w:numFmt w:val="bullet"/>
      <w:lvlText w:val="•"/>
      <w:lvlJc w:val="left"/>
      <w:pPr>
        <w:ind w:left="1818" w:hanging="454"/>
      </w:pPr>
      <w:rPr>
        <w:rFonts w:hint="default"/>
        <w:lang w:val="en-US" w:eastAsia="en-US" w:bidi="ar-SA"/>
      </w:rPr>
    </w:lvl>
    <w:lvl w:ilvl="4" w:tplc="8F0416FE">
      <w:numFmt w:val="bullet"/>
      <w:lvlText w:val="•"/>
      <w:lvlJc w:val="left"/>
      <w:pPr>
        <w:ind w:left="2217" w:hanging="454"/>
      </w:pPr>
      <w:rPr>
        <w:rFonts w:hint="default"/>
        <w:lang w:val="en-US" w:eastAsia="en-US" w:bidi="ar-SA"/>
      </w:rPr>
    </w:lvl>
    <w:lvl w:ilvl="5" w:tplc="54EC55D6">
      <w:numFmt w:val="bullet"/>
      <w:lvlText w:val="•"/>
      <w:lvlJc w:val="left"/>
      <w:pPr>
        <w:ind w:left="2616" w:hanging="454"/>
      </w:pPr>
      <w:rPr>
        <w:rFonts w:hint="default"/>
        <w:lang w:val="en-US" w:eastAsia="en-US" w:bidi="ar-SA"/>
      </w:rPr>
    </w:lvl>
    <w:lvl w:ilvl="6" w:tplc="66FC34FE">
      <w:numFmt w:val="bullet"/>
      <w:lvlText w:val="•"/>
      <w:lvlJc w:val="left"/>
      <w:pPr>
        <w:ind w:left="3015" w:hanging="454"/>
      </w:pPr>
      <w:rPr>
        <w:rFonts w:hint="default"/>
        <w:lang w:val="en-US" w:eastAsia="en-US" w:bidi="ar-SA"/>
      </w:rPr>
    </w:lvl>
    <w:lvl w:ilvl="7" w:tplc="7916B3B8">
      <w:numFmt w:val="bullet"/>
      <w:lvlText w:val="•"/>
      <w:lvlJc w:val="left"/>
      <w:pPr>
        <w:ind w:left="3414" w:hanging="454"/>
      </w:pPr>
      <w:rPr>
        <w:rFonts w:hint="default"/>
        <w:lang w:val="en-US" w:eastAsia="en-US" w:bidi="ar-SA"/>
      </w:rPr>
    </w:lvl>
    <w:lvl w:ilvl="8" w:tplc="4A66883E">
      <w:numFmt w:val="bullet"/>
      <w:lvlText w:val="•"/>
      <w:lvlJc w:val="left"/>
      <w:pPr>
        <w:ind w:left="3813" w:hanging="454"/>
      </w:pPr>
      <w:rPr>
        <w:rFonts w:hint="default"/>
        <w:lang w:val="en-US" w:eastAsia="en-US" w:bidi="ar-SA"/>
      </w:rPr>
    </w:lvl>
  </w:abstractNum>
  <w:abstractNum w:abstractNumId="4" w15:restartNumberingAfterBreak="0">
    <w:nsid w:val="14773DE7"/>
    <w:multiLevelType w:val="hybridMultilevel"/>
    <w:tmpl w:val="F86E4164"/>
    <w:lvl w:ilvl="0" w:tplc="0FF204C0">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879A855C">
      <w:numFmt w:val="bullet"/>
      <w:lvlText w:val="•"/>
      <w:lvlJc w:val="left"/>
      <w:pPr>
        <w:ind w:left="965" w:hanging="454"/>
      </w:pPr>
      <w:rPr>
        <w:rFonts w:hint="default"/>
        <w:lang w:val="en-US" w:eastAsia="en-US" w:bidi="ar-SA"/>
      </w:rPr>
    </w:lvl>
    <w:lvl w:ilvl="2" w:tplc="8A148F36">
      <w:numFmt w:val="bullet"/>
      <w:lvlText w:val="•"/>
      <w:lvlJc w:val="left"/>
      <w:pPr>
        <w:ind w:left="1370" w:hanging="454"/>
      </w:pPr>
      <w:rPr>
        <w:rFonts w:hint="default"/>
        <w:lang w:val="en-US" w:eastAsia="en-US" w:bidi="ar-SA"/>
      </w:rPr>
    </w:lvl>
    <w:lvl w:ilvl="3" w:tplc="6CC2CE0A">
      <w:numFmt w:val="bullet"/>
      <w:lvlText w:val="•"/>
      <w:lvlJc w:val="left"/>
      <w:pPr>
        <w:ind w:left="1775" w:hanging="454"/>
      </w:pPr>
      <w:rPr>
        <w:rFonts w:hint="default"/>
        <w:lang w:val="en-US" w:eastAsia="en-US" w:bidi="ar-SA"/>
      </w:rPr>
    </w:lvl>
    <w:lvl w:ilvl="4" w:tplc="D0C0DA94">
      <w:numFmt w:val="bullet"/>
      <w:lvlText w:val="•"/>
      <w:lvlJc w:val="left"/>
      <w:pPr>
        <w:ind w:left="2181" w:hanging="454"/>
      </w:pPr>
      <w:rPr>
        <w:rFonts w:hint="default"/>
        <w:lang w:val="en-US" w:eastAsia="en-US" w:bidi="ar-SA"/>
      </w:rPr>
    </w:lvl>
    <w:lvl w:ilvl="5" w:tplc="0ACC872E">
      <w:numFmt w:val="bullet"/>
      <w:lvlText w:val="•"/>
      <w:lvlJc w:val="left"/>
      <w:pPr>
        <w:ind w:left="2586" w:hanging="454"/>
      </w:pPr>
      <w:rPr>
        <w:rFonts w:hint="default"/>
        <w:lang w:val="en-US" w:eastAsia="en-US" w:bidi="ar-SA"/>
      </w:rPr>
    </w:lvl>
    <w:lvl w:ilvl="6" w:tplc="681C8704">
      <w:numFmt w:val="bullet"/>
      <w:lvlText w:val="•"/>
      <w:lvlJc w:val="left"/>
      <w:pPr>
        <w:ind w:left="2991" w:hanging="454"/>
      </w:pPr>
      <w:rPr>
        <w:rFonts w:hint="default"/>
        <w:lang w:val="en-US" w:eastAsia="en-US" w:bidi="ar-SA"/>
      </w:rPr>
    </w:lvl>
    <w:lvl w:ilvl="7" w:tplc="4CE0B52E">
      <w:numFmt w:val="bullet"/>
      <w:lvlText w:val="•"/>
      <w:lvlJc w:val="left"/>
      <w:pPr>
        <w:ind w:left="3397" w:hanging="454"/>
      </w:pPr>
      <w:rPr>
        <w:rFonts w:hint="default"/>
        <w:lang w:val="en-US" w:eastAsia="en-US" w:bidi="ar-SA"/>
      </w:rPr>
    </w:lvl>
    <w:lvl w:ilvl="8" w:tplc="5B30B306">
      <w:numFmt w:val="bullet"/>
      <w:lvlText w:val="•"/>
      <w:lvlJc w:val="left"/>
      <w:pPr>
        <w:ind w:left="3802" w:hanging="454"/>
      </w:pPr>
      <w:rPr>
        <w:rFonts w:hint="default"/>
        <w:lang w:val="en-US" w:eastAsia="en-US" w:bidi="ar-SA"/>
      </w:rPr>
    </w:lvl>
  </w:abstractNum>
  <w:abstractNum w:abstractNumId="5" w15:restartNumberingAfterBreak="0">
    <w:nsid w:val="1AF42695"/>
    <w:multiLevelType w:val="hybridMultilevel"/>
    <w:tmpl w:val="F86E4164"/>
    <w:lvl w:ilvl="0" w:tplc="FFFFFFFF">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FFFFFFFF">
      <w:numFmt w:val="bullet"/>
      <w:lvlText w:val="•"/>
      <w:lvlJc w:val="left"/>
      <w:pPr>
        <w:ind w:left="965" w:hanging="454"/>
      </w:pPr>
      <w:rPr>
        <w:rFonts w:hint="default"/>
        <w:lang w:val="en-US" w:eastAsia="en-US" w:bidi="ar-SA"/>
      </w:rPr>
    </w:lvl>
    <w:lvl w:ilvl="2" w:tplc="FFFFFFFF">
      <w:numFmt w:val="bullet"/>
      <w:lvlText w:val="•"/>
      <w:lvlJc w:val="left"/>
      <w:pPr>
        <w:ind w:left="1370" w:hanging="454"/>
      </w:pPr>
      <w:rPr>
        <w:rFonts w:hint="default"/>
        <w:lang w:val="en-US" w:eastAsia="en-US" w:bidi="ar-SA"/>
      </w:rPr>
    </w:lvl>
    <w:lvl w:ilvl="3" w:tplc="FFFFFFFF">
      <w:numFmt w:val="bullet"/>
      <w:lvlText w:val="•"/>
      <w:lvlJc w:val="left"/>
      <w:pPr>
        <w:ind w:left="1775" w:hanging="454"/>
      </w:pPr>
      <w:rPr>
        <w:rFonts w:hint="default"/>
        <w:lang w:val="en-US" w:eastAsia="en-US" w:bidi="ar-SA"/>
      </w:rPr>
    </w:lvl>
    <w:lvl w:ilvl="4" w:tplc="FFFFFFFF">
      <w:numFmt w:val="bullet"/>
      <w:lvlText w:val="•"/>
      <w:lvlJc w:val="left"/>
      <w:pPr>
        <w:ind w:left="2181" w:hanging="454"/>
      </w:pPr>
      <w:rPr>
        <w:rFonts w:hint="default"/>
        <w:lang w:val="en-US" w:eastAsia="en-US" w:bidi="ar-SA"/>
      </w:rPr>
    </w:lvl>
    <w:lvl w:ilvl="5" w:tplc="FFFFFFFF">
      <w:numFmt w:val="bullet"/>
      <w:lvlText w:val="•"/>
      <w:lvlJc w:val="left"/>
      <w:pPr>
        <w:ind w:left="2586" w:hanging="454"/>
      </w:pPr>
      <w:rPr>
        <w:rFonts w:hint="default"/>
        <w:lang w:val="en-US" w:eastAsia="en-US" w:bidi="ar-SA"/>
      </w:rPr>
    </w:lvl>
    <w:lvl w:ilvl="6" w:tplc="FFFFFFFF">
      <w:numFmt w:val="bullet"/>
      <w:lvlText w:val="•"/>
      <w:lvlJc w:val="left"/>
      <w:pPr>
        <w:ind w:left="2991" w:hanging="454"/>
      </w:pPr>
      <w:rPr>
        <w:rFonts w:hint="default"/>
        <w:lang w:val="en-US" w:eastAsia="en-US" w:bidi="ar-SA"/>
      </w:rPr>
    </w:lvl>
    <w:lvl w:ilvl="7" w:tplc="FFFFFFFF">
      <w:numFmt w:val="bullet"/>
      <w:lvlText w:val="•"/>
      <w:lvlJc w:val="left"/>
      <w:pPr>
        <w:ind w:left="3397" w:hanging="454"/>
      </w:pPr>
      <w:rPr>
        <w:rFonts w:hint="default"/>
        <w:lang w:val="en-US" w:eastAsia="en-US" w:bidi="ar-SA"/>
      </w:rPr>
    </w:lvl>
    <w:lvl w:ilvl="8" w:tplc="FFFFFFFF">
      <w:numFmt w:val="bullet"/>
      <w:lvlText w:val="•"/>
      <w:lvlJc w:val="left"/>
      <w:pPr>
        <w:ind w:left="3802" w:hanging="454"/>
      </w:pPr>
      <w:rPr>
        <w:rFonts w:hint="default"/>
        <w:lang w:val="en-US" w:eastAsia="en-US" w:bidi="ar-SA"/>
      </w:rPr>
    </w:lvl>
  </w:abstractNum>
  <w:abstractNum w:abstractNumId="6"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7" w15:restartNumberingAfterBreak="0">
    <w:nsid w:val="1F09431F"/>
    <w:multiLevelType w:val="hybridMultilevel"/>
    <w:tmpl w:val="66EAA6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107D05"/>
    <w:multiLevelType w:val="hybridMultilevel"/>
    <w:tmpl w:val="40FC7260"/>
    <w:lvl w:ilvl="0" w:tplc="2AF428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3A81188"/>
    <w:multiLevelType w:val="hybridMultilevel"/>
    <w:tmpl w:val="E9AE39D2"/>
    <w:lvl w:ilvl="0" w:tplc="7206B564">
      <w:start w:val="1"/>
      <w:numFmt w:val="upperLetter"/>
      <w:pStyle w:val="TAexplanatorystatementsubheading"/>
      <w:lvlText w:val="%1."/>
      <w:lvlJc w:val="left"/>
      <w:pPr>
        <w:tabs>
          <w:tab w:val="num" w:pos="360"/>
        </w:tabs>
        <w:ind w:left="720" w:hanging="720"/>
      </w:pPr>
      <w:rPr>
        <w:rFonts w:hint="default"/>
      </w:rPr>
    </w:lvl>
    <w:lvl w:ilvl="1" w:tplc="6A5E1604" w:tentative="1">
      <w:start w:val="1"/>
      <w:numFmt w:val="lowerLetter"/>
      <w:lvlText w:val="%2."/>
      <w:lvlJc w:val="left"/>
      <w:pPr>
        <w:tabs>
          <w:tab w:val="num" w:pos="1440"/>
        </w:tabs>
        <w:ind w:left="1440" w:hanging="360"/>
      </w:pPr>
    </w:lvl>
    <w:lvl w:ilvl="2" w:tplc="0C849006" w:tentative="1">
      <w:start w:val="1"/>
      <w:numFmt w:val="lowerRoman"/>
      <w:lvlText w:val="%3."/>
      <w:lvlJc w:val="right"/>
      <w:pPr>
        <w:tabs>
          <w:tab w:val="num" w:pos="2160"/>
        </w:tabs>
        <w:ind w:left="2160" w:hanging="180"/>
      </w:pPr>
    </w:lvl>
    <w:lvl w:ilvl="3" w:tplc="A41683EE" w:tentative="1">
      <w:start w:val="1"/>
      <w:numFmt w:val="decimal"/>
      <w:lvlText w:val="%4."/>
      <w:lvlJc w:val="left"/>
      <w:pPr>
        <w:tabs>
          <w:tab w:val="num" w:pos="2880"/>
        </w:tabs>
        <w:ind w:left="2880" w:hanging="360"/>
      </w:pPr>
    </w:lvl>
    <w:lvl w:ilvl="4" w:tplc="D61A5D56" w:tentative="1">
      <w:start w:val="1"/>
      <w:numFmt w:val="lowerLetter"/>
      <w:lvlText w:val="%5."/>
      <w:lvlJc w:val="left"/>
      <w:pPr>
        <w:tabs>
          <w:tab w:val="num" w:pos="3600"/>
        </w:tabs>
        <w:ind w:left="3600" w:hanging="360"/>
      </w:pPr>
    </w:lvl>
    <w:lvl w:ilvl="5" w:tplc="2F5A0462" w:tentative="1">
      <w:start w:val="1"/>
      <w:numFmt w:val="lowerRoman"/>
      <w:lvlText w:val="%6."/>
      <w:lvlJc w:val="right"/>
      <w:pPr>
        <w:tabs>
          <w:tab w:val="num" w:pos="4320"/>
        </w:tabs>
        <w:ind w:left="4320" w:hanging="180"/>
      </w:pPr>
    </w:lvl>
    <w:lvl w:ilvl="6" w:tplc="722ED0A8" w:tentative="1">
      <w:start w:val="1"/>
      <w:numFmt w:val="decimal"/>
      <w:lvlText w:val="%7."/>
      <w:lvlJc w:val="left"/>
      <w:pPr>
        <w:tabs>
          <w:tab w:val="num" w:pos="5040"/>
        </w:tabs>
        <w:ind w:left="5040" w:hanging="360"/>
      </w:pPr>
    </w:lvl>
    <w:lvl w:ilvl="7" w:tplc="5BB8259E" w:tentative="1">
      <w:start w:val="1"/>
      <w:numFmt w:val="lowerLetter"/>
      <w:lvlText w:val="%8."/>
      <w:lvlJc w:val="left"/>
      <w:pPr>
        <w:tabs>
          <w:tab w:val="num" w:pos="5760"/>
        </w:tabs>
        <w:ind w:left="5760" w:hanging="360"/>
      </w:pPr>
    </w:lvl>
    <w:lvl w:ilvl="8" w:tplc="6EAE735C" w:tentative="1">
      <w:start w:val="1"/>
      <w:numFmt w:val="lowerRoman"/>
      <w:lvlText w:val="%9."/>
      <w:lvlJc w:val="right"/>
      <w:pPr>
        <w:tabs>
          <w:tab w:val="num" w:pos="6480"/>
        </w:tabs>
        <w:ind w:left="6480" w:hanging="180"/>
      </w:pPr>
    </w:lvl>
  </w:abstractNum>
  <w:abstractNum w:abstractNumId="10" w15:restartNumberingAfterBreak="0">
    <w:nsid w:val="2DFA182E"/>
    <w:multiLevelType w:val="multilevel"/>
    <w:tmpl w:val="EDFC759E"/>
    <w:lvl w:ilvl="0">
      <w:start w:val="6"/>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2" w15:restartNumberingAfterBreak="0">
    <w:nsid w:val="362A324A"/>
    <w:multiLevelType w:val="multilevel"/>
    <w:tmpl w:val="7E74C1D0"/>
    <w:lvl w:ilvl="0">
      <w:start w:val="1"/>
      <w:numFmt w:val="decimal"/>
      <w:pStyle w:val="codeCriteriaList"/>
      <w:suff w:val="nothing"/>
      <w:lvlText w:val="C%1"/>
      <w:lvlJc w:val="left"/>
      <w:pPr>
        <w:ind w:left="283"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upperLetter"/>
      <w:pStyle w:val="codeCriteriaListA"/>
      <w:suff w:val="nothing"/>
      <w:lvlText w:val="C%1%2"/>
      <w:lvlJc w:val="left"/>
      <w:pPr>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3FAF55C1"/>
    <w:multiLevelType w:val="hybridMultilevel"/>
    <w:tmpl w:val="F86E4164"/>
    <w:lvl w:ilvl="0" w:tplc="FFFFFFFF">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FFFFFFFF">
      <w:numFmt w:val="bullet"/>
      <w:lvlText w:val="•"/>
      <w:lvlJc w:val="left"/>
      <w:pPr>
        <w:ind w:left="965" w:hanging="454"/>
      </w:pPr>
      <w:rPr>
        <w:rFonts w:hint="default"/>
        <w:lang w:val="en-US" w:eastAsia="en-US" w:bidi="ar-SA"/>
      </w:rPr>
    </w:lvl>
    <w:lvl w:ilvl="2" w:tplc="FFFFFFFF">
      <w:numFmt w:val="bullet"/>
      <w:lvlText w:val="•"/>
      <w:lvlJc w:val="left"/>
      <w:pPr>
        <w:ind w:left="1370" w:hanging="454"/>
      </w:pPr>
      <w:rPr>
        <w:rFonts w:hint="default"/>
        <w:lang w:val="en-US" w:eastAsia="en-US" w:bidi="ar-SA"/>
      </w:rPr>
    </w:lvl>
    <w:lvl w:ilvl="3" w:tplc="FFFFFFFF">
      <w:numFmt w:val="bullet"/>
      <w:lvlText w:val="•"/>
      <w:lvlJc w:val="left"/>
      <w:pPr>
        <w:ind w:left="1775" w:hanging="454"/>
      </w:pPr>
      <w:rPr>
        <w:rFonts w:hint="default"/>
        <w:lang w:val="en-US" w:eastAsia="en-US" w:bidi="ar-SA"/>
      </w:rPr>
    </w:lvl>
    <w:lvl w:ilvl="4" w:tplc="FFFFFFFF">
      <w:numFmt w:val="bullet"/>
      <w:lvlText w:val="•"/>
      <w:lvlJc w:val="left"/>
      <w:pPr>
        <w:ind w:left="2181" w:hanging="454"/>
      </w:pPr>
      <w:rPr>
        <w:rFonts w:hint="default"/>
        <w:lang w:val="en-US" w:eastAsia="en-US" w:bidi="ar-SA"/>
      </w:rPr>
    </w:lvl>
    <w:lvl w:ilvl="5" w:tplc="FFFFFFFF">
      <w:numFmt w:val="bullet"/>
      <w:lvlText w:val="•"/>
      <w:lvlJc w:val="left"/>
      <w:pPr>
        <w:ind w:left="2586" w:hanging="454"/>
      </w:pPr>
      <w:rPr>
        <w:rFonts w:hint="default"/>
        <w:lang w:val="en-US" w:eastAsia="en-US" w:bidi="ar-SA"/>
      </w:rPr>
    </w:lvl>
    <w:lvl w:ilvl="6" w:tplc="FFFFFFFF">
      <w:numFmt w:val="bullet"/>
      <w:lvlText w:val="•"/>
      <w:lvlJc w:val="left"/>
      <w:pPr>
        <w:ind w:left="2991" w:hanging="454"/>
      </w:pPr>
      <w:rPr>
        <w:rFonts w:hint="default"/>
        <w:lang w:val="en-US" w:eastAsia="en-US" w:bidi="ar-SA"/>
      </w:rPr>
    </w:lvl>
    <w:lvl w:ilvl="7" w:tplc="FFFFFFFF">
      <w:numFmt w:val="bullet"/>
      <w:lvlText w:val="•"/>
      <w:lvlJc w:val="left"/>
      <w:pPr>
        <w:ind w:left="3397" w:hanging="454"/>
      </w:pPr>
      <w:rPr>
        <w:rFonts w:hint="default"/>
        <w:lang w:val="en-US" w:eastAsia="en-US" w:bidi="ar-SA"/>
      </w:rPr>
    </w:lvl>
    <w:lvl w:ilvl="8" w:tplc="FFFFFFFF">
      <w:numFmt w:val="bullet"/>
      <w:lvlText w:val="•"/>
      <w:lvlJc w:val="left"/>
      <w:pPr>
        <w:ind w:left="3802" w:hanging="454"/>
      </w:pPr>
      <w:rPr>
        <w:rFonts w:hint="default"/>
        <w:lang w:val="en-US" w:eastAsia="en-US" w:bidi="ar-SA"/>
      </w:rPr>
    </w:lvl>
  </w:abstractNum>
  <w:abstractNum w:abstractNumId="14"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5"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57164045"/>
    <w:multiLevelType w:val="multilevel"/>
    <w:tmpl w:val="ADA4F788"/>
    <w:lvl w:ilvl="0">
      <w:start w:val="1"/>
      <w:numFmt w:val="decimal"/>
      <w:pStyle w:val="StyleStyleelementHeadingArialBoldLightBlue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77F77EA"/>
    <w:multiLevelType w:val="hybridMultilevel"/>
    <w:tmpl w:val="4FA860E8"/>
    <w:lvl w:ilvl="0" w:tplc="FFFFFFFF">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FFFFFFFF">
      <w:start w:val="1"/>
      <w:numFmt w:val="lowerRoman"/>
      <w:lvlText w:val="%2)"/>
      <w:lvlJc w:val="left"/>
      <w:pPr>
        <w:ind w:left="1015" w:hanging="454"/>
      </w:pPr>
      <w:rPr>
        <w:rFonts w:ascii="Arial" w:eastAsia="Arial" w:hAnsi="Arial" w:cs="Arial" w:hint="default"/>
        <w:b w:val="0"/>
        <w:bCs w:val="0"/>
        <w:i w:val="0"/>
        <w:iCs w:val="0"/>
        <w:spacing w:val="-1"/>
        <w:w w:val="100"/>
        <w:sz w:val="20"/>
        <w:szCs w:val="20"/>
        <w:lang w:val="en-US" w:eastAsia="en-US" w:bidi="ar-SA"/>
      </w:rPr>
    </w:lvl>
    <w:lvl w:ilvl="2" w:tplc="FFFFFFFF">
      <w:numFmt w:val="bullet"/>
      <w:lvlText w:val="•"/>
      <w:lvlJc w:val="left"/>
      <w:pPr>
        <w:ind w:left="1419" w:hanging="454"/>
      </w:pPr>
      <w:rPr>
        <w:rFonts w:hint="default"/>
        <w:lang w:val="en-US" w:eastAsia="en-US" w:bidi="ar-SA"/>
      </w:rPr>
    </w:lvl>
    <w:lvl w:ilvl="3" w:tplc="FFFFFFFF">
      <w:numFmt w:val="bullet"/>
      <w:lvlText w:val="•"/>
      <w:lvlJc w:val="left"/>
      <w:pPr>
        <w:ind w:left="1818" w:hanging="454"/>
      </w:pPr>
      <w:rPr>
        <w:rFonts w:hint="default"/>
        <w:lang w:val="en-US" w:eastAsia="en-US" w:bidi="ar-SA"/>
      </w:rPr>
    </w:lvl>
    <w:lvl w:ilvl="4" w:tplc="FFFFFFFF">
      <w:numFmt w:val="bullet"/>
      <w:lvlText w:val="•"/>
      <w:lvlJc w:val="left"/>
      <w:pPr>
        <w:ind w:left="2217" w:hanging="454"/>
      </w:pPr>
      <w:rPr>
        <w:rFonts w:hint="default"/>
        <w:lang w:val="en-US" w:eastAsia="en-US" w:bidi="ar-SA"/>
      </w:rPr>
    </w:lvl>
    <w:lvl w:ilvl="5" w:tplc="FFFFFFFF">
      <w:numFmt w:val="bullet"/>
      <w:lvlText w:val="•"/>
      <w:lvlJc w:val="left"/>
      <w:pPr>
        <w:ind w:left="2616" w:hanging="454"/>
      </w:pPr>
      <w:rPr>
        <w:rFonts w:hint="default"/>
        <w:lang w:val="en-US" w:eastAsia="en-US" w:bidi="ar-SA"/>
      </w:rPr>
    </w:lvl>
    <w:lvl w:ilvl="6" w:tplc="FFFFFFFF">
      <w:numFmt w:val="bullet"/>
      <w:lvlText w:val="•"/>
      <w:lvlJc w:val="left"/>
      <w:pPr>
        <w:ind w:left="3015" w:hanging="454"/>
      </w:pPr>
      <w:rPr>
        <w:rFonts w:hint="default"/>
        <w:lang w:val="en-US" w:eastAsia="en-US" w:bidi="ar-SA"/>
      </w:rPr>
    </w:lvl>
    <w:lvl w:ilvl="7" w:tplc="FFFFFFFF">
      <w:numFmt w:val="bullet"/>
      <w:lvlText w:val="•"/>
      <w:lvlJc w:val="left"/>
      <w:pPr>
        <w:ind w:left="3414" w:hanging="454"/>
      </w:pPr>
      <w:rPr>
        <w:rFonts w:hint="default"/>
        <w:lang w:val="en-US" w:eastAsia="en-US" w:bidi="ar-SA"/>
      </w:rPr>
    </w:lvl>
    <w:lvl w:ilvl="8" w:tplc="FFFFFFFF">
      <w:numFmt w:val="bullet"/>
      <w:lvlText w:val="•"/>
      <w:lvlJc w:val="left"/>
      <w:pPr>
        <w:ind w:left="3813" w:hanging="454"/>
      </w:pPr>
      <w:rPr>
        <w:rFonts w:hint="default"/>
        <w:lang w:val="en-US" w:eastAsia="en-US" w:bidi="ar-SA"/>
      </w:rPr>
    </w:lvl>
  </w:abstractNum>
  <w:abstractNum w:abstractNumId="18" w15:restartNumberingAfterBreak="0">
    <w:nsid w:val="64AD0007"/>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19" w15:restartNumberingAfterBreak="0">
    <w:nsid w:val="65E13AE1"/>
    <w:multiLevelType w:val="multilevel"/>
    <w:tmpl w:val="2E32A05C"/>
    <w:lvl w:ilvl="0">
      <w:start w:val="16"/>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0"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21" w15:restartNumberingAfterBreak="0">
    <w:nsid w:val="6ED833CD"/>
    <w:multiLevelType w:val="hybridMultilevel"/>
    <w:tmpl w:val="4FA860E8"/>
    <w:lvl w:ilvl="0" w:tplc="FFFFFFFF">
      <w:start w:val="1"/>
      <w:numFmt w:val="lowerLetter"/>
      <w:lvlText w:val="%1)"/>
      <w:lvlJc w:val="left"/>
      <w:pPr>
        <w:ind w:left="561" w:hanging="454"/>
      </w:pPr>
      <w:rPr>
        <w:rFonts w:ascii="Arial" w:eastAsia="Arial" w:hAnsi="Arial" w:cs="Arial" w:hint="default"/>
        <w:b w:val="0"/>
        <w:bCs w:val="0"/>
        <w:i w:val="0"/>
        <w:iCs w:val="0"/>
        <w:w w:val="100"/>
        <w:sz w:val="20"/>
        <w:szCs w:val="20"/>
        <w:lang w:val="en-US" w:eastAsia="en-US" w:bidi="ar-SA"/>
      </w:rPr>
    </w:lvl>
    <w:lvl w:ilvl="1" w:tplc="FFFFFFFF">
      <w:start w:val="1"/>
      <w:numFmt w:val="lowerRoman"/>
      <w:lvlText w:val="%2)"/>
      <w:lvlJc w:val="left"/>
      <w:pPr>
        <w:ind w:left="1015" w:hanging="454"/>
      </w:pPr>
      <w:rPr>
        <w:rFonts w:ascii="Arial" w:eastAsia="Arial" w:hAnsi="Arial" w:cs="Arial" w:hint="default"/>
        <w:b w:val="0"/>
        <w:bCs w:val="0"/>
        <w:i w:val="0"/>
        <w:iCs w:val="0"/>
        <w:spacing w:val="-1"/>
        <w:w w:val="100"/>
        <w:sz w:val="20"/>
        <w:szCs w:val="20"/>
        <w:lang w:val="en-US" w:eastAsia="en-US" w:bidi="ar-SA"/>
      </w:rPr>
    </w:lvl>
    <w:lvl w:ilvl="2" w:tplc="FFFFFFFF">
      <w:numFmt w:val="bullet"/>
      <w:lvlText w:val="•"/>
      <w:lvlJc w:val="left"/>
      <w:pPr>
        <w:ind w:left="1419" w:hanging="454"/>
      </w:pPr>
      <w:rPr>
        <w:rFonts w:hint="default"/>
        <w:lang w:val="en-US" w:eastAsia="en-US" w:bidi="ar-SA"/>
      </w:rPr>
    </w:lvl>
    <w:lvl w:ilvl="3" w:tplc="FFFFFFFF">
      <w:numFmt w:val="bullet"/>
      <w:lvlText w:val="•"/>
      <w:lvlJc w:val="left"/>
      <w:pPr>
        <w:ind w:left="1818" w:hanging="454"/>
      </w:pPr>
      <w:rPr>
        <w:rFonts w:hint="default"/>
        <w:lang w:val="en-US" w:eastAsia="en-US" w:bidi="ar-SA"/>
      </w:rPr>
    </w:lvl>
    <w:lvl w:ilvl="4" w:tplc="FFFFFFFF">
      <w:numFmt w:val="bullet"/>
      <w:lvlText w:val="•"/>
      <w:lvlJc w:val="left"/>
      <w:pPr>
        <w:ind w:left="2217" w:hanging="454"/>
      </w:pPr>
      <w:rPr>
        <w:rFonts w:hint="default"/>
        <w:lang w:val="en-US" w:eastAsia="en-US" w:bidi="ar-SA"/>
      </w:rPr>
    </w:lvl>
    <w:lvl w:ilvl="5" w:tplc="FFFFFFFF">
      <w:numFmt w:val="bullet"/>
      <w:lvlText w:val="•"/>
      <w:lvlJc w:val="left"/>
      <w:pPr>
        <w:ind w:left="2616" w:hanging="454"/>
      </w:pPr>
      <w:rPr>
        <w:rFonts w:hint="default"/>
        <w:lang w:val="en-US" w:eastAsia="en-US" w:bidi="ar-SA"/>
      </w:rPr>
    </w:lvl>
    <w:lvl w:ilvl="6" w:tplc="FFFFFFFF">
      <w:numFmt w:val="bullet"/>
      <w:lvlText w:val="•"/>
      <w:lvlJc w:val="left"/>
      <w:pPr>
        <w:ind w:left="3015" w:hanging="454"/>
      </w:pPr>
      <w:rPr>
        <w:rFonts w:hint="default"/>
        <w:lang w:val="en-US" w:eastAsia="en-US" w:bidi="ar-SA"/>
      </w:rPr>
    </w:lvl>
    <w:lvl w:ilvl="7" w:tplc="FFFFFFFF">
      <w:numFmt w:val="bullet"/>
      <w:lvlText w:val="•"/>
      <w:lvlJc w:val="left"/>
      <w:pPr>
        <w:ind w:left="3414" w:hanging="454"/>
      </w:pPr>
      <w:rPr>
        <w:rFonts w:hint="default"/>
        <w:lang w:val="en-US" w:eastAsia="en-US" w:bidi="ar-SA"/>
      </w:rPr>
    </w:lvl>
    <w:lvl w:ilvl="8" w:tplc="FFFFFFFF">
      <w:numFmt w:val="bullet"/>
      <w:lvlText w:val="•"/>
      <w:lvlJc w:val="left"/>
      <w:pPr>
        <w:ind w:left="3813" w:hanging="454"/>
      </w:pPr>
      <w:rPr>
        <w:rFonts w:hint="default"/>
        <w:lang w:val="en-US" w:eastAsia="en-US" w:bidi="ar-SA"/>
      </w:rPr>
    </w:lvl>
  </w:abstractNum>
  <w:abstractNum w:abstractNumId="22" w15:restartNumberingAfterBreak="0">
    <w:nsid w:val="7285351D"/>
    <w:multiLevelType w:val="hybridMultilevel"/>
    <w:tmpl w:val="A46EB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A36D01"/>
    <w:multiLevelType w:val="multilevel"/>
    <w:tmpl w:val="CB306E1E"/>
    <w:lvl w:ilvl="0">
      <w:start w:val="1"/>
      <w:numFmt w:val="decimal"/>
      <w:pStyle w:val="TAsectionheading"/>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pStyle w:val="TAsectionheading3"/>
      <w:suff w:val="nothing"/>
      <w:lvlText w:val="%1.%3"/>
      <w:lvlJc w:val="left"/>
      <w:pPr>
        <w:ind w:left="862"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7C9F3339"/>
    <w:multiLevelType w:val="hybridMultilevel"/>
    <w:tmpl w:val="B42A4268"/>
    <w:lvl w:ilvl="0" w:tplc="70C22120">
      <w:start w:val="1"/>
      <w:numFmt w:val="decimal"/>
      <w:lvlText w:val="(%1)"/>
      <w:lvlJc w:val="left"/>
      <w:pPr>
        <w:ind w:left="360" w:hanging="360"/>
      </w:pPr>
      <w:rPr>
        <w:rFonts w:hint="default"/>
      </w:rPr>
    </w:lvl>
    <w:lvl w:ilvl="1" w:tplc="1DA48C58" w:tentative="1">
      <w:start w:val="1"/>
      <w:numFmt w:val="lowerLetter"/>
      <w:lvlText w:val="%2."/>
      <w:lvlJc w:val="left"/>
      <w:pPr>
        <w:ind w:left="1080" w:hanging="360"/>
      </w:pPr>
    </w:lvl>
    <w:lvl w:ilvl="2" w:tplc="8932C17A" w:tentative="1">
      <w:start w:val="1"/>
      <w:numFmt w:val="lowerRoman"/>
      <w:lvlText w:val="%3."/>
      <w:lvlJc w:val="right"/>
      <w:pPr>
        <w:ind w:left="1800" w:hanging="180"/>
      </w:pPr>
    </w:lvl>
    <w:lvl w:ilvl="3" w:tplc="1A28D782" w:tentative="1">
      <w:start w:val="1"/>
      <w:numFmt w:val="decimal"/>
      <w:lvlText w:val="%4."/>
      <w:lvlJc w:val="left"/>
      <w:pPr>
        <w:ind w:left="2520" w:hanging="360"/>
      </w:pPr>
    </w:lvl>
    <w:lvl w:ilvl="4" w:tplc="2F786F56" w:tentative="1">
      <w:start w:val="1"/>
      <w:numFmt w:val="lowerLetter"/>
      <w:lvlText w:val="%5."/>
      <w:lvlJc w:val="left"/>
      <w:pPr>
        <w:ind w:left="3240" w:hanging="360"/>
      </w:pPr>
    </w:lvl>
    <w:lvl w:ilvl="5" w:tplc="D7A2F54C" w:tentative="1">
      <w:start w:val="1"/>
      <w:numFmt w:val="lowerRoman"/>
      <w:lvlText w:val="%6."/>
      <w:lvlJc w:val="right"/>
      <w:pPr>
        <w:ind w:left="3960" w:hanging="180"/>
      </w:pPr>
    </w:lvl>
    <w:lvl w:ilvl="6" w:tplc="112E94FE" w:tentative="1">
      <w:start w:val="1"/>
      <w:numFmt w:val="decimal"/>
      <w:lvlText w:val="%7."/>
      <w:lvlJc w:val="left"/>
      <w:pPr>
        <w:ind w:left="4680" w:hanging="360"/>
      </w:pPr>
    </w:lvl>
    <w:lvl w:ilvl="7" w:tplc="3B02248A" w:tentative="1">
      <w:start w:val="1"/>
      <w:numFmt w:val="lowerLetter"/>
      <w:lvlText w:val="%8."/>
      <w:lvlJc w:val="left"/>
      <w:pPr>
        <w:ind w:left="5400" w:hanging="360"/>
      </w:pPr>
    </w:lvl>
    <w:lvl w:ilvl="8" w:tplc="46F6A0A2" w:tentative="1">
      <w:start w:val="1"/>
      <w:numFmt w:val="lowerRoman"/>
      <w:lvlText w:val="%9."/>
      <w:lvlJc w:val="right"/>
      <w:pPr>
        <w:ind w:left="6120" w:hanging="180"/>
      </w:pPr>
    </w:lvl>
  </w:abstractNum>
  <w:num w:numId="1" w16cid:durableId="15646322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4007639">
    <w:abstractNumId w:val="23"/>
  </w:num>
  <w:num w:numId="3" w16cid:durableId="879709393">
    <w:abstractNumId w:val="23"/>
  </w:num>
  <w:num w:numId="4" w16cid:durableId="885262439">
    <w:abstractNumId w:val="10"/>
  </w:num>
  <w:num w:numId="5" w16cid:durableId="2038852096">
    <w:abstractNumId w:val="11"/>
  </w:num>
  <w:num w:numId="6" w16cid:durableId="1114053575">
    <w:abstractNumId w:val="2"/>
  </w:num>
  <w:num w:numId="7" w16cid:durableId="1557426916">
    <w:abstractNumId w:val="9"/>
  </w:num>
  <w:num w:numId="8" w16cid:durableId="1761483190">
    <w:abstractNumId w:val="18"/>
  </w:num>
  <w:num w:numId="9" w16cid:durableId="387538037">
    <w:abstractNumId w:val="24"/>
  </w:num>
  <w:num w:numId="10" w16cid:durableId="1276448344">
    <w:abstractNumId w:val="0"/>
  </w:num>
  <w:num w:numId="11" w16cid:durableId="2081949275">
    <w:abstractNumId w:val="6"/>
  </w:num>
  <w:num w:numId="12" w16cid:durableId="270285389">
    <w:abstractNumId w:val="19"/>
  </w:num>
  <w:num w:numId="13" w16cid:durableId="1265306037">
    <w:abstractNumId w:val="20"/>
  </w:num>
  <w:num w:numId="14" w16cid:durableId="123081358">
    <w:abstractNumId w:val="16"/>
  </w:num>
  <w:num w:numId="15" w16cid:durableId="303972208">
    <w:abstractNumId w:val="14"/>
  </w:num>
  <w:num w:numId="16" w16cid:durableId="163787821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3068112">
    <w:abstractNumId w:val="12"/>
  </w:num>
  <w:num w:numId="18" w16cid:durableId="77027279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1709260">
    <w:abstractNumId w:val="1"/>
  </w:num>
  <w:num w:numId="20" w16cid:durableId="2127307350">
    <w:abstractNumId w:val="22"/>
  </w:num>
  <w:num w:numId="21" w16cid:durableId="2076198492">
    <w:abstractNumId w:val="8"/>
  </w:num>
  <w:num w:numId="22" w16cid:durableId="2058504141">
    <w:abstractNumId w:val="4"/>
  </w:num>
  <w:num w:numId="23" w16cid:durableId="1455247069">
    <w:abstractNumId w:val="3"/>
  </w:num>
  <w:num w:numId="24" w16cid:durableId="1050570791">
    <w:abstractNumId w:val="21"/>
  </w:num>
  <w:num w:numId="25" w16cid:durableId="1491218897">
    <w:abstractNumId w:val="17"/>
  </w:num>
  <w:num w:numId="26" w16cid:durableId="1281716984">
    <w:abstractNumId w:val="13"/>
  </w:num>
  <w:num w:numId="27" w16cid:durableId="1456946001">
    <w:abstractNumId w:val="5"/>
  </w:num>
  <w:num w:numId="28" w16cid:durableId="1101871483">
    <w:abstractNumId w:val="2"/>
  </w:num>
  <w:num w:numId="29" w16cid:durableId="1496533602">
    <w:abstractNumId w:val="2"/>
  </w:num>
  <w:num w:numId="30" w16cid:durableId="1681467859">
    <w:abstractNumId w:val="23"/>
  </w:num>
  <w:num w:numId="31" w16cid:durableId="1201015986">
    <w:abstractNumId w:val="23"/>
  </w:num>
  <w:num w:numId="32" w16cid:durableId="1071808373">
    <w:abstractNumId w:val="23"/>
  </w:num>
  <w:num w:numId="33" w16cid:durableId="182539385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22F5"/>
    <w:rsid w:val="00002362"/>
    <w:rsid w:val="000104CE"/>
    <w:rsid w:val="00011CED"/>
    <w:rsid w:val="0001245D"/>
    <w:rsid w:val="0001254C"/>
    <w:rsid w:val="00013DF2"/>
    <w:rsid w:val="000171BB"/>
    <w:rsid w:val="00017FCA"/>
    <w:rsid w:val="00021A51"/>
    <w:rsid w:val="0002236B"/>
    <w:rsid w:val="00023409"/>
    <w:rsid w:val="000244E4"/>
    <w:rsid w:val="000349B3"/>
    <w:rsid w:val="000378E3"/>
    <w:rsid w:val="0004177D"/>
    <w:rsid w:val="00042D26"/>
    <w:rsid w:val="00045AEF"/>
    <w:rsid w:val="00050588"/>
    <w:rsid w:val="00050A56"/>
    <w:rsid w:val="00050F75"/>
    <w:rsid w:val="0005163B"/>
    <w:rsid w:val="0005175A"/>
    <w:rsid w:val="00052A73"/>
    <w:rsid w:val="000563DB"/>
    <w:rsid w:val="00057CA1"/>
    <w:rsid w:val="0006188E"/>
    <w:rsid w:val="00061D59"/>
    <w:rsid w:val="00062B4C"/>
    <w:rsid w:val="00062FE8"/>
    <w:rsid w:val="000640A9"/>
    <w:rsid w:val="00064110"/>
    <w:rsid w:val="00064328"/>
    <w:rsid w:val="00064E2C"/>
    <w:rsid w:val="00065E65"/>
    <w:rsid w:val="000709AF"/>
    <w:rsid w:val="00071050"/>
    <w:rsid w:val="00071495"/>
    <w:rsid w:val="00072B81"/>
    <w:rsid w:val="00072EEE"/>
    <w:rsid w:val="00075306"/>
    <w:rsid w:val="00083358"/>
    <w:rsid w:val="00085FA7"/>
    <w:rsid w:val="00091248"/>
    <w:rsid w:val="000925A1"/>
    <w:rsid w:val="000926C1"/>
    <w:rsid w:val="00092E16"/>
    <w:rsid w:val="0009347A"/>
    <w:rsid w:val="0009566D"/>
    <w:rsid w:val="00095AB2"/>
    <w:rsid w:val="000A0C9C"/>
    <w:rsid w:val="000A11E8"/>
    <w:rsid w:val="000A56AC"/>
    <w:rsid w:val="000A5E81"/>
    <w:rsid w:val="000A63E5"/>
    <w:rsid w:val="000B0E84"/>
    <w:rsid w:val="000B1178"/>
    <w:rsid w:val="000B2972"/>
    <w:rsid w:val="000B2E49"/>
    <w:rsid w:val="000B551F"/>
    <w:rsid w:val="000B6A57"/>
    <w:rsid w:val="000B73E6"/>
    <w:rsid w:val="000C3CFA"/>
    <w:rsid w:val="000C7CD6"/>
    <w:rsid w:val="000D0989"/>
    <w:rsid w:val="000D20C1"/>
    <w:rsid w:val="000E433D"/>
    <w:rsid w:val="000E6D43"/>
    <w:rsid w:val="000F0005"/>
    <w:rsid w:val="000F207F"/>
    <w:rsid w:val="000F30AA"/>
    <w:rsid w:val="000F6C4A"/>
    <w:rsid w:val="000F6CEB"/>
    <w:rsid w:val="000F789B"/>
    <w:rsid w:val="001013E5"/>
    <w:rsid w:val="00102A71"/>
    <w:rsid w:val="00105521"/>
    <w:rsid w:val="00107315"/>
    <w:rsid w:val="00110372"/>
    <w:rsid w:val="00111EF7"/>
    <w:rsid w:val="00113201"/>
    <w:rsid w:val="0011362C"/>
    <w:rsid w:val="001148ED"/>
    <w:rsid w:val="00114CA5"/>
    <w:rsid w:val="0011561C"/>
    <w:rsid w:val="00115D9B"/>
    <w:rsid w:val="00115EE6"/>
    <w:rsid w:val="00120B07"/>
    <w:rsid w:val="001212F6"/>
    <w:rsid w:val="00122496"/>
    <w:rsid w:val="001226C2"/>
    <w:rsid w:val="00122B91"/>
    <w:rsid w:val="00125F9C"/>
    <w:rsid w:val="001270DD"/>
    <w:rsid w:val="00131564"/>
    <w:rsid w:val="00132B0F"/>
    <w:rsid w:val="00133ACB"/>
    <w:rsid w:val="00133D8B"/>
    <w:rsid w:val="00136661"/>
    <w:rsid w:val="00136EE8"/>
    <w:rsid w:val="001434B2"/>
    <w:rsid w:val="00144720"/>
    <w:rsid w:val="00147E84"/>
    <w:rsid w:val="001514C5"/>
    <w:rsid w:val="00152A43"/>
    <w:rsid w:val="001557A0"/>
    <w:rsid w:val="00156B43"/>
    <w:rsid w:val="001647E8"/>
    <w:rsid w:val="00165463"/>
    <w:rsid w:val="00167793"/>
    <w:rsid w:val="001710D5"/>
    <w:rsid w:val="00176611"/>
    <w:rsid w:val="001766B0"/>
    <w:rsid w:val="00176EC7"/>
    <w:rsid w:val="001772F2"/>
    <w:rsid w:val="00177D6C"/>
    <w:rsid w:val="0018036C"/>
    <w:rsid w:val="00180B9D"/>
    <w:rsid w:val="001810C2"/>
    <w:rsid w:val="00182097"/>
    <w:rsid w:val="00187850"/>
    <w:rsid w:val="00187F78"/>
    <w:rsid w:val="00190DE5"/>
    <w:rsid w:val="001912E4"/>
    <w:rsid w:val="00191965"/>
    <w:rsid w:val="00191F0E"/>
    <w:rsid w:val="0019291E"/>
    <w:rsid w:val="00193697"/>
    <w:rsid w:val="00194B55"/>
    <w:rsid w:val="00196C25"/>
    <w:rsid w:val="001A2CC1"/>
    <w:rsid w:val="001A331F"/>
    <w:rsid w:val="001A7BC5"/>
    <w:rsid w:val="001A7CBC"/>
    <w:rsid w:val="001B0839"/>
    <w:rsid w:val="001B7016"/>
    <w:rsid w:val="001B7A01"/>
    <w:rsid w:val="001B7D83"/>
    <w:rsid w:val="001C018E"/>
    <w:rsid w:val="001C054D"/>
    <w:rsid w:val="001C2677"/>
    <w:rsid w:val="001C2AD0"/>
    <w:rsid w:val="001C428F"/>
    <w:rsid w:val="001C500F"/>
    <w:rsid w:val="001C50E7"/>
    <w:rsid w:val="001C7AA1"/>
    <w:rsid w:val="001C7F44"/>
    <w:rsid w:val="001D04F6"/>
    <w:rsid w:val="001D07E5"/>
    <w:rsid w:val="001D11B6"/>
    <w:rsid w:val="001D21FA"/>
    <w:rsid w:val="001D4542"/>
    <w:rsid w:val="001D4996"/>
    <w:rsid w:val="001D5E00"/>
    <w:rsid w:val="001D63C4"/>
    <w:rsid w:val="001E0B73"/>
    <w:rsid w:val="001E3D0D"/>
    <w:rsid w:val="001E4ED3"/>
    <w:rsid w:val="001E634B"/>
    <w:rsid w:val="001E6987"/>
    <w:rsid w:val="001F0950"/>
    <w:rsid w:val="001F0F10"/>
    <w:rsid w:val="001F1559"/>
    <w:rsid w:val="001F3704"/>
    <w:rsid w:val="001F4F13"/>
    <w:rsid w:val="001F5920"/>
    <w:rsid w:val="001F63E5"/>
    <w:rsid w:val="00203909"/>
    <w:rsid w:val="0020397F"/>
    <w:rsid w:val="002043EA"/>
    <w:rsid w:val="00205AA6"/>
    <w:rsid w:val="0020768A"/>
    <w:rsid w:val="002103CA"/>
    <w:rsid w:val="002118A2"/>
    <w:rsid w:val="00212190"/>
    <w:rsid w:val="00214AE9"/>
    <w:rsid w:val="00216993"/>
    <w:rsid w:val="00220CE3"/>
    <w:rsid w:val="0022316E"/>
    <w:rsid w:val="002239E5"/>
    <w:rsid w:val="00224EB7"/>
    <w:rsid w:val="00230BCD"/>
    <w:rsid w:val="00233CD2"/>
    <w:rsid w:val="00233E85"/>
    <w:rsid w:val="00233E97"/>
    <w:rsid w:val="00234C96"/>
    <w:rsid w:val="00235FC0"/>
    <w:rsid w:val="00237C2F"/>
    <w:rsid w:val="00237EA5"/>
    <w:rsid w:val="00240548"/>
    <w:rsid w:val="00240D6C"/>
    <w:rsid w:val="00246D81"/>
    <w:rsid w:val="0025048C"/>
    <w:rsid w:val="00251BD2"/>
    <w:rsid w:val="00252298"/>
    <w:rsid w:val="00253941"/>
    <w:rsid w:val="002550BF"/>
    <w:rsid w:val="00255D9E"/>
    <w:rsid w:val="00262317"/>
    <w:rsid w:val="00264F96"/>
    <w:rsid w:val="002671A2"/>
    <w:rsid w:val="002704D1"/>
    <w:rsid w:val="00271020"/>
    <w:rsid w:val="002767AF"/>
    <w:rsid w:val="00281696"/>
    <w:rsid w:val="0028216E"/>
    <w:rsid w:val="002833E9"/>
    <w:rsid w:val="00283CBE"/>
    <w:rsid w:val="002841E1"/>
    <w:rsid w:val="00285874"/>
    <w:rsid w:val="00285AF3"/>
    <w:rsid w:val="0028751E"/>
    <w:rsid w:val="0028762C"/>
    <w:rsid w:val="00287FAF"/>
    <w:rsid w:val="00291D65"/>
    <w:rsid w:val="00292FCE"/>
    <w:rsid w:val="00293B61"/>
    <w:rsid w:val="0029529E"/>
    <w:rsid w:val="002963E1"/>
    <w:rsid w:val="00296BA5"/>
    <w:rsid w:val="002974E5"/>
    <w:rsid w:val="00297C29"/>
    <w:rsid w:val="002A0C8F"/>
    <w:rsid w:val="002A1315"/>
    <w:rsid w:val="002A173C"/>
    <w:rsid w:val="002A1B45"/>
    <w:rsid w:val="002B0280"/>
    <w:rsid w:val="002B0A59"/>
    <w:rsid w:val="002B1058"/>
    <w:rsid w:val="002B1A40"/>
    <w:rsid w:val="002B25ED"/>
    <w:rsid w:val="002B451F"/>
    <w:rsid w:val="002B5B5E"/>
    <w:rsid w:val="002C0D3E"/>
    <w:rsid w:val="002C47FF"/>
    <w:rsid w:val="002C4809"/>
    <w:rsid w:val="002C5E74"/>
    <w:rsid w:val="002C62FD"/>
    <w:rsid w:val="002C7397"/>
    <w:rsid w:val="002D0305"/>
    <w:rsid w:val="002D0742"/>
    <w:rsid w:val="002D0DA8"/>
    <w:rsid w:val="002D0FDE"/>
    <w:rsid w:val="002D3208"/>
    <w:rsid w:val="002D3FE1"/>
    <w:rsid w:val="002D4BD8"/>
    <w:rsid w:val="002D63B9"/>
    <w:rsid w:val="002D65E4"/>
    <w:rsid w:val="002E0893"/>
    <w:rsid w:val="002E3358"/>
    <w:rsid w:val="002E4DCC"/>
    <w:rsid w:val="002E7225"/>
    <w:rsid w:val="002E7397"/>
    <w:rsid w:val="002E78A8"/>
    <w:rsid w:val="002F063D"/>
    <w:rsid w:val="002F2C40"/>
    <w:rsid w:val="002F2D94"/>
    <w:rsid w:val="002F482D"/>
    <w:rsid w:val="002F4E5B"/>
    <w:rsid w:val="002F5DA1"/>
    <w:rsid w:val="002F64ED"/>
    <w:rsid w:val="002F7020"/>
    <w:rsid w:val="002F71D2"/>
    <w:rsid w:val="00301981"/>
    <w:rsid w:val="00301A7B"/>
    <w:rsid w:val="0030208F"/>
    <w:rsid w:val="0030344F"/>
    <w:rsid w:val="003042B3"/>
    <w:rsid w:val="003048A3"/>
    <w:rsid w:val="00305156"/>
    <w:rsid w:val="00305E13"/>
    <w:rsid w:val="00306E74"/>
    <w:rsid w:val="003102A9"/>
    <w:rsid w:val="003111A8"/>
    <w:rsid w:val="00311ACC"/>
    <w:rsid w:val="00314319"/>
    <w:rsid w:val="00314C7A"/>
    <w:rsid w:val="00316332"/>
    <w:rsid w:val="00316BD8"/>
    <w:rsid w:val="00323704"/>
    <w:rsid w:val="003255FD"/>
    <w:rsid w:val="00325648"/>
    <w:rsid w:val="00327EF3"/>
    <w:rsid w:val="00331431"/>
    <w:rsid w:val="00332269"/>
    <w:rsid w:val="00333508"/>
    <w:rsid w:val="00334CCF"/>
    <w:rsid w:val="00336671"/>
    <w:rsid w:val="00336CE4"/>
    <w:rsid w:val="003417C0"/>
    <w:rsid w:val="00341AE1"/>
    <w:rsid w:val="00341BC4"/>
    <w:rsid w:val="00341E3D"/>
    <w:rsid w:val="0034385C"/>
    <w:rsid w:val="003454AB"/>
    <w:rsid w:val="00345557"/>
    <w:rsid w:val="003455CC"/>
    <w:rsid w:val="003457B3"/>
    <w:rsid w:val="0034632E"/>
    <w:rsid w:val="00347A2F"/>
    <w:rsid w:val="003520AA"/>
    <w:rsid w:val="003577A9"/>
    <w:rsid w:val="00363B12"/>
    <w:rsid w:val="00364BFC"/>
    <w:rsid w:val="00365905"/>
    <w:rsid w:val="00366642"/>
    <w:rsid w:val="00367D77"/>
    <w:rsid w:val="0037006A"/>
    <w:rsid w:val="003707C0"/>
    <w:rsid w:val="0037251F"/>
    <w:rsid w:val="00372E6E"/>
    <w:rsid w:val="003731A5"/>
    <w:rsid w:val="00373BDA"/>
    <w:rsid w:val="0037517D"/>
    <w:rsid w:val="003817FD"/>
    <w:rsid w:val="003821A5"/>
    <w:rsid w:val="0038342F"/>
    <w:rsid w:val="0038360B"/>
    <w:rsid w:val="00383C9D"/>
    <w:rsid w:val="00384943"/>
    <w:rsid w:val="00384CF2"/>
    <w:rsid w:val="00387E64"/>
    <w:rsid w:val="003915A4"/>
    <w:rsid w:val="00396CD5"/>
    <w:rsid w:val="00396D89"/>
    <w:rsid w:val="00397714"/>
    <w:rsid w:val="003A1063"/>
    <w:rsid w:val="003A2E1B"/>
    <w:rsid w:val="003A2F37"/>
    <w:rsid w:val="003A30CD"/>
    <w:rsid w:val="003B4F74"/>
    <w:rsid w:val="003B5B56"/>
    <w:rsid w:val="003B7DE2"/>
    <w:rsid w:val="003C5F6C"/>
    <w:rsid w:val="003D0CDB"/>
    <w:rsid w:val="003D1142"/>
    <w:rsid w:val="003E001A"/>
    <w:rsid w:val="003E02B9"/>
    <w:rsid w:val="003E0D22"/>
    <w:rsid w:val="003E0DA3"/>
    <w:rsid w:val="003E1F3F"/>
    <w:rsid w:val="003E4066"/>
    <w:rsid w:val="003E4C51"/>
    <w:rsid w:val="003E577A"/>
    <w:rsid w:val="003E5E99"/>
    <w:rsid w:val="003E6753"/>
    <w:rsid w:val="003E687C"/>
    <w:rsid w:val="003E7E78"/>
    <w:rsid w:val="003F13BA"/>
    <w:rsid w:val="003F51D2"/>
    <w:rsid w:val="003F62A4"/>
    <w:rsid w:val="004014B3"/>
    <w:rsid w:val="00402501"/>
    <w:rsid w:val="00405175"/>
    <w:rsid w:val="004079CE"/>
    <w:rsid w:val="0041062B"/>
    <w:rsid w:val="00410B99"/>
    <w:rsid w:val="00411254"/>
    <w:rsid w:val="0041336C"/>
    <w:rsid w:val="00413ADA"/>
    <w:rsid w:val="00414FB8"/>
    <w:rsid w:val="004160D3"/>
    <w:rsid w:val="00416283"/>
    <w:rsid w:val="004166D6"/>
    <w:rsid w:val="00416C06"/>
    <w:rsid w:val="004218A3"/>
    <w:rsid w:val="0042292B"/>
    <w:rsid w:val="004241FE"/>
    <w:rsid w:val="00430533"/>
    <w:rsid w:val="004305B0"/>
    <w:rsid w:val="00431272"/>
    <w:rsid w:val="0043200B"/>
    <w:rsid w:val="004338B3"/>
    <w:rsid w:val="004350DA"/>
    <w:rsid w:val="00437CA5"/>
    <w:rsid w:val="00440CD3"/>
    <w:rsid w:val="004420E2"/>
    <w:rsid w:val="00442281"/>
    <w:rsid w:val="0044386C"/>
    <w:rsid w:val="0044404F"/>
    <w:rsid w:val="00445645"/>
    <w:rsid w:val="004460DB"/>
    <w:rsid w:val="00446856"/>
    <w:rsid w:val="00447B50"/>
    <w:rsid w:val="00451262"/>
    <w:rsid w:val="00451755"/>
    <w:rsid w:val="00452A18"/>
    <w:rsid w:val="00452C8F"/>
    <w:rsid w:val="00452F50"/>
    <w:rsid w:val="00455633"/>
    <w:rsid w:val="00463E60"/>
    <w:rsid w:val="00466E95"/>
    <w:rsid w:val="00467017"/>
    <w:rsid w:val="00467BD4"/>
    <w:rsid w:val="00467C77"/>
    <w:rsid w:val="00470166"/>
    <w:rsid w:val="0047073D"/>
    <w:rsid w:val="00472255"/>
    <w:rsid w:val="004757C4"/>
    <w:rsid w:val="00477C4D"/>
    <w:rsid w:val="004823F5"/>
    <w:rsid w:val="004828EF"/>
    <w:rsid w:val="00483C61"/>
    <w:rsid w:val="00484054"/>
    <w:rsid w:val="00484987"/>
    <w:rsid w:val="00484C58"/>
    <w:rsid w:val="0048547D"/>
    <w:rsid w:val="0048589A"/>
    <w:rsid w:val="00485C1D"/>
    <w:rsid w:val="00490B85"/>
    <w:rsid w:val="00491231"/>
    <w:rsid w:val="0049752E"/>
    <w:rsid w:val="0049798D"/>
    <w:rsid w:val="004A10C3"/>
    <w:rsid w:val="004A1550"/>
    <w:rsid w:val="004A2280"/>
    <w:rsid w:val="004A4935"/>
    <w:rsid w:val="004B0A38"/>
    <w:rsid w:val="004B1F2B"/>
    <w:rsid w:val="004B21CB"/>
    <w:rsid w:val="004B26CA"/>
    <w:rsid w:val="004B2C71"/>
    <w:rsid w:val="004B2EC7"/>
    <w:rsid w:val="004B4DBE"/>
    <w:rsid w:val="004B50AD"/>
    <w:rsid w:val="004B5810"/>
    <w:rsid w:val="004B5864"/>
    <w:rsid w:val="004B58FC"/>
    <w:rsid w:val="004B6870"/>
    <w:rsid w:val="004C0C98"/>
    <w:rsid w:val="004C32B8"/>
    <w:rsid w:val="004C3618"/>
    <w:rsid w:val="004C5FCA"/>
    <w:rsid w:val="004C6A01"/>
    <w:rsid w:val="004D0C91"/>
    <w:rsid w:val="004D3125"/>
    <w:rsid w:val="004D4586"/>
    <w:rsid w:val="004E3303"/>
    <w:rsid w:val="004E4181"/>
    <w:rsid w:val="004F0BEB"/>
    <w:rsid w:val="004F20A2"/>
    <w:rsid w:val="004F2366"/>
    <w:rsid w:val="004F247B"/>
    <w:rsid w:val="004F3D05"/>
    <w:rsid w:val="004F3ECE"/>
    <w:rsid w:val="004F444C"/>
    <w:rsid w:val="004F5E65"/>
    <w:rsid w:val="004F5F4C"/>
    <w:rsid w:val="004F774F"/>
    <w:rsid w:val="004F7841"/>
    <w:rsid w:val="00501403"/>
    <w:rsid w:val="00501B7D"/>
    <w:rsid w:val="005045B3"/>
    <w:rsid w:val="00514388"/>
    <w:rsid w:val="00514ECF"/>
    <w:rsid w:val="0051500F"/>
    <w:rsid w:val="005162FC"/>
    <w:rsid w:val="00516743"/>
    <w:rsid w:val="005203D8"/>
    <w:rsid w:val="00521575"/>
    <w:rsid w:val="00521FE2"/>
    <w:rsid w:val="00522EF6"/>
    <w:rsid w:val="00526864"/>
    <w:rsid w:val="00530454"/>
    <w:rsid w:val="005304A6"/>
    <w:rsid w:val="00531F57"/>
    <w:rsid w:val="00533680"/>
    <w:rsid w:val="00536352"/>
    <w:rsid w:val="00540EED"/>
    <w:rsid w:val="005413F9"/>
    <w:rsid w:val="005434BB"/>
    <w:rsid w:val="00545F05"/>
    <w:rsid w:val="005462CF"/>
    <w:rsid w:val="005478BD"/>
    <w:rsid w:val="005508C5"/>
    <w:rsid w:val="00550DBF"/>
    <w:rsid w:val="0055120C"/>
    <w:rsid w:val="00554FBD"/>
    <w:rsid w:val="00556520"/>
    <w:rsid w:val="005568A4"/>
    <w:rsid w:val="00556C8C"/>
    <w:rsid w:val="00557410"/>
    <w:rsid w:val="00564F8F"/>
    <w:rsid w:val="005661CF"/>
    <w:rsid w:val="00575249"/>
    <w:rsid w:val="005758E2"/>
    <w:rsid w:val="005769C7"/>
    <w:rsid w:val="00577CB0"/>
    <w:rsid w:val="00582AA8"/>
    <w:rsid w:val="0058364D"/>
    <w:rsid w:val="005837E7"/>
    <w:rsid w:val="0058525D"/>
    <w:rsid w:val="00585AD4"/>
    <w:rsid w:val="00590591"/>
    <w:rsid w:val="00590C10"/>
    <w:rsid w:val="00592857"/>
    <w:rsid w:val="00597B7E"/>
    <w:rsid w:val="005A071D"/>
    <w:rsid w:val="005A4529"/>
    <w:rsid w:val="005A6890"/>
    <w:rsid w:val="005A705D"/>
    <w:rsid w:val="005C52DA"/>
    <w:rsid w:val="005C54CB"/>
    <w:rsid w:val="005C60C7"/>
    <w:rsid w:val="005D3A13"/>
    <w:rsid w:val="005E07C9"/>
    <w:rsid w:val="005E08A6"/>
    <w:rsid w:val="005E3BF8"/>
    <w:rsid w:val="005E5077"/>
    <w:rsid w:val="005E55EE"/>
    <w:rsid w:val="005E70C8"/>
    <w:rsid w:val="005F0986"/>
    <w:rsid w:val="005F1E5A"/>
    <w:rsid w:val="005F2DF3"/>
    <w:rsid w:val="005F7DA3"/>
    <w:rsid w:val="0060138E"/>
    <w:rsid w:val="006028D5"/>
    <w:rsid w:val="00603798"/>
    <w:rsid w:val="00604D2E"/>
    <w:rsid w:val="00605A78"/>
    <w:rsid w:val="00606597"/>
    <w:rsid w:val="00606707"/>
    <w:rsid w:val="0060701B"/>
    <w:rsid w:val="00607245"/>
    <w:rsid w:val="00607C5B"/>
    <w:rsid w:val="00607CB8"/>
    <w:rsid w:val="00611C3D"/>
    <w:rsid w:val="006139CE"/>
    <w:rsid w:val="0061435C"/>
    <w:rsid w:val="006144F0"/>
    <w:rsid w:val="00615288"/>
    <w:rsid w:val="00616152"/>
    <w:rsid w:val="00616BC6"/>
    <w:rsid w:val="00622237"/>
    <w:rsid w:val="00622619"/>
    <w:rsid w:val="00623298"/>
    <w:rsid w:val="00623337"/>
    <w:rsid w:val="00625029"/>
    <w:rsid w:val="006318D8"/>
    <w:rsid w:val="00634056"/>
    <w:rsid w:val="00634729"/>
    <w:rsid w:val="00635B58"/>
    <w:rsid w:val="006361EE"/>
    <w:rsid w:val="006372D1"/>
    <w:rsid w:val="006404BD"/>
    <w:rsid w:val="00642732"/>
    <w:rsid w:val="00642CC0"/>
    <w:rsid w:val="00642D07"/>
    <w:rsid w:val="00642F7B"/>
    <w:rsid w:val="006443BD"/>
    <w:rsid w:val="00644B1A"/>
    <w:rsid w:val="0064680B"/>
    <w:rsid w:val="00647405"/>
    <w:rsid w:val="006478B1"/>
    <w:rsid w:val="006542A8"/>
    <w:rsid w:val="0065588C"/>
    <w:rsid w:val="0065680D"/>
    <w:rsid w:val="00656CD5"/>
    <w:rsid w:val="00657712"/>
    <w:rsid w:val="006609E2"/>
    <w:rsid w:val="00663981"/>
    <w:rsid w:val="00664DDB"/>
    <w:rsid w:val="00667E00"/>
    <w:rsid w:val="006725ED"/>
    <w:rsid w:val="006726D9"/>
    <w:rsid w:val="00673C41"/>
    <w:rsid w:val="00675022"/>
    <w:rsid w:val="00677AB2"/>
    <w:rsid w:val="00680F6E"/>
    <w:rsid w:val="00683FDE"/>
    <w:rsid w:val="0068444E"/>
    <w:rsid w:val="00684906"/>
    <w:rsid w:val="0068565E"/>
    <w:rsid w:val="00686FF4"/>
    <w:rsid w:val="006878D7"/>
    <w:rsid w:val="00687C50"/>
    <w:rsid w:val="006906B6"/>
    <w:rsid w:val="00691E49"/>
    <w:rsid w:val="006976F2"/>
    <w:rsid w:val="00697AB5"/>
    <w:rsid w:val="00697FEB"/>
    <w:rsid w:val="006A3099"/>
    <w:rsid w:val="006A3933"/>
    <w:rsid w:val="006A65A6"/>
    <w:rsid w:val="006A66CE"/>
    <w:rsid w:val="006B2AEE"/>
    <w:rsid w:val="006B365B"/>
    <w:rsid w:val="006B7C6D"/>
    <w:rsid w:val="006C1175"/>
    <w:rsid w:val="006C3720"/>
    <w:rsid w:val="006C588B"/>
    <w:rsid w:val="006C7057"/>
    <w:rsid w:val="006D0F39"/>
    <w:rsid w:val="006D227A"/>
    <w:rsid w:val="006D243C"/>
    <w:rsid w:val="006D34AC"/>
    <w:rsid w:val="006D418C"/>
    <w:rsid w:val="006D4B43"/>
    <w:rsid w:val="006D51C9"/>
    <w:rsid w:val="006D58E2"/>
    <w:rsid w:val="006D5FC4"/>
    <w:rsid w:val="006D7492"/>
    <w:rsid w:val="006D7C7E"/>
    <w:rsid w:val="006E1140"/>
    <w:rsid w:val="006E143C"/>
    <w:rsid w:val="006E201D"/>
    <w:rsid w:val="006E36C4"/>
    <w:rsid w:val="006E48C1"/>
    <w:rsid w:val="006E5BB9"/>
    <w:rsid w:val="006F1F99"/>
    <w:rsid w:val="006F304A"/>
    <w:rsid w:val="006F3BDE"/>
    <w:rsid w:val="006F7276"/>
    <w:rsid w:val="00700491"/>
    <w:rsid w:val="00700BA7"/>
    <w:rsid w:val="007012A7"/>
    <w:rsid w:val="00705E7C"/>
    <w:rsid w:val="007067DB"/>
    <w:rsid w:val="0070711F"/>
    <w:rsid w:val="0071288F"/>
    <w:rsid w:val="007131A2"/>
    <w:rsid w:val="007141D6"/>
    <w:rsid w:val="00717B16"/>
    <w:rsid w:val="00717D2F"/>
    <w:rsid w:val="007207D8"/>
    <w:rsid w:val="007228F3"/>
    <w:rsid w:val="00724230"/>
    <w:rsid w:val="00726A0E"/>
    <w:rsid w:val="007307D9"/>
    <w:rsid w:val="00730A91"/>
    <w:rsid w:val="00731947"/>
    <w:rsid w:val="0073466A"/>
    <w:rsid w:val="00735716"/>
    <w:rsid w:val="00735C22"/>
    <w:rsid w:val="00735F56"/>
    <w:rsid w:val="00740272"/>
    <w:rsid w:val="00742391"/>
    <w:rsid w:val="0074252C"/>
    <w:rsid w:val="00744543"/>
    <w:rsid w:val="007454DB"/>
    <w:rsid w:val="00746166"/>
    <w:rsid w:val="00750125"/>
    <w:rsid w:val="0075296F"/>
    <w:rsid w:val="0075502C"/>
    <w:rsid w:val="00755246"/>
    <w:rsid w:val="00755DDF"/>
    <w:rsid w:val="00761DE8"/>
    <w:rsid w:val="0076208C"/>
    <w:rsid w:val="0076364F"/>
    <w:rsid w:val="007655DB"/>
    <w:rsid w:val="00766E3C"/>
    <w:rsid w:val="00767325"/>
    <w:rsid w:val="00767B2B"/>
    <w:rsid w:val="0077340D"/>
    <w:rsid w:val="00774E62"/>
    <w:rsid w:val="00775046"/>
    <w:rsid w:val="007822F5"/>
    <w:rsid w:val="00782467"/>
    <w:rsid w:val="007827C0"/>
    <w:rsid w:val="0078294D"/>
    <w:rsid w:val="00783057"/>
    <w:rsid w:val="0078596B"/>
    <w:rsid w:val="007871B0"/>
    <w:rsid w:val="00790FC2"/>
    <w:rsid w:val="0079170B"/>
    <w:rsid w:val="0079450E"/>
    <w:rsid w:val="00794559"/>
    <w:rsid w:val="0079595A"/>
    <w:rsid w:val="007A0CEC"/>
    <w:rsid w:val="007A1C5F"/>
    <w:rsid w:val="007A33BC"/>
    <w:rsid w:val="007A4315"/>
    <w:rsid w:val="007A47A3"/>
    <w:rsid w:val="007B1AE9"/>
    <w:rsid w:val="007B1C6C"/>
    <w:rsid w:val="007B4A4B"/>
    <w:rsid w:val="007B7B06"/>
    <w:rsid w:val="007C0DB9"/>
    <w:rsid w:val="007C33DB"/>
    <w:rsid w:val="007C37AC"/>
    <w:rsid w:val="007C4AE5"/>
    <w:rsid w:val="007C4C4B"/>
    <w:rsid w:val="007C4C97"/>
    <w:rsid w:val="007C7028"/>
    <w:rsid w:val="007C71CB"/>
    <w:rsid w:val="007C731D"/>
    <w:rsid w:val="007C7740"/>
    <w:rsid w:val="007D3EC5"/>
    <w:rsid w:val="007D3FA6"/>
    <w:rsid w:val="007D5972"/>
    <w:rsid w:val="007E0889"/>
    <w:rsid w:val="007E196E"/>
    <w:rsid w:val="007E345C"/>
    <w:rsid w:val="007E3A5E"/>
    <w:rsid w:val="007E661F"/>
    <w:rsid w:val="007F04D5"/>
    <w:rsid w:val="007F1642"/>
    <w:rsid w:val="007F2687"/>
    <w:rsid w:val="007F2AAC"/>
    <w:rsid w:val="007F2DC1"/>
    <w:rsid w:val="00800205"/>
    <w:rsid w:val="008022E9"/>
    <w:rsid w:val="00804B13"/>
    <w:rsid w:val="00806202"/>
    <w:rsid w:val="008105C0"/>
    <w:rsid w:val="0081107B"/>
    <w:rsid w:val="00812721"/>
    <w:rsid w:val="00814528"/>
    <w:rsid w:val="00814BDD"/>
    <w:rsid w:val="00816B15"/>
    <w:rsid w:val="00816F3C"/>
    <w:rsid w:val="00817B1E"/>
    <w:rsid w:val="00820BA8"/>
    <w:rsid w:val="00821969"/>
    <w:rsid w:val="00824ED5"/>
    <w:rsid w:val="00825FD6"/>
    <w:rsid w:val="00826343"/>
    <w:rsid w:val="00826720"/>
    <w:rsid w:val="0082690F"/>
    <w:rsid w:val="00826953"/>
    <w:rsid w:val="00826EC2"/>
    <w:rsid w:val="00831634"/>
    <w:rsid w:val="00831730"/>
    <w:rsid w:val="00831F1D"/>
    <w:rsid w:val="0083233A"/>
    <w:rsid w:val="00832CDC"/>
    <w:rsid w:val="00832E03"/>
    <w:rsid w:val="00833EA9"/>
    <w:rsid w:val="00834EB2"/>
    <w:rsid w:val="0083598F"/>
    <w:rsid w:val="0083637B"/>
    <w:rsid w:val="00841A34"/>
    <w:rsid w:val="00842EF9"/>
    <w:rsid w:val="0084360F"/>
    <w:rsid w:val="008464AB"/>
    <w:rsid w:val="00850AF3"/>
    <w:rsid w:val="00853D24"/>
    <w:rsid w:val="008544B2"/>
    <w:rsid w:val="008605D8"/>
    <w:rsid w:val="0086144E"/>
    <w:rsid w:val="00861D72"/>
    <w:rsid w:val="00862407"/>
    <w:rsid w:val="00863612"/>
    <w:rsid w:val="008703A8"/>
    <w:rsid w:val="00870E71"/>
    <w:rsid w:val="00871C1B"/>
    <w:rsid w:val="00873208"/>
    <w:rsid w:val="00873509"/>
    <w:rsid w:val="00875E26"/>
    <w:rsid w:val="00876672"/>
    <w:rsid w:val="00880316"/>
    <w:rsid w:val="00881900"/>
    <w:rsid w:val="0088392B"/>
    <w:rsid w:val="00884B6F"/>
    <w:rsid w:val="0088659D"/>
    <w:rsid w:val="0088764C"/>
    <w:rsid w:val="0088787D"/>
    <w:rsid w:val="00890F25"/>
    <w:rsid w:val="0089220D"/>
    <w:rsid w:val="00894061"/>
    <w:rsid w:val="0089445C"/>
    <w:rsid w:val="0089780A"/>
    <w:rsid w:val="008978C2"/>
    <w:rsid w:val="008A2911"/>
    <w:rsid w:val="008A29DB"/>
    <w:rsid w:val="008A433D"/>
    <w:rsid w:val="008A7A77"/>
    <w:rsid w:val="008B08AF"/>
    <w:rsid w:val="008B2447"/>
    <w:rsid w:val="008B28AF"/>
    <w:rsid w:val="008B2AF8"/>
    <w:rsid w:val="008B4329"/>
    <w:rsid w:val="008B4B7C"/>
    <w:rsid w:val="008B761F"/>
    <w:rsid w:val="008B7B10"/>
    <w:rsid w:val="008B7BFC"/>
    <w:rsid w:val="008C013B"/>
    <w:rsid w:val="008C0D86"/>
    <w:rsid w:val="008C1627"/>
    <w:rsid w:val="008C2C3E"/>
    <w:rsid w:val="008C3B4B"/>
    <w:rsid w:val="008C4C25"/>
    <w:rsid w:val="008C73EE"/>
    <w:rsid w:val="008D0ADA"/>
    <w:rsid w:val="008D1AD9"/>
    <w:rsid w:val="008D1EE1"/>
    <w:rsid w:val="008D2F66"/>
    <w:rsid w:val="008D37A8"/>
    <w:rsid w:val="008D426B"/>
    <w:rsid w:val="008D43DE"/>
    <w:rsid w:val="008D5DBE"/>
    <w:rsid w:val="008D64FC"/>
    <w:rsid w:val="008E1172"/>
    <w:rsid w:val="008E2E1C"/>
    <w:rsid w:val="008F2CB3"/>
    <w:rsid w:val="008F520B"/>
    <w:rsid w:val="008F63AC"/>
    <w:rsid w:val="008F6584"/>
    <w:rsid w:val="008F7B3C"/>
    <w:rsid w:val="008F7CEA"/>
    <w:rsid w:val="009003A4"/>
    <w:rsid w:val="009010C5"/>
    <w:rsid w:val="00902A10"/>
    <w:rsid w:val="009033E8"/>
    <w:rsid w:val="00904622"/>
    <w:rsid w:val="0090492F"/>
    <w:rsid w:val="00906943"/>
    <w:rsid w:val="00906C0C"/>
    <w:rsid w:val="00906F6E"/>
    <w:rsid w:val="0091006B"/>
    <w:rsid w:val="00911054"/>
    <w:rsid w:val="00911181"/>
    <w:rsid w:val="009114B7"/>
    <w:rsid w:val="00911974"/>
    <w:rsid w:val="00915D3D"/>
    <w:rsid w:val="00916F01"/>
    <w:rsid w:val="009216BE"/>
    <w:rsid w:val="00921D49"/>
    <w:rsid w:val="00924CD8"/>
    <w:rsid w:val="00924F15"/>
    <w:rsid w:val="00925034"/>
    <w:rsid w:val="009257D9"/>
    <w:rsid w:val="00925A3B"/>
    <w:rsid w:val="00930A9A"/>
    <w:rsid w:val="00930E21"/>
    <w:rsid w:val="0093115B"/>
    <w:rsid w:val="00932443"/>
    <w:rsid w:val="00932928"/>
    <w:rsid w:val="00937E13"/>
    <w:rsid w:val="00945364"/>
    <w:rsid w:val="009474E1"/>
    <w:rsid w:val="009474ED"/>
    <w:rsid w:val="009504FF"/>
    <w:rsid w:val="0095094C"/>
    <w:rsid w:val="00953BFA"/>
    <w:rsid w:val="00960792"/>
    <w:rsid w:val="00960C14"/>
    <w:rsid w:val="00962213"/>
    <w:rsid w:val="009647C2"/>
    <w:rsid w:val="00966425"/>
    <w:rsid w:val="00967622"/>
    <w:rsid w:val="0096770D"/>
    <w:rsid w:val="00967FB2"/>
    <w:rsid w:val="00970F18"/>
    <w:rsid w:val="00971C29"/>
    <w:rsid w:val="0097230B"/>
    <w:rsid w:val="00973483"/>
    <w:rsid w:val="00980E0F"/>
    <w:rsid w:val="00981179"/>
    <w:rsid w:val="00981D9B"/>
    <w:rsid w:val="00984AA1"/>
    <w:rsid w:val="00984E43"/>
    <w:rsid w:val="009923F8"/>
    <w:rsid w:val="00992B52"/>
    <w:rsid w:val="00993D21"/>
    <w:rsid w:val="00995F5D"/>
    <w:rsid w:val="00996E06"/>
    <w:rsid w:val="00996FFB"/>
    <w:rsid w:val="009979B4"/>
    <w:rsid w:val="009A029D"/>
    <w:rsid w:val="009A086F"/>
    <w:rsid w:val="009A0A63"/>
    <w:rsid w:val="009A0CB5"/>
    <w:rsid w:val="009B24BD"/>
    <w:rsid w:val="009B44EA"/>
    <w:rsid w:val="009B476F"/>
    <w:rsid w:val="009B4CCF"/>
    <w:rsid w:val="009B7081"/>
    <w:rsid w:val="009B7B28"/>
    <w:rsid w:val="009B7DAA"/>
    <w:rsid w:val="009C3C26"/>
    <w:rsid w:val="009C3C83"/>
    <w:rsid w:val="009C3E59"/>
    <w:rsid w:val="009C44F4"/>
    <w:rsid w:val="009C6587"/>
    <w:rsid w:val="009C7040"/>
    <w:rsid w:val="009D3FCC"/>
    <w:rsid w:val="009D5AE7"/>
    <w:rsid w:val="009D75F1"/>
    <w:rsid w:val="009D784D"/>
    <w:rsid w:val="009D79EE"/>
    <w:rsid w:val="009D7DE2"/>
    <w:rsid w:val="009E1E90"/>
    <w:rsid w:val="009E30A0"/>
    <w:rsid w:val="009E3D20"/>
    <w:rsid w:val="009E3DA9"/>
    <w:rsid w:val="009E467B"/>
    <w:rsid w:val="009E4B2B"/>
    <w:rsid w:val="009E4BFC"/>
    <w:rsid w:val="009E5BB6"/>
    <w:rsid w:val="009F0C84"/>
    <w:rsid w:val="009F19C9"/>
    <w:rsid w:val="009F2070"/>
    <w:rsid w:val="009F3DD4"/>
    <w:rsid w:val="009F477C"/>
    <w:rsid w:val="009F4C7B"/>
    <w:rsid w:val="009F5BAC"/>
    <w:rsid w:val="009F5F98"/>
    <w:rsid w:val="009F7FC8"/>
    <w:rsid w:val="00A02849"/>
    <w:rsid w:val="00A05346"/>
    <w:rsid w:val="00A057F4"/>
    <w:rsid w:val="00A079D3"/>
    <w:rsid w:val="00A127D2"/>
    <w:rsid w:val="00A139D1"/>
    <w:rsid w:val="00A14F8B"/>
    <w:rsid w:val="00A150A3"/>
    <w:rsid w:val="00A1515E"/>
    <w:rsid w:val="00A16160"/>
    <w:rsid w:val="00A16625"/>
    <w:rsid w:val="00A16CDF"/>
    <w:rsid w:val="00A20276"/>
    <w:rsid w:val="00A207A9"/>
    <w:rsid w:val="00A23192"/>
    <w:rsid w:val="00A25792"/>
    <w:rsid w:val="00A27333"/>
    <w:rsid w:val="00A308B6"/>
    <w:rsid w:val="00A30DB6"/>
    <w:rsid w:val="00A32B97"/>
    <w:rsid w:val="00A36F9D"/>
    <w:rsid w:val="00A37840"/>
    <w:rsid w:val="00A418E6"/>
    <w:rsid w:val="00A43B1D"/>
    <w:rsid w:val="00A44F5D"/>
    <w:rsid w:val="00A46BFC"/>
    <w:rsid w:val="00A47D69"/>
    <w:rsid w:val="00A50C3A"/>
    <w:rsid w:val="00A5128B"/>
    <w:rsid w:val="00A523CB"/>
    <w:rsid w:val="00A5298B"/>
    <w:rsid w:val="00A53D3A"/>
    <w:rsid w:val="00A55A82"/>
    <w:rsid w:val="00A56561"/>
    <w:rsid w:val="00A5708A"/>
    <w:rsid w:val="00A57BDB"/>
    <w:rsid w:val="00A60D91"/>
    <w:rsid w:val="00A61E3D"/>
    <w:rsid w:val="00A62F7B"/>
    <w:rsid w:val="00A64A23"/>
    <w:rsid w:val="00A65575"/>
    <w:rsid w:val="00A70574"/>
    <w:rsid w:val="00A70CFC"/>
    <w:rsid w:val="00A71A20"/>
    <w:rsid w:val="00A735AA"/>
    <w:rsid w:val="00A75216"/>
    <w:rsid w:val="00A75AA8"/>
    <w:rsid w:val="00A7685C"/>
    <w:rsid w:val="00A774B8"/>
    <w:rsid w:val="00A81A9F"/>
    <w:rsid w:val="00A82D81"/>
    <w:rsid w:val="00A86584"/>
    <w:rsid w:val="00A906C8"/>
    <w:rsid w:val="00A90E66"/>
    <w:rsid w:val="00A92ECE"/>
    <w:rsid w:val="00A971A1"/>
    <w:rsid w:val="00A97220"/>
    <w:rsid w:val="00AA2544"/>
    <w:rsid w:val="00AA3DC4"/>
    <w:rsid w:val="00AA6175"/>
    <w:rsid w:val="00AA6CB8"/>
    <w:rsid w:val="00AA7A19"/>
    <w:rsid w:val="00AB07D8"/>
    <w:rsid w:val="00AB5163"/>
    <w:rsid w:val="00AC0547"/>
    <w:rsid w:val="00AC21A6"/>
    <w:rsid w:val="00AC3A8D"/>
    <w:rsid w:val="00AC5662"/>
    <w:rsid w:val="00AC6748"/>
    <w:rsid w:val="00AC735E"/>
    <w:rsid w:val="00AC7E69"/>
    <w:rsid w:val="00AD0464"/>
    <w:rsid w:val="00AD2AC7"/>
    <w:rsid w:val="00AD4621"/>
    <w:rsid w:val="00AD4C57"/>
    <w:rsid w:val="00AD51DE"/>
    <w:rsid w:val="00AD74E8"/>
    <w:rsid w:val="00AD767C"/>
    <w:rsid w:val="00AE0E02"/>
    <w:rsid w:val="00AE1E37"/>
    <w:rsid w:val="00AE2B16"/>
    <w:rsid w:val="00AE2C07"/>
    <w:rsid w:val="00AE506F"/>
    <w:rsid w:val="00AE57E0"/>
    <w:rsid w:val="00AE6497"/>
    <w:rsid w:val="00AE7FA0"/>
    <w:rsid w:val="00AF0255"/>
    <w:rsid w:val="00AF0E1A"/>
    <w:rsid w:val="00AF0FE1"/>
    <w:rsid w:val="00AF2614"/>
    <w:rsid w:val="00AF419E"/>
    <w:rsid w:val="00AF47A6"/>
    <w:rsid w:val="00AF78EA"/>
    <w:rsid w:val="00B013C1"/>
    <w:rsid w:val="00B0376E"/>
    <w:rsid w:val="00B04042"/>
    <w:rsid w:val="00B05192"/>
    <w:rsid w:val="00B06FD2"/>
    <w:rsid w:val="00B070F7"/>
    <w:rsid w:val="00B10091"/>
    <w:rsid w:val="00B1016D"/>
    <w:rsid w:val="00B10176"/>
    <w:rsid w:val="00B109AA"/>
    <w:rsid w:val="00B112CA"/>
    <w:rsid w:val="00B1187F"/>
    <w:rsid w:val="00B13AEC"/>
    <w:rsid w:val="00B1417D"/>
    <w:rsid w:val="00B1503C"/>
    <w:rsid w:val="00B17A6A"/>
    <w:rsid w:val="00B201EA"/>
    <w:rsid w:val="00B20418"/>
    <w:rsid w:val="00B20F72"/>
    <w:rsid w:val="00B21473"/>
    <w:rsid w:val="00B22700"/>
    <w:rsid w:val="00B235FF"/>
    <w:rsid w:val="00B23BF5"/>
    <w:rsid w:val="00B24485"/>
    <w:rsid w:val="00B253DF"/>
    <w:rsid w:val="00B25479"/>
    <w:rsid w:val="00B2653C"/>
    <w:rsid w:val="00B30BFE"/>
    <w:rsid w:val="00B32358"/>
    <w:rsid w:val="00B33862"/>
    <w:rsid w:val="00B34114"/>
    <w:rsid w:val="00B3581A"/>
    <w:rsid w:val="00B360BB"/>
    <w:rsid w:val="00B37666"/>
    <w:rsid w:val="00B436C0"/>
    <w:rsid w:val="00B43B37"/>
    <w:rsid w:val="00B454B9"/>
    <w:rsid w:val="00B47D7C"/>
    <w:rsid w:val="00B511C2"/>
    <w:rsid w:val="00B52104"/>
    <w:rsid w:val="00B525B4"/>
    <w:rsid w:val="00B528BF"/>
    <w:rsid w:val="00B531EF"/>
    <w:rsid w:val="00B570CC"/>
    <w:rsid w:val="00B60B19"/>
    <w:rsid w:val="00B60FD6"/>
    <w:rsid w:val="00B62180"/>
    <w:rsid w:val="00B63723"/>
    <w:rsid w:val="00B65468"/>
    <w:rsid w:val="00B65C1E"/>
    <w:rsid w:val="00B6662A"/>
    <w:rsid w:val="00B746BB"/>
    <w:rsid w:val="00B834A4"/>
    <w:rsid w:val="00B86F99"/>
    <w:rsid w:val="00B902E4"/>
    <w:rsid w:val="00B9245E"/>
    <w:rsid w:val="00B93A64"/>
    <w:rsid w:val="00BA0B6A"/>
    <w:rsid w:val="00BA12A8"/>
    <w:rsid w:val="00BA1E0F"/>
    <w:rsid w:val="00BA5516"/>
    <w:rsid w:val="00BA7EB8"/>
    <w:rsid w:val="00BB06C8"/>
    <w:rsid w:val="00BB155C"/>
    <w:rsid w:val="00BB2ACE"/>
    <w:rsid w:val="00BB47AB"/>
    <w:rsid w:val="00BC2E1E"/>
    <w:rsid w:val="00BD064B"/>
    <w:rsid w:val="00BD2969"/>
    <w:rsid w:val="00BD32F1"/>
    <w:rsid w:val="00BD5365"/>
    <w:rsid w:val="00BD5878"/>
    <w:rsid w:val="00BD7434"/>
    <w:rsid w:val="00BD7E5B"/>
    <w:rsid w:val="00BE4119"/>
    <w:rsid w:val="00BE4714"/>
    <w:rsid w:val="00BE5D95"/>
    <w:rsid w:val="00BF24B1"/>
    <w:rsid w:val="00BF27B8"/>
    <w:rsid w:val="00BF4032"/>
    <w:rsid w:val="00BF5867"/>
    <w:rsid w:val="00BF759A"/>
    <w:rsid w:val="00C026D9"/>
    <w:rsid w:val="00C0291C"/>
    <w:rsid w:val="00C02D65"/>
    <w:rsid w:val="00C0494E"/>
    <w:rsid w:val="00C04FF3"/>
    <w:rsid w:val="00C10A12"/>
    <w:rsid w:val="00C10DA8"/>
    <w:rsid w:val="00C15E4E"/>
    <w:rsid w:val="00C22664"/>
    <w:rsid w:val="00C22D26"/>
    <w:rsid w:val="00C23FCD"/>
    <w:rsid w:val="00C26FFE"/>
    <w:rsid w:val="00C27B7B"/>
    <w:rsid w:val="00C302DE"/>
    <w:rsid w:val="00C307C5"/>
    <w:rsid w:val="00C3087E"/>
    <w:rsid w:val="00C3156F"/>
    <w:rsid w:val="00C31785"/>
    <w:rsid w:val="00C33ADC"/>
    <w:rsid w:val="00C35900"/>
    <w:rsid w:val="00C435F0"/>
    <w:rsid w:val="00C46922"/>
    <w:rsid w:val="00C52108"/>
    <w:rsid w:val="00C541BE"/>
    <w:rsid w:val="00C563AD"/>
    <w:rsid w:val="00C57B3E"/>
    <w:rsid w:val="00C62BF0"/>
    <w:rsid w:val="00C62D6F"/>
    <w:rsid w:val="00C62E45"/>
    <w:rsid w:val="00C643C2"/>
    <w:rsid w:val="00C6440C"/>
    <w:rsid w:val="00C65677"/>
    <w:rsid w:val="00C66570"/>
    <w:rsid w:val="00C709A5"/>
    <w:rsid w:val="00C73EAD"/>
    <w:rsid w:val="00C76E45"/>
    <w:rsid w:val="00C818C6"/>
    <w:rsid w:val="00C8238B"/>
    <w:rsid w:val="00C8240B"/>
    <w:rsid w:val="00C8474A"/>
    <w:rsid w:val="00C85212"/>
    <w:rsid w:val="00C861A9"/>
    <w:rsid w:val="00C90581"/>
    <w:rsid w:val="00C92FCD"/>
    <w:rsid w:val="00C94E10"/>
    <w:rsid w:val="00C95E5E"/>
    <w:rsid w:val="00C95F6D"/>
    <w:rsid w:val="00C976CA"/>
    <w:rsid w:val="00C97DE4"/>
    <w:rsid w:val="00CA0047"/>
    <w:rsid w:val="00CA0FAB"/>
    <w:rsid w:val="00CA1CDC"/>
    <w:rsid w:val="00CA2BBD"/>
    <w:rsid w:val="00CA2F44"/>
    <w:rsid w:val="00CA521D"/>
    <w:rsid w:val="00CA5224"/>
    <w:rsid w:val="00CA5B20"/>
    <w:rsid w:val="00CA6060"/>
    <w:rsid w:val="00CA74AA"/>
    <w:rsid w:val="00CA7BAD"/>
    <w:rsid w:val="00CB165C"/>
    <w:rsid w:val="00CB5F28"/>
    <w:rsid w:val="00CB6BA4"/>
    <w:rsid w:val="00CB7759"/>
    <w:rsid w:val="00CC14E1"/>
    <w:rsid w:val="00CC33E5"/>
    <w:rsid w:val="00CC385C"/>
    <w:rsid w:val="00CC3991"/>
    <w:rsid w:val="00CC51D0"/>
    <w:rsid w:val="00CC5F98"/>
    <w:rsid w:val="00CC6545"/>
    <w:rsid w:val="00CC66DF"/>
    <w:rsid w:val="00CC7B3F"/>
    <w:rsid w:val="00CD20A2"/>
    <w:rsid w:val="00CD4D86"/>
    <w:rsid w:val="00CD5573"/>
    <w:rsid w:val="00CD5B46"/>
    <w:rsid w:val="00CD7FAD"/>
    <w:rsid w:val="00CE0849"/>
    <w:rsid w:val="00CE091F"/>
    <w:rsid w:val="00CE0B79"/>
    <w:rsid w:val="00CE2373"/>
    <w:rsid w:val="00CE3617"/>
    <w:rsid w:val="00CE6E29"/>
    <w:rsid w:val="00CE7991"/>
    <w:rsid w:val="00CE7B8E"/>
    <w:rsid w:val="00CE7C7F"/>
    <w:rsid w:val="00CF1D51"/>
    <w:rsid w:val="00CF3D25"/>
    <w:rsid w:val="00CF5FCF"/>
    <w:rsid w:val="00CF6AC0"/>
    <w:rsid w:val="00D050C3"/>
    <w:rsid w:val="00D05645"/>
    <w:rsid w:val="00D15BEF"/>
    <w:rsid w:val="00D16144"/>
    <w:rsid w:val="00D2010D"/>
    <w:rsid w:val="00D2111A"/>
    <w:rsid w:val="00D21E9D"/>
    <w:rsid w:val="00D2430F"/>
    <w:rsid w:val="00D2540D"/>
    <w:rsid w:val="00D25CF9"/>
    <w:rsid w:val="00D2739B"/>
    <w:rsid w:val="00D32C62"/>
    <w:rsid w:val="00D33F40"/>
    <w:rsid w:val="00D345C0"/>
    <w:rsid w:val="00D36464"/>
    <w:rsid w:val="00D36ABC"/>
    <w:rsid w:val="00D4099E"/>
    <w:rsid w:val="00D425D2"/>
    <w:rsid w:val="00D425D6"/>
    <w:rsid w:val="00D42B55"/>
    <w:rsid w:val="00D430B4"/>
    <w:rsid w:val="00D43305"/>
    <w:rsid w:val="00D4505B"/>
    <w:rsid w:val="00D45517"/>
    <w:rsid w:val="00D4678F"/>
    <w:rsid w:val="00D46EDC"/>
    <w:rsid w:val="00D46F69"/>
    <w:rsid w:val="00D5081E"/>
    <w:rsid w:val="00D5171F"/>
    <w:rsid w:val="00D52183"/>
    <w:rsid w:val="00D53FA4"/>
    <w:rsid w:val="00D549E0"/>
    <w:rsid w:val="00D54D84"/>
    <w:rsid w:val="00D5504B"/>
    <w:rsid w:val="00D558B8"/>
    <w:rsid w:val="00D561A0"/>
    <w:rsid w:val="00D565C0"/>
    <w:rsid w:val="00D57602"/>
    <w:rsid w:val="00D6116D"/>
    <w:rsid w:val="00D6171D"/>
    <w:rsid w:val="00D61862"/>
    <w:rsid w:val="00D6641E"/>
    <w:rsid w:val="00D67C30"/>
    <w:rsid w:val="00D70CE9"/>
    <w:rsid w:val="00D70DC5"/>
    <w:rsid w:val="00D7153B"/>
    <w:rsid w:val="00D726EA"/>
    <w:rsid w:val="00D72FB5"/>
    <w:rsid w:val="00D73047"/>
    <w:rsid w:val="00D7337E"/>
    <w:rsid w:val="00D73EA9"/>
    <w:rsid w:val="00D7434C"/>
    <w:rsid w:val="00D804CB"/>
    <w:rsid w:val="00D80BB2"/>
    <w:rsid w:val="00D8314D"/>
    <w:rsid w:val="00D90A7D"/>
    <w:rsid w:val="00D94BAA"/>
    <w:rsid w:val="00D94CC5"/>
    <w:rsid w:val="00D963AF"/>
    <w:rsid w:val="00DA0EE2"/>
    <w:rsid w:val="00DA1189"/>
    <w:rsid w:val="00DA1A39"/>
    <w:rsid w:val="00DA22BA"/>
    <w:rsid w:val="00DA4882"/>
    <w:rsid w:val="00DA5EEB"/>
    <w:rsid w:val="00DA68AC"/>
    <w:rsid w:val="00DA7478"/>
    <w:rsid w:val="00DB0F3B"/>
    <w:rsid w:val="00DB10AF"/>
    <w:rsid w:val="00DB1CAF"/>
    <w:rsid w:val="00DB1E12"/>
    <w:rsid w:val="00DB5D91"/>
    <w:rsid w:val="00DC11BD"/>
    <w:rsid w:val="00DC1CDF"/>
    <w:rsid w:val="00DC3B41"/>
    <w:rsid w:val="00DC67B4"/>
    <w:rsid w:val="00DD042B"/>
    <w:rsid w:val="00DD2A19"/>
    <w:rsid w:val="00DD3114"/>
    <w:rsid w:val="00DE02F1"/>
    <w:rsid w:val="00DE0615"/>
    <w:rsid w:val="00DE205E"/>
    <w:rsid w:val="00DE2603"/>
    <w:rsid w:val="00DE298C"/>
    <w:rsid w:val="00DE37BE"/>
    <w:rsid w:val="00DE50ED"/>
    <w:rsid w:val="00DE6290"/>
    <w:rsid w:val="00DE75E9"/>
    <w:rsid w:val="00DF03BF"/>
    <w:rsid w:val="00DF1FBE"/>
    <w:rsid w:val="00DF2292"/>
    <w:rsid w:val="00DF6875"/>
    <w:rsid w:val="00DF69E5"/>
    <w:rsid w:val="00DF7710"/>
    <w:rsid w:val="00E00280"/>
    <w:rsid w:val="00E00E71"/>
    <w:rsid w:val="00E05178"/>
    <w:rsid w:val="00E1038F"/>
    <w:rsid w:val="00E11E2C"/>
    <w:rsid w:val="00E143AA"/>
    <w:rsid w:val="00E15948"/>
    <w:rsid w:val="00E16943"/>
    <w:rsid w:val="00E2156F"/>
    <w:rsid w:val="00E21A60"/>
    <w:rsid w:val="00E22BC2"/>
    <w:rsid w:val="00E2347F"/>
    <w:rsid w:val="00E24020"/>
    <w:rsid w:val="00E24474"/>
    <w:rsid w:val="00E25045"/>
    <w:rsid w:val="00E26FEB"/>
    <w:rsid w:val="00E27DB7"/>
    <w:rsid w:val="00E30208"/>
    <w:rsid w:val="00E303D6"/>
    <w:rsid w:val="00E305CB"/>
    <w:rsid w:val="00E327CE"/>
    <w:rsid w:val="00E33D94"/>
    <w:rsid w:val="00E34587"/>
    <w:rsid w:val="00E358C2"/>
    <w:rsid w:val="00E3628C"/>
    <w:rsid w:val="00E36E7E"/>
    <w:rsid w:val="00E36F8C"/>
    <w:rsid w:val="00E37394"/>
    <w:rsid w:val="00E37F0F"/>
    <w:rsid w:val="00E405AC"/>
    <w:rsid w:val="00E4605C"/>
    <w:rsid w:val="00E466C8"/>
    <w:rsid w:val="00E47C8A"/>
    <w:rsid w:val="00E52AC5"/>
    <w:rsid w:val="00E545F3"/>
    <w:rsid w:val="00E54671"/>
    <w:rsid w:val="00E57088"/>
    <w:rsid w:val="00E623AA"/>
    <w:rsid w:val="00E64DD8"/>
    <w:rsid w:val="00E66184"/>
    <w:rsid w:val="00E67D2F"/>
    <w:rsid w:val="00E70774"/>
    <w:rsid w:val="00E712B5"/>
    <w:rsid w:val="00E71CD9"/>
    <w:rsid w:val="00E7245B"/>
    <w:rsid w:val="00E73612"/>
    <w:rsid w:val="00E76A9A"/>
    <w:rsid w:val="00E77378"/>
    <w:rsid w:val="00E8100C"/>
    <w:rsid w:val="00E820F3"/>
    <w:rsid w:val="00E82FAF"/>
    <w:rsid w:val="00E830EA"/>
    <w:rsid w:val="00E84B86"/>
    <w:rsid w:val="00E85DF1"/>
    <w:rsid w:val="00E86C59"/>
    <w:rsid w:val="00E87C13"/>
    <w:rsid w:val="00E91021"/>
    <w:rsid w:val="00E940BE"/>
    <w:rsid w:val="00E95C4E"/>
    <w:rsid w:val="00E95D9D"/>
    <w:rsid w:val="00E962FC"/>
    <w:rsid w:val="00E96419"/>
    <w:rsid w:val="00EA13A3"/>
    <w:rsid w:val="00EA1AFA"/>
    <w:rsid w:val="00EA2170"/>
    <w:rsid w:val="00EA2A7C"/>
    <w:rsid w:val="00EA344D"/>
    <w:rsid w:val="00EA4A86"/>
    <w:rsid w:val="00EA4AB7"/>
    <w:rsid w:val="00EA5FF1"/>
    <w:rsid w:val="00EA6D23"/>
    <w:rsid w:val="00EA6FB7"/>
    <w:rsid w:val="00EC0E2D"/>
    <w:rsid w:val="00EC12DA"/>
    <w:rsid w:val="00EC12FA"/>
    <w:rsid w:val="00EC578A"/>
    <w:rsid w:val="00EC5C32"/>
    <w:rsid w:val="00EC5CBC"/>
    <w:rsid w:val="00EC6775"/>
    <w:rsid w:val="00ED0E39"/>
    <w:rsid w:val="00ED3A69"/>
    <w:rsid w:val="00ED40CB"/>
    <w:rsid w:val="00ED433E"/>
    <w:rsid w:val="00ED6824"/>
    <w:rsid w:val="00ED76A6"/>
    <w:rsid w:val="00ED7E4F"/>
    <w:rsid w:val="00EE0C61"/>
    <w:rsid w:val="00EE1461"/>
    <w:rsid w:val="00EE41D9"/>
    <w:rsid w:val="00EE58D2"/>
    <w:rsid w:val="00EE67F8"/>
    <w:rsid w:val="00EF2046"/>
    <w:rsid w:val="00EF31B4"/>
    <w:rsid w:val="00EF37B2"/>
    <w:rsid w:val="00EF7697"/>
    <w:rsid w:val="00F01300"/>
    <w:rsid w:val="00F01967"/>
    <w:rsid w:val="00F03927"/>
    <w:rsid w:val="00F04BC3"/>
    <w:rsid w:val="00F07FD0"/>
    <w:rsid w:val="00F1256C"/>
    <w:rsid w:val="00F12D55"/>
    <w:rsid w:val="00F13228"/>
    <w:rsid w:val="00F13AE2"/>
    <w:rsid w:val="00F146FE"/>
    <w:rsid w:val="00F14A1D"/>
    <w:rsid w:val="00F1726F"/>
    <w:rsid w:val="00F17932"/>
    <w:rsid w:val="00F20FE6"/>
    <w:rsid w:val="00F21489"/>
    <w:rsid w:val="00F22F50"/>
    <w:rsid w:val="00F233C0"/>
    <w:rsid w:val="00F24CEF"/>
    <w:rsid w:val="00F251D4"/>
    <w:rsid w:val="00F263FC"/>
    <w:rsid w:val="00F26D5B"/>
    <w:rsid w:val="00F305ED"/>
    <w:rsid w:val="00F3275B"/>
    <w:rsid w:val="00F3689C"/>
    <w:rsid w:val="00F4159B"/>
    <w:rsid w:val="00F420BC"/>
    <w:rsid w:val="00F42A53"/>
    <w:rsid w:val="00F435E2"/>
    <w:rsid w:val="00F44D0E"/>
    <w:rsid w:val="00F45527"/>
    <w:rsid w:val="00F507AE"/>
    <w:rsid w:val="00F529AA"/>
    <w:rsid w:val="00F536D8"/>
    <w:rsid w:val="00F5569E"/>
    <w:rsid w:val="00F63D43"/>
    <w:rsid w:val="00F64304"/>
    <w:rsid w:val="00F6463E"/>
    <w:rsid w:val="00F669FA"/>
    <w:rsid w:val="00F66A90"/>
    <w:rsid w:val="00F67C9A"/>
    <w:rsid w:val="00F717F7"/>
    <w:rsid w:val="00F72BD3"/>
    <w:rsid w:val="00F74AD9"/>
    <w:rsid w:val="00F74CEF"/>
    <w:rsid w:val="00F76A9E"/>
    <w:rsid w:val="00F85472"/>
    <w:rsid w:val="00F8678F"/>
    <w:rsid w:val="00F87CA8"/>
    <w:rsid w:val="00F90B75"/>
    <w:rsid w:val="00F945F5"/>
    <w:rsid w:val="00FA5096"/>
    <w:rsid w:val="00FA727B"/>
    <w:rsid w:val="00FA7573"/>
    <w:rsid w:val="00FB0BEB"/>
    <w:rsid w:val="00FB19C5"/>
    <w:rsid w:val="00FB26A6"/>
    <w:rsid w:val="00FB3290"/>
    <w:rsid w:val="00FB3AE1"/>
    <w:rsid w:val="00FB5BFB"/>
    <w:rsid w:val="00FB5F8A"/>
    <w:rsid w:val="00FC08E2"/>
    <w:rsid w:val="00FC1093"/>
    <w:rsid w:val="00FC3C0E"/>
    <w:rsid w:val="00FC4A36"/>
    <w:rsid w:val="00FD1DC5"/>
    <w:rsid w:val="00FD2679"/>
    <w:rsid w:val="00FE183D"/>
    <w:rsid w:val="00FE2ACC"/>
    <w:rsid w:val="00FE4555"/>
    <w:rsid w:val="00FE5AA4"/>
    <w:rsid w:val="00FF167D"/>
    <w:rsid w:val="00FF1724"/>
    <w:rsid w:val="00FF288F"/>
    <w:rsid w:val="00FF5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3074"/>
    <o:shapelayout v:ext="edit">
      <o:idmap v:ext="edit" data="2"/>
    </o:shapelayout>
  </w:shapeDefaults>
  <w:decimalSymbol w:val="."/>
  <w:listSeparator w:val=","/>
  <w15:docId w15:val="{C5636E11-3FA5-4DCF-820F-34DD4101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39CE"/>
    <w:rPr>
      <w:rFonts w:ascii="Arial" w:hAnsi="Arial"/>
      <w:sz w:val="24"/>
      <w:szCs w:val="24"/>
    </w:rPr>
  </w:style>
  <w:style w:type="paragraph" w:styleId="Heading1">
    <w:name w:val="heading 1"/>
    <w:basedOn w:val="Normal"/>
    <w:next w:val="Normal"/>
    <w:qFormat/>
    <w:rsid w:val="008A2AE9"/>
    <w:pPr>
      <w:keepNext/>
      <w:numPr>
        <w:numId w:val="3"/>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27DB7"/>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tabs>
        <w:tab w:val="left" w:pos="1440"/>
      </w:tabs>
      <w:spacing w:before="0" w:after="240"/>
    </w:pPr>
    <w:rPr>
      <w:bCs w:val="0"/>
      <w:i w:val="0"/>
      <w:iCs w:val="0"/>
    </w:rPr>
  </w:style>
  <w:style w:type="paragraph" w:styleId="TOC3">
    <w:name w:val="toc 3"/>
    <w:basedOn w:val="Normal"/>
    <w:next w:val="BodyText"/>
    <w:autoRedefine/>
    <w:uiPriority w:val="39"/>
    <w:rsid w:val="008A2AE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4"/>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5"/>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qFormat/>
    <w:rsid w:val="008A2AE9"/>
    <w:pPr>
      <w:numPr>
        <w:numId w:val="2"/>
      </w:numPr>
    </w:pPr>
  </w:style>
  <w:style w:type="paragraph" w:customStyle="1" w:styleId="TAsectionheading3">
    <w:name w:val="TA section heading 3"/>
    <w:basedOn w:val="Heading3"/>
    <w:rsid w:val="008A2AE9"/>
    <w:pPr>
      <w:keepNext w:val="0"/>
      <w:numPr>
        <w:ilvl w:val="2"/>
        <w:numId w:val="3"/>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7"/>
      </w:numPr>
      <w:tabs>
        <w:tab w:val="clear" w:pos="360"/>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character" w:customStyle="1" w:styleId="TAbodytextChar">
    <w:name w:val="TA body text Char"/>
    <w:link w:val="TAbodytext"/>
    <w:rsid w:val="00332269"/>
    <w:rPr>
      <w:rFonts w:ascii="Arial" w:hAnsi="Arial"/>
      <w:sz w:val="24"/>
      <w:szCs w:val="24"/>
    </w:rPr>
  </w:style>
  <w:style w:type="table" w:styleId="TableGrid">
    <w:name w:val="Table Grid"/>
    <w:basedOn w:val="TableNormal"/>
    <w:uiPriority w:val="59"/>
    <w:rsid w:val="0033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73EA9"/>
    <w:rPr>
      <w:sz w:val="16"/>
      <w:szCs w:val="16"/>
    </w:rPr>
  </w:style>
  <w:style w:type="paragraph" w:styleId="CommentText">
    <w:name w:val="annotation text"/>
    <w:basedOn w:val="Normal"/>
    <w:link w:val="CommentTextChar"/>
    <w:rsid w:val="00D73EA9"/>
    <w:rPr>
      <w:sz w:val="20"/>
      <w:szCs w:val="20"/>
    </w:rPr>
  </w:style>
  <w:style w:type="character" w:customStyle="1" w:styleId="CommentTextChar">
    <w:name w:val="Comment Text Char"/>
    <w:link w:val="CommentText"/>
    <w:rsid w:val="00D73EA9"/>
    <w:rPr>
      <w:rFonts w:ascii="Arial" w:hAnsi="Arial"/>
    </w:rPr>
  </w:style>
  <w:style w:type="paragraph" w:styleId="CommentSubject">
    <w:name w:val="annotation subject"/>
    <w:basedOn w:val="CommentText"/>
    <w:next w:val="CommentText"/>
    <w:link w:val="CommentSubjectChar"/>
    <w:rsid w:val="00D73EA9"/>
    <w:rPr>
      <w:b/>
      <w:bCs/>
    </w:rPr>
  </w:style>
  <w:style w:type="character" w:customStyle="1" w:styleId="CommentSubjectChar">
    <w:name w:val="Comment Subject Char"/>
    <w:link w:val="CommentSubject"/>
    <w:rsid w:val="00D73EA9"/>
    <w:rPr>
      <w:rFonts w:ascii="Arial" w:hAnsi="Arial"/>
      <w:b/>
      <w:bCs/>
    </w:rPr>
  </w:style>
  <w:style w:type="paragraph" w:styleId="Revision">
    <w:name w:val="Revision"/>
    <w:hidden/>
    <w:uiPriority w:val="99"/>
    <w:semiHidden/>
    <w:rsid w:val="00D73EA9"/>
    <w:rPr>
      <w:rFonts w:ascii="Arial" w:hAnsi="Arial"/>
      <w:sz w:val="24"/>
      <w:szCs w:val="24"/>
    </w:rPr>
  </w:style>
  <w:style w:type="character" w:customStyle="1" w:styleId="FooterChar">
    <w:name w:val="Footer Char"/>
    <w:link w:val="Footer"/>
    <w:uiPriority w:val="99"/>
    <w:rsid w:val="001514C5"/>
    <w:rPr>
      <w:rFonts w:ascii="Arial" w:hAnsi="Arial"/>
      <w:sz w:val="24"/>
      <w:szCs w:val="24"/>
    </w:rPr>
  </w:style>
  <w:style w:type="paragraph" w:styleId="NoSpacing">
    <w:name w:val="No Spacing"/>
    <w:uiPriority w:val="1"/>
    <w:qFormat/>
    <w:rsid w:val="00EA13A3"/>
    <w:rPr>
      <w:rFonts w:ascii="Calibri" w:eastAsia="Calibri" w:hAnsi="Calibri"/>
      <w:sz w:val="22"/>
      <w:szCs w:val="22"/>
      <w:lang w:eastAsia="en-US"/>
    </w:rPr>
  </w:style>
  <w:style w:type="paragraph" w:customStyle="1" w:styleId="TAbody">
    <w:name w:val="TA body"/>
    <w:basedOn w:val="Normal"/>
    <w:rsid w:val="001434B2"/>
    <w:rPr>
      <w:szCs w:val="20"/>
      <w:lang w:val="en-GB" w:eastAsia="en-US"/>
    </w:rPr>
  </w:style>
  <w:style w:type="paragraph" w:styleId="ListParagraph">
    <w:name w:val="List Paragraph"/>
    <w:basedOn w:val="Normal"/>
    <w:uiPriority w:val="34"/>
    <w:qFormat/>
    <w:rsid w:val="00CA6060"/>
    <w:pPr>
      <w:ind w:left="720"/>
      <w:contextualSpacing/>
    </w:pPr>
  </w:style>
  <w:style w:type="paragraph" w:customStyle="1" w:styleId="TableParagraph">
    <w:name w:val="Table Paragraph"/>
    <w:basedOn w:val="Normal"/>
    <w:uiPriority w:val="1"/>
    <w:qFormat/>
    <w:rsid w:val="00C92FCD"/>
    <w:pPr>
      <w:autoSpaceDE w:val="0"/>
      <w:autoSpaceDN w:val="0"/>
      <w:adjustRightInd w:val="0"/>
    </w:pPr>
    <w:rPr>
      <w:rFonts w:ascii="Times New Roman" w:hAnsi="Times New Roman"/>
    </w:rPr>
  </w:style>
  <w:style w:type="paragraph" w:customStyle="1" w:styleId="codeHeading">
    <w:name w:val="codeHeading"/>
    <w:basedOn w:val="Normal"/>
    <w:rsid w:val="001B7A01"/>
    <w:pPr>
      <w:spacing w:before="60" w:after="60"/>
    </w:pPr>
    <w:rPr>
      <w:rFonts w:cs="Arial"/>
      <w:b/>
      <w:bCs/>
      <w:sz w:val="22"/>
      <w:szCs w:val="20"/>
      <w:lang w:eastAsia="en-US"/>
    </w:rPr>
  </w:style>
  <w:style w:type="paragraph" w:customStyle="1" w:styleId="CritList">
    <w:name w:val="CritList"/>
    <w:basedOn w:val="Normal"/>
    <w:link w:val="CritListCharChar"/>
    <w:qFormat/>
    <w:rsid w:val="001B7A01"/>
    <w:pPr>
      <w:numPr>
        <w:numId w:val="12"/>
      </w:numPr>
      <w:spacing w:before="60" w:after="60" w:line="288" w:lineRule="auto"/>
    </w:pPr>
    <w:rPr>
      <w:rFonts w:cs="Arial"/>
      <w:color w:val="000000"/>
      <w:sz w:val="20"/>
      <w:szCs w:val="20"/>
      <w:lang w:eastAsia="en-US"/>
    </w:rPr>
  </w:style>
  <w:style w:type="paragraph" w:customStyle="1" w:styleId="RuleList">
    <w:name w:val="RuleList"/>
    <w:basedOn w:val="Normal"/>
    <w:link w:val="RuleListChar"/>
    <w:qFormat/>
    <w:rsid w:val="001B7A01"/>
    <w:pPr>
      <w:numPr>
        <w:numId w:val="13"/>
      </w:numPr>
      <w:spacing w:before="60" w:after="60" w:line="288" w:lineRule="auto"/>
    </w:pPr>
    <w:rPr>
      <w:rFonts w:cs="Arial"/>
      <w:sz w:val="20"/>
      <w:szCs w:val="20"/>
      <w:lang w:eastAsia="en-US"/>
    </w:rPr>
  </w:style>
  <w:style w:type="character" w:customStyle="1" w:styleId="CritListCharChar">
    <w:name w:val="CritList Char Char"/>
    <w:link w:val="CritList"/>
    <w:rsid w:val="001B7A01"/>
    <w:rPr>
      <w:rFonts w:ascii="Arial" w:hAnsi="Arial" w:cs="Arial"/>
      <w:color w:val="000000"/>
      <w:lang w:eastAsia="en-US"/>
    </w:rPr>
  </w:style>
  <w:style w:type="character" w:customStyle="1" w:styleId="RuleListChar">
    <w:name w:val="RuleList Char"/>
    <w:link w:val="RuleList"/>
    <w:rsid w:val="001B7A01"/>
    <w:rPr>
      <w:rFonts w:ascii="Arial" w:hAnsi="Arial" w:cs="Arial"/>
      <w:lang w:eastAsia="en-US"/>
    </w:rPr>
  </w:style>
  <w:style w:type="paragraph" w:customStyle="1" w:styleId="StyleStyleelementHeadingArialBoldLightBlueArial">
    <w:name w:val="Style Style elementHeading + Arial Bold Light Blue + Arial"/>
    <w:basedOn w:val="Normal"/>
    <w:qFormat/>
    <w:rsid w:val="001B7A01"/>
    <w:pPr>
      <w:numPr>
        <w:numId w:val="14"/>
      </w:numPr>
      <w:tabs>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1B7A01"/>
    <w:rPr>
      <w:rFonts w:ascii="Arial" w:hAnsi="Arial" w:cs="Arial"/>
      <w:b/>
      <w:bCs/>
      <w:lang w:eastAsia="en-US"/>
    </w:rPr>
  </w:style>
  <w:style w:type="paragraph" w:customStyle="1" w:styleId="bodyText0">
    <w:name w:val="bodyText"/>
    <w:basedOn w:val="Normal"/>
    <w:link w:val="bodyTextChar0"/>
    <w:rsid w:val="001C054D"/>
    <w:pPr>
      <w:spacing w:before="120" w:line="288" w:lineRule="auto"/>
    </w:pPr>
    <w:rPr>
      <w:rFonts w:cs="Arial"/>
      <w:sz w:val="20"/>
      <w:szCs w:val="20"/>
      <w:lang w:eastAsia="en-US"/>
    </w:rPr>
  </w:style>
  <w:style w:type="character" w:customStyle="1" w:styleId="bodyTextChar0">
    <w:name w:val="bodyText Char"/>
    <w:link w:val="bodyText0"/>
    <w:rsid w:val="001C054D"/>
    <w:rPr>
      <w:rFonts w:ascii="Arial" w:hAnsi="Arial" w:cs="Arial"/>
      <w:lang w:eastAsia="en-US"/>
    </w:rPr>
  </w:style>
  <w:style w:type="paragraph" w:customStyle="1" w:styleId="codeRuleList">
    <w:name w:val="codeRuleList"/>
    <w:basedOn w:val="Normal"/>
    <w:rsid w:val="001C054D"/>
    <w:pPr>
      <w:numPr>
        <w:numId w:val="15"/>
      </w:numPr>
      <w:spacing w:line="288" w:lineRule="auto"/>
    </w:pPr>
    <w:rPr>
      <w:rFonts w:cs="Arial"/>
      <w:sz w:val="20"/>
      <w:szCs w:val="20"/>
      <w:lang w:eastAsia="en-US"/>
    </w:rPr>
  </w:style>
  <w:style w:type="paragraph" w:customStyle="1" w:styleId="codeRuleListA">
    <w:name w:val="codeRuleListA"/>
    <w:basedOn w:val="codeRuleList"/>
    <w:rsid w:val="001C054D"/>
    <w:pPr>
      <w:numPr>
        <w:ilvl w:val="1"/>
      </w:numPr>
    </w:pPr>
  </w:style>
  <w:style w:type="paragraph" w:customStyle="1" w:styleId="Default">
    <w:name w:val="Default"/>
    <w:rsid w:val="00A53D3A"/>
    <w:pPr>
      <w:autoSpaceDE w:val="0"/>
      <w:autoSpaceDN w:val="0"/>
      <w:adjustRightInd w:val="0"/>
    </w:pPr>
    <w:rPr>
      <w:rFonts w:ascii="Calibri" w:hAnsi="Calibri" w:cs="Calibri"/>
      <w:color w:val="000000"/>
      <w:sz w:val="24"/>
      <w:szCs w:val="24"/>
    </w:rPr>
  </w:style>
  <w:style w:type="character" w:customStyle="1" w:styleId="CritListChar">
    <w:name w:val="CritList Char"/>
    <w:rsid w:val="00924F15"/>
    <w:rPr>
      <w:rFonts w:ascii="Arial" w:hAnsi="Arial" w:cs="Arial"/>
      <w:lang w:val="en-US" w:eastAsia="en-US" w:bidi="en-US"/>
    </w:rPr>
  </w:style>
  <w:style w:type="character" w:styleId="FollowedHyperlink">
    <w:name w:val="FollowedHyperlink"/>
    <w:semiHidden/>
    <w:unhideWhenUsed/>
    <w:rsid w:val="008B28AF"/>
    <w:rPr>
      <w:color w:val="954F72"/>
      <w:u w:val="single"/>
    </w:rPr>
  </w:style>
  <w:style w:type="table" w:styleId="TableGridLight">
    <w:name w:val="Grid Table Light"/>
    <w:basedOn w:val="TableNormal"/>
    <w:uiPriority w:val="40"/>
    <w:rsid w:val="00283CB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283CB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lementHeading">
    <w:name w:val="elementHeading"/>
    <w:basedOn w:val="Normal"/>
    <w:rsid w:val="002C62FD"/>
    <w:pPr>
      <w:tabs>
        <w:tab w:val="left" w:pos="1418"/>
        <w:tab w:val="num" w:pos="2880"/>
      </w:tabs>
      <w:spacing w:before="120" w:line="288" w:lineRule="auto"/>
    </w:pPr>
    <w:rPr>
      <w:rFonts w:cs="Arial"/>
      <w:b/>
      <w:bCs/>
      <w:szCs w:val="20"/>
    </w:rPr>
  </w:style>
  <w:style w:type="paragraph" w:customStyle="1" w:styleId="codeCriteriaList">
    <w:name w:val="codeCriteriaList"/>
    <w:basedOn w:val="codeRuleCriteria"/>
    <w:rsid w:val="002C62FD"/>
    <w:pPr>
      <w:numPr>
        <w:numId w:val="17"/>
      </w:numPr>
      <w:spacing w:before="0" w:after="0"/>
    </w:pPr>
  </w:style>
  <w:style w:type="paragraph" w:customStyle="1" w:styleId="codeCriteriaListA">
    <w:name w:val="codeCriteriaListA"/>
    <w:basedOn w:val="codeCriteriaList"/>
    <w:rsid w:val="002C62FD"/>
    <w:pPr>
      <w:numPr>
        <w:ilvl w:val="1"/>
      </w:numPr>
    </w:pPr>
  </w:style>
  <w:style w:type="paragraph" w:customStyle="1" w:styleId="partsubheading">
    <w:name w:val="partsubheading"/>
    <w:basedOn w:val="Normal"/>
    <w:next w:val="BodyText"/>
    <w:qFormat/>
    <w:rsid w:val="002C62FD"/>
    <w:pPr>
      <w:shd w:val="clear" w:color="auto" w:fill="000000"/>
      <w:tabs>
        <w:tab w:val="left" w:pos="1134"/>
        <w:tab w:val="left" w:pos="1287"/>
        <w:tab w:val="left" w:pos="1701"/>
      </w:tabs>
      <w:spacing w:before="60" w:after="120" w:line="276" w:lineRule="auto"/>
    </w:pPr>
    <w:rPr>
      <w:rFonts w:cs="Arial"/>
      <w:b/>
      <w:bCs/>
      <w:color w:val="FFFFFF"/>
      <w:sz w:val="32"/>
      <w:szCs w:val="20"/>
    </w:rPr>
  </w:style>
  <w:style w:type="paragraph" w:customStyle="1" w:styleId="TA-LAitalicstext">
    <w:name w:val="TA - LA italics text"/>
    <w:basedOn w:val="Normal"/>
    <w:next w:val="Normal"/>
    <w:rsid w:val="00700491"/>
    <w:pPr>
      <w:tabs>
        <w:tab w:val="left" w:pos="2600"/>
      </w:tabs>
      <w:spacing w:after="240"/>
      <w:jc w:val="both"/>
    </w:pPr>
    <w:rPr>
      <w:b/>
      <w:i/>
      <w:sz w:val="18"/>
      <w:szCs w:val="20"/>
      <w:lang w:eastAsia="en-US"/>
    </w:rPr>
  </w:style>
  <w:style w:type="character" w:customStyle="1" w:styleId="RuleListCharChar">
    <w:name w:val="RuleList Char Char"/>
    <w:rsid w:val="00B06FD2"/>
    <w:rPr>
      <w:rFonts w:ascii="Arial" w:hAnsi="Arial" w:cs="Arial"/>
      <w:lang w:val="en-AU" w:eastAsia="en-US" w:bidi="ar-SA"/>
    </w:rPr>
  </w:style>
  <w:style w:type="paragraph" w:customStyle="1" w:styleId="Note">
    <w:name w:val="Note"/>
    <w:basedOn w:val="BodyText"/>
    <w:link w:val="NoteChar"/>
    <w:qFormat/>
    <w:rsid w:val="006F3BDE"/>
    <w:pPr>
      <w:tabs>
        <w:tab w:val="left" w:pos="318"/>
      </w:tabs>
      <w:spacing w:before="60" w:after="60" w:line="288" w:lineRule="auto"/>
    </w:pPr>
    <w:rPr>
      <w:rFonts w:cs="Arial"/>
      <w:color w:val="000000"/>
      <w:sz w:val="16"/>
      <w:szCs w:val="16"/>
      <w:lang w:val="en-US" w:eastAsia="en-US" w:bidi="en-US"/>
    </w:rPr>
  </w:style>
  <w:style w:type="character" w:customStyle="1" w:styleId="NoteChar">
    <w:name w:val="Note Char"/>
    <w:link w:val="Note"/>
    <w:rsid w:val="006F3BDE"/>
    <w:rPr>
      <w:rFonts w:ascii="Arial" w:hAnsi="Arial" w:cs="Arial"/>
      <w:color w:val="000000"/>
      <w:sz w:val="16"/>
      <w:szCs w:val="16"/>
      <w:lang w:val="en-US" w:eastAsia="en-US" w:bidi="en-US"/>
    </w:rPr>
  </w:style>
  <w:style w:type="numbering" w:customStyle="1" w:styleId="Style4">
    <w:name w:val="Style4"/>
    <w:uiPriority w:val="99"/>
    <w:rsid w:val="00CA5B20"/>
    <w:pPr>
      <w:numPr>
        <w:numId w:val="19"/>
      </w:numPr>
    </w:pPr>
  </w:style>
  <w:style w:type="character" w:customStyle="1" w:styleId="Heading5Char">
    <w:name w:val="Heading 5 Char"/>
    <w:link w:val="Heading5"/>
    <w:semiHidden/>
    <w:rsid w:val="00E27DB7"/>
    <w:rPr>
      <w:rFonts w:ascii="Calibri" w:eastAsia="Times New Roman" w:hAnsi="Calibri" w:cs="Times New Roman"/>
      <w:b/>
      <w:bCs/>
      <w:i/>
      <w:iCs/>
      <w:sz w:val="26"/>
      <w:szCs w:val="26"/>
    </w:rPr>
  </w:style>
  <w:style w:type="paragraph" w:customStyle="1" w:styleId="Billname">
    <w:name w:val="Billname"/>
    <w:basedOn w:val="Normal"/>
    <w:rsid w:val="00E27DB7"/>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E27DB7"/>
    <w:pPr>
      <w:pBdr>
        <w:bottom w:val="single" w:sz="12" w:space="1" w:color="auto"/>
      </w:pBdr>
      <w:jc w:val="both"/>
    </w:pPr>
    <w:rPr>
      <w:szCs w:val="20"/>
      <w:lang w:eastAsia="en-US"/>
    </w:rPr>
  </w:style>
  <w:style w:type="paragraph" w:customStyle="1" w:styleId="madeunder">
    <w:name w:val="made under"/>
    <w:basedOn w:val="Normal"/>
    <w:rsid w:val="00E27DB7"/>
    <w:pPr>
      <w:spacing w:before="180" w:after="60"/>
      <w:jc w:val="both"/>
    </w:pPr>
    <w:rPr>
      <w:szCs w:val="20"/>
      <w:lang w:eastAsia="en-US"/>
    </w:rPr>
  </w:style>
  <w:style w:type="paragraph" w:customStyle="1" w:styleId="CoverActName">
    <w:name w:val="CoverActName"/>
    <w:basedOn w:val="Normal"/>
    <w:rsid w:val="00E27DB7"/>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442">
      <w:bodyDiv w:val="1"/>
      <w:marLeft w:val="0"/>
      <w:marRight w:val="0"/>
      <w:marTop w:val="0"/>
      <w:marBottom w:val="0"/>
      <w:divBdr>
        <w:top w:val="none" w:sz="0" w:space="0" w:color="auto"/>
        <w:left w:val="none" w:sz="0" w:space="0" w:color="auto"/>
        <w:bottom w:val="none" w:sz="0" w:space="0" w:color="auto"/>
        <w:right w:val="none" w:sz="0" w:space="0" w:color="auto"/>
      </w:divBdr>
    </w:div>
    <w:div w:id="45880685">
      <w:bodyDiv w:val="1"/>
      <w:marLeft w:val="0"/>
      <w:marRight w:val="0"/>
      <w:marTop w:val="0"/>
      <w:marBottom w:val="0"/>
      <w:divBdr>
        <w:top w:val="none" w:sz="0" w:space="0" w:color="auto"/>
        <w:left w:val="none" w:sz="0" w:space="0" w:color="auto"/>
        <w:bottom w:val="none" w:sz="0" w:space="0" w:color="auto"/>
        <w:right w:val="none" w:sz="0" w:space="0" w:color="auto"/>
      </w:divBdr>
    </w:div>
    <w:div w:id="130442071">
      <w:bodyDiv w:val="1"/>
      <w:marLeft w:val="0"/>
      <w:marRight w:val="0"/>
      <w:marTop w:val="0"/>
      <w:marBottom w:val="0"/>
      <w:divBdr>
        <w:top w:val="none" w:sz="0" w:space="0" w:color="auto"/>
        <w:left w:val="none" w:sz="0" w:space="0" w:color="auto"/>
        <w:bottom w:val="none" w:sz="0" w:space="0" w:color="auto"/>
        <w:right w:val="none" w:sz="0" w:space="0" w:color="auto"/>
      </w:divBdr>
    </w:div>
    <w:div w:id="207104740">
      <w:bodyDiv w:val="1"/>
      <w:marLeft w:val="0"/>
      <w:marRight w:val="0"/>
      <w:marTop w:val="0"/>
      <w:marBottom w:val="0"/>
      <w:divBdr>
        <w:top w:val="none" w:sz="0" w:space="0" w:color="auto"/>
        <w:left w:val="none" w:sz="0" w:space="0" w:color="auto"/>
        <w:bottom w:val="none" w:sz="0" w:space="0" w:color="auto"/>
        <w:right w:val="none" w:sz="0" w:space="0" w:color="auto"/>
      </w:divBdr>
    </w:div>
    <w:div w:id="255942772">
      <w:bodyDiv w:val="1"/>
      <w:marLeft w:val="0"/>
      <w:marRight w:val="0"/>
      <w:marTop w:val="0"/>
      <w:marBottom w:val="0"/>
      <w:divBdr>
        <w:top w:val="none" w:sz="0" w:space="0" w:color="auto"/>
        <w:left w:val="none" w:sz="0" w:space="0" w:color="auto"/>
        <w:bottom w:val="none" w:sz="0" w:space="0" w:color="auto"/>
        <w:right w:val="none" w:sz="0" w:space="0" w:color="auto"/>
      </w:divBdr>
    </w:div>
    <w:div w:id="423696098">
      <w:bodyDiv w:val="1"/>
      <w:marLeft w:val="0"/>
      <w:marRight w:val="0"/>
      <w:marTop w:val="0"/>
      <w:marBottom w:val="0"/>
      <w:divBdr>
        <w:top w:val="none" w:sz="0" w:space="0" w:color="auto"/>
        <w:left w:val="none" w:sz="0" w:space="0" w:color="auto"/>
        <w:bottom w:val="none" w:sz="0" w:space="0" w:color="auto"/>
        <w:right w:val="none" w:sz="0" w:space="0" w:color="auto"/>
      </w:divBdr>
    </w:div>
    <w:div w:id="439373909">
      <w:bodyDiv w:val="1"/>
      <w:marLeft w:val="0"/>
      <w:marRight w:val="0"/>
      <w:marTop w:val="0"/>
      <w:marBottom w:val="0"/>
      <w:divBdr>
        <w:top w:val="none" w:sz="0" w:space="0" w:color="auto"/>
        <w:left w:val="none" w:sz="0" w:space="0" w:color="auto"/>
        <w:bottom w:val="none" w:sz="0" w:space="0" w:color="auto"/>
        <w:right w:val="none" w:sz="0" w:space="0" w:color="auto"/>
      </w:divBdr>
    </w:div>
    <w:div w:id="478419681">
      <w:bodyDiv w:val="1"/>
      <w:marLeft w:val="0"/>
      <w:marRight w:val="0"/>
      <w:marTop w:val="0"/>
      <w:marBottom w:val="0"/>
      <w:divBdr>
        <w:top w:val="none" w:sz="0" w:space="0" w:color="auto"/>
        <w:left w:val="none" w:sz="0" w:space="0" w:color="auto"/>
        <w:bottom w:val="none" w:sz="0" w:space="0" w:color="auto"/>
        <w:right w:val="none" w:sz="0" w:space="0" w:color="auto"/>
      </w:divBdr>
      <w:divsChild>
        <w:div w:id="36204503">
          <w:marLeft w:val="0"/>
          <w:marRight w:val="0"/>
          <w:marTop w:val="0"/>
          <w:marBottom w:val="0"/>
          <w:divBdr>
            <w:top w:val="none" w:sz="0" w:space="0" w:color="auto"/>
            <w:left w:val="none" w:sz="0" w:space="0" w:color="auto"/>
            <w:bottom w:val="none" w:sz="0" w:space="0" w:color="auto"/>
            <w:right w:val="none" w:sz="0" w:space="0" w:color="auto"/>
          </w:divBdr>
        </w:div>
        <w:div w:id="142894816">
          <w:marLeft w:val="0"/>
          <w:marRight w:val="0"/>
          <w:marTop w:val="0"/>
          <w:marBottom w:val="0"/>
          <w:divBdr>
            <w:top w:val="none" w:sz="0" w:space="0" w:color="auto"/>
            <w:left w:val="none" w:sz="0" w:space="0" w:color="auto"/>
            <w:bottom w:val="none" w:sz="0" w:space="0" w:color="auto"/>
            <w:right w:val="none" w:sz="0" w:space="0" w:color="auto"/>
          </w:divBdr>
        </w:div>
        <w:div w:id="164440688">
          <w:marLeft w:val="0"/>
          <w:marRight w:val="0"/>
          <w:marTop w:val="0"/>
          <w:marBottom w:val="0"/>
          <w:divBdr>
            <w:top w:val="none" w:sz="0" w:space="0" w:color="auto"/>
            <w:left w:val="none" w:sz="0" w:space="0" w:color="auto"/>
            <w:bottom w:val="none" w:sz="0" w:space="0" w:color="auto"/>
            <w:right w:val="none" w:sz="0" w:space="0" w:color="auto"/>
          </w:divBdr>
        </w:div>
        <w:div w:id="257491677">
          <w:marLeft w:val="0"/>
          <w:marRight w:val="0"/>
          <w:marTop w:val="0"/>
          <w:marBottom w:val="0"/>
          <w:divBdr>
            <w:top w:val="none" w:sz="0" w:space="0" w:color="auto"/>
            <w:left w:val="none" w:sz="0" w:space="0" w:color="auto"/>
            <w:bottom w:val="none" w:sz="0" w:space="0" w:color="auto"/>
            <w:right w:val="none" w:sz="0" w:space="0" w:color="auto"/>
          </w:divBdr>
        </w:div>
        <w:div w:id="263877452">
          <w:marLeft w:val="0"/>
          <w:marRight w:val="0"/>
          <w:marTop w:val="0"/>
          <w:marBottom w:val="0"/>
          <w:divBdr>
            <w:top w:val="none" w:sz="0" w:space="0" w:color="auto"/>
            <w:left w:val="none" w:sz="0" w:space="0" w:color="auto"/>
            <w:bottom w:val="none" w:sz="0" w:space="0" w:color="auto"/>
            <w:right w:val="none" w:sz="0" w:space="0" w:color="auto"/>
          </w:divBdr>
        </w:div>
        <w:div w:id="347220977">
          <w:marLeft w:val="0"/>
          <w:marRight w:val="0"/>
          <w:marTop w:val="0"/>
          <w:marBottom w:val="0"/>
          <w:divBdr>
            <w:top w:val="none" w:sz="0" w:space="0" w:color="auto"/>
            <w:left w:val="none" w:sz="0" w:space="0" w:color="auto"/>
            <w:bottom w:val="none" w:sz="0" w:space="0" w:color="auto"/>
            <w:right w:val="none" w:sz="0" w:space="0" w:color="auto"/>
          </w:divBdr>
        </w:div>
        <w:div w:id="661543049">
          <w:marLeft w:val="0"/>
          <w:marRight w:val="0"/>
          <w:marTop w:val="0"/>
          <w:marBottom w:val="0"/>
          <w:divBdr>
            <w:top w:val="none" w:sz="0" w:space="0" w:color="auto"/>
            <w:left w:val="none" w:sz="0" w:space="0" w:color="auto"/>
            <w:bottom w:val="none" w:sz="0" w:space="0" w:color="auto"/>
            <w:right w:val="none" w:sz="0" w:space="0" w:color="auto"/>
          </w:divBdr>
        </w:div>
        <w:div w:id="748771331">
          <w:marLeft w:val="0"/>
          <w:marRight w:val="0"/>
          <w:marTop w:val="0"/>
          <w:marBottom w:val="0"/>
          <w:divBdr>
            <w:top w:val="none" w:sz="0" w:space="0" w:color="auto"/>
            <w:left w:val="none" w:sz="0" w:space="0" w:color="auto"/>
            <w:bottom w:val="none" w:sz="0" w:space="0" w:color="auto"/>
            <w:right w:val="none" w:sz="0" w:space="0" w:color="auto"/>
          </w:divBdr>
        </w:div>
        <w:div w:id="865944981">
          <w:marLeft w:val="0"/>
          <w:marRight w:val="0"/>
          <w:marTop w:val="0"/>
          <w:marBottom w:val="0"/>
          <w:divBdr>
            <w:top w:val="none" w:sz="0" w:space="0" w:color="auto"/>
            <w:left w:val="none" w:sz="0" w:space="0" w:color="auto"/>
            <w:bottom w:val="none" w:sz="0" w:space="0" w:color="auto"/>
            <w:right w:val="none" w:sz="0" w:space="0" w:color="auto"/>
          </w:divBdr>
        </w:div>
        <w:div w:id="1017728388">
          <w:marLeft w:val="0"/>
          <w:marRight w:val="0"/>
          <w:marTop w:val="0"/>
          <w:marBottom w:val="0"/>
          <w:divBdr>
            <w:top w:val="none" w:sz="0" w:space="0" w:color="auto"/>
            <w:left w:val="none" w:sz="0" w:space="0" w:color="auto"/>
            <w:bottom w:val="none" w:sz="0" w:space="0" w:color="auto"/>
            <w:right w:val="none" w:sz="0" w:space="0" w:color="auto"/>
          </w:divBdr>
        </w:div>
        <w:div w:id="1264073973">
          <w:marLeft w:val="0"/>
          <w:marRight w:val="0"/>
          <w:marTop w:val="0"/>
          <w:marBottom w:val="0"/>
          <w:divBdr>
            <w:top w:val="none" w:sz="0" w:space="0" w:color="auto"/>
            <w:left w:val="none" w:sz="0" w:space="0" w:color="auto"/>
            <w:bottom w:val="none" w:sz="0" w:space="0" w:color="auto"/>
            <w:right w:val="none" w:sz="0" w:space="0" w:color="auto"/>
          </w:divBdr>
        </w:div>
        <w:div w:id="1268393752">
          <w:marLeft w:val="0"/>
          <w:marRight w:val="0"/>
          <w:marTop w:val="0"/>
          <w:marBottom w:val="0"/>
          <w:divBdr>
            <w:top w:val="none" w:sz="0" w:space="0" w:color="auto"/>
            <w:left w:val="none" w:sz="0" w:space="0" w:color="auto"/>
            <w:bottom w:val="none" w:sz="0" w:space="0" w:color="auto"/>
            <w:right w:val="none" w:sz="0" w:space="0" w:color="auto"/>
          </w:divBdr>
        </w:div>
        <w:div w:id="1327780476">
          <w:marLeft w:val="0"/>
          <w:marRight w:val="0"/>
          <w:marTop w:val="0"/>
          <w:marBottom w:val="0"/>
          <w:divBdr>
            <w:top w:val="none" w:sz="0" w:space="0" w:color="auto"/>
            <w:left w:val="none" w:sz="0" w:space="0" w:color="auto"/>
            <w:bottom w:val="none" w:sz="0" w:space="0" w:color="auto"/>
            <w:right w:val="none" w:sz="0" w:space="0" w:color="auto"/>
          </w:divBdr>
        </w:div>
        <w:div w:id="1355618939">
          <w:marLeft w:val="0"/>
          <w:marRight w:val="0"/>
          <w:marTop w:val="0"/>
          <w:marBottom w:val="0"/>
          <w:divBdr>
            <w:top w:val="none" w:sz="0" w:space="0" w:color="auto"/>
            <w:left w:val="none" w:sz="0" w:space="0" w:color="auto"/>
            <w:bottom w:val="none" w:sz="0" w:space="0" w:color="auto"/>
            <w:right w:val="none" w:sz="0" w:space="0" w:color="auto"/>
          </w:divBdr>
        </w:div>
        <w:div w:id="1448114019">
          <w:marLeft w:val="0"/>
          <w:marRight w:val="0"/>
          <w:marTop w:val="0"/>
          <w:marBottom w:val="0"/>
          <w:divBdr>
            <w:top w:val="none" w:sz="0" w:space="0" w:color="auto"/>
            <w:left w:val="none" w:sz="0" w:space="0" w:color="auto"/>
            <w:bottom w:val="none" w:sz="0" w:space="0" w:color="auto"/>
            <w:right w:val="none" w:sz="0" w:space="0" w:color="auto"/>
          </w:divBdr>
        </w:div>
        <w:div w:id="1793940997">
          <w:marLeft w:val="0"/>
          <w:marRight w:val="0"/>
          <w:marTop w:val="0"/>
          <w:marBottom w:val="0"/>
          <w:divBdr>
            <w:top w:val="none" w:sz="0" w:space="0" w:color="auto"/>
            <w:left w:val="none" w:sz="0" w:space="0" w:color="auto"/>
            <w:bottom w:val="none" w:sz="0" w:space="0" w:color="auto"/>
            <w:right w:val="none" w:sz="0" w:space="0" w:color="auto"/>
          </w:divBdr>
        </w:div>
        <w:div w:id="1823429280">
          <w:marLeft w:val="0"/>
          <w:marRight w:val="0"/>
          <w:marTop w:val="0"/>
          <w:marBottom w:val="0"/>
          <w:divBdr>
            <w:top w:val="none" w:sz="0" w:space="0" w:color="auto"/>
            <w:left w:val="none" w:sz="0" w:space="0" w:color="auto"/>
            <w:bottom w:val="none" w:sz="0" w:space="0" w:color="auto"/>
            <w:right w:val="none" w:sz="0" w:space="0" w:color="auto"/>
          </w:divBdr>
        </w:div>
        <w:div w:id="1846744255">
          <w:marLeft w:val="0"/>
          <w:marRight w:val="0"/>
          <w:marTop w:val="0"/>
          <w:marBottom w:val="0"/>
          <w:divBdr>
            <w:top w:val="none" w:sz="0" w:space="0" w:color="auto"/>
            <w:left w:val="none" w:sz="0" w:space="0" w:color="auto"/>
            <w:bottom w:val="none" w:sz="0" w:space="0" w:color="auto"/>
            <w:right w:val="none" w:sz="0" w:space="0" w:color="auto"/>
          </w:divBdr>
        </w:div>
        <w:div w:id="2100831343">
          <w:marLeft w:val="0"/>
          <w:marRight w:val="0"/>
          <w:marTop w:val="0"/>
          <w:marBottom w:val="0"/>
          <w:divBdr>
            <w:top w:val="none" w:sz="0" w:space="0" w:color="auto"/>
            <w:left w:val="none" w:sz="0" w:space="0" w:color="auto"/>
            <w:bottom w:val="none" w:sz="0" w:space="0" w:color="auto"/>
            <w:right w:val="none" w:sz="0" w:space="0" w:color="auto"/>
          </w:divBdr>
        </w:div>
        <w:div w:id="2104690699">
          <w:marLeft w:val="0"/>
          <w:marRight w:val="0"/>
          <w:marTop w:val="0"/>
          <w:marBottom w:val="0"/>
          <w:divBdr>
            <w:top w:val="none" w:sz="0" w:space="0" w:color="auto"/>
            <w:left w:val="none" w:sz="0" w:space="0" w:color="auto"/>
            <w:bottom w:val="none" w:sz="0" w:space="0" w:color="auto"/>
            <w:right w:val="none" w:sz="0" w:space="0" w:color="auto"/>
          </w:divBdr>
        </w:div>
      </w:divsChild>
    </w:div>
    <w:div w:id="490144947">
      <w:bodyDiv w:val="1"/>
      <w:marLeft w:val="0"/>
      <w:marRight w:val="0"/>
      <w:marTop w:val="0"/>
      <w:marBottom w:val="0"/>
      <w:divBdr>
        <w:top w:val="none" w:sz="0" w:space="0" w:color="auto"/>
        <w:left w:val="none" w:sz="0" w:space="0" w:color="auto"/>
        <w:bottom w:val="none" w:sz="0" w:space="0" w:color="auto"/>
        <w:right w:val="none" w:sz="0" w:space="0" w:color="auto"/>
      </w:divBdr>
    </w:div>
    <w:div w:id="518593197">
      <w:bodyDiv w:val="1"/>
      <w:marLeft w:val="0"/>
      <w:marRight w:val="0"/>
      <w:marTop w:val="0"/>
      <w:marBottom w:val="0"/>
      <w:divBdr>
        <w:top w:val="none" w:sz="0" w:space="0" w:color="auto"/>
        <w:left w:val="none" w:sz="0" w:space="0" w:color="auto"/>
        <w:bottom w:val="none" w:sz="0" w:space="0" w:color="auto"/>
        <w:right w:val="none" w:sz="0" w:space="0" w:color="auto"/>
      </w:divBdr>
    </w:div>
    <w:div w:id="560101219">
      <w:bodyDiv w:val="1"/>
      <w:marLeft w:val="0"/>
      <w:marRight w:val="0"/>
      <w:marTop w:val="0"/>
      <w:marBottom w:val="0"/>
      <w:divBdr>
        <w:top w:val="none" w:sz="0" w:space="0" w:color="auto"/>
        <w:left w:val="none" w:sz="0" w:space="0" w:color="auto"/>
        <w:bottom w:val="none" w:sz="0" w:space="0" w:color="auto"/>
        <w:right w:val="none" w:sz="0" w:space="0" w:color="auto"/>
      </w:divBdr>
    </w:div>
    <w:div w:id="566651084">
      <w:bodyDiv w:val="1"/>
      <w:marLeft w:val="0"/>
      <w:marRight w:val="0"/>
      <w:marTop w:val="0"/>
      <w:marBottom w:val="0"/>
      <w:divBdr>
        <w:top w:val="none" w:sz="0" w:space="0" w:color="auto"/>
        <w:left w:val="none" w:sz="0" w:space="0" w:color="auto"/>
        <w:bottom w:val="none" w:sz="0" w:space="0" w:color="auto"/>
        <w:right w:val="none" w:sz="0" w:space="0" w:color="auto"/>
      </w:divBdr>
    </w:div>
    <w:div w:id="637958727">
      <w:bodyDiv w:val="1"/>
      <w:marLeft w:val="0"/>
      <w:marRight w:val="0"/>
      <w:marTop w:val="0"/>
      <w:marBottom w:val="0"/>
      <w:divBdr>
        <w:top w:val="none" w:sz="0" w:space="0" w:color="auto"/>
        <w:left w:val="none" w:sz="0" w:space="0" w:color="auto"/>
        <w:bottom w:val="none" w:sz="0" w:space="0" w:color="auto"/>
        <w:right w:val="none" w:sz="0" w:space="0" w:color="auto"/>
      </w:divBdr>
    </w:div>
    <w:div w:id="638263235">
      <w:bodyDiv w:val="1"/>
      <w:marLeft w:val="0"/>
      <w:marRight w:val="0"/>
      <w:marTop w:val="0"/>
      <w:marBottom w:val="0"/>
      <w:divBdr>
        <w:top w:val="none" w:sz="0" w:space="0" w:color="auto"/>
        <w:left w:val="none" w:sz="0" w:space="0" w:color="auto"/>
        <w:bottom w:val="none" w:sz="0" w:space="0" w:color="auto"/>
        <w:right w:val="none" w:sz="0" w:space="0" w:color="auto"/>
      </w:divBdr>
    </w:div>
    <w:div w:id="656568467">
      <w:bodyDiv w:val="1"/>
      <w:marLeft w:val="0"/>
      <w:marRight w:val="0"/>
      <w:marTop w:val="0"/>
      <w:marBottom w:val="0"/>
      <w:divBdr>
        <w:top w:val="none" w:sz="0" w:space="0" w:color="auto"/>
        <w:left w:val="none" w:sz="0" w:space="0" w:color="auto"/>
        <w:bottom w:val="none" w:sz="0" w:space="0" w:color="auto"/>
        <w:right w:val="none" w:sz="0" w:space="0" w:color="auto"/>
      </w:divBdr>
    </w:div>
    <w:div w:id="677539130">
      <w:bodyDiv w:val="1"/>
      <w:marLeft w:val="0"/>
      <w:marRight w:val="0"/>
      <w:marTop w:val="0"/>
      <w:marBottom w:val="0"/>
      <w:divBdr>
        <w:top w:val="none" w:sz="0" w:space="0" w:color="auto"/>
        <w:left w:val="none" w:sz="0" w:space="0" w:color="auto"/>
        <w:bottom w:val="none" w:sz="0" w:space="0" w:color="auto"/>
        <w:right w:val="none" w:sz="0" w:space="0" w:color="auto"/>
      </w:divBdr>
    </w:div>
    <w:div w:id="693992727">
      <w:bodyDiv w:val="1"/>
      <w:marLeft w:val="0"/>
      <w:marRight w:val="0"/>
      <w:marTop w:val="0"/>
      <w:marBottom w:val="0"/>
      <w:divBdr>
        <w:top w:val="none" w:sz="0" w:space="0" w:color="auto"/>
        <w:left w:val="none" w:sz="0" w:space="0" w:color="auto"/>
        <w:bottom w:val="none" w:sz="0" w:space="0" w:color="auto"/>
        <w:right w:val="none" w:sz="0" w:space="0" w:color="auto"/>
      </w:divBdr>
    </w:div>
    <w:div w:id="721563770">
      <w:bodyDiv w:val="1"/>
      <w:marLeft w:val="0"/>
      <w:marRight w:val="0"/>
      <w:marTop w:val="0"/>
      <w:marBottom w:val="0"/>
      <w:divBdr>
        <w:top w:val="none" w:sz="0" w:space="0" w:color="auto"/>
        <w:left w:val="none" w:sz="0" w:space="0" w:color="auto"/>
        <w:bottom w:val="none" w:sz="0" w:space="0" w:color="auto"/>
        <w:right w:val="none" w:sz="0" w:space="0" w:color="auto"/>
      </w:divBdr>
    </w:div>
    <w:div w:id="818771917">
      <w:bodyDiv w:val="1"/>
      <w:marLeft w:val="0"/>
      <w:marRight w:val="0"/>
      <w:marTop w:val="0"/>
      <w:marBottom w:val="0"/>
      <w:divBdr>
        <w:top w:val="none" w:sz="0" w:space="0" w:color="auto"/>
        <w:left w:val="none" w:sz="0" w:space="0" w:color="auto"/>
        <w:bottom w:val="none" w:sz="0" w:space="0" w:color="auto"/>
        <w:right w:val="none" w:sz="0" w:space="0" w:color="auto"/>
      </w:divBdr>
    </w:div>
    <w:div w:id="849609435">
      <w:bodyDiv w:val="1"/>
      <w:marLeft w:val="0"/>
      <w:marRight w:val="0"/>
      <w:marTop w:val="0"/>
      <w:marBottom w:val="0"/>
      <w:divBdr>
        <w:top w:val="none" w:sz="0" w:space="0" w:color="auto"/>
        <w:left w:val="none" w:sz="0" w:space="0" w:color="auto"/>
        <w:bottom w:val="none" w:sz="0" w:space="0" w:color="auto"/>
        <w:right w:val="none" w:sz="0" w:space="0" w:color="auto"/>
      </w:divBdr>
    </w:div>
    <w:div w:id="853153257">
      <w:bodyDiv w:val="1"/>
      <w:marLeft w:val="0"/>
      <w:marRight w:val="0"/>
      <w:marTop w:val="0"/>
      <w:marBottom w:val="0"/>
      <w:divBdr>
        <w:top w:val="none" w:sz="0" w:space="0" w:color="auto"/>
        <w:left w:val="none" w:sz="0" w:space="0" w:color="auto"/>
        <w:bottom w:val="none" w:sz="0" w:space="0" w:color="auto"/>
        <w:right w:val="none" w:sz="0" w:space="0" w:color="auto"/>
      </w:divBdr>
      <w:divsChild>
        <w:div w:id="47270554">
          <w:marLeft w:val="0"/>
          <w:marRight w:val="0"/>
          <w:marTop w:val="15"/>
          <w:marBottom w:val="0"/>
          <w:divBdr>
            <w:top w:val="none" w:sz="0" w:space="0" w:color="auto"/>
            <w:left w:val="none" w:sz="0" w:space="0" w:color="auto"/>
            <w:bottom w:val="none" w:sz="0" w:space="0" w:color="auto"/>
            <w:right w:val="none" w:sz="0" w:space="0" w:color="auto"/>
          </w:divBdr>
          <w:divsChild>
            <w:div w:id="1228489152">
              <w:marLeft w:val="0"/>
              <w:marRight w:val="0"/>
              <w:marTop w:val="0"/>
              <w:marBottom w:val="0"/>
              <w:divBdr>
                <w:top w:val="none" w:sz="0" w:space="0" w:color="auto"/>
                <w:left w:val="none" w:sz="0" w:space="0" w:color="auto"/>
                <w:bottom w:val="none" w:sz="0" w:space="0" w:color="auto"/>
                <w:right w:val="none" w:sz="0" w:space="0" w:color="auto"/>
              </w:divBdr>
              <w:divsChild>
                <w:div w:id="321589431">
                  <w:marLeft w:val="0"/>
                  <w:marRight w:val="0"/>
                  <w:marTop w:val="0"/>
                  <w:marBottom w:val="0"/>
                  <w:divBdr>
                    <w:top w:val="none" w:sz="0" w:space="0" w:color="auto"/>
                    <w:left w:val="none" w:sz="0" w:space="0" w:color="auto"/>
                    <w:bottom w:val="none" w:sz="0" w:space="0" w:color="auto"/>
                    <w:right w:val="none" w:sz="0" w:space="0" w:color="auto"/>
                  </w:divBdr>
                </w:div>
                <w:div w:id="719939940">
                  <w:marLeft w:val="0"/>
                  <w:marRight w:val="0"/>
                  <w:marTop w:val="0"/>
                  <w:marBottom w:val="0"/>
                  <w:divBdr>
                    <w:top w:val="none" w:sz="0" w:space="0" w:color="auto"/>
                    <w:left w:val="none" w:sz="0" w:space="0" w:color="auto"/>
                    <w:bottom w:val="none" w:sz="0" w:space="0" w:color="auto"/>
                    <w:right w:val="none" w:sz="0" w:space="0" w:color="auto"/>
                  </w:divBdr>
                </w:div>
                <w:div w:id="1086415591">
                  <w:marLeft w:val="0"/>
                  <w:marRight w:val="0"/>
                  <w:marTop w:val="0"/>
                  <w:marBottom w:val="0"/>
                  <w:divBdr>
                    <w:top w:val="none" w:sz="0" w:space="0" w:color="auto"/>
                    <w:left w:val="none" w:sz="0" w:space="0" w:color="auto"/>
                    <w:bottom w:val="none" w:sz="0" w:space="0" w:color="auto"/>
                    <w:right w:val="none" w:sz="0" w:space="0" w:color="auto"/>
                  </w:divBdr>
                </w:div>
                <w:div w:id="1258827643">
                  <w:marLeft w:val="0"/>
                  <w:marRight w:val="0"/>
                  <w:marTop w:val="0"/>
                  <w:marBottom w:val="0"/>
                  <w:divBdr>
                    <w:top w:val="none" w:sz="0" w:space="0" w:color="auto"/>
                    <w:left w:val="none" w:sz="0" w:space="0" w:color="auto"/>
                    <w:bottom w:val="none" w:sz="0" w:space="0" w:color="auto"/>
                    <w:right w:val="none" w:sz="0" w:space="0" w:color="auto"/>
                  </w:divBdr>
                </w:div>
                <w:div w:id="14152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5272">
      <w:bodyDiv w:val="1"/>
      <w:marLeft w:val="0"/>
      <w:marRight w:val="0"/>
      <w:marTop w:val="0"/>
      <w:marBottom w:val="0"/>
      <w:divBdr>
        <w:top w:val="none" w:sz="0" w:space="0" w:color="auto"/>
        <w:left w:val="none" w:sz="0" w:space="0" w:color="auto"/>
        <w:bottom w:val="none" w:sz="0" w:space="0" w:color="auto"/>
        <w:right w:val="none" w:sz="0" w:space="0" w:color="auto"/>
      </w:divBdr>
    </w:div>
    <w:div w:id="864829149">
      <w:bodyDiv w:val="1"/>
      <w:marLeft w:val="0"/>
      <w:marRight w:val="0"/>
      <w:marTop w:val="0"/>
      <w:marBottom w:val="0"/>
      <w:divBdr>
        <w:top w:val="none" w:sz="0" w:space="0" w:color="auto"/>
        <w:left w:val="none" w:sz="0" w:space="0" w:color="auto"/>
        <w:bottom w:val="none" w:sz="0" w:space="0" w:color="auto"/>
        <w:right w:val="none" w:sz="0" w:space="0" w:color="auto"/>
      </w:divBdr>
      <w:divsChild>
        <w:div w:id="471675579">
          <w:marLeft w:val="0"/>
          <w:marRight w:val="0"/>
          <w:marTop w:val="0"/>
          <w:marBottom w:val="0"/>
          <w:divBdr>
            <w:top w:val="none" w:sz="0" w:space="0" w:color="auto"/>
            <w:left w:val="none" w:sz="0" w:space="0" w:color="auto"/>
            <w:bottom w:val="none" w:sz="0" w:space="0" w:color="auto"/>
            <w:right w:val="none" w:sz="0" w:space="0" w:color="auto"/>
          </w:divBdr>
        </w:div>
        <w:div w:id="663582552">
          <w:marLeft w:val="0"/>
          <w:marRight w:val="0"/>
          <w:marTop w:val="0"/>
          <w:marBottom w:val="0"/>
          <w:divBdr>
            <w:top w:val="none" w:sz="0" w:space="0" w:color="auto"/>
            <w:left w:val="none" w:sz="0" w:space="0" w:color="auto"/>
            <w:bottom w:val="none" w:sz="0" w:space="0" w:color="auto"/>
            <w:right w:val="none" w:sz="0" w:space="0" w:color="auto"/>
          </w:divBdr>
        </w:div>
        <w:div w:id="755057152">
          <w:marLeft w:val="0"/>
          <w:marRight w:val="0"/>
          <w:marTop w:val="0"/>
          <w:marBottom w:val="0"/>
          <w:divBdr>
            <w:top w:val="none" w:sz="0" w:space="0" w:color="auto"/>
            <w:left w:val="none" w:sz="0" w:space="0" w:color="auto"/>
            <w:bottom w:val="none" w:sz="0" w:space="0" w:color="auto"/>
            <w:right w:val="none" w:sz="0" w:space="0" w:color="auto"/>
          </w:divBdr>
        </w:div>
        <w:div w:id="931204993">
          <w:marLeft w:val="0"/>
          <w:marRight w:val="0"/>
          <w:marTop w:val="0"/>
          <w:marBottom w:val="0"/>
          <w:divBdr>
            <w:top w:val="none" w:sz="0" w:space="0" w:color="auto"/>
            <w:left w:val="none" w:sz="0" w:space="0" w:color="auto"/>
            <w:bottom w:val="none" w:sz="0" w:space="0" w:color="auto"/>
            <w:right w:val="none" w:sz="0" w:space="0" w:color="auto"/>
          </w:divBdr>
        </w:div>
        <w:div w:id="1039746296">
          <w:marLeft w:val="0"/>
          <w:marRight w:val="0"/>
          <w:marTop w:val="0"/>
          <w:marBottom w:val="0"/>
          <w:divBdr>
            <w:top w:val="none" w:sz="0" w:space="0" w:color="auto"/>
            <w:left w:val="none" w:sz="0" w:space="0" w:color="auto"/>
            <w:bottom w:val="none" w:sz="0" w:space="0" w:color="auto"/>
            <w:right w:val="none" w:sz="0" w:space="0" w:color="auto"/>
          </w:divBdr>
        </w:div>
        <w:div w:id="1072118399">
          <w:marLeft w:val="0"/>
          <w:marRight w:val="0"/>
          <w:marTop w:val="0"/>
          <w:marBottom w:val="0"/>
          <w:divBdr>
            <w:top w:val="none" w:sz="0" w:space="0" w:color="auto"/>
            <w:left w:val="none" w:sz="0" w:space="0" w:color="auto"/>
            <w:bottom w:val="none" w:sz="0" w:space="0" w:color="auto"/>
            <w:right w:val="none" w:sz="0" w:space="0" w:color="auto"/>
          </w:divBdr>
        </w:div>
        <w:div w:id="1125470120">
          <w:marLeft w:val="0"/>
          <w:marRight w:val="0"/>
          <w:marTop w:val="0"/>
          <w:marBottom w:val="0"/>
          <w:divBdr>
            <w:top w:val="none" w:sz="0" w:space="0" w:color="auto"/>
            <w:left w:val="none" w:sz="0" w:space="0" w:color="auto"/>
            <w:bottom w:val="none" w:sz="0" w:space="0" w:color="auto"/>
            <w:right w:val="none" w:sz="0" w:space="0" w:color="auto"/>
          </w:divBdr>
        </w:div>
        <w:div w:id="1187136965">
          <w:marLeft w:val="0"/>
          <w:marRight w:val="0"/>
          <w:marTop w:val="0"/>
          <w:marBottom w:val="0"/>
          <w:divBdr>
            <w:top w:val="none" w:sz="0" w:space="0" w:color="auto"/>
            <w:left w:val="none" w:sz="0" w:space="0" w:color="auto"/>
            <w:bottom w:val="none" w:sz="0" w:space="0" w:color="auto"/>
            <w:right w:val="none" w:sz="0" w:space="0" w:color="auto"/>
          </w:divBdr>
        </w:div>
        <w:div w:id="1433207586">
          <w:marLeft w:val="0"/>
          <w:marRight w:val="0"/>
          <w:marTop w:val="0"/>
          <w:marBottom w:val="0"/>
          <w:divBdr>
            <w:top w:val="none" w:sz="0" w:space="0" w:color="auto"/>
            <w:left w:val="none" w:sz="0" w:space="0" w:color="auto"/>
            <w:bottom w:val="none" w:sz="0" w:space="0" w:color="auto"/>
            <w:right w:val="none" w:sz="0" w:space="0" w:color="auto"/>
          </w:divBdr>
        </w:div>
        <w:div w:id="1442071365">
          <w:marLeft w:val="0"/>
          <w:marRight w:val="0"/>
          <w:marTop w:val="0"/>
          <w:marBottom w:val="0"/>
          <w:divBdr>
            <w:top w:val="none" w:sz="0" w:space="0" w:color="auto"/>
            <w:left w:val="none" w:sz="0" w:space="0" w:color="auto"/>
            <w:bottom w:val="none" w:sz="0" w:space="0" w:color="auto"/>
            <w:right w:val="none" w:sz="0" w:space="0" w:color="auto"/>
          </w:divBdr>
        </w:div>
        <w:div w:id="1809393887">
          <w:marLeft w:val="0"/>
          <w:marRight w:val="0"/>
          <w:marTop w:val="0"/>
          <w:marBottom w:val="0"/>
          <w:divBdr>
            <w:top w:val="none" w:sz="0" w:space="0" w:color="auto"/>
            <w:left w:val="none" w:sz="0" w:space="0" w:color="auto"/>
            <w:bottom w:val="none" w:sz="0" w:space="0" w:color="auto"/>
            <w:right w:val="none" w:sz="0" w:space="0" w:color="auto"/>
          </w:divBdr>
        </w:div>
        <w:div w:id="1810629794">
          <w:marLeft w:val="0"/>
          <w:marRight w:val="0"/>
          <w:marTop w:val="0"/>
          <w:marBottom w:val="0"/>
          <w:divBdr>
            <w:top w:val="none" w:sz="0" w:space="0" w:color="auto"/>
            <w:left w:val="none" w:sz="0" w:space="0" w:color="auto"/>
            <w:bottom w:val="none" w:sz="0" w:space="0" w:color="auto"/>
            <w:right w:val="none" w:sz="0" w:space="0" w:color="auto"/>
          </w:divBdr>
        </w:div>
        <w:div w:id="1922063733">
          <w:marLeft w:val="0"/>
          <w:marRight w:val="0"/>
          <w:marTop w:val="0"/>
          <w:marBottom w:val="0"/>
          <w:divBdr>
            <w:top w:val="none" w:sz="0" w:space="0" w:color="auto"/>
            <w:left w:val="none" w:sz="0" w:space="0" w:color="auto"/>
            <w:bottom w:val="none" w:sz="0" w:space="0" w:color="auto"/>
            <w:right w:val="none" w:sz="0" w:space="0" w:color="auto"/>
          </w:divBdr>
        </w:div>
        <w:div w:id="2051487649">
          <w:marLeft w:val="0"/>
          <w:marRight w:val="0"/>
          <w:marTop w:val="0"/>
          <w:marBottom w:val="0"/>
          <w:divBdr>
            <w:top w:val="none" w:sz="0" w:space="0" w:color="auto"/>
            <w:left w:val="none" w:sz="0" w:space="0" w:color="auto"/>
            <w:bottom w:val="none" w:sz="0" w:space="0" w:color="auto"/>
            <w:right w:val="none" w:sz="0" w:space="0" w:color="auto"/>
          </w:divBdr>
        </w:div>
        <w:div w:id="2070304962">
          <w:marLeft w:val="0"/>
          <w:marRight w:val="0"/>
          <w:marTop w:val="0"/>
          <w:marBottom w:val="0"/>
          <w:divBdr>
            <w:top w:val="none" w:sz="0" w:space="0" w:color="auto"/>
            <w:left w:val="none" w:sz="0" w:space="0" w:color="auto"/>
            <w:bottom w:val="none" w:sz="0" w:space="0" w:color="auto"/>
            <w:right w:val="none" w:sz="0" w:space="0" w:color="auto"/>
          </w:divBdr>
        </w:div>
        <w:div w:id="2144541747">
          <w:marLeft w:val="0"/>
          <w:marRight w:val="0"/>
          <w:marTop w:val="0"/>
          <w:marBottom w:val="0"/>
          <w:divBdr>
            <w:top w:val="none" w:sz="0" w:space="0" w:color="auto"/>
            <w:left w:val="none" w:sz="0" w:space="0" w:color="auto"/>
            <w:bottom w:val="none" w:sz="0" w:space="0" w:color="auto"/>
            <w:right w:val="none" w:sz="0" w:space="0" w:color="auto"/>
          </w:divBdr>
        </w:div>
        <w:div w:id="2144808426">
          <w:marLeft w:val="0"/>
          <w:marRight w:val="0"/>
          <w:marTop w:val="0"/>
          <w:marBottom w:val="0"/>
          <w:divBdr>
            <w:top w:val="none" w:sz="0" w:space="0" w:color="auto"/>
            <w:left w:val="none" w:sz="0" w:space="0" w:color="auto"/>
            <w:bottom w:val="none" w:sz="0" w:space="0" w:color="auto"/>
            <w:right w:val="none" w:sz="0" w:space="0" w:color="auto"/>
          </w:divBdr>
        </w:div>
      </w:divsChild>
    </w:div>
    <w:div w:id="906964501">
      <w:bodyDiv w:val="1"/>
      <w:marLeft w:val="0"/>
      <w:marRight w:val="0"/>
      <w:marTop w:val="0"/>
      <w:marBottom w:val="0"/>
      <w:divBdr>
        <w:top w:val="none" w:sz="0" w:space="0" w:color="auto"/>
        <w:left w:val="none" w:sz="0" w:space="0" w:color="auto"/>
        <w:bottom w:val="none" w:sz="0" w:space="0" w:color="auto"/>
        <w:right w:val="none" w:sz="0" w:space="0" w:color="auto"/>
      </w:divBdr>
    </w:div>
    <w:div w:id="937834596">
      <w:bodyDiv w:val="1"/>
      <w:marLeft w:val="0"/>
      <w:marRight w:val="0"/>
      <w:marTop w:val="0"/>
      <w:marBottom w:val="0"/>
      <w:divBdr>
        <w:top w:val="none" w:sz="0" w:space="0" w:color="auto"/>
        <w:left w:val="none" w:sz="0" w:space="0" w:color="auto"/>
        <w:bottom w:val="none" w:sz="0" w:space="0" w:color="auto"/>
        <w:right w:val="none" w:sz="0" w:space="0" w:color="auto"/>
      </w:divBdr>
    </w:div>
    <w:div w:id="1042364389">
      <w:bodyDiv w:val="1"/>
      <w:marLeft w:val="0"/>
      <w:marRight w:val="0"/>
      <w:marTop w:val="0"/>
      <w:marBottom w:val="0"/>
      <w:divBdr>
        <w:top w:val="none" w:sz="0" w:space="0" w:color="auto"/>
        <w:left w:val="none" w:sz="0" w:space="0" w:color="auto"/>
        <w:bottom w:val="none" w:sz="0" w:space="0" w:color="auto"/>
        <w:right w:val="none" w:sz="0" w:space="0" w:color="auto"/>
      </w:divBdr>
    </w:div>
    <w:div w:id="1314218057">
      <w:bodyDiv w:val="1"/>
      <w:marLeft w:val="0"/>
      <w:marRight w:val="0"/>
      <w:marTop w:val="0"/>
      <w:marBottom w:val="0"/>
      <w:divBdr>
        <w:top w:val="none" w:sz="0" w:space="0" w:color="auto"/>
        <w:left w:val="none" w:sz="0" w:space="0" w:color="auto"/>
        <w:bottom w:val="none" w:sz="0" w:space="0" w:color="auto"/>
        <w:right w:val="none" w:sz="0" w:space="0" w:color="auto"/>
      </w:divBdr>
    </w:div>
    <w:div w:id="1358658222">
      <w:bodyDiv w:val="1"/>
      <w:marLeft w:val="0"/>
      <w:marRight w:val="0"/>
      <w:marTop w:val="0"/>
      <w:marBottom w:val="0"/>
      <w:divBdr>
        <w:top w:val="none" w:sz="0" w:space="0" w:color="auto"/>
        <w:left w:val="none" w:sz="0" w:space="0" w:color="auto"/>
        <w:bottom w:val="none" w:sz="0" w:space="0" w:color="auto"/>
        <w:right w:val="none" w:sz="0" w:space="0" w:color="auto"/>
      </w:divBdr>
    </w:div>
    <w:div w:id="1404638527">
      <w:bodyDiv w:val="1"/>
      <w:marLeft w:val="0"/>
      <w:marRight w:val="0"/>
      <w:marTop w:val="0"/>
      <w:marBottom w:val="0"/>
      <w:divBdr>
        <w:top w:val="none" w:sz="0" w:space="0" w:color="auto"/>
        <w:left w:val="none" w:sz="0" w:space="0" w:color="auto"/>
        <w:bottom w:val="none" w:sz="0" w:space="0" w:color="auto"/>
        <w:right w:val="none" w:sz="0" w:space="0" w:color="auto"/>
      </w:divBdr>
    </w:div>
    <w:div w:id="1412776643">
      <w:bodyDiv w:val="1"/>
      <w:marLeft w:val="0"/>
      <w:marRight w:val="0"/>
      <w:marTop w:val="0"/>
      <w:marBottom w:val="0"/>
      <w:divBdr>
        <w:top w:val="none" w:sz="0" w:space="0" w:color="auto"/>
        <w:left w:val="none" w:sz="0" w:space="0" w:color="auto"/>
        <w:bottom w:val="none" w:sz="0" w:space="0" w:color="auto"/>
        <w:right w:val="none" w:sz="0" w:space="0" w:color="auto"/>
      </w:divBdr>
    </w:div>
    <w:div w:id="1508056748">
      <w:bodyDiv w:val="1"/>
      <w:marLeft w:val="0"/>
      <w:marRight w:val="0"/>
      <w:marTop w:val="0"/>
      <w:marBottom w:val="0"/>
      <w:divBdr>
        <w:top w:val="none" w:sz="0" w:space="0" w:color="auto"/>
        <w:left w:val="none" w:sz="0" w:space="0" w:color="auto"/>
        <w:bottom w:val="none" w:sz="0" w:space="0" w:color="auto"/>
        <w:right w:val="none" w:sz="0" w:space="0" w:color="auto"/>
      </w:divBdr>
    </w:div>
    <w:div w:id="1510296755">
      <w:bodyDiv w:val="1"/>
      <w:marLeft w:val="0"/>
      <w:marRight w:val="0"/>
      <w:marTop w:val="0"/>
      <w:marBottom w:val="0"/>
      <w:divBdr>
        <w:top w:val="none" w:sz="0" w:space="0" w:color="auto"/>
        <w:left w:val="none" w:sz="0" w:space="0" w:color="auto"/>
        <w:bottom w:val="none" w:sz="0" w:space="0" w:color="auto"/>
        <w:right w:val="none" w:sz="0" w:space="0" w:color="auto"/>
      </w:divBdr>
    </w:div>
    <w:div w:id="1523008734">
      <w:bodyDiv w:val="1"/>
      <w:marLeft w:val="0"/>
      <w:marRight w:val="0"/>
      <w:marTop w:val="0"/>
      <w:marBottom w:val="0"/>
      <w:divBdr>
        <w:top w:val="none" w:sz="0" w:space="0" w:color="auto"/>
        <w:left w:val="none" w:sz="0" w:space="0" w:color="auto"/>
        <w:bottom w:val="none" w:sz="0" w:space="0" w:color="auto"/>
        <w:right w:val="none" w:sz="0" w:space="0" w:color="auto"/>
      </w:divBdr>
    </w:div>
    <w:div w:id="1621759567">
      <w:bodyDiv w:val="1"/>
      <w:marLeft w:val="0"/>
      <w:marRight w:val="0"/>
      <w:marTop w:val="0"/>
      <w:marBottom w:val="0"/>
      <w:divBdr>
        <w:top w:val="none" w:sz="0" w:space="0" w:color="auto"/>
        <w:left w:val="none" w:sz="0" w:space="0" w:color="auto"/>
        <w:bottom w:val="none" w:sz="0" w:space="0" w:color="auto"/>
        <w:right w:val="none" w:sz="0" w:space="0" w:color="auto"/>
      </w:divBdr>
    </w:div>
    <w:div w:id="1685932352">
      <w:bodyDiv w:val="1"/>
      <w:marLeft w:val="0"/>
      <w:marRight w:val="0"/>
      <w:marTop w:val="0"/>
      <w:marBottom w:val="0"/>
      <w:divBdr>
        <w:top w:val="none" w:sz="0" w:space="0" w:color="auto"/>
        <w:left w:val="none" w:sz="0" w:space="0" w:color="auto"/>
        <w:bottom w:val="none" w:sz="0" w:space="0" w:color="auto"/>
        <w:right w:val="none" w:sz="0" w:space="0" w:color="auto"/>
      </w:divBdr>
    </w:div>
    <w:div w:id="1691299186">
      <w:bodyDiv w:val="1"/>
      <w:marLeft w:val="0"/>
      <w:marRight w:val="0"/>
      <w:marTop w:val="0"/>
      <w:marBottom w:val="0"/>
      <w:divBdr>
        <w:top w:val="none" w:sz="0" w:space="0" w:color="auto"/>
        <w:left w:val="none" w:sz="0" w:space="0" w:color="auto"/>
        <w:bottom w:val="none" w:sz="0" w:space="0" w:color="auto"/>
        <w:right w:val="none" w:sz="0" w:space="0" w:color="auto"/>
      </w:divBdr>
    </w:div>
    <w:div w:id="1710648509">
      <w:bodyDiv w:val="1"/>
      <w:marLeft w:val="0"/>
      <w:marRight w:val="0"/>
      <w:marTop w:val="0"/>
      <w:marBottom w:val="0"/>
      <w:divBdr>
        <w:top w:val="none" w:sz="0" w:space="0" w:color="auto"/>
        <w:left w:val="none" w:sz="0" w:space="0" w:color="auto"/>
        <w:bottom w:val="none" w:sz="0" w:space="0" w:color="auto"/>
        <w:right w:val="none" w:sz="0" w:space="0" w:color="auto"/>
      </w:divBdr>
    </w:div>
    <w:div w:id="1752969950">
      <w:bodyDiv w:val="1"/>
      <w:marLeft w:val="0"/>
      <w:marRight w:val="0"/>
      <w:marTop w:val="0"/>
      <w:marBottom w:val="0"/>
      <w:divBdr>
        <w:top w:val="none" w:sz="0" w:space="0" w:color="auto"/>
        <w:left w:val="none" w:sz="0" w:space="0" w:color="auto"/>
        <w:bottom w:val="none" w:sz="0" w:space="0" w:color="auto"/>
        <w:right w:val="none" w:sz="0" w:space="0" w:color="auto"/>
      </w:divBdr>
    </w:div>
    <w:div w:id="1798135508">
      <w:bodyDiv w:val="1"/>
      <w:marLeft w:val="0"/>
      <w:marRight w:val="0"/>
      <w:marTop w:val="0"/>
      <w:marBottom w:val="0"/>
      <w:divBdr>
        <w:top w:val="none" w:sz="0" w:space="0" w:color="auto"/>
        <w:left w:val="none" w:sz="0" w:space="0" w:color="auto"/>
        <w:bottom w:val="none" w:sz="0" w:space="0" w:color="auto"/>
        <w:right w:val="none" w:sz="0" w:space="0" w:color="auto"/>
      </w:divBdr>
    </w:div>
    <w:div w:id="1865553447">
      <w:bodyDiv w:val="1"/>
      <w:marLeft w:val="0"/>
      <w:marRight w:val="0"/>
      <w:marTop w:val="0"/>
      <w:marBottom w:val="0"/>
      <w:divBdr>
        <w:top w:val="none" w:sz="0" w:space="0" w:color="auto"/>
        <w:left w:val="none" w:sz="0" w:space="0" w:color="auto"/>
        <w:bottom w:val="none" w:sz="0" w:space="0" w:color="auto"/>
        <w:right w:val="none" w:sz="0" w:space="0" w:color="auto"/>
      </w:divBdr>
    </w:div>
    <w:div w:id="1905791696">
      <w:bodyDiv w:val="1"/>
      <w:marLeft w:val="0"/>
      <w:marRight w:val="0"/>
      <w:marTop w:val="0"/>
      <w:marBottom w:val="0"/>
      <w:divBdr>
        <w:top w:val="none" w:sz="0" w:space="0" w:color="auto"/>
        <w:left w:val="none" w:sz="0" w:space="0" w:color="auto"/>
        <w:bottom w:val="none" w:sz="0" w:space="0" w:color="auto"/>
        <w:right w:val="none" w:sz="0" w:space="0" w:color="auto"/>
      </w:divBdr>
    </w:div>
    <w:div w:id="1976328747">
      <w:bodyDiv w:val="1"/>
      <w:marLeft w:val="0"/>
      <w:marRight w:val="0"/>
      <w:marTop w:val="0"/>
      <w:marBottom w:val="0"/>
      <w:divBdr>
        <w:top w:val="none" w:sz="0" w:space="0" w:color="auto"/>
        <w:left w:val="none" w:sz="0" w:space="0" w:color="auto"/>
        <w:bottom w:val="none" w:sz="0" w:space="0" w:color="auto"/>
        <w:right w:val="none" w:sz="0" w:space="0" w:color="auto"/>
      </w:divBdr>
    </w:div>
    <w:div w:id="2090037637">
      <w:bodyDiv w:val="1"/>
      <w:marLeft w:val="0"/>
      <w:marRight w:val="0"/>
      <w:marTop w:val="0"/>
      <w:marBottom w:val="0"/>
      <w:divBdr>
        <w:top w:val="none" w:sz="0" w:space="0" w:color="auto"/>
        <w:left w:val="none" w:sz="0" w:space="0" w:color="auto"/>
        <w:bottom w:val="none" w:sz="0" w:space="0" w:color="auto"/>
        <w:right w:val="none" w:sz="0" w:space="0" w:color="auto"/>
      </w:divBdr>
    </w:div>
    <w:div w:id="2105803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E968B-C864-413F-833F-E53D7C277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1140</Words>
  <Characters>5981</Characters>
  <Application>Microsoft Office Word</Application>
  <DocSecurity>0</DocSecurity>
  <Lines>222</Lines>
  <Paragraphs>97</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 Planning and Land Authority</Company>
  <LinksUpToDate>false</LinksUpToDate>
  <CharactersWithSpaces>7060</CharactersWithSpaces>
  <SharedDoc>false</SharedDoc>
  <HLinks>
    <vt:vector size="66" baseType="variant">
      <vt:variant>
        <vt:i4>1048631</vt:i4>
      </vt:variant>
      <vt:variant>
        <vt:i4>62</vt:i4>
      </vt:variant>
      <vt:variant>
        <vt:i4>0</vt:i4>
      </vt:variant>
      <vt:variant>
        <vt:i4>5</vt:i4>
      </vt:variant>
      <vt:variant>
        <vt:lpwstr/>
      </vt:variant>
      <vt:variant>
        <vt:lpwstr>_Toc130210763</vt:lpwstr>
      </vt:variant>
      <vt:variant>
        <vt:i4>1048631</vt:i4>
      </vt:variant>
      <vt:variant>
        <vt:i4>56</vt:i4>
      </vt:variant>
      <vt:variant>
        <vt:i4>0</vt:i4>
      </vt:variant>
      <vt:variant>
        <vt:i4>5</vt:i4>
      </vt:variant>
      <vt:variant>
        <vt:lpwstr/>
      </vt:variant>
      <vt:variant>
        <vt:lpwstr>_Toc130210762</vt:lpwstr>
      </vt:variant>
      <vt:variant>
        <vt:i4>1048631</vt:i4>
      </vt:variant>
      <vt:variant>
        <vt:i4>50</vt:i4>
      </vt:variant>
      <vt:variant>
        <vt:i4>0</vt:i4>
      </vt:variant>
      <vt:variant>
        <vt:i4>5</vt:i4>
      </vt:variant>
      <vt:variant>
        <vt:lpwstr/>
      </vt:variant>
      <vt:variant>
        <vt:lpwstr>_Toc130210761</vt:lpwstr>
      </vt:variant>
      <vt:variant>
        <vt:i4>1048631</vt:i4>
      </vt:variant>
      <vt:variant>
        <vt:i4>44</vt:i4>
      </vt:variant>
      <vt:variant>
        <vt:i4>0</vt:i4>
      </vt:variant>
      <vt:variant>
        <vt:i4>5</vt:i4>
      </vt:variant>
      <vt:variant>
        <vt:lpwstr/>
      </vt:variant>
      <vt:variant>
        <vt:lpwstr>_Toc130210760</vt:lpwstr>
      </vt:variant>
      <vt:variant>
        <vt:i4>1245239</vt:i4>
      </vt:variant>
      <vt:variant>
        <vt:i4>38</vt:i4>
      </vt:variant>
      <vt:variant>
        <vt:i4>0</vt:i4>
      </vt:variant>
      <vt:variant>
        <vt:i4>5</vt:i4>
      </vt:variant>
      <vt:variant>
        <vt:lpwstr/>
      </vt:variant>
      <vt:variant>
        <vt:lpwstr>_Toc130210759</vt:lpwstr>
      </vt:variant>
      <vt:variant>
        <vt:i4>1245239</vt:i4>
      </vt:variant>
      <vt:variant>
        <vt:i4>32</vt:i4>
      </vt:variant>
      <vt:variant>
        <vt:i4>0</vt:i4>
      </vt:variant>
      <vt:variant>
        <vt:i4>5</vt:i4>
      </vt:variant>
      <vt:variant>
        <vt:lpwstr/>
      </vt:variant>
      <vt:variant>
        <vt:lpwstr>_Toc130210758</vt:lpwstr>
      </vt:variant>
      <vt:variant>
        <vt:i4>1245239</vt:i4>
      </vt:variant>
      <vt:variant>
        <vt:i4>26</vt:i4>
      </vt:variant>
      <vt:variant>
        <vt:i4>0</vt:i4>
      </vt:variant>
      <vt:variant>
        <vt:i4>5</vt:i4>
      </vt:variant>
      <vt:variant>
        <vt:lpwstr/>
      </vt:variant>
      <vt:variant>
        <vt:lpwstr>_Toc130210757</vt:lpwstr>
      </vt:variant>
      <vt:variant>
        <vt:i4>1245239</vt:i4>
      </vt:variant>
      <vt:variant>
        <vt:i4>20</vt:i4>
      </vt:variant>
      <vt:variant>
        <vt:i4>0</vt:i4>
      </vt:variant>
      <vt:variant>
        <vt:i4>5</vt:i4>
      </vt:variant>
      <vt:variant>
        <vt:lpwstr/>
      </vt:variant>
      <vt:variant>
        <vt:lpwstr>_Toc130210756</vt:lpwstr>
      </vt:variant>
      <vt:variant>
        <vt:i4>1245239</vt:i4>
      </vt:variant>
      <vt:variant>
        <vt:i4>14</vt:i4>
      </vt:variant>
      <vt:variant>
        <vt:i4>0</vt:i4>
      </vt:variant>
      <vt:variant>
        <vt:i4>5</vt:i4>
      </vt:variant>
      <vt:variant>
        <vt:lpwstr/>
      </vt:variant>
      <vt:variant>
        <vt:lpwstr>_Toc130210755</vt:lpwstr>
      </vt:variant>
      <vt:variant>
        <vt:i4>1245239</vt:i4>
      </vt:variant>
      <vt:variant>
        <vt:i4>8</vt:i4>
      </vt:variant>
      <vt:variant>
        <vt:i4>0</vt:i4>
      </vt:variant>
      <vt:variant>
        <vt:i4>5</vt:i4>
      </vt:variant>
      <vt:variant>
        <vt:lpwstr/>
      </vt:variant>
      <vt:variant>
        <vt:lpwstr>_Toc130210754</vt:lpwstr>
      </vt:variant>
      <vt:variant>
        <vt:i4>1245239</vt:i4>
      </vt:variant>
      <vt:variant>
        <vt:i4>2</vt:i4>
      </vt:variant>
      <vt:variant>
        <vt:i4>0</vt:i4>
      </vt:variant>
      <vt:variant>
        <vt:i4>5</vt:i4>
      </vt:variant>
      <vt:variant>
        <vt:lpwstr/>
      </vt:variant>
      <vt:variant>
        <vt:lpwstr>_Toc130210753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Mr Simon Hawke</dc:creator>
  <cp:keywords/>
  <dc:description/>
  <cp:lastModifiedBy>PCODCS</cp:lastModifiedBy>
  <cp:revision>4</cp:revision>
  <cp:lastPrinted>2021-01-29T01:44:00Z</cp:lastPrinted>
  <dcterms:created xsi:type="dcterms:W3CDTF">2023-03-28T00:50:00Z</dcterms:created>
  <dcterms:modified xsi:type="dcterms:W3CDTF">2023-03-28T00:50:00Z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A40383678</vt:lpwstr>
  </property>
  <property fmtid="{D5CDD505-2E9C-101B-9397-08002B2CF9AE}" pid="4" name="Objective-Title">
    <vt:lpwstr>02 Attachment A - NI + TA2023-02</vt:lpwstr>
  </property>
  <property fmtid="{D5CDD505-2E9C-101B-9397-08002B2CF9AE}" pid="5" name="Objective-Comment">
    <vt:lpwstr/>
  </property>
  <property fmtid="{D5CDD505-2E9C-101B-9397-08002B2CF9AE}" pid="6" name="Objective-CreationStamp">
    <vt:filetime>2023-01-17T05:24:11Z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2023-03-27T22:56:09Z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and Urban Policy:Branch - Territory Plan:02 Technical amendments:01 Active TA:2023 Technical Amendments:CURRENT:TA2023-02 West Belconnen clearance zone:4. Commencement:a. Minute to EBM:</vt:lpwstr>
  </property>
  <property fmtid="{D5CDD505-2E9C-101B-9397-08002B2CF9AE}" pid="13" name="Objective-Parent">
    <vt:lpwstr>a. Minute to EBM</vt:lpwstr>
  </property>
  <property fmtid="{D5CDD505-2E9C-101B-9397-08002B2CF9AE}" pid="14" name="Objective-State">
    <vt:lpwstr>Being Drafted</vt:lpwstr>
  </property>
  <property fmtid="{D5CDD505-2E9C-101B-9397-08002B2CF9AE}" pid="15" name="Objective-Version">
    <vt:lpwstr>10.1</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