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DC157" w14:textId="77777777" w:rsidR="008936B5" w:rsidRDefault="008936B5">
      <w:pPr>
        <w:spacing w:before="120"/>
        <w:rPr>
          <w:rFonts w:ascii="Arial" w:hAnsi="Arial" w:cs="Arial"/>
        </w:rPr>
      </w:pPr>
      <w:r>
        <w:rPr>
          <w:rFonts w:ascii="Arial" w:hAnsi="Arial" w:cs="Arial"/>
        </w:rPr>
        <w:t>Australian Capital Territory</w:t>
      </w:r>
    </w:p>
    <w:p w14:paraId="77AF10A0" w14:textId="136281F0" w:rsidR="008936B5" w:rsidRPr="0059678C" w:rsidRDefault="00CC69FB" w:rsidP="0059678C">
      <w:pPr>
        <w:pStyle w:val="Heading1"/>
      </w:pPr>
      <w:r>
        <w:t xml:space="preserve">Nature Conservation </w:t>
      </w:r>
      <w:r w:rsidR="008936B5" w:rsidRPr="0059678C">
        <w:t>(</w:t>
      </w:r>
      <w:bookmarkStart w:id="0" w:name="_Hlk128756179"/>
      <w:r w:rsidR="001B269F">
        <w:t xml:space="preserve">Canberra </w:t>
      </w:r>
      <w:r w:rsidR="001B269F" w:rsidRPr="001B269F">
        <w:t>Grassland Earless Dragon</w:t>
      </w:r>
      <w:bookmarkEnd w:id="0"/>
      <w:r w:rsidR="00A61E0A">
        <w:t>) Conservation</w:t>
      </w:r>
      <w:r>
        <w:t xml:space="preserve"> Advice </w:t>
      </w:r>
      <w:r w:rsidR="007F41B7">
        <w:t>20</w:t>
      </w:r>
      <w:r w:rsidR="00473AE9">
        <w:t>2</w:t>
      </w:r>
      <w:r w:rsidR="007726D2">
        <w:t>3</w:t>
      </w:r>
    </w:p>
    <w:p w14:paraId="121DCB28" w14:textId="27EDF34B" w:rsidR="008936B5" w:rsidRPr="0059678C" w:rsidRDefault="00FE4D40" w:rsidP="00A410CF">
      <w:pPr>
        <w:pStyle w:val="Heading2"/>
        <w:spacing w:before="340" w:after="0"/>
      </w:pPr>
      <w:r w:rsidRPr="0059678C">
        <w:t>Notifiable i</w:t>
      </w:r>
      <w:r w:rsidR="008936B5" w:rsidRPr="0059678C">
        <w:t>nstrument NI</w:t>
      </w:r>
      <w:r w:rsidR="00CC69FB">
        <w:t>20</w:t>
      </w:r>
      <w:r w:rsidR="00473AE9">
        <w:t>2</w:t>
      </w:r>
      <w:r w:rsidR="007726D2">
        <w:t>3</w:t>
      </w:r>
      <w:r w:rsidR="008936B5" w:rsidRPr="0059678C">
        <w:t>–</w:t>
      </w:r>
      <w:r w:rsidR="00747FD5">
        <w:t>218</w:t>
      </w:r>
    </w:p>
    <w:p w14:paraId="1C0768EB" w14:textId="77777777" w:rsidR="008936B5" w:rsidRDefault="008936B5" w:rsidP="00A410CF">
      <w:pPr>
        <w:pStyle w:val="madeunder"/>
        <w:spacing w:before="300" w:after="0"/>
      </w:pPr>
      <w:r>
        <w:t xml:space="preserve">made under the  </w:t>
      </w:r>
    </w:p>
    <w:p w14:paraId="6350B95D" w14:textId="11240787" w:rsidR="008936B5" w:rsidRDefault="00CC69FB" w:rsidP="00A410CF">
      <w:pPr>
        <w:pStyle w:val="CoverActName"/>
        <w:spacing w:before="320" w:after="0"/>
        <w:jc w:val="left"/>
      </w:pPr>
      <w:r>
        <w:rPr>
          <w:rFonts w:cs="Arial"/>
          <w:sz w:val="20"/>
        </w:rPr>
        <w:t>Nature Conservation Act 2014</w:t>
      </w:r>
      <w:r w:rsidR="008936B5">
        <w:rPr>
          <w:rFonts w:cs="Arial"/>
          <w:sz w:val="20"/>
        </w:rPr>
        <w:t xml:space="preserve">, </w:t>
      </w:r>
      <w:r>
        <w:rPr>
          <w:rFonts w:cs="Arial"/>
          <w:sz w:val="20"/>
        </w:rPr>
        <w:t>s</w:t>
      </w:r>
      <w:r w:rsidR="00A410CF">
        <w:rPr>
          <w:rFonts w:cs="Arial"/>
          <w:sz w:val="20"/>
        </w:rPr>
        <w:t xml:space="preserve"> </w:t>
      </w:r>
      <w:r>
        <w:rPr>
          <w:rFonts w:cs="Arial"/>
          <w:sz w:val="20"/>
        </w:rPr>
        <w:t>90C</w:t>
      </w:r>
      <w:r w:rsidR="008936B5">
        <w:rPr>
          <w:rFonts w:cs="Arial"/>
          <w:sz w:val="20"/>
        </w:rPr>
        <w:t xml:space="preserve"> (</w:t>
      </w:r>
      <w:r>
        <w:rPr>
          <w:rFonts w:cs="Arial"/>
          <w:sz w:val="20"/>
        </w:rPr>
        <w:t xml:space="preserve">Conservation </w:t>
      </w:r>
      <w:r w:rsidR="00B43C00">
        <w:rPr>
          <w:rFonts w:cs="Arial"/>
          <w:sz w:val="20"/>
        </w:rPr>
        <w:t>a</w:t>
      </w:r>
      <w:r>
        <w:rPr>
          <w:rFonts w:cs="Arial"/>
          <w:sz w:val="20"/>
        </w:rPr>
        <w:t>dvice</w:t>
      </w:r>
      <w:r w:rsidR="008936B5">
        <w:rPr>
          <w:rFonts w:cs="Arial"/>
          <w:sz w:val="20"/>
        </w:rPr>
        <w:t>)</w:t>
      </w:r>
    </w:p>
    <w:p w14:paraId="2AE41541" w14:textId="77777777" w:rsidR="008936B5" w:rsidRDefault="008936B5" w:rsidP="00A410CF">
      <w:pPr>
        <w:pStyle w:val="N-line3"/>
        <w:pBdr>
          <w:bottom w:val="none" w:sz="0" w:space="0" w:color="auto"/>
        </w:pBdr>
        <w:spacing w:before="60"/>
      </w:pPr>
    </w:p>
    <w:p w14:paraId="0B102ABE" w14:textId="77777777" w:rsidR="008936B5" w:rsidRDefault="008936B5">
      <w:pPr>
        <w:pStyle w:val="N-line3"/>
        <w:pBdr>
          <w:top w:val="single" w:sz="12" w:space="1" w:color="auto"/>
          <w:bottom w:val="none" w:sz="0" w:space="0" w:color="auto"/>
        </w:pBdr>
      </w:pPr>
    </w:p>
    <w:p w14:paraId="0644837C" w14:textId="77777777" w:rsidR="008936B5" w:rsidRPr="0059678C" w:rsidRDefault="008936B5" w:rsidP="00A410CF">
      <w:pPr>
        <w:pStyle w:val="Heading3"/>
        <w:spacing w:before="60"/>
      </w:pPr>
      <w:r w:rsidRPr="0059678C">
        <w:t>1</w:t>
      </w:r>
      <w:r w:rsidRPr="0059678C">
        <w:tab/>
        <w:t>Name of instrument</w:t>
      </w:r>
    </w:p>
    <w:p w14:paraId="0D74D1F7" w14:textId="21EA9020" w:rsidR="008936B5" w:rsidRDefault="008936B5" w:rsidP="00A410CF">
      <w:pPr>
        <w:spacing w:before="140"/>
        <w:ind w:left="720"/>
      </w:pPr>
      <w:r>
        <w:t xml:space="preserve">This instrument is the </w:t>
      </w:r>
      <w:r w:rsidR="00CC69FB" w:rsidRPr="00CC69FB">
        <w:rPr>
          <w:i/>
          <w:iCs/>
        </w:rPr>
        <w:t xml:space="preserve">Nature </w:t>
      </w:r>
      <w:r w:rsidR="00CC69FB" w:rsidRPr="00473AE9">
        <w:rPr>
          <w:i/>
          <w:iCs/>
        </w:rPr>
        <w:t>Conservation (</w:t>
      </w:r>
      <w:r w:rsidR="001B269F" w:rsidRPr="001B269F">
        <w:rPr>
          <w:i/>
          <w:iCs/>
        </w:rPr>
        <w:t>Canberra Grassland Earless Dragon</w:t>
      </w:r>
      <w:r w:rsidR="00CC69FB" w:rsidRPr="00473AE9">
        <w:rPr>
          <w:i/>
          <w:iCs/>
        </w:rPr>
        <w:t>) Conservation</w:t>
      </w:r>
      <w:r w:rsidR="00CC69FB" w:rsidRPr="00CC69FB">
        <w:rPr>
          <w:i/>
          <w:iCs/>
        </w:rPr>
        <w:t xml:space="preserve"> Advice 20</w:t>
      </w:r>
      <w:r w:rsidR="00473AE9">
        <w:rPr>
          <w:i/>
          <w:iCs/>
        </w:rPr>
        <w:t>2</w:t>
      </w:r>
      <w:r w:rsidR="007726D2">
        <w:rPr>
          <w:i/>
          <w:iCs/>
        </w:rPr>
        <w:t>3</w:t>
      </w:r>
      <w:r w:rsidRPr="00360716">
        <w:rPr>
          <w:bCs/>
          <w:iCs/>
        </w:rPr>
        <w:t>.</w:t>
      </w:r>
    </w:p>
    <w:p w14:paraId="55A7A0C2" w14:textId="77777777" w:rsidR="008936B5" w:rsidRPr="0059678C" w:rsidRDefault="008936B5" w:rsidP="00A410CF">
      <w:pPr>
        <w:pStyle w:val="Heading3"/>
        <w:spacing w:before="300" w:after="0"/>
      </w:pPr>
      <w:r w:rsidRPr="0059678C">
        <w:t>2</w:t>
      </w:r>
      <w:r w:rsidRPr="0059678C">
        <w:tab/>
        <w:t xml:space="preserve">Commencement </w:t>
      </w:r>
    </w:p>
    <w:p w14:paraId="1ACF1CE1" w14:textId="77777777" w:rsidR="008936B5" w:rsidRDefault="008936B5" w:rsidP="00A410CF">
      <w:pPr>
        <w:spacing w:before="140"/>
        <w:ind w:left="720"/>
      </w:pPr>
      <w:r>
        <w:t>This instrument commences on</w:t>
      </w:r>
      <w:r w:rsidR="00CC69FB">
        <w:t xml:space="preserve"> the day after its notification</w:t>
      </w:r>
      <w:r w:rsidR="00A410CF">
        <w:t xml:space="preserve"> day</w:t>
      </w:r>
      <w:r>
        <w:t xml:space="preserve">. </w:t>
      </w:r>
    </w:p>
    <w:p w14:paraId="16939485" w14:textId="69736341" w:rsidR="008936B5" w:rsidRDefault="008936B5" w:rsidP="00122216">
      <w:pPr>
        <w:pStyle w:val="Heading3"/>
        <w:spacing w:before="300" w:after="0"/>
      </w:pPr>
      <w:r>
        <w:t>3</w:t>
      </w:r>
      <w:r>
        <w:tab/>
      </w:r>
      <w:r w:rsidR="00973072">
        <w:t>C</w:t>
      </w:r>
      <w:r w:rsidR="00CC69FB">
        <w:t>onservation advice</w:t>
      </w:r>
      <w:r w:rsidR="00973072">
        <w:t xml:space="preserve"> for </w:t>
      </w:r>
      <w:r w:rsidR="001B269F" w:rsidRPr="001B269F">
        <w:t>Canberra Grassland Earless Dragon</w:t>
      </w:r>
    </w:p>
    <w:p w14:paraId="309EA0E0" w14:textId="5BFD5996" w:rsidR="007726D2" w:rsidRDefault="00973072" w:rsidP="004F4068">
      <w:pPr>
        <w:spacing w:before="240"/>
        <w:ind w:left="720"/>
      </w:pPr>
      <w:r>
        <w:t xml:space="preserve">Schedule 1 sets out the </w:t>
      </w:r>
      <w:r w:rsidR="006A348F">
        <w:t>c</w:t>
      </w:r>
      <w:r>
        <w:t xml:space="preserve">onservation </w:t>
      </w:r>
      <w:r w:rsidR="006A348F">
        <w:t>a</w:t>
      </w:r>
      <w:r>
        <w:t>dvice for</w:t>
      </w:r>
      <w:r w:rsidR="007726D2">
        <w:t xml:space="preserve"> </w:t>
      </w:r>
      <w:r w:rsidR="001B269F" w:rsidRPr="001B269F">
        <w:t xml:space="preserve">Canberra Grassland Earless Dragon </w:t>
      </w:r>
      <w:r w:rsidR="004F4068">
        <w:t>(</w:t>
      </w:r>
      <w:r w:rsidR="001B269F" w:rsidRPr="001B269F">
        <w:rPr>
          <w:i/>
          <w:iCs/>
        </w:rPr>
        <w:t>Tympanocryptis lineata</w:t>
      </w:r>
      <w:r w:rsidR="004F4068">
        <w:t>)</w:t>
      </w:r>
      <w:r w:rsidR="00F442BF">
        <w:t>.</w:t>
      </w:r>
    </w:p>
    <w:p w14:paraId="476F78C8" w14:textId="1A795E6F" w:rsidR="00C01061" w:rsidRDefault="00C01061" w:rsidP="005F27E4">
      <w:pPr>
        <w:ind w:left="709"/>
      </w:pPr>
    </w:p>
    <w:p w14:paraId="3D2890A1" w14:textId="77777777" w:rsidR="00C01061" w:rsidRPr="007726D2" w:rsidRDefault="00C01061" w:rsidP="005F27E4">
      <w:pPr>
        <w:ind w:left="709"/>
      </w:pPr>
    </w:p>
    <w:p w14:paraId="54CBE060" w14:textId="05F39B81" w:rsidR="00DE7AF2" w:rsidRDefault="00DE7AF2" w:rsidP="00DE7AF2">
      <w:pPr>
        <w:autoSpaceDE w:val="0"/>
        <w:autoSpaceDN w:val="0"/>
        <w:adjustRightInd w:val="0"/>
        <w:rPr>
          <w:szCs w:val="24"/>
          <w:lang w:eastAsia="en-AU"/>
        </w:rPr>
      </w:pPr>
    </w:p>
    <w:p w14:paraId="6DA16520" w14:textId="77777777" w:rsidR="003D438F" w:rsidRDefault="003D438F" w:rsidP="00DE7AF2">
      <w:pPr>
        <w:autoSpaceDE w:val="0"/>
        <w:autoSpaceDN w:val="0"/>
        <w:adjustRightInd w:val="0"/>
        <w:rPr>
          <w:szCs w:val="24"/>
          <w:lang w:eastAsia="en-AU"/>
        </w:rPr>
      </w:pPr>
    </w:p>
    <w:p w14:paraId="2C6B9A51" w14:textId="77777777" w:rsidR="00AF2FB0" w:rsidRDefault="00AF2FB0" w:rsidP="00DE7AF2">
      <w:pPr>
        <w:autoSpaceDE w:val="0"/>
        <w:autoSpaceDN w:val="0"/>
        <w:adjustRightInd w:val="0"/>
        <w:rPr>
          <w:szCs w:val="24"/>
          <w:lang w:eastAsia="en-AU"/>
        </w:rPr>
      </w:pPr>
    </w:p>
    <w:p w14:paraId="370BEE4B" w14:textId="77777777" w:rsidR="00AF2FB0" w:rsidRDefault="00AF2FB0" w:rsidP="00DE7AF2">
      <w:pPr>
        <w:autoSpaceDE w:val="0"/>
        <w:autoSpaceDN w:val="0"/>
        <w:adjustRightInd w:val="0"/>
        <w:rPr>
          <w:szCs w:val="24"/>
          <w:lang w:eastAsia="en-AU"/>
        </w:rPr>
      </w:pPr>
    </w:p>
    <w:p w14:paraId="5FC1770E" w14:textId="77777777" w:rsidR="007F41B7" w:rsidRDefault="007F41B7" w:rsidP="007F41B7">
      <w:pPr>
        <w:rPr>
          <w:szCs w:val="24"/>
          <w:lang w:eastAsia="en-AU"/>
        </w:rPr>
      </w:pPr>
      <w:r>
        <w:rPr>
          <w:szCs w:val="24"/>
          <w:lang w:eastAsia="en-AU"/>
        </w:rPr>
        <w:t>Arthur Georges</w:t>
      </w:r>
    </w:p>
    <w:p w14:paraId="1C013CB0" w14:textId="77777777" w:rsidR="007F41B7" w:rsidRDefault="007F41B7" w:rsidP="007F41B7">
      <w:pPr>
        <w:rPr>
          <w:szCs w:val="24"/>
          <w:lang w:eastAsia="en-AU"/>
        </w:rPr>
      </w:pPr>
      <w:r>
        <w:rPr>
          <w:szCs w:val="24"/>
          <w:lang w:eastAsia="en-AU"/>
        </w:rPr>
        <w:t>Chair, Scientific Committee</w:t>
      </w:r>
    </w:p>
    <w:p w14:paraId="7681F54A" w14:textId="6F649BA2" w:rsidR="00AC3B4D" w:rsidRDefault="0061260A" w:rsidP="007726D2">
      <w:pPr>
        <w:rPr>
          <w:szCs w:val="24"/>
          <w:lang w:eastAsia="en-AU"/>
        </w:rPr>
      </w:pPr>
      <w:r>
        <w:rPr>
          <w:szCs w:val="24"/>
          <w:lang w:eastAsia="en-AU"/>
        </w:rPr>
        <w:t>14</w:t>
      </w:r>
      <w:r w:rsidR="00B21E90">
        <w:rPr>
          <w:szCs w:val="24"/>
          <w:lang w:eastAsia="en-AU"/>
        </w:rPr>
        <w:t xml:space="preserve"> April</w:t>
      </w:r>
      <w:r w:rsidR="00F44A3C" w:rsidRPr="00D93955">
        <w:rPr>
          <w:szCs w:val="24"/>
          <w:lang w:eastAsia="en-AU"/>
        </w:rPr>
        <w:t xml:space="preserve"> 20</w:t>
      </w:r>
      <w:r w:rsidR="00473AE9" w:rsidRPr="00D93955">
        <w:rPr>
          <w:szCs w:val="24"/>
          <w:lang w:eastAsia="en-AU"/>
        </w:rPr>
        <w:t>2</w:t>
      </w:r>
      <w:r w:rsidR="007726D2">
        <w:rPr>
          <w:szCs w:val="24"/>
          <w:lang w:eastAsia="en-AU"/>
        </w:rPr>
        <w:t>3</w:t>
      </w:r>
      <w:r w:rsidR="00AC3B4D">
        <w:rPr>
          <w:szCs w:val="24"/>
          <w:lang w:eastAsia="en-AU"/>
        </w:rPr>
        <w:br w:type="page"/>
      </w:r>
    </w:p>
    <w:p w14:paraId="72AC116A" w14:textId="77777777" w:rsidR="009A6971" w:rsidRDefault="00AC3B4D" w:rsidP="00AC3B4D">
      <w:pPr>
        <w:rPr>
          <w:rFonts w:ascii="Arial" w:hAnsi="Arial" w:cs="Arial"/>
          <w:b/>
          <w:sz w:val="34"/>
          <w:szCs w:val="34"/>
        </w:rPr>
      </w:pPr>
      <w:r w:rsidRPr="00F765EE">
        <w:rPr>
          <w:rFonts w:ascii="Arial" w:hAnsi="Arial" w:cs="Arial"/>
          <w:b/>
          <w:sz w:val="34"/>
          <w:szCs w:val="34"/>
        </w:rPr>
        <w:lastRenderedPageBreak/>
        <w:t>Schedule 1</w:t>
      </w:r>
    </w:p>
    <w:p w14:paraId="4E250153" w14:textId="77777777" w:rsidR="00AC3B4D" w:rsidRDefault="00AC3B4D" w:rsidP="009A6971">
      <w:pPr>
        <w:spacing w:before="60"/>
        <w:rPr>
          <w:sz w:val="18"/>
          <w:szCs w:val="18"/>
        </w:rPr>
      </w:pPr>
      <w:r w:rsidRPr="00F765EE">
        <w:rPr>
          <w:sz w:val="18"/>
          <w:szCs w:val="18"/>
        </w:rPr>
        <w:t>(see s 3)</w:t>
      </w:r>
    </w:p>
    <w:p w14:paraId="7CB0A3B1" w14:textId="77777777" w:rsidR="00AC3B4D" w:rsidRPr="00F765EE" w:rsidRDefault="00AC3B4D" w:rsidP="00AC3B4D">
      <w:pPr>
        <w:pBdr>
          <w:bottom w:val="single" w:sz="4" w:space="1" w:color="auto"/>
        </w:pBdr>
        <w:tabs>
          <w:tab w:val="left" w:pos="1985"/>
        </w:tabs>
        <w:spacing w:before="60"/>
        <w:rPr>
          <w:sz w:val="18"/>
          <w:szCs w:val="18"/>
        </w:rPr>
      </w:pPr>
    </w:p>
    <w:p w14:paraId="1F84B5A3" w14:textId="77777777" w:rsidR="00AC3B4D" w:rsidRDefault="00AC3B4D" w:rsidP="00AC3B4D">
      <w:pPr>
        <w:tabs>
          <w:tab w:val="left" w:pos="1985"/>
        </w:tabs>
      </w:pPr>
    </w:p>
    <w:p w14:paraId="0539EE6F" w14:textId="77777777" w:rsidR="0061260A" w:rsidRPr="0061260A" w:rsidRDefault="0061260A" w:rsidP="0061260A">
      <w:pPr>
        <w:spacing w:after="200" w:line="276" w:lineRule="auto"/>
        <w:rPr>
          <w:rFonts w:asciiTheme="minorHAnsi" w:eastAsiaTheme="minorHAnsi" w:hAnsiTheme="minorHAnsi" w:cstheme="minorBidi"/>
          <w:sz w:val="21"/>
        </w:rPr>
      </w:pPr>
    </w:p>
    <w:p w14:paraId="1A7CC0F0" w14:textId="77777777" w:rsidR="0061260A" w:rsidRPr="0061260A" w:rsidRDefault="0061260A" w:rsidP="0061260A">
      <w:pPr>
        <w:keepNext/>
        <w:keepLines/>
        <w:spacing w:before="480" w:line="276" w:lineRule="auto"/>
        <w:outlineLvl w:val="0"/>
        <w:rPr>
          <w:rFonts w:ascii="Arial" w:eastAsiaTheme="majorEastAsia" w:hAnsi="Arial" w:cstheme="majorBidi"/>
          <w:b/>
          <w:bCs/>
          <w:i/>
          <w:caps/>
          <w:color w:val="009999"/>
          <w:sz w:val="36"/>
          <w:szCs w:val="36"/>
        </w:rPr>
      </w:pPr>
      <w:r w:rsidRPr="0061260A">
        <w:rPr>
          <w:rFonts w:ascii="Arial" w:eastAsiaTheme="majorEastAsia" w:hAnsi="Arial" w:cstheme="majorBidi"/>
          <w:b/>
          <w:bCs/>
          <w:caps/>
          <w:color w:val="009999"/>
          <w:sz w:val="56"/>
        </w:rPr>
        <w:t>Conservation Advice</w:t>
      </w:r>
      <w:r w:rsidRPr="0061260A">
        <w:rPr>
          <w:rFonts w:ascii="Arial" w:eastAsiaTheme="majorEastAsia" w:hAnsi="Arial" w:cstheme="majorBidi"/>
          <w:b/>
          <w:bCs/>
          <w:caps/>
          <w:color w:val="009999"/>
          <w:sz w:val="56"/>
        </w:rPr>
        <w:br/>
      </w:r>
      <w:r w:rsidRPr="0061260A">
        <w:rPr>
          <w:rFonts w:ascii="Arial" w:eastAsiaTheme="majorEastAsia" w:hAnsi="Arial" w:cstheme="majorBidi"/>
          <w:b/>
          <w:bCs/>
          <w:caps/>
          <w:color w:val="009999"/>
          <w:sz w:val="36"/>
          <w:szCs w:val="36"/>
        </w:rPr>
        <w:t>Canberra Grassland Earless Dragon –</w:t>
      </w:r>
      <w:r w:rsidRPr="0061260A">
        <w:rPr>
          <w:rFonts w:ascii="Arial" w:eastAsiaTheme="majorEastAsia" w:hAnsi="Arial" w:cstheme="majorBidi"/>
          <w:b/>
          <w:bCs/>
          <w:caps/>
          <w:color w:val="009999"/>
          <w:sz w:val="56"/>
          <w:szCs w:val="56"/>
        </w:rPr>
        <w:t xml:space="preserve"> </w:t>
      </w:r>
      <w:r w:rsidRPr="0061260A">
        <w:rPr>
          <w:rFonts w:ascii="Arial" w:eastAsiaTheme="majorEastAsia" w:hAnsi="Arial" w:cstheme="majorBidi"/>
          <w:b/>
          <w:bCs/>
          <w:i/>
          <w:color w:val="009999"/>
          <w:sz w:val="36"/>
          <w:szCs w:val="36"/>
        </w:rPr>
        <w:t>Tympanocryptis lineata</w:t>
      </w:r>
    </w:p>
    <w:p w14:paraId="3F027BE6" w14:textId="77777777" w:rsidR="0061260A" w:rsidRPr="0061260A" w:rsidRDefault="0061260A" w:rsidP="0061260A">
      <w:pPr>
        <w:pBdr>
          <w:bottom w:val="single" w:sz="12" w:space="1" w:color="auto"/>
        </w:pBdr>
        <w:tabs>
          <w:tab w:val="left" w:pos="9071"/>
        </w:tabs>
        <w:spacing w:after="200" w:line="276" w:lineRule="auto"/>
        <w:contextualSpacing/>
        <w:mirrorIndents/>
        <w:rPr>
          <w:rFonts w:asciiTheme="minorHAnsi" w:eastAsiaTheme="minorHAnsi" w:hAnsiTheme="minorHAnsi" w:cstheme="minorBidi"/>
          <w:sz w:val="22"/>
          <w:szCs w:val="22"/>
        </w:rPr>
      </w:pPr>
    </w:p>
    <w:p w14:paraId="5D57EFAF" w14:textId="77777777" w:rsidR="0061260A" w:rsidRPr="0061260A" w:rsidRDefault="0061260A" w:rsidP="0061260A">
      <w:pPr>
        <w:keepNext/>
        <w:keepLines/>
        <w:spacing w:before="200" w:line="276" w:lineRule="auto"/>
        <w:outlineLvl w:val="1"/>
        <w:rPr>
          <w:rFonts w:ascii="Arial" w:eastAsiaTheme="majorEastAsia" w:hAnsi="Arial" w:cstheme="majorBidi"/>
          <w:bCs/>
          <w:caps/>
          <w:color w:val="009999"/>
          <w:sz w:val="28"/>
          <w:szCs w:val="26"/>
        </w:rPr>
      </w:pPr>
      <w:r w:rsidRPr="0061260A">
        <w:rPr>
          <w:rFonts w:ascii="Arial" w:eastAsiaTheme="majorEastAsia" w:hAnsi="Arial" w:cstheme="majorBidi"/>
          <w:bCs/>
          <w:caps/>
          <w:color w:val="009999"/>
          <w:sz w:val="28"/>
          <w:szCs w:val="26"/>
        </w:rPr>
        <w:t>Conservation Status</w:t>
      </w:r>
    </w:p>
    <w:p w14:paraId="1192F135" w14:textId="77777777" w:rsidR="0061260A" w:rsidRPr="0061260A" w:rsidRDefault="0061260A" w:rsidP="0061260A">
      <w:pPr>
        <w:spacing w:after="200" w:line="276" w:lineRule="auto"/>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The Canberra Grassland Earless Dragon – </w:t>
      </w:r>
      <w:bookmarkStart w:id="1" w:name="_Hlk117525980"/>
      <w:r w:rsidRPr="0061260A">
        <w:rPr>
          <w:rFonts w:asciiTheme="minorHAnsi" w:eastAsiaTheme="minorHAnsi" w:hAnsiTheme="minorHAnsi" w:cstheme="minorBidi"/>
          <w:i/>
          <w:iCs/>
          <w:sz w:val="21"/>
          <w:szCs w:val="21"/>
        </w:rPr>
        <w:t>Tympanocryptis lineata</w:t>
      </w:r>
      <w:r w:rsidRPr="0061260A">
        <w:rPr>
          <w:rFonts w:asciiTheme="minorHAnsi" w:eastAsiaTheme="minorHAnsi" w:hAnsiTheme="minorHAnsi" w:cstheme="minorBidi"/>
          <w:sz w:val="21"/>
          <w:szCs w:val="21"/>
        </w:rPr>
        <w:t xml:space="preserve"> Peters, 1863 </w:t>
      </w:r>
      <w:bookmarkEnd w:id="1"/>
      <w:r w:rsidRPr="0061260A">
        <w:rPr>
          <w:rFonts w:asciiTheme="minorHAnsi" w:eastAsiaTheme="minorHAnsi" w:hAnsiTheme="minorHAnsi" w:cstheme="minorBidi"/>
          <w:sz w:val="21"/>
        </w:rPr>
        <w:t xml:space="preserve">– </w:t>
      </w:r>
      <w:r w:rsidRPr="0061260A">
        <w:rPr>
          <w:rFonts w:asciiTheme="minorHAnsi" w:eastAsiaTheme="minorHAnsi" w:hAnsiTheme="minorHAnsi" w:cstheme="minorBidi"/>
          <w:sz w:val="21"/>
          <w:szCs w:val="21"/>
        </w:rPr>
        <w:t>is recognised as threatened in the following jurisdictions:</w:t>
      </w:r>
    </w:p>
    <w:p w14:paraId="4D3C2F8E" w14:textId="77777777" w:rsidR="0061260A" w:rsidRPr="0061260A" w:rsidRDefault="0061260A" w:rsidP="0061260A">
      <w:pPr>
        <w:spacing w:line="276" w:lineRule="auto"/>
        <w:ind w:left="851" w:hanging="851"/>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National</w:t>
      </w:r>
      <w:r w:rsidRPr="0061260A">
        <w:rPr>
          <w:rFonts w:asciiTheme="minorHAnsi" w:eastAsiaTheme="minorHAnsi" w:hAnsiTheme="minorHAnsi" w:cstheme="minorBidi"/>
          <w:sz w:val="21"/>
          <w:szCs w:val="21"/>
        </w:rPr>
        <w:tab/>
      </w:r>
      <w:r w:rsidRPr="0061260A">
        <w:rPr>
          <w:rFonts w:asciiTheme="minorHAnsi" w:eastAsiaTheme="minorHAnsi" w:hAnsiTheme="minorHAnsi" w:cstheme="minorBidi"/>
          <w:b/>
          <w:bCs/>
          <w:sz w:val="21"/>
          <w:szCs w:val="21"/>
        </w:rPr>
        <w:t>Critically Endangered</w:t>
      </w:r>
      <w:r w:rsidRPr="0061260A">
        <w:rPr>
          <w:rFonts w:asciiTheme="minorHAnsi" w:eastAsiaTheme="minorHAnsi" w:hAnsiTheme="minorHAnsi" w:cstheme="minorBidi"/>
          <w:sz w:val="21"/>
          <w:szCs w:val="21"/>
        </w:rPr>
        <w:t xml:space="preserve">, </w:t>
      </w:r>
      <w:r w:rsidRPr="0061260A">
        <w:rPr>
          <w:rFonts w:asciiTheme="minorHAnsi" w:eastAsiaTheme="minorHAnsi" w:hAnsiTheme="minorHAnsi" w:cstheme="minorBidi"/>
          <w:i/>
          <w:iCs/>
          <w:sz w:val="21"/>
          <w:szCs w:val="21"/>
        </w:rPr>
        <w:t xml:space="preserve">Environment Protection &amp; Biodiversity Conservation Act 1999 </w:t>
      </w:r>
      <w:r w:rsidRPr="0061260A">
        <w:rPr>
          <w:rFonts w:asciiTheme="minorHAnsi" w:eastAsiaTheme="minorHAnsi" w:hAnsiTheme="minorHAnsi" w:cstheme="minorBidi"/>
          <w:sz w:val="21"/>
          <w:szCs w:val="21"/>
        </w:rPr>
        <w:t>(EPBC Act)</w:t>
      </w:r>
    </w:p>
    <w:p w14:paraId="18F9485C" w14:textId="77777777" w:rsidR="0061260A" w:rsidRPr="0061260A" w:rsidRDefault="0061260A" w:rsidP="0061260A">
      <w:pPr>
        <w:spacing w:line="276" w:lineRule="auto"/>
        <w:ind w:left="851" w:hanging="851"/>
        <w:rPr>
          <w:rFonts w:asciiTheme="minorHAnsi" w:eastAsiaTheme="minorHAnsi" w:hAnsiTheme="minorHAnsi" w:cstheme="minorBidi"/>
          <w:i/>
          <w:iCs/>
          <w:sz w:val="21"/>
          <w:szCs w:val="21"/>
        </w:rPr>
      </w:pPr>
      <w:r w:rsidRPr="0061260A">
        <w:rPr>
          <w:rFonts w:asciiTheme="minorHAnsi" w:eastAsiaTheme="minorHAnsi" w:hAnsiTheme="minorHAnsi" w:cstheme="minorBidi"/>
          <w:sz w:val="21"/>
          <w:szCs w:val="21"/>
        </w:rPr>
        <w:t>ACT</w:t>
      </w:r>
      <w:r w:rsidRPr="0061260A">
        <w:rPr>
          <w:rFonts w:asciiTheme="minorHAnsi" w:eastAsiaTheme="minorHAnsi" w:hAnsiTheme="minorHAnsi" w:cstheme="minorBidi"/>
          <w:sz w:val="21"/>
          <w:szCs w:val="21"/>
        </w:rPr>
        <w:tab/>
      </w:r>
      <w:r w:rsidRPr="0061260A">
        <w:rPr>
          <w:rFonts w:asciiTheme="minorHAnsi" w:eastAsiaTheme="minorHAnsi" w:hAnsiTheme="minorHAnsi" w:cstheme="minorBidi"/>
          <w:b/>
          <w:sz w:val="21"/>
          <w:szCs w:val="21"/>
        </w:rPr>
        <w:t>Critically Endangered</w:t>
      </w:r>
      <w:r w:rsidRPr="0061260A">
        <w:rPr>
          <w:rFonts w:asciiTheme="minorHAnsi" w:eastAsiaTheme="minorHAnsi" w:hAnsiTheme="minorHAnsi" w:cstheme="minorBidi"/>
          <w:iCs/>
          <w:sz w:val="21"/>
          <w:szCs w:val="21"/>
        </w:rPr>
        <w:t>,</w:t>
      </w:r>
      <w:r w:rsidRPr="0061260A">
        <w:rPr>
          <w:rFonts w:asciiTheme="minorHAnsi" w:eastAsiaTheme="minorHAnsi" w:hAnsiTheme="minorHAnsi" w:cstheme="minorBidi"/>
          <w:i/>
          <w:iCs/>
          <w:sz w:val="21"/>
          <w:szCs w:val="21"/>
        </w:rPr>
        <w:t xml:space="preserve"> Nature Conservation Act 2014 </w:t>
      </w:r>
      <w:r w:rsidRPr="0061260A">
        <w:rPr>
          <w:rFonts w:asciiTheme="minorHAnsi" w:eastAsiaTheme="minorHAnsi" w:hAnsiTheme="minorHAnsi" w:cstheme="minorBidi"/>
          <w:sz w:val="21"/>
          <w:szCs w:val="21"/>
        </w:rPr>
        <w:t>(NC Act)</w:t>
      </w:r>
    </w:p>
    <w:p w14:paraId="2E59A8DF" w14:textId="77777777" w:rsidR="0061260A" w:rsidRPr="0061260A" w:rsidRDefault="0061260A" w:rsidP="0061260A">
      <w:pPr>
        <w:spacing w:line="276" w:lineRule="auto"/>
        <w:ind w:left="851" w:hanging="851"/>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NSW</w:t>
      </w:r>
      <w:r w:rsidRPr="0061260A">
        <w:rPr>
          <w:rFonts w:asciiTheme="minorHAnsi" w:eastAsiaTheme="minorHAnsi" w:hAnsiTheme="minorHAnsi" w:cstheme="minorBidi"/>
          <w:sz w:val="21"/>
          <w:szCs w:val="21"/>
        </w:rPr>
        <w:tab/>
      </w:r>
      <w:r w:rsidRPr="0061260A">
        <w:rPr>
          <w:rFonts w:asciiTheme="minorHAnsi" w:eastAsiaTheme="minorHAnsi" w:hAnsiTheme="minorHAnsi" w:cstheme="minorBidi"/>
          <w:b/>
          <w:bCs/>
          <w:sz w:val="21"/>
          <w:szCs w:val="21"/>
        </w:rPr>
        <w:t>Critically Endangered</w:t>
      </w:r>
      <w:r w:rsidRPr="0061260A">
        <w:rPr>
          <w:rFonts w:asciiTheme="minorHAnsi" w:eastAsiaTheme="minorHAnsi" w:hAnsiTheme="minorHAnsi" w:cstheme="minorBidi"/>
          <w:sz w:val="21"/>
          <w:szCs w:val="21"/>
        </w:rPr>
        <w:t xml:space="preserve">, </w:t>
      </w:r>
      <w:r w:rsidRPr="0061260A">
        <w:rPr>
          <w:rFonts w:asciiTheme="minorHAnsi" w:eastAsiaTheme="minorHAnsi" w:hAnsiTheme="minorHAnsi" w:cstheme="minorBidi"/>
          <w:i/>
          <w:sz w:val="21"/>
          <w:szCs w:val="21"/>
        </w:rPr>
        <w:t>Biodiversity Conservation Act 2016</w:t>
      </w:r>
    </w:p>
    <w:p w14:paraId="40B0365F" w14:textId="77777777" w:rsidR="0061260A" w:rsidRPr="0061260A" w:rsidRDefault="0061260A" w:rsidP="0061260A">
      <w:pPr>
        <w:keepNext/>
        <w:keepLines/>
        <w:spacing w:before="200" w:line="276" w:lineRule="auto"/>
        <w:outlineLvl w:val="1"/>
        <w:rPr>
          <w:rFonts w:ascii="Arial" w:eastAsiaTheme="majorEastAsia" w:hAnsi="Arial" w:cstheme="majorBidi"/>
          <w:bCs/>
          <w:caps/>
          <w:color w:val="009999"/>
          <w:sz w:val="28"/>
          <w:szCs w:val="26"/>
        </w:rPr>
      </w:pPr>
      <w:r w:rsidRPr="0061260A">
        <w:rPr>
          <w:rFonts w:ascii="Arial" w:eastAsiaTheme="majorEastAsia" w:hAnsi="Arial" w:cstheme="majorBidi"/>
          <w:bCs/>
          <w:caps/>
          <w:color w:val="009999"/>
          <w:sz w:val="28"/>
          <w:szCs w:val="26"/>
        </w:rPr>
        <w:t>ELIGIBILITY</w:t>
      </w:r>
    </w:p>
    <w:p w14:paraId="4322BFAA" w14:textId="77777777" w:rsidR="0061260A" w:rsidRPr="0061260A" w:rsidRDefault="0061260A" w:rsidP="00081BCA">
      <w:pPr>
        <w:spacing w:after="200" w:line="276" w:lineRule="auto"/>
        <w:contextualSpacing/>
        <w:rPr>
          <w:rFonts w:asciiTheme="minorHAnsi" w:eastAsiaTheme="minorHAnsi" w:hAnsiTheme="minorHAnsi" w:cstheme="minorBidi"/>
          <w:sz w:val="21"/>
          <w:highlight w:val="yellow"/>
        </w:rPr>
      </w:pPr>
      <w:r w:rsidRPr="0061260A">
        <w:rPr>
          <w:rFonts w:asciiTheme="minorHAnsi" w:eastAsiaTheme="minorHAnsi" w:hAnsiTheme="minorHAnsi" w:cstheme="minorBidi"/>
          <w:sz w:val="21"/>
          <w:szCs w:val="21"/>
        </w:rPr>
        <w:t xml:space="preserve">The </w:t>
      </w:r>
      <w:r w:rsidRPr="0061260A">
        <w:rPr>
          <w:rFonts w:asciiTheme="minorHAnsi" w:eastAsiaTheme="minorHAnsi" w:hAnsiTheme="minorHAnsi" w:cstheme="minorBidi"/>
          <w:sz w:val="21"/>
        </w:rPr>
        <w:t xml:space="preserve">Canberra Grassland Earless Dragon </w:t>
      </w:r>
      <w:r w:rsidRPr="0061260A">
        <w:rPr>
          <w:rFonts w:asciiTheme="minorHAnsi" w:eastAsiaTheme="minorHAnsi" w:hAnsiTheme="minorHAnsi" w:cstheme="minorBidi"/>
          <w:sz w:val="21"/>
          <w:szCs w:val="21"/>
        </w:rPr>
        <w:t>is listed as Critically Endangered in the ACT Threatened Native Species List under IUCN Criteria: A–A4(b); B–B1ab(i,ii,iii,iv,v); C–C1&amp;C2a(i) owing to an accelerated trajectory of very severe decline despite variable year-to-year abundance records; an Extent of Occurrence (EOO) of 70 km</w:t>
      </w:r>
      <w:r w:rsidRPr="0061260A">
        <w:rPr>
          <w:rFonts w:asciiTheme="minorHAnsi" w:eastAsiaTheme="minorHAnsi" w:hAnsiTheme="minorHAnsi" w:cstheme="minorBidi"/>
          <w:sz w:val="20"/>
          <w:vertAlign w:val="superscript"/>
        </w:rPr>
        <w:t>2</w:t>
      </w:r>
      <w:r w:rsidRPr="0061260A">
        <w:rPr>
          <w:rFonts w:asciiTheme="minorHAnsi" w:eastAsiaTheme="minorHAnsi" w:hAnsiTheme="minorHAnsi" w:cstheme="minorBidi"/>
          <w:sz w:val="20"/>
        </w:rPr>
        <w:t>,</w:t>
      </w:r>
      <w:r w:rsidRPr="0061260A">
        <w:rPr>
          <w:rFonts w:asciiTheme="minorHAnsi" w:eastAsiaTheme="minorHAnsi" w:hAnsiTheme="minorHAnsi" w:cstheme="minorBidi"/>
          <w:sz w:val="21"/>
          <w:szCs w:val="21"/>
        </w:rPr>
        <w:t xml:space="preserve"> severely fragmented subpopulations, direct observation of declines in EOO, Area of Occupation (AOO), habitat area, extent and quality, number of subpopulations, and number of mature individuals; a small population size, a very high rate of ongoing decline in the number of mature individuals and less than 50 mature individuals in each of the two main populations. Dimond et al. (2012) estimated low annual survival rates for both juveniles and adults. There is an ongoing threat of development within the Canberra region where any further grassland contraction is likely to exacerbate fragmentation, reduce connectivity and increase the risk of the species’ extinction.</w:t>
      </w:r>
    </w:p>
    <w:p w14:paraId="271FBED7" w14:textId="77777777" w:rsidR="0061260A" w:rsidRPr="0061260A" w:rsidRDefault="0061260A" w:rsidP="0061260A">
      <w:pPr>
        <w:keepNext/>
        <w:keepLines/>
        <w:spacing w:before="200" w:line="276" w:lineRule="auto"/>
        <w:outlineLvl w:val="1"/>
        <w:rPr>
          <w:rFonts w:ascii="Arial" w:eastAsiaTheme="majorEastAsia" w:hAnsi="Arial" w:cstheme="majorBidi"/>
          <w:bCs/>
          <w:caps/>
          <w:color w:val="009999"/>
          <w:sz w:val="28"/>
          <w:szCs w:val="26"/>
        </w:rPr>
      </w:pPr>
      <w:r w:rsidRPr="0061260A">
        <w:rPr>
          <w:rFonts w:ascii="Arial" w:eastAsiaTheme="majorEastAsia" w:hAnsi="Arial" w:cstheme="majorBidi"/>
          <w:bCs/>
          <w:caps/>
          <w:color w:val="009999"/>
          <w:sz w:val="28"/>
          <w:szCs w:val="26"/>
        </w:rPr>
        <w:lastRenderedPageBreak/>
        <w:t>DESCRIPTION AND ECOLOGY</w:t>
      </w:r>
    </w:p>
    <w:p w14:paraId="07E90F08" w14:textId="73B7D732" w:rsidR="0061260A" w:rsidRPr="0061260A" w:rsidRDefault="00081BCA" w:rsidP="0061260A">
      <w:pPr>
        <w:spacing w:after="200" w:line="276" w:lineRule="auto"/>
        <w:rPr>
          <w:rFonts w:asciiTheme="minorHAnsi" w:eastAsiaTheme="minorHAnsi" w:hAnsiTheme="minorHAnsi" w:cstheme="minorBidi"/>
          <w:noProof/>
          <w:sz w:val="21"/>
          <w:szCs w:val="21"/>
          <w:lang w:eastAsia="en-AU"/>
        </w:rPr>
      </w:pPr>
      <w:r w:rsidRPr="0061260A">
        <w:rPr>
          <w:rFonts w:asciiTheme="minorHAnsi" w:eastAsiaTheme="minorHAnsi" w:hAnsiTheme="minorHAnsi" w:cstheme="minorBidi"/>
          <w:noProof/>
          <w:sz w:val="21"/>
          <w:szCs w:val="21"/>
        </w:rPr>
        <mc:AlternateContent>
          <mc:Choice Requires="wps">
            <w:drawing>
              <wp:anchor distT="0" distB="0" distL="114300" distR="114300" simplePos="0" relativeHeight="251659264" behindDoc="0" locked="0" layoutInCell="1" allowOverlap="1" wp14:anchorId="66A8227C" wp14:editId="25EED761">
                <wp:simplePos x="0" y="0"/>
                <wp:positionH relativeFrom="margin">
                  <wp:posOffset>1975155</wp:posOffset>
                </wp:positionH>
                <wp:positionV relativeFrom="paragraph">
                  <wp:posOffset>2713736</wp:posOffset>
                </wp:positionV>
                <wp:extent cx="3291840" cy="220980"/>
                <wp:effectExtent l="0" t="0" r="3810" b="762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FF99CC" w14:textId="77777777" w:rsidR="0061260A" w:rsidRPr="00B47588" w:rsidRDefault="0061260A" w:rsidP="0061260A">
                            <w:pPr>
                              <w:pStyle w:val="Caption"/>
                              <w:rPr>
                                <w:b w:val="0"/>
                                <w:color w:val="4BACC6" w:themeColor="accent5"/>
                                <w:sz w:val="21"/>
                                <w:szCs w:val="21"/>
                              </w:rPr>
                            </w:pPr>
                            <w:r>
                              <w:rPr>
                                <w:b w:val="0"/>
                                <w:color w:val="4BACC6" w:themeColor="accent5"/>
                                <w:sz w:val="21"/>
                                <w:szCs w:val="21"/>
                              </w:rPr>
                              <w:t>Canberra Grassland Earless Dragon (Emma Carlson</w:t>
                            </w:r>
                            <w:r w:rsidRPr="00B47588">
                              <w:rPr>
                                <w:b w:val="0"/>
                                <w:color w:val="4BACC6" w:themeColor="accent5"/>
                                <w:sz w:val="21"/>
                                <w:szCs w:val="21"/>
                              </w:rPr>
                              <w:t xml:space="preserve"> – </w:t>
                            </w:r>
                            <w:r>
                              <w:rPr>
                                <w:b w:val="0"/>
                                <w:color w:val="4BACC6" w:themeColor="accent5"/>
                                <w:sz w:val="21"/>
                                <w:szCs w:val="21"/>
                              </w:rPr>
                              <w:t>EPSDD</w:t>
                            </w:r>
                            <w:r w:rsidRPr="00B47588">
                              <w:rPr>
                                <w:b w:val="0"/>
                                <w:color w:val="4BACC6" w:themeColor="accent5"/>
                                <w:sz w:val="21"/>
                                <w:szCs w:val="21"/>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A8227C" id="_x0000_t202" coordsize="21600,21600" o:spt="202" path="m,l,21600r21600,l21600,xe">
                <v:stroke joinstyle="miter"/>
                <v:path gradientshapeok="t" o:connecttype="rect"/>
              </v:shapetype>
              <v:shape id="Text Box 4" o:spid="_x0000_s1026" type="#_x0000_t202" style="position:absolute;margin-left:155.5pt;margin-top:213.7pt;width:259.2pt;height:1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" stroked="f">
                <v:textbox inset="0,0,0,0">
                  <w:txbxContent>
                    <w:p w14:paraId="77FF99CC" w14:textId="77777777" w:rsidR="0061260A" w:rsidRPr="00B47588" w:rsidRDefault="0061260A" w:rsidP="0061260A">
                      <w:pPr>
                        <w:pStyle w:val="Caption"/>
                        <w:rPr>
                          <w:b w:val="0"/>
                          <w:color w:val="4BACC6" w:themeColor="accent5"/>
                          <w:sz w:val="21"/>
                          <w:szCs w:val="21"/>
                        </w:rPr>
                      </w:pPr>
                      <w:r>
                        <w:rPr>
                          <w:b w:val="0"/>
                          <w:color w:val="4BACC6" w:themeColor="accent5"/>
                          <w:sz w:val="21"/>
                          <w:szCs w:val="21"/>
                        </w:rPr>
                        <w:t>Canberra Grassland Earless Dragon (Emma Carlson</w:t>
                      </w:r>
                      <w:r w:rsidRPr="00B47588">
                        <w:rPr>
                          <w:b w:val="0"/>
                          <w:color w:val="4BACC6" w:themeColor="accent5"/>
                          <w:sz w:val="21"/>
                          <w:szCs w:val="21"/>
                        </w:rPr>
                        <w:t xml:space="preserve"> – </w:t>
                      </w:r>
                      <w:r>
                        <w:rPr>
                          <w:b w:val="0"/>
                          <w:color w:val="4BACC6" w:themeColor="accent5"/>
                          <w:sz w:val="21"/>
                          <w:szCs w:val="21"/>
                        </w:rPr>
                        <w:t>EPSDD</w:t>
                      </w:r>
                      <w:r w:rsidRPr="00B47588">
                        <w:rPr>
                          <w:b w:val="0"/>
                          <w:color w:val="4BACC6" w:themeColor="accent5"/>
                          <w:sz w:val="21"/>
                          <w:szCs w:val="21"/>
                        </w:rPr>
                        <w:t>)</w:t>
                      </w:r>
                    </w:p>
                  </w:txbxContent>
                </v:textbox>
                <w10:wrap type="square" anchorx="margin"/>
              </v:shape>
            </w:pict>
          </mc:Fallback>
        </mc:AlternateContent>
      </w:r>
      <w:r w:rsidR="0061260A" w:rsidRPr="0061260A">
        <w:rPr>
          <w:rFonts w:asciiTheme="minorHAnsi" w:eastAsiaTheme="minorHAnsi" w:hAnsiTheme="minorHAnsi" w:cstheme="minorBidi"/>
          <w:noProof/>
          <w:sz w:val="21"/>
          <w:szCs w:val="21"/>
          <w:lang w:eastAsia="en-AU"/>
        </w:rPr>
        <w:t>The Canberra Grassland Earless Dragon</w:t>
      </w:r>
      <w:r w:rsidR="0061260A" w:rsidRPr="0061260A" w:rsidDel="000A4404">
        <w:rPr>
          <w:rFonts w:asciiTheme="minorHAnsi" w:eastAsiaTheme="minorHAnsi" w:hAnsiTheme="minorHAnsi" w:cstheme="minorBidi"/>
          <w:i/>
          <w:noProof/>
          <w:sz w:val="21"/>
          <w:szCs w:val="21"/>
          <w:lang w:eastAsia="en-AU"/>
        </w:rPr>
        <w:t xml:space="preserve"> </w:t>
      </w:r>
      <w:r w:rsidR="0061260A" w:rsidRPr="0061260A">
        <w:rPr>
          <w:rFonts w:asciiTheme="minorHAnsi" w:eastAsiaTheme="minorHAnsi" w:hAnsiTheme="minorHAnsi" w:cstheme="minorBidi"/>
          <w:noProof/>
          <w:sz w:val="21"/>
          <w:szCs w:val="21"/>
          <w:lang w:eastAsia="en-AU"/>
        </w:rPr>
        <w:t xml:space="preserve">is a small, diurnal, and cryptic agamid lizard with a stout body and short robust limbs (Mitchell 1948). </w:t>
      </w:r>
      <w:r w:rsidR="0061260A" w:rsidRPr="0061260A">
        <w:rPr>
          <w:rFonts w:asciiTheme="minorHAnsi" w:eastAsiaTheme="minorHAnsi" w:hAnsiTheme="minorHAnsi" w:cstheme="minorBidi"/>
          <w:noProof/>
          <w:sz w:val="21"/>
          <w:szCs w:val="21"/>
        </w:rPr>
        <w:drawing>
          <wp:anchor distT="0" distB="0" distL="114300" distR="114300" simplePos="0" relativeHeight="251660288" behindDoc="0" locked="0" layoutInCell="1" allowOverlap="1" wp14:anchorId="3DDBA6A8" wp14:editId="2E955133">
            <wp:simplePos x="0" y="0"/>
            <wp:positionH relativeFrom="margin">
              <wp:align>right</wp:align>
            </wp:positionH>
            <wp:positionV relativeFrom="paragraph">
              <wp:posOffset>129540</wp:posOffset>
            </wp:positionV>
            <wp:extent cx="3596640" cy="251904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cstate="print">
                      <a:extLst>
                        <a:ext uri="{28A0092B-C50C-407E-A947-70E740481C1C}">
                          <a14:useLocalDpi xmlns:a14="http://schemas.microsoft.com/office/drawing/2010/main" val="0"/>
                        </a:ext>
                      </a:extLst>
                    </a:blip>
                    <a:srcRect t="25020" r="28629"/>
                    <a:stretch/>
                  </pic:blipFill>
                  <pic:spPr bwMode="auto">
                    <a:xfrm>
                      <a:off x="0" y="0"/>
                      <a:ext cx="3596640" cy="2519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260A" w:rsidRPr="0061260A">
        <w:rPr>
          <w:rFonts w:asciiTheme="minorHAnsi" w:eastAsiaTheme="minorHAnsi" w:hAnsiTheme="minorHAnsi" w:cstheme="minorBidi"/>
          <w:noProof/>
          <w:sz w:val="21"/>
          <w:szCs w:val="21"/>
          <w:lang w:eastAsia="en-AU"/>
        </w:rPr>
        <w:t>It lacks an external ear opening and a functional tympanum (ear drum) (Greer 1989, Cogger 2014). Total adult body length is usually less than 150 mm (Robertson and Evans 2009) with a snout vent length (SVL) of 44–61 mm (Melville et al. 2019a) and weight of 5–9 g (Robertson and Evans 2009). The species has a tapering snout, its nostril scale is below the ridge that runs from the eye to the snout, it has six or seven dark crossbands on its back and a skin fold along its side, the larger rounded scales on its back have a prominent spine that points backwards and upwards, it has no large and rounded scales on its thighs, the scales under its throat are smooth, it often has dark speckling on its underside and especially on the throat, and it has 11 or fewer blotches on its tail (Melville et al. 2019a). The pattern of the dark blotches is unique to each individual and does not change with age making it useful for identifying individual animals (Nelson et al. 1996; Dimond 2010). There is usually a pale bar above the eye but it is usually weakly contrasting.</w:t>
      </w:r>
    </w:p>
    <w:p w14:paraId="12F25FFB" w14:textId="77777777" w:rsidR="0061260A" w:rsidRPr="0061260A" w:rsidRDefault="0061260A" w:rsidP="0061260A">
      <w:pPr>
        <w:spacing w:after="200" w:line="276" w:lineRule="auto"/>
        <w:rPr>
          <w:rFonts w:asciiTheme="minorHAnsi" w:eastAsiaTheme="minorHAnsi" w:hAnsiTheme="minorHAnsi" w:cstheme="minorBidi"/>
          <w:noProof/>
          <w:sz w:val="21"/>
          <w:szCs w:val="21"/>
          <w:lang w:eastAsia="en-AU"/>
        </w:rPr>
      </w:pPr>
      <w:r w:rsidRPr="0061260A">
        <w:rPr>
          <w:rFonts w:asciiTheme="minorHAnsi" w:eastAsiaTheme="minorHAnsi" w:hAnsiTheme="minorHAnsi" w:cstheme="minorBidi"/>
          <w:noProof/>
          <w:sz w:val="21"/>
          <w:szCs w:val="21"/>
          <w:lang w:eastAsia="en-AU"/>
        </w:rPr>
        <w:t>Breeding commences in September and egg laying takes place from mid-October through to February (Doucette and Sarre 2018). Females lay a clutch of three to seven (typically five) eggs at around 10 months of age in an arthropod burrow 10–13 cm deep (Doucette and Sarre 2018). Hatching occurs mainly in January–March but may well extend through to May (Langston 1996; Dimond 2010; Doucette unpublished data), and high abundance of invertebrate prey coincides with the juvenile recruitment period (Benson 1999; Nelson 2004). Juveniles grow rapidly and males mature at six months, around two months earlier than females (Langston 1996; Nelson 2004). The Canberra Grassland Earless Dragon has an average life span in the wild of less than two years (Dimond 2010) although they can live to five years or even older in captivity (Doucette and Sarre, 2018).</w:t>
      </w:r>
    </w:p>
    <w:p w14:paraId="7758CAE4" w14:textId="77777777" w:rsidR="0061260A" w:rsidRPr="0061260A" w:rsidRDefault="0061260A" w:rsidP="0061260A">
      <w:pPr>
        <w:spacing w:after="200" w:line="276" w:lineRule="auto"/>
        <w:rPr>
          <w:rFonts w:asciiTheme="minorHAnsi" w:eastAsiaTheme="minorHAnsi" w:hAnsiTheme="minorHAnsi" w:cstheme="minorBidi"/>
          <w:noProof/>
          <w:sz w:val="21"/>
          <w:szCs w:val="21"/>
          <w:lang w:eastAsia="en-AU"/>
        </w:rPr>
      </w:pPr>
      <w:r w:rsidRPr="0061260A">
        <w:rPr>
          <w:rFonts w:asciiTheme="minorHAnsi" w:eastAsiaTheme="minorHAnsi" w:hAnsiTheme="minorHAnsi" w:cstheme="minorBidi"/>
          <w:noProof/>
          <w:sz w:val="21"/>
          <w:szCs w:val="21"/>
          <w:lang w:eastAsia="en-AU"/>
        </w:rPr>
        <w:t>The Canberra Grassland Earless Dragon is a sit-and-wait predator and eats a variety of small invertebrates, especially ants, beetles, spiders and moths (including larvae) (Howe 1995; Benson 1999; Dimond 2010) with beetles being the preferred food at three sites in 2007.</w:t>
      </w:r>
    </w:p>
    <w:p w14:paraId="246C7B33" w14:textId="77777777" w:rsidR="0061260A" w:rsidRPr="0061260A" w:rsidRDefault="0061260A" w:rsidP="0061260A">
      <w:pPr>
        <w:spacing w:after="200" w:line="276" w:lineRule="auto"/>
        <w:rPr>
          <w:rFonts w:asciiTheme="minorHAnsi" w:eastAsiaTheme="minorHAnsi" w:hAnsiTheme="minorHAnsi" w:cstheme="minorBidi"/>
          <w:noProof/>
          <w:sz w:val="21"/>
          <w:szCs w:val="21"/>
          <w:lang w:eastAsia="en-AU"/>
        </w:rPr>
      </w:pPr>
      <w:r w:rsidRPr="0061260A">
        <w:rPr>
          <w:rFonts w:asciiTheme="minorHAnsi" w:eastAsiaTheme="minorHAnsi" w:hAnsiTheme="minorHAnsi" w:cstheme="minorBidi"/>
          <w:noProof/>
          <w:sz w:val="21"/>
          <w:szCs w:val="21"/>
          <w:lang w:eastAsia="en-AU"/>
        </w:rPr>
        <w:t>Genetic analyses indicate the Canberra Grassland Earless Dragon</w:t>
      </w:r>
      <w:r w:rsidRPr="0061260A">
        <w:rPr>
          <w:rFonts w:asciiTheme="minorHAnsi" w:eastAsiaTheme="minorHAnsi" w:hAnsiTheme="minorHAnsi" w:cstheme="minorBidi"/>
          <w:i/>
          <w:iCs/>
          <w:noProof/>
          <w:sz w:val="21"/>
          <w:szCs w:val="21"/>
          <w:lang w:eastAsia="en-AU"/>
        </w:rPr>
        <w:t xml:space="preserve"> </w:t>
      </w:r>
      <w:r w:rsidRPr="0061260A">
        <w:rPr>
          <w:rFonts w:asciiTheme="minorHAnsi" w:eastAsiaTheme="minorHAnsi" w:hAnsiTheme="minorHAnsi" w:cstheme="minorBidi"/>
          <w:noProof/>
          <w:sz w:val="21"/>
          <w:szCs w:val="21"/>
          <w:lang w:eastAsia="en-AU"/>
        </w:rPr>
        <w:t xml:space="preserve">has high levels of population structure with no interchange of individuals between populations and very little gene flow between subpopulations (Hoehn et al. 2013; Carlson et al. 2016; Colley 2021). Even within populations, the sites and even sampling grids within sites are connected by only very low levels of gene flow. The genetic data suggest that even a distance of 100 m of sub-optimal grassland will prevent most genetic exchange in this species. Within subpopulations, Canberra Grassland Earless Dragons occupy mostly one or two natural burrows within a home range of 925–4768 m², </w:t>
      </w:r>
      <w:r w:rsidRPr="0061260A">
        <w:rPr>
          <w:rFonts w:asciiTheme="minorHAnsi" w:eastAsiaTheme="minorHAnsi" w:hAnsiTheme="minorHAnsi" w:cstheme="minorBidi"/>
          <w:noProof/>
          <w:sz w:val="21"/>
          <w:szCs w:val="21"/>
          <w:lang w:eastAsia="en-AU"/>
        </w:rPr>
        <w:lastRenderedPageBreak/>
        <w:t>with some overlap in home ranges (Stevens et al. 2010). Adults and juveniles frequently move from one burrow (natural or artificial) to another (Benson 1996; Langston 1996; Nelson 2004; Stevens et al. 2010; AECOM 2014; Doucette unpublished data), with dispersal of greater than 100 m rare (Colley 2021).</w:t>
      </w:r>
    </w:p>
    <w:p w14:paraId="70BF1C6E" w14:textId="77777777" w:rsidR="0061260A" w:rsidRPr="0061260A" w:rsidRDefault="0061260A" w:rsidP="0061260A">
      <w:pPr>
        <w:keepNext/>
        <w:keepLines/>
        <w:spacing w:before="200" w:line="276" w:lineRule="auto"/>
        <w:outlineLvl w:val="1"/>
        <w:rPr>
          <w:rFonts w:ascii="Arial" w:eastAsiaTheme="majorEastAsia" w:hAnsi="Arial" w:cstheme="majorBidi"/>
          <w:bCs/>
          <w:caps/>
          <w:color w:val="009999"/>
          <w:sz w:val="28"/>
          <w:szCs w:val="26"/>
        </w:rPr>
      </w:pPr>
      <w:r w:rsidRPr="0061260A">
        <w:rPr>
          <w:rFonts w:ascii="Arial" w:eastAsiaTheme="majorEastAsia" w:hAnsi="Arial" w:cstheme="majorBidi"/>
          <w:bCs/>
          <w:caps/>
          <w:color w:val="009999"/>
          <w:sz w:val="28"/>
          <w:szCs w:val="26"/>
        </w:rPr>
        <w:t>Distribution and Habitat</w:t>
      </w:r>
    </w:p>
    <w:p w14:paraId="6EB29E0C" w14:textId="77777777" w:rsidR="0061260A" w:rsidRPr="0061260A" w:rsidRDefault="0061260A" w:rsidP="0061260A">
      <w:pPr>
        <w:spacing w:after="200" w:line="276" w:lineRule="auto"/>
        <w:rPr>
          <w:rFonts w:asciiTheme="minorHAnsi" w:eastAsiaTheme="minorHAnsi" w:hAnsiTheme="minorHAnsi" w:cstheme="minorBidi"/>
          <w:sz w:val="21"/>
          <w:szCs w:val="21"/>
        </w:rPr>
      </w:pPr>
      <w:r w:rsidRPr="0061260A">
        <w:rPr>
          <w:rFonts w:asciiTheme="minorHAnsi" w:eastAsiaTheme="minorHAnsi" w:hAnsiTheme="minorHAnsi" w:cstheme="minorBidi"/>
          <w:noProof/>
          <w:sz w:val="21"/>
          <w:szCs w:val="21"/>
          <w:lang w:eastAsia="en-AU"/>
        </w:rPr>
        <w:t>The Canberra Grassland Earless Dragon</w:t>
      </w:r>
      <w:r w:rsidRPr="0061260A">
        <w:rPr>
          <w:rFonts w:asciiTheme="minorHAnsi" w:eastAsiaTheme="minorHAnsi" w:hAnsiTheme="minorHAnsi" w:cstheme="minorBidi"/>
          <w:sz w:val="21"/>
          <w:szCs w:val="21"/>
        </w:rPr>
        <w:t xml:space="preserve"> was thought to be extinct in the Australian Capital Territory (ACT) after not being recorded for 30 years until an opportunistic observation was made near Canberra (ACT) in the early 1990s (Osborne et al. 1993). It is now known to be geographically isolated and restricted to Natural Temperate Grassland (a listed Critically Endangered ecological community under the EPBC Act and</w:t>
      </w:r>
      <w:r w:rsidRPr="0061260A">
        <w:rPr>
          <w:rFonts w:asciiTheme="minorHAnsi" w:eastAsiaTheme="minorHAnsi" w:hAnsiTheme="minorHAnsi" w:cstheme="minorBidi"/>
          <w:i/>
          <w:iCs/>
          <w:sz w:val="21"/>
          <w:szCs w:val="21"/>
        </w:rPr>
        <w:t xml:space="preserve"> </w:t>
      </w:r>
      <w:r w:rsidRPr="0061260A">
        <w:rPr>
          <w:rFonts w:asciiTheme="minorHAnsi" w:eastAsiaTheme="minorHAnsi" w:hAnsiTheme="minorHAnsi" w:cstheme="minorBidi"/>
          <w:sz w:val="21"/>
          <w:szCs w:val="21"/>
        </w:rPr>
        <w:t xml:space="preserve">NC Act) around Canberra in the ACT and immediately adjacent in New South Wales. Surveys conducted in the 1990s and early 2000s by the ACT Government Conservation Research section identified 14 sites containing the </w:t>
      </w:r>
      <w:r w:rsidRPr="0061260A">
        <w:rPr>
          <w:rFonts w:asciiTheme="minorHAnsi" w:eastAsiaTheme="minorHAnsi" w:hAnsiTheme="minorHAnsi" w:cstheme="minorBidi"/>
          <w:noProof/>
          <w:sz w:val="21"/>
          <w:szCs w:val="21"/>
          <w:lang w:eastAsia="en-AU"/>
        </w:rPr>
        <w:t>Canberra Grassland Earless Dragon</w:t>
      </w:r>
      <w:r w:rsidRPr="0061260A">
        <w:rPr>
          <w:rFonts w:asciiTheme="minorHAnsi" w:eastAsiaTheme="minorHAnsi" w:hAnsiTheme="minorHAnsi" w:cstheme="minorBidi"/>
          <w:sz w:val="21"/>
          <w:szCs w:val="21"/>
        </w:rPr>
        <w:t xml:space="preserve"> (Figure 1, Table 1). The continuous area encompassed by these sites is 70 km</w:t>
      </w:r>
      <w:r w:rsidRPr="0061260A">
        <w:rPr>
          <w:rFonts w:asciiTheme="minorHAnsi" w:eastAsiaTheme="minorHAnsi" w:hAnsiTheme="minorHAnsi" w:cstheme="minorBidi"/>
          <w:sz w:val="21"/>
          <w:szCs w:val="21"/>
          <w:vertAlign w:val="superscript"/>
        </w:rPr>
        <w:t>2</w:t>
      </w:r>
      <w:r w:rsidRPr="0061260A">
        <w:rPr>
          <w:rFonts w:asciiTheme="minorHAnsi" w:eastAsiaTheme="minorHAnsi" w:hAnsiTheme="minorHAnsi" w:cstheme="minorBidi"/>
          <w:sz w:val="21"/>
          <w:szCs w:val="21"/>
        </w:rPr>
        <w:t xml:space="preserve"> (EOO) but the area of the sites occupied by dragons is only 26 km</w:t>
      </w:r>
      <w:r w:rsidRPr="0061260A">
        <w:rPr>
          <w:rFonts w:asciiTheme="minorHAnsi" w:eastAsiaTheme="minorHAnsi" w:hAnsiTheme="minorHAnsi" w:cstheme="minorBidi"/>
          <w:sz w:val="21"/>
          <w:szCs w:val="21"/>
          <w:vertAlign w:val="superscript"/>
        </w:rPr>
        <w:t>2</w:t>
      </w:r>
      <w:r w:rsidRPr="0061260A">
        <w:rPr>
          <w:rFonts w:asciiTheme="minorHAnsi" w:eastAsiaTheme="minorHAnsi" w:hAnsiTheme="minorHAnsi" w:cstheme="minorBidi"/>
          <w:sz w:val="21"/>
          <w:szCs w:val="21"/>
        </w:rPr>
        <w:t xml:space="preserve"> (Gruber unpublished data; Figure 1).</w:t>
      </w:r>
    </w:p>
    <w:p w14:paraId="55661663" w14:textId="77777777" w:rsidR="0061260A" w:rsidRPr="0061260A" w:rsidRDefault="0061260A" w:rsidP="0061260A">
      <w:pPr>
        <w:spacing w:after="200" w:line="276" w:lineRule="auto"/>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The effective population size at the three most closely monitored sites (Cookanalla, Jerrabomberra West Grasslands Nature Reserve, and the Majura Training Area) are well below the 100 considered to be the minimum number required to avoid rapid inbreeding (Frankham et al. 2014). </w:t>
      </w:r>
    </w:p>
    <w:p w14:paraId="4875C0B0" w14:textId="77777777" w:rsidR="0061260A" w:rsidRPr="0061260A" w:rsidRDefault="0061260A" w:rsidP="0061260A">
      <w:pPr>
        <w:keepNext/>
        <w:spacing w:after="200" w:line="276" w:lineRule="auto"/>
        <w:rPr>
          <w:rFonts w:asciiTheme="minorHAnsi" w:eastAsiaTheme="minorHAnsi" w:hAnsiTheme="minorHAnsi" w:cstheme="minorBidi"/>
          <w:bCs/>
          <w:sz w:val="21"/>
          <w:szCs w:val="21"/>
          <w:lang w:val="en-US"/>
        </w:rPr>
      </w:pPr>
      <w:r w:rsidRPr="0061260A">
        <w:rPr>
          <w:rFonts w:asciiTheme="minorHAnsi" w:eastAsiaTheme="minorHAnsi" w:hAnsiTheme="minorHAnsi" w:cstheme="minorBidi"/>
          <w:b/>
          <w:sz w:val="21"/>
          <w:szCs w:val="21"/>
          <w:lang w:val="en-US"/>
        </w:rPr>
        <w:t>Figure 1: Extent of Occurrence (over last 30 years) of the Canberra Grassland Earless Dragon</w:t>
      </w:r>
    </w:p>
    <w:p w14:paraId="686DE8EA" w14:textId="77777777" w:rsidR="0061260A" w:rsidRPr="0061260A" w:rsidRDefault="0061260A" w:rsidP="0061260A">
      <w:pPr>
        <w:spacing w:after="200" w:line="276" w:lineRule="auto"/>
        <w:rPr>
          <w:rFonts w:asciiTheme="minorHAnsi" w:eastAsiaTheme="minorHAnsi" w:hAnsiTheme="minorHAnsi" w:cstheme="minorBidi"/>
          <w:sz w:val="21"/>
          <w:szCs w:val="21"/>
          <w:lang w:val="en-US"/>
        </w:rPr>
      </w:pPr>
      <w:r w:rsidRPr="0061260A">
        <w:rPr>
          <w:rFonts w:asciiTheme="minorHAnsi" w:eastAsiaTheme="minorHAnsi" w:hAnsiTheme="minorHAnsi" w:cstheme="minorBidi"/>
          <w:noProof/>
          <w:sz w:val="21"/>
          <w:szCs w:val="21"/>
          <w:lang w:val="en-US"/>
        </w:rPr>
        <w:drawing>
          <wp:inline distT="0" distB="0" distL="0" distR="0" wp14:anchorId="3158E706" wp14:editId="3AA38E52">
            <wp:extent cx="3352800" cy="41522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3425" cy="4165391"/>
                    </a:xfrm>
                    <a:prstGeom prst="rect">
                      <a:avLst/>
                    </a:prstGeom>
                    <a:noFill/>
                  </pic:spPr>
                </pic:pic>
              </a:graphicData>
            </a:graphic>
          </wp:inline>
        </w:drawing>
      </w:r>
      <w:r w:rsidRPr="0061260A">
        <w:rPr>
          <w:rFonts w:asciiTheme="minorHAnsi" w:eastAsiaTheme="minorHAnsi" w:hAnsiTheme="minorHAnsi" w:cstheme="minorBidi"/>
          <w:i/>
          <w:iCs/>
          <w:sz w:val="21"/>
          <w:szCs w:val="21"/>
        </w:rPr>
        <w:t xml:space="preserve"> </w:t>
      </w:r>
    </w:p>
    <w:p w14:paraId="5B8D5610" w14:textId="77777777" w:rsidR="0061260A" w:rsidRPr="0061260A" w:rsidRDefault="0061260A" w:rsidP="0061260A">
      <w:pPr>
        <w:keepNext/>
        <w:spacing w:after="200"/>
        <w:rPr>
          <w:rFonts w:ascii="Calibri" w:hAnsi="Calibri"/>
          <w:b/>
          <w:bCs/>
          <w:color w:val="1F497D" w:themeColor="text2"/>
          <w:sz w:val="18"/>
          <w:szCs w:val="18"/>
          <w:lang w:bidi="en-US"/>
        </w:rPr>
      </w:pPr>
      <w:r w:rsidRPr="0061260A">
        <w:rPr>
          <w:rFonts w:ascii="Calibri" w:hAnsi="Calibri"/>
          <w:b/>
          <w:bCs/>
          <w:color w:val="1F497D" w:themeColor="text2"/>
          <w:sz w:val="21"/>
          <w:szCs w:val="21"/>
          <w:lang w:bidi="en-US"/>
        </w:rPr>
        <w:lastRenderedPageBreak/>
        <w:t>Table 1: Monitoring 2002–2022</w:t>
      </w:r>
    </w:p>
    <w:tbl>
      <w:tblPr>
        <w:tblW w:w="8789" w:type="dxa"/>
        <w:tblLayout w:type="fixed"/>
        <w:tblCellMar>
          <w:left w:w="28" w:type="dxa"/>
          <w:right w:w="28" w:type="dxa"/>
        </w:tblCellMar>
        <w:tblLook w:val="04A0" w:firstRow="1" w:lastRow="0" w:firstColumn="1" w:lastColumn="0" w:noHBand="0" w:noVBand="1"/>
      </w:tblPr>
      <w:tblGrid>
        <w:gridCol w:w="459"/>
        <w:gridCol w:w="250"/>
        <w:gridCol w:w="425"/>
        <w:gridCol w:w="284"/>
        <w:gridCol w:w="425"/>
        <w:gridCol w:w="425"/>
        <w:gridCol w:w="426"/>
        <w:gridCol w:w="425"/>
        <w:gridCol w:w="425"/>
        <w:gridCol w:w="425"/>
        <w:gridCol w:w="426"/>
        <w:gridCol w:w="283"/>
        <w:gridCol w:w="425"/>
        <w:gridCol w:w="426"/>
        <w:gridCol w:w="283"/>
        <w:gridCol w:w="425"/>
        <w:gridCol w:w="426"/>
        <w:gridCol w:w="425"/>
        <w:gridCol w:w="425"/>
        <w:gridCol w:w="425"/>
        <w:gridCol w:w="426"/>
        <w:gridCol w:w="425"/>
      </w:tblGrid>
      <w:tr w:rsidR="0061260A" w:rsidRPr="0061260A" w14:paraId="2E530C16" w14:textId="77777777" w:rsidTr="005F740A">
        <w:trPr>
          <w:cantSplit/>
          <w:trHeight w:val="334"/>
        </w:trPr>
        <w:tc>
          <w:tcPr>
            <w:tcW w:w="459" w:type="dxa"/>
            <w:tcBorders>
              <w:top w:val="single" w:sz="4" w:space="0" w:color="auto"/>
              <w:bottom w:val="single" w:sz="4" w:space="0" w:color="auto"/>
            </w:tcBorders>
            <w:noWrap/>
            <w:hideMark/>
          </w:tcPr>
          <w:p w14:paraId="582B83B8" w14:textId="77777777" w:rsidR="0061260A" w:rsidRPr="0061260A" w:rsidRDefault="0061260A" w:rsidP="0061260A">
            <w:pPr>
              <w:rPr>
                <w:rFonts w:asciiTheme="minorHAnsi" w:hAnsiTheme="minorHAnsi" w:cstheme="minorHAnsi"/>
                <w:b/>
                <w:bCs/>
                <w:color w:val="000000"/>
                <w:sz w:val="18"/>
                <w:szCs w:val="18"/>
                <w:lang w:eastAsia="en-AU" w:bidi="en-US"/>
              </w:rPr>
            </w:pPr>
            <w:bookmarkStart w:id="2" w:name="_Hlk109813047"/>
            <w:r w:rsidRPr="0061260A">
              <w:rPr>
                <w:rFonts w:asciiTheme="minorHAnsi" w:hAnsiTheme="minorHAnsi" w:cstheme="minorHAnsi"/>
                <w:b/>
                <w:bCs/>
                <w:color w:val="000000"/>
                <w:sz w:val="18"/>
                <w:szCs w:val="18"/>
                <w:lang w:eastAsia="en-AU" w:bidi="en-US"/>
              </w:rPr>
              <w:t>Site</w:t>
            </w:r>
          </w:p>
        </w:tc>
        <w:tc>
          <w:tcPr>
            <w:tcW w:w="250" w:type="dxa"/>
            <w:tcBorders>
              <w:top w:val="single" w:sz="4" w:space="0" w:color="auto"/>
              <w:bottom w:val="single" w:sz="4" w:space="0" w:color="auto"/>
            </w:tcBorders>
            <w:noWrap/>
            <w:hideMark/>
          </w:tcPr>
          <w:p w14:paraId="186916DE" w14:textId="77777777" w:rsidR="0061260A" w:rsidRPr="0061260A" w:rsidRDefault="0061260A" w:rsidP="0061260A">
            <w:pPr>
              <w:jc w:val="center"/>
              <w:rPr>
                <w:rFonts w:asciiTheme="minorHAnsi" w:hAnsiTheme="minorHAnsi" w:cstheme="minorHAnsi"/>
                <w:b/>
                <w:bCs/>
                <w:color w:val="000000"/>
                <w:sz w:val="18"/>
                <w:szCs w:val="18"/>
                <w:lang w:eastAsia="en-AU" w:bidi="en-US"/>
              </w:rPr>
            </w:pPr>
            <w:r w:rsidRPr="0061260A">
              <w:rPr>
                <w:rFonts w:asciiTheme="minorHAnsi" w:hAnsiTheme="minorHAnsi" w:cstheme="minorHAnsi"/>
                <w:b/>
                <w:bCs/>
                <w:color w:val="000000"/>
                <w:sz w:val="18"/>
                <w:szCs w:val="18"/>
                <w:lang w:eastAsia="en-AU" w:bidi="en-US"/>
              </w:rPr>
              <w:t>02</w:t>
            </w:r>
          </w:p>
        </w:tc>
        <w:tc>
          <w:tcPr>
            <w:tcW w:w="425" w:type="dxa"/>
            <w:tcBorders>
              <w:top w:val="single" w:sz="4" w:space="0" w:color="auto"/>
              <w:bottom w:val="single" w:sz="4" w:space="0" w:color="auto"/>
            </w:tcBorders>
            <w:noWrap/>
            <w:hideMark/>
          </w:tcPr>
          <w:p w14:paraId="129F0124" w14:textId="77777777" w:rsidR="0061260A" w:rsidRPr="0061260A" w:rsidRDefault="0061260A" w:rsidP="0061260A">
            <w:pPr>
              <w:jc w:val="center"/>
              <w:rPr>
                <w:rFonts w:asciiTheme="minorHAnsi" w:hAnsiTheme="minorHAnsi" w:cstheme="minorHAnsi"/>
                <w:b/>
                <w:bCs/>
                <w:color w:val="000000"/>
                <w:sz w:val="18"/>
                <w:szCs w:val="18"/>
                <w:lang w:eastAsia="en-AU" w:bidi="en-US"/>
              </w:rPr>
            </w:pPr>
            <w:r w:rsidRPr="0061260A">
              <w:rPr>
                <w:rFonts w:asciiTheme="minorHAnsi" w:hAnsiTheme="minorHAnsi" w:cstheme="minorHAnsi"/>
                <w:b/>
                <w:bCs/>
                <w:color w:val="000000"/>
                <w:sz w:val="18"/>
                <w:szCs w:val="18"/>
                <w:lang w:eastAsia="en-AU" w:bidi="en-US"/>
              </w:rPr>
              <w:t>03</w:t>
            </w:r>
          </w:p>
        </w:tc>
        <w:tc>
          <w:tcPr>
            <w:tcW w:w="284" w:type="dxa"/>
            <w:tcBorders>
              <w:top w:val="single" w:sz="4" w:space="0" w:color="auto"/>
              <w:bottom w:val="single" w:sz="4" w:space="0" w:color="auto"/>
            </w:tcBorders>
            <w:noWrap/>
            <w:hideMark/>
          </w:tcPr>
          <w:p w14:paraId="78FB8848" w14:textId="77777777" w:rsidR="0061260A" w:rsidRPr="0061260A" w:rsidRDefault="0061260A" w:rsidP="0061260A">
            <w:pPr>
              <w:jc w:val="center"/>
              <w:rPr>
                <w:rFonts w:asciiTheme="minorHAnsi" w:hAnsiTheme="minorHAnsi" w:cstheme="minorHAnsi"/>
                <w:b/>
                <w:bCs/>
                <w:color w:val="000000"/>
                <w:sz w:val="18"/>
                <w:szCs w:val="18"/>
                <w:lang w:eastAsia="en-AU" w:bidi="en-US"/>
              </w:rPr>
            </w:pPr>
            <w:r w:rsidRPr="0061260A">
              <w:rPr>
                <w:rFonts w:asciiTheme="minorHAnsi" w:hAnsiTheme="minorHAnsi" w:cstheme="minorHAnsi"/>
                <w:b/>
                <w:bCs/>
                <w:color w:val="000000"/>
                <w:sz w:val="18"/>
                <w:szCs w:val="18"/>
                <w:lang w:eastAsia="en-AU" w:bidi="en-US"/>
              </w:rPr>
              <w:t>04</w:t>
            </w:r>
          </w:p>
        </w:tc>
        <w:tc>
          <w:tcPr>
            <w:tcW w:w="425" w:type="dxa"/>
            <w:tcBorders>
              <w:top w:val="single" w:sz="4" w:space="0" w:color="auto"/>
              <w:bottom w:val="single" w:sz="4" w:space="0" w:color="auto"/>
            </w:tcBorders>
          </w:tcPr>
          <w:p w14:paraId="64A839ED" w14:textId="77777777" w:rsidR="0061260A" w:rsidRPr="0061260A" w:rsidRDefault="0061260A" w:rsidP="0061260A">
            <w:pPr>
              <w:jc w:val="center"/>
              <w:rPr>
                <w:rFonts w:asciiTheme="minorHAnsi" w:hAnsiTheme="minorHAnsi" w:cstheme="minorHAnsi"/>
                <w:b/>
                <w:bCs/>
                <w:color w:val="000000"/>
                <w:sz w:val="18"/>
                <w:szCs w:val="18"/>
                <w:lang w:eastAsia="en-AU" w:bidi="en-US"/>
              </w:rPr>
            </w:pPr>
            <w:r w:rsidRPr="0061260A">
              <w:rPr>
                <w:rFonts w:asciiTheme="minorHAnsi" w:hAnsiTheme="minorHAnsi" w:cstheme="minorHAnsi"/>
                <w:b/>
                <w:bCs/>
                <w:color w:val="000000"/>
                <w:sz w:val="18"/>
                <w:szCs w:val="18"/>
                <w:lang w:eastAsia="en-AU" w:bidi="en-US"/>
              </w:rPr>
              <w:t>05</w:t>
            </w:r>
          </w:p>
        </w:tc>
        <w:tc>
          <w:tcPr>
            <w:tcW w:w="425" w:type="dxa"/>
            <w:tcBorders>
              <w:top w:val="single" w:sz="4" w:space="0" w:color="auto"/>
              <w:bottom w:val="single" w:sz="4" w:space="0" w:color="auto"/>
            </w:tcBorders>
            <w:noWrap/>
            <w:hideMark/>
          </w:tcPr>
          <w:p w14:paraId="24C31809" w14:textId="77777777" w:rsidR="0061260A" w:rsidRPr="0061260A" w:rsidRDefault="0061260A" w:rsidP="0061260A">
            <w:pPr>
              <w:jc w:val="center"/>
              <w:rPr>
                <w:rFonts w:asciiTheme="minorHAnsi" w:hAnsiTheme="minorHAnsi" w:cstheme="minorHAnsi"/>
                <w:b/>
                <w:bCs/>
                <w:color w:val="000000"/>
                <w:sz w:val="18"/>
                <w:szCs w:val="18"/>
                <w:lang w:eastAsia="en-AU" w:bidi="en-US"/>
              </w:rPr>
            </w:pPr>
            <w:r w:rsidRPr="0061260A">
              <w:rPr>
                <w:rFonts w:asciiTheme="minorHAnsi" w:hAnsiTheme="minorHAnsi" w:cstheme="minorHAnsi"/>
                <w:b/>
                <w:bCs/>
                <w:color w:val="000000"/>
                <w:sz w:val="18"/>
                <w:szCs w:val="18"/>
                <w:lang w:eastAsia="en-AU" w:bidi="en-US"/>
              </w:rPr>
              <w:t>06</w:t>
            </w:r>
          </w:p>
        </w:tc>
        <w:tc>
          <w:tcPr>
            <w:tcW w:w="426" w:type="dxa"/>
            <w:tcBorders>
              <w:top w:val="single" w:sz="4" w:space="0" w:color="auto"/>
              <w:bottom w:val="single" w:sz="4" w:space="0" w:color="auto"/>
            </w:tcBorders>
            <w:noWrap/>
            <w:hideMark/>
          </w:tcPr>
          <w:p w14:paraId="6B7DCA10" w14:textId="77777777" w:rsidR="0061260A" w:rsidRPr="0061260A" w:rsidRDefault="0061260A" w:rsidP="0061260A">
            <w:pPr>
              <w:jc w:val="center"/>
              <w:rPr>
                <w:rFonts w:asciiTheme="minorHAnsi" w:hAnsiTheme="minorHAnsi" w:cstheme="minorHAnsi"/>
                <w:b/>
                <w:bCs/>
                <w:color w:val="000000"/>
                <w:sz w:val="18"/>
                <w:szCs w:val="18"/>
                <w:lang w:eastAsia="en-AU" w:bidi="en-US"/>
              </w:rPr>
            </w:pPr>
            <w:r w:rsidRPr="0061260A">
              <w:rPr>
                <w:rFonts w:asciiTheme="minorHAnsi" w:hAnsiTheme="minorHAnsi" w:cstheme="minorHAnsi"/>
                <w:b/>
                <w:bCs/>
                <w:color w:val="000000"/>
                <w:sz w:val="18"/>
                <w:szCs w:val="18"/>
                <w:lang w:eastAsia="en-AU" w:bidi="en-US"/>
              </w:rPr>
              <w:t>07</w:t>
            </w:r>
          </w:p>
        </w:tc>
        <w:tc>
          <w:tcPr>
            <w:tcW w:w="425" w:type="dxa"/>
            <w:tcBorders>
              <w:top w:val="single" w:sz="4" w:space="0" w:color="auto"/>
              <w:bottom w:val="single" w:sz="4" w:space="0" w:color="auto"/>
            </w:tcBorders>
            <w:noWrap/>
            <w:hideMark/>
          </w:tcPr>
          <w:p w14:paraId="53BDBBE0" w14:textId="77777777" w:rsidR="0061260A" w:rsidRPr="0061260A" w:rsidRDefault="0061260A" w:rsidP="0061260A">
            <w:pPr>
              <w:jc w:val="center"/>
              <w:rPr>
                <w:rFonts w:asciiTheme="minorHAnsi" w:hAnsiTheme="minorHAnsi" w:cstheme="minorHAnsi"/>
                <w:b/>
                <w:bCs/>
                <w:color w:val="000000"/>
                <w:sz w:val="18"/>
                <w:szCs w:val="18"/>
                <w:lang w:eastAsia="en-AU" w:bidi="en-US"/>
              </w:rPr>
            </w:pPr>
            <w:r w:rsidRPr="0061260A">
              <w:rPr>
                <w:rFonts w:asciiTheme="minorHAnsi" w:hAnsiTheme="minorHAnsi" w:cstheme="minorHAnsi"/>
                <w:b/>
                <w:bCs/>
                <w:color w:val="000000"/>
                <w:sz w:val="18"/>
                <w:szCs w:val="18"/>
                <w:lang w:eastAsia="en-AU" w:bidi="en-US"/>
              </w:rPr>
              <w:t>08</w:t>
            </w:r>
          </w:p>
        </w:tc>
        <w:tc>
          <w:tcPr>
            <w:tcW w:w="425" w:type="dxa"/>
            <w:tcBorders>
              <w:top w:val="single" w:sz="4" w:space="0" w:color="auto"/>
              <w:bottom w:val="single" w:sz="4" w:space="0" w:color="auto"/>
            </w:tcBorders>
            <w:noWrap/>
            <w:hideMark/>
          </w:tcPr>
          <w:p w14:paraId="30DD6827" w14:textId="77777777" w:rsidR="0061260A" w:rsidRPr="0061260A" w:rsidRDefault="0061260A" w:rsidP="0061260A">
            <w:pPr>
              <w:jc w:val="center"/>
              <w:rPr>
                <w:rFonts w:asciiTheme="minorHAnsi" w:hAnsiTheme="minorHAnsi" w:cstheme="minorHAnsi"/>
                <w:b/>
                <w:bCs/>
                <w:color w:val="000000"/>
                <w:sz w:val="18"/>
                <w:szCs w:val="18"/>
                <w:lang w:eastAsia="en-AU" w:bidi="en-US"/>
              </w:rPr>
            </w:pPr>
            <w:r w:rsidRPr="0061260A">
              <w:rPr>
                <w:rFonts w:asciiTheme="minorHAnsi" w:hAnsiTheme="minorHAnsi" w:cstheme="minorHAnsi"/>
                <w:b/>
                <w:bCs/>
                <w:color w:val="000000"/>
                <w:sz w:val="18"/>
                <w:szCs w:val="18"/>
                <w:lang w:eastAsia="en-AU" w:bidi="en-US"/>
              </w:rPr>
              <w:t>09</w:t>
            </w:r>
          </w:p>
        </w:tc>
        <w:tc>
          <w:tcPr>
            <w:tcW w:w="425" w:type="dxa"/>
            <w:tcBorders>
              <w:top w:val="single" w:sz="4" w:space="0" w:color="auto"/>
              <w:bottom w:val="single" w:sz="4" w:space="0" w:color="auto"/>
            </w:tcBorders>
            <w:noWrap/>
            <w:hideMark/>
          </w:tcPr>
          <w:p w14:paraId="38F16999" w14:textId="77777777" w:rsidR="0061260A" w:rsidRPr="0061260A" w:rsidRDefault="0061260A" w:rsidP="0061260A">
            <w:pPr>
              <w:jc w:val="center"/>
              <w:rPr>
                <w:rFonts w:asciiTheme="minorHAnsi" w:hAnsiTheme="minorHAnsi" w:cstheme="minorHAnsi"/>
                <w:b/>
                <w:bCs/>
                <w:color w:val="000000"/>
                <w:sz w:val="18"/>
                <w:szCs w:val="18"/>
                <w:lang w:eastAsia="en-AU" w:bidi="en-US"/>
              </w:rPr>
            </w:pPr>
            <w:r w:rsidRPr="0061260A">
              <w:rPr>
                <w:rFonts w:asciiTheme="minorHAnsi" w:hAnsiTheme="minorHAnsi" w:cstheme="minorHAnsi"/>
                <w:b/>
                <w:bCs/>
                <w:color w:val="000000"/>
                <w:sz w:val="18"/>
                <w:szCs w:val="18"/>
                <w:lang w:eastAsia="en-AU" w:bidi="en-US"/>
              </w:rPr>
              <w:t>10</w:t>
            </w:r>
          </w:p>
        </w:tc>
        <w:tc>
          <w:tcPr>
            <w:tcW w:w="426" w:type="dxa"/>
            <w:tcBorders>
              <w:top w:val="single" w:sz="4" w:space="0" w:color="auto"/>
              <w:bottom w:val="single" w:sz="4" w:space="0" w:color="auto"/>
            </w:tcBorders>
            <w:noWrap/>
            <w:hideMark/>
          </w:tcPr>
          <w:p w14:paraId="206CECB9" w14:textId="77777777" w:rsidR="0061260A" w:rsidRPr="0061260A" w:rsidRDefault="0061260A" w:rsidP="0061260A">
            <w:pPr>
              <w:jc w:val="center"/>
              <w:rPr>
                <w:rFonts w:asciiTheme="minorHAnsi" w:hAnsiTheme="minorHAnsi" w:cstheme="minorHAnsi"/>
                <w:b/>
                <w:bCs/>
                <w:color w:val="000000"/>
                <w:sz w:val="18"/>
                <w:szCs w:val="18"/>
                <w:lang w:eastAsia="en-AU" w:bidi="en-US"/>
              </w:rPr>
            </w:pPr>
            <w:r w:rsidRPr="0061260A">
              <w:rPr>
                <w:rFonts w:asciiTheme="minorHAnsi" w:hAnsiTheme="minorHAnsi" w:cstheme="minorHAnsi"/>
                <w:b/>
                <w:bCs/>
                <w:color w:val="000000"/>
                <w:sz w:val="18"/>
                <w:szCs w:val="18"/>
                <w:lang w:eastAsia="en-AU" w:bidi="en-US"/>
              </w:rPr>
              <w:t>11</w:t>
            </w:r>
          </w:p>
        </w:tc>
        <w:tc>
          <w:tcPr>
            <w:tcW w:w="283" w:type="dxa"/>
            <w:tcBorders>
              <w:top w:val="single" w:sz="4" w:space="0" w:color="auto"/>
              <w:bottom w:val="single" w:sz="4" w:space="0" w:color="auto"/>
            </w:tcBorders>
            <w:noWrap/>
            <w:hideMark/>
          </w:tcPr>
          <w:p w14:paraId="0DC23C64" w14:textId="77777777" w:rsidR="0061260A" w:rsidRPr="0061260A" w:rsidRDefault="0061260A" w:rsidP="0061260A">
            <w:pPr>
              <w:jc w:val="center"/>
              <w:rPr>
                <w:rFonts w:asciiTheme="minorHAnsi" w:hAnsiTheme="minorHAnsi" w:cstheme="minorHAnsi"/>
                <w:b/>
                <w:bCs/>
                <w:color w:val="000000"/>
                <w:sz w:val="18"/>
                <w:szCs w:val="18"/>
                <w:lang w:eastAsia="en-AU" w:bidi="en-US"/>
              </w:rPr>
            </w:pPr>
            <w:r w:rsidRPr="0061260A">
              <w:rPr>
                <w:rFonts w:asciiTheme="minorHAnsi" w:hAnsiTheme="minorHAnsi" w:cstheme="minorHAnsi"/>
                <w:b/>
                <w:bCs/>
                <w:color w:val="000000"/>
                <w:sz w:val="18"/>
                <w:szCs w:val="18"/>
                <w:lang w:eastAsia="en-AU" w:bidi="en-US"/>
              </w:rPr>
              <w:t>12</w:t>
            </w:r>
          </w:p>
        </w:tc>
        <w:tc>
          <w:tcPr>
            <w:tcW w:w="425" w:type="dxa"/>
            <w:tcBorders>
              <w:top w:val="single" w:sz="4" w:space="0" w:color="auto"/>
              <w:bottom w:val="single" w:sz="4" w:space="0" w:color="auto"/>
            </w:tcBorders>
            <w:noWrap/>
            <w:hideMark/>
          </w:tcPr>
          <w:p w14:paraId="6F93913B" w14:textId="77777777" w:rsidR="0061260A" w:rsidRPr="0061260A" w:rsidRDefault="0061260A" w:rsidP="0061260A">
            <w:pPr>
              <w:jc w:val="center"/>
              <w:rPr>
                <w:rFonts w:asciiTheme="minorHAnsi" w:hAnsiTheme="minorHAnsi" w:cstheme="minorHAnsi"/>
                <w:b/>
                <w:bCs/>
                <w:color w:val="000000"/>
                <w:sz w:val="18"/>
                <w:szCs w:val="18"/>
                <w:lang w:eastAsia="en-AU" w:bidi="en-US"/>
              </w:rPr>
            </w:pPr>
            <w:r w:rsidRPr="0061260A">
              <w:rPr>
                <w:rFonts w:asciiTheme="minorHAnsi" w:hAnsiTheme="minorHAnsi" w:cstheme="minorHAnsi"/>
                <w:b/>
                <w:bCs/>
                <w:color w:val="000000"/>
                <w:sz w:val="18"/>
                <w:szCs w:val="18"/>
                <w:lang w:eastAsia="en-AU" w:bidi="en-US"/>
              </w:rPr>
              <w:t>13</w:t>
            </w:r>
          </w:p>
        </w:tc>
        <w:tc>
          <w:tcPr>
            <w:tcW w:w="426" w:type="dxa"/>
            <w:tcBorders>
              <w:top w:val="single" w:sz="4" w:space="0" w:color="auto"/>
              <w:bottom w:val="single" w:sz="4" w:space="0" w:color="auto"/>
            </w:tcBorders>
            <w:noWrap/>
            <w:hideMark/>
          </w:tcPr>
          <w:p w14:paraId="0B377A86" w14:textId="77777777" w:rsidR="0061260A" w:rsidRPr="0061260A" w:rsidRDefault="0061260A" w:rsidP="0061260A">
            <w:pPr>
              <w:jc w:val="center"/>
              <w:rPr>
                <w:rFonts w:asciiTheme="minorHAnsi" w:hAnsiTheme="minorHAnsi" w:cstheme="minorHAnsi"/>
                <w:b/>
                <w:bCs/>
                <w:color w:val="000000"/>
                <w:sz w:val="18"/>
                <w:szCs w:val="18"/>
                <w:lang w:eastAsia="en-AU" w:bidi="en-US"/>
              </w:rPr>
            </w:pPr>
            <w:r w:rsidRPr="0061260A">
              <w:rPr>
                <w:rFonts w:asciiTheme="minorHAnsi" w:hAnsiTheme="minorHAnsi" w:cstheme="minorHAnsi"/>
                <w:b/>
                <w:bCs/>
                <w:color w:val="000000"/>
                <w:sz w:val="18"/>
                <w:szCs w:val="18"/>
                <w:lang w:eastAsia="en-AU" w:bidi="en-US"/>
              </w:rPr>
              <w:t>14</w:t>
            </w:r>
          </w:p>
        </w:tc>
        <w:tc>
          <w:tcPr>
            <w:tcW w:w="283" w:type="dxa"/>
            <w:tcBorders>
              <w:top w:val="single" w:sz="4" w:space="0" w:color="auto"/>
              <w:bottom w:val="single" w:sz="4" w:space="0" w:color="auto"/>
            </w:tcBorders>
            <w:noWrap/>
            <w:hideMark/>
          </w:tcPr>
          <w:p w14:paraId="6A642458" w14:textId="77777777" w:rsidR="0061260A" w:rsidRPr="0061260A" w:rsidRDefault="0061260A" w:rsidP="0061260A">
            <w:pPr>
              <w:jc w:val="center"/>
              <w:rPr>
                <w:rFonts w:asciiTheme="minorHAnsi" w:hAnsiTheme="minorHAnsi" w:cstheme="minorHAnsi"/>
                <w:b/>
                <w:bCs/>
                <w:color w:val="000000"/>
                <w:sz w:val="18"/>
                <w:szCs w:val="18"/>
                <w:lang w:eastAsia="en-AU" w:bidi="en-US"/>
              </w:rPr>
            </w:pPr>
            <w:r w:rsidRPr="0061260A">
              <w:rPr>
                <w:rFonts w:asciiTheme="minorHAnsi" w:hAnsiTheme="minorHAnsi" w:cstheme="minorHAnsi"/>
                <w:b/>
                <w:bCs/>
                <w:color w:val="000000"/>
                <w:sz w:val="18"/>
                <w:szCs w:val="18"/>
                <w:lang w:eastAsia="en-AU" w:bidi="en-US"/>
              </w:rPr>
              <w:t>15</w:t>
            </w:r>
          </w:p>
        </w:tc>
        <w:tc>
          <w:tcPr>
            <w:tcW w:w="425" w:type="dxa"/>
            <w:tcBorders>
              <w:top w:val="single" w:sz="4" w:space="0" w:color="auto"/>
              <w:bottom w:val="single" w:sz="4" w:space="0" w:color="auto"/>
            </w:tcBorders>
            <w:noWrap/>
            <w:hideMark/>
          </w:tcPr>
          <w:p w14:paraId="1ED3309E" w14:textId="77777777" w:rsidR="0061260A" w:rsidRPr="0061260A" w:rsidRDefault="0061260A" w:rsidP="0061260A">
            <w:pPr>
              <w:jc w:val="center"/>
              <w:rPr>
                <w:rFonts w:asciiTheme="minorHAnsi" w:hAnsiTheme="minorHAnsi" w:cstheme="minorHAnsi"/>
                <w:b/>
                <w:bCs/>
                <w:color w:val="000000"/>
                <w:sz w:val="18"/>
                <w:szCs w:val="18"/>
                <w:lang w:eastAsia="en-AU" w:bidi="en-US"/>
              </w:rPr>
            </w:pPr>
            <w:r w:rsidRPr="0061260A">
              <w:rPr>
                <w:rFonts w:asciiTheme="minorHAnsi" w:hAnsiTheme="minorHAnsi" w:cstheme="minorHAnsi"/>
                <w:b/>
                <w:bCs/>
                <w:color w:val="000000"/>
                <w:sz w:val="18"/>
                <w:szCs w:val="18"/>
                <w:lang w:eastAsia="en-AU" w:bidi="en-US"/>
              </w:rPr>
              <w:t>16</w:t>
            </w:r>
          </w:p>
        </w:tc>
        <w:tc>
          <w:tcPr>
            <w:tcW w:w="426" w:type="dxa"/>
            <w:tcBorders>
              <w:top w:val="single" w:sz="4" w:space="0" w:color="auto"/>
              <w:bottom w:val="single" w:sz="4" w:space="0" w:color="auto"/>
            </w:tcBorders>
            <w:noWrap/>
            <w:hideMark/>
          </w:tcPr>
          <w:p w14:paraId="26FCDF6A" w14:textId="77777777" w:rsidR="0061260A" w:rsidRPr="0061260A" w:rsidRDefault="0061260A" w:rsidP="0061260A">
            <w:pPr>
              <w:jc w:val="center"/>
              <w:rPr>
                <w:rFonts w:asciiTheme="minorHAnsi" w:hAnsiTheme="minorHAnsi" w:cstheme="minorHAnsi"/>
                <w:b/>
                <w:bCs/>
                <w:color w:val="000000"/>
                <w:sz w:val="18"/>
                <w:szCs w:val="18"/>
                <w:lang w:eastAsia="en-AU" w:bidi="en-US"/>
              </w:rPr>
            </w:pPr>
            <w:r w:rsidRPr="0061260A">
              <w:rPr>
                <w:rFonts w:asciiTheme="minorHAnsi" w:hAnsiTheme="minorHAnsi" w:cstheme="minorHAnsi"/>
                <w:b/>
                <w:bCs/>
                <w:color w:val="000000"/>
                <w:sz w:val="18"/>
                <w:szCs w:val="18"/>
                <w:lang w:eastAsia="en-AU" w:bidi="en-US"/>
              </w:rPr>
              <w:t>17</w:t>
            </w:r>
          </w:p>
        </w:tc>
        <w:tc>
          <w:tcPr>
            <w:tcW w:w="425" w:type="dxa"/>
            <w:tcBorders>
              <w:top w:val="single" w:sz="4" w:space="0" w:color="auto"/>
              <w:bottom w:val="single" w:sz="4" w:space="0" w:color="auto"/>
            </w:tcBorders>
            <w:noWrap/>
            <w:hideMark/>
          </w:tcPr>
          <w:p w14:paraId="4E1399F5" w14:textId="77777777" w:rsidR="0061260A" w:rsidRPr="0061260A" w:rsidRDefault="0061260A" w:rsidP="0061260A">
            <w:pPr>
              <w:jc w:val="center"/>
              <w:rPr>
                <w:rFonts w:asciiTheme="minorHAnsi" w:hAnsiTheme="minorHAnsi" w:cstheme="minorHAnsi"/>
                <w:b/>
                <w:bCs/>
                <w:color w:val="000000"/>
                <w:sz w:val="18"/>
                <w:szCs w:val="18"/>
                <w:lang w:eastAsia="en-AU" w:bidi="en-US"/>
              </w:rPr>
            </w:pPr>
            <w:r w:rsidRPr="0061260A">
              <w:rPr>
                <w:rFonts w:asciiTheme="minorHAnsi" w:hAnsiTheme="minorHAnsi" w:cstheme="minorHAnsi"/>
                <w:b/>
                <w:bCs/>
                <w:color w:val="000000"/>
                <w:sz w:val="18"/>
                <w:szCs w:val="18"/>
                <w:lang w:eastAsia="en-AU" w:bidi="en-US"/>
              </w:rPr>
              <w:t>18</w:t>
            </w:r>
          </w:p>
        </w:tc>
        <w:tc>
          <w:tcPr>
            <w:tcW w:w="425" w:type="dxa"/>
            <w:tcBorders>
              <w:top w:val="single" w:sz="4" w:space="0" w:color="auto"/>
              <w:bottom w:val="single" w:sz="4" w:space="0" w:color="auto"/>
            </w:tcBorders>
            <w:noWrap/>
            <w:hideMark/>
          </w:tcPr>
          <w:p w14:paraId="61062B89" w14:textId="77777777" w:rsidR="0061260A" w:rsidRPr="0061260A" w:rsidRDefault="0061260A" w:rsidP="0061260A">
            <w:pPr>
              <w:jc w:val="center"/>
              <w:rPr>
                <w:rFonts w:asciiTheme="minorHAnsi" w:hAnsiTheme="minorHAnsi" w:cstheme="minorHAnsi"/>
                <w:b/>
                <w:bCs/>
                <w:color w:val="000000"/>
                <w:sz w:val="18"/>
                <w:szCs w:val="18"/>
                <w:lang w:eastAsia="en-AU" w:bidi="en-US"/>
              </w:rPr>
            </w:pPr>
            <w:r w:rsidRPr="0061260A">
              <w:rPr>
                <w:rFonts w:asciiTheme="minorHAnsi" w:hAnsiTheme="minorHAnsi" w:cstheme="minorHAnsi"/>
                <w:b/>
                <w:bCs/>
                <w:color w:val="000000"/>
                <w:sz w:val="18"/>
                <w:szCs w:val="18"/>
                <w:lang w:eastAsia="en-AU" w:bidi="en-US"/>
              </w:rPr>
              <w:t>19</w:t>
            </w:r>
          </w:p>
        </w:tc>
        <w:tc>
          <w:tcPr>
            <w:tcW w:w="425" w:type="dxa"/>
            <w:tcBorders>
              <w:top w:val="single" w:sz="4" w:space="0" w:color="auto"/>
              <w:bottom w:val="single" w:sz="4" w:space="0" w:color="auto"/>
            </w:tcBorders>
          </w:tcPr>
          <w:p w14:paraId="44C11750" w14:textId="77777777" w:rsidR="0061260A" w:rsidRPr="0061260A" w:rsidRDefault="0061260A" w:rsidP="0061260A">
            <w:pPr>
              <w:jc w:val="center"/>
              <w:rPr>
                <w:rFonts w:asciiTheme="minorHAnsi" w:hAnsiTheme="minorHAnsi" w:cstheme="minorHAnsi"/>
                <w:b/>
                <w:bCs/>
                <w:color w:val="000000"/>
                <w:sz w:val="18"/>
                <w:szCs w:val="18"/>
                <w:lang w:eastAsia="en-AU" w:bidi="en-US"/>
              </w:rPr>
            </w:pPr>
            <w:r w:rsidRPr="0061260A">
              <w:rPr>
                <w:rFonts w:asciiTheme="minorHAnsi" w:hAnsiTheme="minorHAnsi" w:cstheme="minorHAnsi"/>
                <w:b/>
                <w:bCs/>
                <w:color w:val="000000"/>
                <w:sz w:val="18"/>
                <w:szCs w:val="18"/>
                <w:lang w:eastAsia="en-AU" w:bidi="en-US"/>
              </w:rPr>
              <w:t>20</w:t>
            </w:r>
          </w:p>
        </w:tc>
        <w:tc>
          <w:tcPr>
            <w:tcW w:w="426" w:type="dxa"/>
            <w:tcBorders>
              <w:top w:val="single" w:sz="4" w:space="0" w:color="auto"/>
              <w:bottom w:val="single" w:sz="4" w:space="0" w:color="auto"/>
            </w:tcBorders>
          </w:tcPr>
          <w:p w14:paraId="3EA82B29" w14:textId="77777777" w:rsidR="0061260A" w:rsidRPr="0061260A" w:rsidRDefault="0061260A" w:rsidP="0061260A">
            <w:pPr>
              <w:jc w:val="center"/>
              <w:rPr>
                <w:rFonts w:asciiTheme="minorHAnsi" w:hAnsiTheme="minorHAnsi" w:cstheme="minorHAnsi"/>
                <w:b/>
                <w:bCs/>
                <w:color w:val="000000"/>
                <w:sz w:val="18"/>
                <w:szCs w:val="18"/>
                <w:lang w:eastAsia="en-AU" w:bidi="en-US"/>
              </w:rPr>
            </w:pPr>
            <w:r w:rsidRPr="0061260A">
              <w:rPr>
                <w:rFonts w:asciiTheme="minorHAnsi" w:hAnsiTheme="minorHAnsi" w:cstheme="minorHAnsi"/>
                <w:b/>
                <w:bCs/>
                <w:color w:val="000000"/>
                <w:sz w:val="18"/>
                <w:szCs w:val="18"/>
                <w:lang w:eastAsia="en-AU" w:bidi="en-US"/>
              </w:rPr>
              <w:t>21</w:t>
            </w:r>
          </w:p>
        </w:tc>
        <w:tc>
          <w:tcPr>
            <w:tcW w:w="425" w:type="dxa"/>
            <w:tcBorders>
              <w:top w:val="single" w:sz="4" w:space="0" w:color="auto"/>
              <w:bottom w:val="single" w:sz="4" w:space="0" w:color="auto"/>
            </w:tcBorders>
          </w:tcPr>
          <w:p w14:paraId="548C883A" w14:textId="77777777" w:rsidR="0061260A" w:rsidRPr="0061260A" w:rsidRDefault="0061260A" w:rsidP="0061260A">
            <w:pPr>
              <w:jc w:val="center"/>
              <w:rPr>
                <w:rFonts w:asciiTheme="minorHAnsi" w:hAnsiTheme="minorHAnsi" w:cstheme="minorHAnsi"/>
                <w:b/>
                <w:bCs/>
                <w:color w:val="000000"/>
                <w:sz w:val="18"/>
                <w:szCs w:val="18"/>
                <w:lang w:eastAsia="en-AU" w:bidi="en-US"/>
              </w:rPr>
            </w:pPr>
            <w:r w:rsidRPr="0061260A">
              <w:rPr>
                <w:rFonts w:asciiTheme="minorHAnsi" w:hAnsiTheme="minorHAnsi" w:cstheme="minorHAnsi"/>
                <w:b/>
                <w:bCs/>
                <w:color w:val="000000"/>
                <w:sz w:val="18"/>
                <w:szCs w:val="18"/>
                <w:lang w:eastAsia="en-AU" w:bidi="en-US"/>
              </w:rPr>
              <w:t>22</w:t>
            </w:r>
          </w:p>
        </w:tc>
      </w:tr>
      <w:tr w:rsidR="0061260A" w:rsidRPr="0061260A" w14:paraId="1723C44C" w14:textId="77777777" w:rsidTr="005F740A">
        <w:trPr>
          <w:cantSplit/>
          <w:trHeight w:val="334"/>
        </w:trPr>
        <w:tc>
          <w:tcPr>
            <w:tcW w:w="459" w:type="dxa"/>
            <w:tcBorders>
              <w:top w:val="single" w:sz="4" w:space="0" w:color="auto"/>
              <w:bottom w:val="dashed" w:sz="4" w:space="0" w:color="auto"/>
            </w:tcBorders>
            <w:noWrap/>
            <w:hideMark/>
          </w:tcPr>
          <w:p w14:paraId="43037ADD" w14:textId="77777777" w:rsidR="0061260A" w:rsidRPr="0061260A" w:rsidRDefault="0061260A" w:rsidP="0061260A">
            <w:pPr>
              <w:rPr>
                <w:rFonts w:asciiTheme="minorHAnsi" w:hAnsiTheme="minorHAnsi" w:cstheme="minorHAnsi"/>
                <w:b/>
                <w:bCs/>
                <w:color w:val="000000"/>
                <w:sz w:val="18"/>
                <w:szCs w:val="18"/>
                <w:lang w:eastAsia="en-AU" w:bidi="en-US"/>
              </w:rPr>
            </w:pPr>
            <w:r w:rsidRPr="0061260A">
              <w:rPr>
                <w:rFonts w:asciiTheme="minorHAnsi" w:hAnsiTheme="minorHAnsi" w:cstheme="minorHAnsi"/>
                <w:b/>
                <w:bCs/>
                <w:color w:val="000000"/>
                <w:sz w:val="18"/>
                <w:szCs w:val="18"/>
                <w:lang w:eastAsia="en-AU" w:bidi="en-US"/>
              </w:rPr>
              <w:t>AP</w:t>
            </w:r>
          </w:p>
        </w:tc>
        <w:tc>
          <w:tcPr>
            <w:tcW w:w="250" w:type="dxa"/>
            <w:tcBorders>
              <w:top w:val="single" w:sz="4" w:space="0" w:color="auto"/>
              <w:bottom w:val="dashed" w:sz="4" w:space="0" w:color="auto"/>
            </w:tcBorders>
            <w:noWrap/>
            <w:hideMark/>
          </w:tcPr>
          <w:p w14:paraId="778D4613"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w:t>
            </w:r>
          </w:p>
        </w:tc>
        <w:tc>
          <w:tcPr>
            <w:tcW w:w="425" w:type="dxa"/>
            <w:tcBorders>
              <w:top w:val="single" w:sz="4" w:space="0" w:color="auto"/>
              <w:bottom w:val="dashed" w:sz="4" w:space="0" w:color="auto"/>
            </w:tcBorders>
            <w:noWrap/>
            <w:hideMark/>
          </w:tcPr>
          <w:p w14:paraId="01C64649"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284" w:type="dxa"/>
            <w:tcBorders>
              <w:top w:val="single" w:sz="4" w:space="0" w:color="auto"/>
              <w:bottom w:val="dashed" w:sz="4" w:space="0" w:color="auto"/>
            </w:tcBorders>
            <w:noWrap/>
            <w:hideMark/>
          </w:tcPr>
          <w:p w14:paraId="2E8309E8"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single" w:sz="4" w:space="0" w:color="auto"/>
              <w:bottom w:val="dashed" w:sz="4" w:space="0" w:color="auto"/>
            </w:tcBorders>
          </w:tcPr>
          <w:p w14:paraId="741FC346"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single" w:sz="4" w:space="0" w:color="auto"/>
              <w:bottom w:val="dashed" w:sz="4" w:space="0" w:color="auto"/>
            </w:tcBorders>
            <w:noWrap/>
            <w:hideMark/>
          </w:tcPr>
          <w:p w14:paraId="01935BE7"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6" w:type="dxa"/>
            <w:tcBorders>
              <w:top w:val="single" w:sz="4" w:space="0" w:color="auto"/>
              <w:bottom w:val="dashed" w:sz="4" w:space="0" w:color="auto"/>
            </w:tcBorders>
            <w:noWrap/>
            <w:hideMark/>
          </w:tcPr>
          <w:p w14:paraId="0D396FFB"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single" w:sz="4" w:space="0" w:color="auto"/>
              <w:bottom w:val="dashed" w:sz="4" w:space="0" w:color="auto"/>
            </w:tcBorders>
            <w:noWrap/>
            <w:hideMark/>
          </w:tcPr>
          <w:p w14:paraId="6F89B976"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single" w:sz="4" w:space="0" w:color="auto"/>
              <w:bottom w:val="dashed" w:sz="4" w:space="0" w:color="auto"/>
            </w:tcBorders>
            <w:noWrap/>
            <w:hideMark/>
          </w:tcPr>
          <w:p w14:paraId="119CE1F0"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36</w:t>
            </w:r>
          </w:p>
        </w:tc>
        <w:tc>
          <w:tcPr>
            <w:tcW w:w="425" w:type="dxa"/>
            <w:tcBorders>
              <w:top w:val="single" w:sz="4" w:space="0" w:color="auto"/>
              <w:bottom w:val="dashed" w:sz="4" w:space="0" w:color="auto"/>
            </w:tcBorders>
            <w:noWrap/>
            <w:hideMark/>
          </w:tcPr>
          <w:p w14:paraId="4A946C02"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w:t>
            </w:r>
          </w:p>
        </w:tc>
        <w:tc>
          <w:tcPr>
            <w:tcW w:w="426" w:type="dxa"/>
            <w:tcBorders>
              <w:top w:val="single" w:sz="4" w:space="0" w:color="auto"/>
              <w:bottom w:val="dashed" w:sz="4" w:space="0" w:color="auto"/>
            </w:tcBorders>
            <w:noWrap/>
            <w:hideMark/>
          </w:tcPr>
          <w:p w14:paraId="3B006EEE"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283" w:type="dxa"/>
            <w:tcBorders>
              <w:top w:val="single" w:sz="4" w:space="0" w:color="auto"/>
              <w:bottom w:val="dashed" w:sz="4" w:space="0" w:color="auto"/>
            </w:tcBorders>
            <w:noWrap/>
            <w:hideMark/>
          </w:tcPr>
          <w:p w14:paraId="1AAC7103"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single" w:sz="4" w:space="0" w:color="auto"/>
              <w:bottom w:val="dashed" w:sz="4" w:space="0" w:color="auto"/>
            </w:tcBorders>
            <w:noWrap/>
            <w:hideMark/>
          </w:tcPr>
          <w:p w14:paraId="64783DAE"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6" w:type="dxa"/>
            <w:tcBorders>
              <w:top w:val="single" w:sz="4" w:space="0" w:color="auto"/>
              <w:bottom w:val="dashed" w:sz="4" w:space="0" w:color="auto"/>
            </w:tcBorders>
            <w:noWrap/>
            <w:hideMark/>
          </w:tcPr>
          <w:p w14:paraId="73E321E3"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283" w:type="dxa"/>
            <w:tcBorders>
              <w:top w:val="single" w:sz="4" w:space="0" w:color="auto"/>
              <w:bottom w:val="dashed" w:sz="4" w:space="0" w:color="auto"/>
            </w:tcBorders>
            <w:noWrap/>
            <w:hideMark/>
          </w:tcPr>
          <w:p w14:paraId="6B97EDF5"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single" w:sz="4" w:space="0" w:color="auto"/>
              <w:bottom w:val="dashed" w:sz="4" w:space="0" w:color="auto"/>
            </w:tcBorders>
            <w:noWrap/>
            <w:hideMark/>
          </w:tcPr>
          <w:p w14:paraId="3E90D0CE"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6" w:type="dxa"/>
            <w:tcBorders>
              <w:top w:val="single" w:sz="4" w:space="0" w:color="auto"/>
              <w:bottom w:val="dashed" w:sz="4" w:space="0" w:color="auto"/>
            </w:tcBorders>
            <w:noWrap/>
            <w:hideMark/>
          </w:tcPr>
          <w:p w14:paraId="54A751F7"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single" w:sz="4" w:space="0" w:color="auto"/>
              <w:bottom w:val="dashed" w:sz="4" w:space="0" w:color="auto"/>
            </w:tcBorders>
            <w:noWrap/>
            <w:hideMark/>
          </w:tcPr>
          <w:p w14:paraId="3200567C"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single" w:sz="4" w:space="0" w:color="auto"/>
              <w:bottom w:val="dashed" w:sz="4" w:space="0" w:color="auto"/>
            </w:tcBorders>
            <w:noWrap/>
            <w:hideMark/>
          </w:tcPr>
          <w:p w14:paraId="5202A026"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single" w:sz="4" w:space="0" w:color="auto"/>
              <w:bottom w:val="dashed" w:sz="4" w:space="0" w:color="auto"/>
            </w:tcBorders>
          </w:tcPr>
          <w:p w14:paraId="49C6A81F"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6" w:type="dxa"/>
            <w:tcBorders>
              <w:top w:val="single" w:sz="4" w:space="0" w:color="auto"/>
              <w:bottom w:val="dashed" w:sz="4" w:space="0" w:color="auto"/>
            </w:tcBorders>
          </w:tcPr>
          <w:p w14:paraId="652C90B1"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single" w:sz="4" w:space="0" w:color="auto"/>
              <w:bottom w:val="dashed" w:sz="4" w:space="0" w:color="auto"/>
            </w:tcBorders>
          </w:tcPr>
          <w:p w14:paraId="79B7B18F"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r>
      <w:tr w:rsidR="0061260A" w:rsidRPr="0061260A" w14:paraId="1591BDDA" w14:textId="77777777" w:rsidTr="005F740A">
        <w:trPr>
          <w:cantSplit/>
          <w:trHeight w:val="334"/>
        </w:trPr>
        <w:tc>
          <w:tcPr>
            <w:tcW w:w="459" w:type="dxa"/>
            <w:tcBorders>
              <w:top w:val="dashed" w:sz="4" w:space="0" w:color="auto"/>
              <w:bottom w:val="dashed" w:sz="4" w:space="0" w:color="auto"/>
            </w:tcBorders>
            <w:noWrap/>
            <w:hideMark/>
          </w:tcPr>
          <w:p w14:paraId="522E4923" w14:textId="77777777" w:rsidR="0061260A" w:rsidRPr="0061260A" w:rsidRDefault="0061260A" w:rsidP="0061260A">
            <w:pPr>
              <w:rPr>
                <w:rFonts w:asciiTheme="minorHAnsi" w:hAnsiTheme="minorHAnsi" w:cstheme="minorHAnsi"/>
                <w:color w:val="000000"/>
                <w:sz w:val="18"/>
                <w:szCs w:val="18"/>
                <w:lang w:eastAsia="en-AU" w:bidi="en-US"/>
              </w:rPr>
            </w:pPr>
            <w:r w:rsidRPr="0061260A">
              <w:rPr>
                <w:rFonts w:asciiTheme="minorHAnsi" w:hAnsiTheme="minorHAnsi" w:cstheme="minorHAnsi"/>
                <w:b/>
                <w:bCs/>
                <w:color w:val="000000"/>
                <w:sz w:val="18"/>
                <w:szCs w:val="18"/>
                <w:lang w:eastAsia="en-AU" w:bidi="en-US"/>
              </w:rPr>
              <w:t>AT</w:t>
            </w:r>
          </w:p>
        </w:tc>
        <w:tc>
          <w:tcPr>
            <w:tcW w:w="250" w:type="dxa"/>
            <w:tcBorders>
              <w:top w:val="dashed" w:sz="4" w:space="0" w:color="auto"/>
              <w:bottom w:val="dashed" w:sz="4" w:space="0" w:color="auto"/>
            </w:tcBorders>
            <w:noWrap/>
            <w:hideMark/>
          </w:tcPr>
          <w:p w14:paraId="54B8A007"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w:t>
            </w:r>
          </w:p>
        </w:tc>
        <w:tc>
          <w:tcPr>
            <w:tcW w:w="425" w:type="dxa"/>
            <w:tcBorders>
              <w:top w:val="dashed" w:sz="4" w:space="0" w:color="auto"/>
              <w:bottom w:val="dashed" w:sz="4" w:space="0" w:color="auto"/>
            </w:tcBorders>
            <w:noWrap/>
            <w:hideMark/>
          </w:tcPr>
          <w:p w14:paraId="49DFFDFD"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284" w:type="dxa"/>
            <w:tcBorders>
              <w:top w:val="dashed" w:sz="4" w:space="0" w:color="auto"/>
              <w:bottom w:val="dashed" w:sz="4" w:space="0" w:color="auto"/>
            </w:tcBorders>
            <w:noWrap/>
            <w:hideMark/>
          </w:tcPr>
          <w:p w14:paraId="311FBDC2"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dashed" w:sz="4" w:space="0" w:color="auto"/>
              <w:bottom w:val="dashed" w:sz="4" w:space="0" w:color="auto"/>
            </w:tcBorders>
          </w:tcPr>
          <w:p w14:paraId="29BF9611"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dashed" w:sz="4" w:space="0" w:color="auto"/>
              <w:bottom w:val="dashed" w:sz="4" w:space="0" w:color="auto"/>
            </w:tcBorders>
            <w:noWrap/>
            <w:hideMark/>
          </w:tcPr>
          <w:p w14:paraId="35ECD4CE"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6" w:type="dxa"/>
            <w:tcBorders>
              <w:top w:val="dashed" w:sz="4" w:space="0" w:color="auto"/>
              <w:bottom w:val="dashed" w:sz="4" w:space="0" w:color="auto"/>
            </w:tcBorders>
            <w:noWrap/>
            <w:hideMark/>
          </w:tcPr>
          <w:p w14:paraId="59ACB960"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dashed" w:sz="4" w:space="0" w:color="auto"/>
              <w:bottom w:val="dashed" w:sz="4" w:space="0" w:color="auto"/>
            </w:tcBorders>
            <w:noWrap/>
            <w:hideMark/>
          </w:tcPr>
          <w:p w14:paraId="52509036"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dashed" w:sz="4" w:space="0" w:color="auto"/>
              <w:bottom w:val="dashed" w:sz="4" w:space="0" w:color="auto"/>
            </w:tcBorders>
            <w:noWrap/>
            <w:hideMark/>
          </w:tcPr>
          <w:p w14:paraId="77B93683"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w:t>
            </w:r>
          </w:p>
        </w:tc>
        <w:tc>
          <w:tcPr>
            <w:tcW w:w="425" w:type="dxa"/>
            <w:tcBorders>
              <w:top w:val="dashed" w:sz="4" w:space="0" w:color="auto"/>
              <w:bottom w:val="dashed" w:sz="4" w:space="0" w:color="auto"/>
            </w:tcBorders>
            <w:noWrap/>
            <w:hideMark/>
          </w:tcPr>
          <w:p w14:paraId="176D4A0F"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w:t>
            </w:r>
          </w:p>
        </w:tc>
        <w:tc>
          <w:tcPr>
            <w:tcW w:w="426" w:type="dxa"/>
            <w:tcBorders>
              <w:top w:val="dashed" w:sz="4" w:space="0" w:color="auto"/>
              <w:bottom w:val="dashed" w:sz="4" w:space="0" w:color="auto"/>
            </w:tcBorders>
            <w:noWrap/>
            <w:hideMark/>
          </w:tcPr>
          <w:p w14:paraId="56BEEEB3"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1</w:t>
            </w:r>
          </w:p>
        </w:tc>
        <w:tc>
          <w:tcPr>
            <w:tcW w:w="283" w:type="dxa"/>
            <w:tcBorders>
              <w:top w:val="dashed" w:sz="4" w:space="0" w:color="auto"/>
              <w:bottom w:val="dashed" w:sz="4" w:space="0" w:color="auto"/>
            </w:tcBorders>
            <w:noWrap/>
            <w:hideMark/>
          </w:tcPr>
          <w:p w14:paraId="75D82D47"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dashed" w:sz="4" w:space="0" w:color="auto"/>
              <w:bottom w:val="dashed" w:sz="4" w:space="0" w:color="auto"/>
            </w:tcBorders>
            <w:noWrap/>
            <w:hideMark/>
          </w:tcPr>
          <w:p w14:paraId="014DFE59"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2</w:t>
            </w:r>
          </w:p>
        </w:tc>
        <w:tc>
          <w:tcPr>
            <w:tcW w:w="426" w:type="dxa"/>
            <w:tcBorders>
              <w:top w:val="dashed" w:sz="4" w:space="0" w:color="auto"/>
              <w:bottom w:val="dashed" w:sz="4" w:space="0" w:color="auto"/>
            </w:tcBorders>
            <w:noWrap/>
            <w:hideMark/>
          </w:tcPr>
          <w:p w14:paraId="2823520F"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283" w:type="dxa"/>
            <w:tcBorders>
              <w:top w:val="dashed" w:sz="4" w:space="0" w:color="auto"/>
              <w:bottom w:val="dashed" w:sz="4" w:space="0" w:color="auto"/>
            </w:tcBorders>
            <w:noWrap/>
            <w:hideMark/>
          </w:tcPr>
          <w:p w14:paraId="6E0FC5FD"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4</w:t>
            </w:r>
          </w:p>
        </w:tc>
        <w:tc>
          <w:tcPr>
            <w:tcW w:w="425" w:type="dxa"/>
            <w:tcBorders>
              <w:top w:val="dashed" w:sz="4" w:space="0" w:color="auto"/>
              <w:bottom w:val="dashed" w:sz="4" w:space="0" w:color="auto"/>
            </w:tcBorders>
            <w:noWrap/>
            <w:hideMark/>
          </w:tcPr>
          <w:p w14:paraId="6E2B7D9F"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6" w:type="dxa"/>
            <w:tcBorders>
              <w:top w:val="dashed" w:sz="4" w:space="0" w:color="auto"/>
              <w:bottom w:val="dashed" w:sz="4" w:space="0" w:color="auto"/>
            </w:tcBorders>
            <w:noWrap/>
            <w:hideMark/>
          </w:tcPr>
          <w:p w14:paraId="157F24FD"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1</w:t>
            </w:r>
          </w:p>
        </w:tc>
        <w:tc>
          <w:tcPr>
            <w:tcW w:w="425" w:type="dxa"/>
            <w:tcBorders>
              <w:top w:val="dashed" w:sz="4" w:space="0" w:color="auto"/>
              <w:bottom w:val="dashed" w:sz="4" w:space="0" w:color="auto"/>
            </w:tcBorders>
            <w:noWrap/>
            <w:hideMark/>
          </w:tcPr>
          <w:p w14:paraId="49BACADC"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dashed" w:sz="4" w:space="0" w:color="auto"/>
              <w:bottom w:val="dashed" w:sz="4" w:space="0" w:color="auto"/>
            </w:tcBorders>
            <w:noWrap/>
            <w:hideMark/>
          </w:tcPr>
          <w:p w14:paraId="1E0548AB"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0</w:t>
            </w:r>
          </w:p>
        </w:tc>
        <w:tc>
          <w:tcPr>
            <w:tcW w:w="425" w:type="dxa"/>
            <w:tcBorders>
              <w:top w:val="dashed" w:sz="4" w:space="0" w:color="auto"/>
              <w:bottom w:val="dashed" w:sz="4" w:space="0" w:color="auto"/>
            </w:tcBorders>
          </w:tcPr>
          <w:p w14:paraId="4BC18D6E"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6" w:type="dxa"/>
            <w:tcBorders>
              <w:top w:val="dashed" w:sz="4" w:space="0" w:color="auto"/>
              <w:bottom w:val="dashed" w:sz="4" w:space="0" w:color="auto"/>
            </w:tcBorders>
          </w:tcPr>
          <w:p w14:paraId="5B5B8F79"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0</w:t>
            </w:r>
          </w:p>
        </w:tc>
        <w:tc>
          <w:tcPr>
            <w:tcW w:w="425" w:type="dxa"/>
            <w:tcBorders>
              <w:top w:val="dashed" w:sz="4" w:space="0" w:color="auto"/>
              <w:bottom w:val="dashed" w:sz="4" w:space="0" w:color="auto"/>
            </w:tcBorders>
          </w:tcPr>
          <w:p w14:paraId="629BFEFB"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r>
      <w:tr w:rsidR="0061260A" w:rsidRPr="0061260A" w14:paraId="556CD5DD" w14:textId="77777777" w:rsidTr="005F740A">
        <w:trPr>
          <w:cantSplit/>
          <w:trHeight w:val="334"/>
        </w:trPr>
        <w:tc>
          <w:tcPr>
            <w:tcW w:w="459" w:type="dxa"/>
            <w:tcBorders>
              <w:top w:val="dashed" w:sz="4" w:space="0" w:color="auto"/>
              <w:bottom w:val="dashed" w:sz="4" w:space="0" w:color="auto"/>
            </w:tcBorders>
            <w:noWrap/>
            <w:hideMark/>
          </w:tcPr>
          <w:p w14:paraId="132CFF6F" w14:textId="77777777" w:rsidR="0061260A" w:rsidRPr="0061260A" w:rsidRDefault="0061260A" w:rsidP="0061260A">
            <w:pPr>
              <w:rPr>
                <w:rFonts w:asciiTheme="minorHAnsi" w:hAnsiTheme="minorHAnsi" w:cstheme="minorHAnsi"/>
                <w:color w:val="000000"/>
                <w:sz w:val="18"/>
                <w:szCs w:val="18"/>
                <w:lang w:eastAsia="en-AU" w:bidi="en-US"/>
              </w:rPr>
            </w:pPr>
            <w:r w:rsidRPr="0061260A">
              <w:rPr>
                <w:rFonts w:asciiTheme="minorHAnsi" w:hAnsiTheme="minorHAnsi" w:cstheme="minorHAnsi"/>
                <w:b/>
                <w:bCs/>
                <w:color w:val="000000"/>
                <w:sz w:val="18"/>
                <w:szCs w:val="18"/>
                <w:lang w:eastAsia="en-AU" w:bidi="en-US"/>
              </w:rPr>
              <w:t>BW</w:t>
            </w:r>
          </w:p>
        </w:tc>
        <w:tc>
          <w:tcPr>
            <w:tcW w:w="250" w:type="dxa"/>
            <w:tcBorders>
              <w:top w:val="dashed" w:sz="4" w:space="0" w:color="auto"/>
              <w:bottom w:val="dashed" w:sz="4" w:space="0" w:color="auto"/>
            </w:tcBorders>
            <w:noWrap/>
            <w:hideMark/>
          </w:tcPr>
          <w:p w14:paraId="404FF162"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w:t>
            </w:r>
          </w:p>
        </w:tc>
        <w:tc>
          <w:tcPr>
            <w:tcW w:w="425" w:type="dxa"/>
            <w:tcBorders>
              <w:top w:val="dashed" w:sz="4" w:space="0" w:color="auto"/>
              <w:bottom w:val="dashed" w:sz="4" w:space="0" w:color="auto"/>
            </w:tcBorders>
            <w:noWrap/>
            <w:hideMark/>
          </w:tcPr>
          <w:p w14:paraId="55EC0EF2"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284" w:type="dxa"/>
            <w:tcBorders>
              <w:top w:val="dashed" w:sz="4" w:space="0" w:color="auto"/>
              <w:bottom w:val="dashed" w:sz="4" w:space="0" w:color="auto"/>
            </w:tcBorders>
            <w:noWrap/>
            <w:hideMark/>
          </w:tcPr>
          <w:p w14:paraId="5C064BA7"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dashed" w:sz="4" w:space="0" w:color="auto"/>
              <w:bottom w:val="dashed" w:sz="4" w:space="0" w:color="auto"/>
            </w:tcBorders>
          </w:tcPr>
          <w:p w14:paraId="78913B87"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dashed" w:sz="4" w:space="0" w:color="auto"/>
              <w:bottom w:val="dashed" w:sz="4" w:space="0" w:color="auto"/>
            </w:tcBorders>
            <w:noWrap/>
            <w:hideMark/>
          </w:tcPr>
          <w:p w14:paraId="76A59F87"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6" w:type="dxa"/>
            <w:tcBorders>
              <w:top w:val="dashed" w:sz="4" w:space="0" w:color="auto"/>
              <w:bottom w:val="dashed" w:sz="4" w:space="0" w:color="auto"/>
            </w:tcBorders>
            <w:noWrap/>
            <w:hideMark/>
          </w:tcPr>
          <w:p w14:paraId="4AE5F70D"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13</w:t>
            </w:r>
          </w:p>
        </w:tc>
        <w:tc>
          <w:tcPr>
            <w:tcW w:w="425" w:type="dxa"/>
            <w:tcBorders>
              <w:top w:val="dashed" w:sz="4" w:space="0" w:color="auto"/>
              <w:bottom w:val="dashed" w:sz="4" w:space="0" w:color="auto"/>
            </w:tcBorders>
            <w:noWrap/>
            <w:hideMark/>
          </w:tcPr>
          <w:p w14:paraId="7343950C"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7</w:t>
            </w:r>
          </w:p>
        </w:tc>
        <w:tc>
          <w:tcPr>
            <w:tcW w:w="425" w:type="dxa"/>
            <w:tcBorders>
              <w:top w:val="dashed" w:sz="4" w:space="0" w:color="auto"/>
              <w:bottom w:val="dashed" w:sz="4" w:space="0" w:color="auto"/>
            </w:tcBorders>
            <w:noWrap/>
            <w:hideMark/>
          </w:tcPr>
          <w:p w14:paraId="02B9D9B6"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9</w:t>
            </w:r>
          </w:p>
        </w:tc>
        <w:tc>
          <w:tcPr>
            <w:tcW w:w="425" w:type="dxa"/>
            <w:tcBorders>
              <w:top w:val="dashed" w:sz="4" w:space="0" w:color="auto"/>
              <w:bottom w:val="dashed" w:sz="4" w:space="0" w:color="auto"/>
            </w:tcBorders>
            <w:noWrap/>
            <w:hideMark/>
          </w:tcPr>
          <w:p w14:paraId="2EE1C168"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w:t>
            </w:r>
          </w:p>
        </w:tc>
        <w:tc>
          <w:tcPr>
            <w:tcW w:w="426" w:type="dxa"/>
            <w:tcBorders>
              <w:top w:val="dashed" w:sz="4" w:space="0" w:color="auto"/>
              <w:bottom w:val="dashed" w:sz="4" w:space="0" w:color="auto"/>
            </w:tcBorders>
            <w:noWrap/>
            <w:hideMark/>
          </w:tcPr>
          <w:p w14:paraId="25C585A8"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1</w:t>
            </w:r>
          </w:p>
        </w:tc>
        <w:tc>
          <w:tcPr>
            <w:tcW w:w="283" w:type="dxa"/>
            <w:tcBorders>
              <w:top w:val="dashed" w:sz="4" w:space="0" w:color="auto"/>
              <w:bottom w:val="dashed" w:sz="4" w:space="0" w:color="auto"/>
            </w:tcBorders>
            <w:noWrap/>
            <w:hideMark/>
          </w:tcPr>
          <w:p w14:paraId="25A54477"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dashed" w:sz="4" w:space="0" w:color="auto"/>
              <w:bottom w:val="dashed" w:sz="4" w:space="0" w:color="auto"/>
            </w:tcBorders>
            <w:noWrap/>
            <w:hideMark/>
          </w:tcPr>
          <w:p w14:paraId="5040592E"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6" w:type="dxa"/>
            <w:tcBorders>
              <w:top w:val="dashed" w:sz="4" w:space="0" w:color="auto"/>
              <w:bottom w:val="dashed" w:sz="4" w:space="0" w:color="auto"/>
            </w:tcBorders>
            <w:noWrap/>
            <w:hideMark/>
          </w:tcPr>
          <w:p w14:paraId="4FAA0C48"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283" w:type="dxa"/>
            <w:tcBorders>
              <w:top w:val="dashed" w:sz="4" w:space="0" w:color="auto"/>
              <w:bottom w:val="dashed" w:sz="4" w:space="0" w:color="auto"/>
            </w:tcBorders>
            <w:noWrap/>
            <w:hideMark/>
          </w:tcPr>
          <w:p w14:paraId="49A60670"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dashed" w:sz="4" w:space="0" w:color="auto"/>
              <w:bottom w:val="dashed" w:sz="4" w:space="0" w:color="auto"/>
            </w:tcBorders>
            <w:noWrap/>
            <w:hideMark/>
          </w:tcPr>
          <w:p w14:paraId="0151E031"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6" w:type="dxa"/>
            <w:tcBorders>
              <w:top w:val="dashed" w:sz="4" w:space="0" w:color="auto"/>
              <w:bottom w:val="dashed" w:sz="4" w:space="0" w:color="auto"/>
            </w:tcBorders>
            <w:noWrap/>
            <w:hideMark/>
          </w:tcPr>
          <w:p w14:paraId="3D1261B0"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dashed" w:sz="4" w:space="0" w:color="auto"/>
              <w:bottom w:val="dashed" w:sz="4" w:space="0" w:color="auto"/>
            </w:tcBorders>
            <w:noWrap/>
            <w:hideMark/>
          </w:tcPr>
          <w:p w14:paraId="053A6506"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dashed" w:sz="4" w:space="0" w:color="auto"/>
              <w:bottom w:val="dashed" w:sz="4" w:space="0" w:color="auto"/>
            </w:tcBorders>
            <w:noWrap/>
            <w:hideMark/>
          </w:tcPr>
          <w:p w14:paraId="2C424C15"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dashed" w:sz="4" w:space="0" w:color="auto"/>
              <w:bottom w:val="dashed" w:sz="4" w:space="0" w:color="auto"/>
            </w:tcBorders>
          </w:tcPr>
          <w:p w14:paraId="066D7E40"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0</w:t>
            </w:r>
          </w:p>
        </w:tc>
        <w:tc>
          <w:tcPr>
            <w:tcW w:w="426" w:type="dxa"/>
            <w:tcBorders>
              <w:top w:val="dashed" w:sz="4" w:space="0" w:color="auto"/>
              <w:bottom w:val="dashed" w:sz="4" w:space="0" w:color="auto"/>
            </w:tcBorders>
          </w:tcPr>
          <w:p w14:paraId="31910EB4"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0</w:t>
            </w:r>
          </w:p>
        </w:tc>
        <w:tc>
          <w:tcPr>
            <w:tcW w:w="425" w:type="dxa"/>
            <w:tcBorders>
              <w:top w:val="dashed" w:sz="4" w:space="0" w:color="auto"/>
              <w:bottom w:val="dashed" w:sz="4" w:space="0" w:color="auto"/>
            </w:tcBorders>
          </w:tcPr>
          <w:p w14:paraId="24EDE4BC"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0</w:t>
            </w:r>
          </w:p>
        </w:tc>
      </w:tr>
      <w:tr w:rsidR="0061260A" w:rsidRPr="0061260A" w14:paraId="783E9978" w14:textId="77777777" w:rsidTr="005F740A">
        <w:trPr>
          <w:cantSplit/>
          <w:trHeight w:val="334"/>
        </w:trPr>
        <w:tc>
          <w:tcPr>
            <w:tcW w:w="459" w:type="dxa"/>
            <w:tcBorders>
              <w:top w:val="dashed" w:sz="4" w:space="0" w:color="auto"/>
              <w:bottom w:val="dashed" w:sz="4" w:space="0" w:color="auto"/>
            </w:tcBorders>
            <w:noWrap/>
            <w:hideMark/>
          </w:tcPr>
          <w:p w14:paraId="4B5569C2" w14:textId="77777777" w:rsidR="0061260A" w:rsidRPr="0061260A" w:rsidRDefault="0061260A" w:rsidP="0061260A">
            <w:pPr>
              <w:rPr>
                <w:rFonts w:asciiTheme="minorHAnsi" w:hAnsiTheme="minorHAnsi" w:cstheme="minorHAnsi"/>
                <w:color w:val="000000"/>
                <w:sz w:val="18"/>
                <w:szCs w:val="18"/>
                <w:lang w:eastAsia="en-AU" w:bidi="en-US"/>
              </w:rPr>
            </w:pPr>
            <w:r w:rsidRPr="0061260A">
              <w:rPr>
                <w:rFonts w:asciiTheme="minorHAnsi" w:hAnsiTheme="minorHAnsi" w:cstheme="minorHAnsi"/>
                <w:b/>
                <w:bCs/>
                <w:color w:val="000000"/>
                <w:sz w:val="18"/>
                <w:szCs w:val="18"/>
                <w:lang w:eastAsia="en-AU" w:bidi="en-US"/>
              </w:rPr>
              <w:t>CA</w:t>
            </w:r>
          </w:p>
        </w:tc>
        <w:tc>
          <w:tcPr>
            <w:tcW w:w="250" w:type="dxa"/>
            <w:tcBorders>
              <w:top w:val="dashed" w:sz="4" w:space="0" w:color="auto"/>
              <w:bottom w:val="dashed" w:sz="4" w:space="0" w:color="auto"/>
            </w:tcBorders>
            <w:noWrap/>
            <w:hideMark/>
          </w:tcPr>
          <w:p w14:paraId="26C71597"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w:t>
            </w:r>
          </w:p>
        </w:tc>
        <w:tc>
          <w:tcPr>
            <w:tcW w:w="425" w:type="dxa"/>
            <w:tcBorders>
              <w:top w:val="dashed" w:sz="4" w:space="0" w:color="auto"/>
              <w:bottom w:val="dashed" w:sz="4" w:space="0" w:color="auto"/>
            </w:tcBorders>
            <w:noWrap/>
            <w:hideMark/>
          </w:tcPr>
          <w:p w14:paraId="3E93FABA"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284" w:type="dxa"/>
            <w:tcBorders>
              <w:top w:val="dashed" w:sz="4" w:space="0" w:color="auto"/>
              <w:bottom w:val="dashed" w:sz="4" w:space="0" w:color="auto"/>
            </w:tcBorders>
            <w:noWrap/>
            <w:hideMark/>
          </w:tcPr>
          <w:p w14:paraId="4E06863D"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dashed" w:sz="4" w:space="0" w:color="auto"/>
              <w:bottom w:val="dashed" w:sz="4" w:space="0" w:color="auto"/>
            </w:tcBorders>
          </w:tcPr>
          <w:p w14:paraId="6B58B5BD"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dashed" w:sz="4" w:space="0" w:color="auto"/>
              <w:bottom w:val="dashed" w:sz="4" w:space="0" w:color="auto"/>
            </w:tcBorders>
            <w:noWrap/>
            <w:hideMark/>
          </w:tcPr>
          <w:p w14:paraId="4540FCDC"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6" w:type="dxa"/>
            <w:tcBorders>
              <w:top w:val="dashed" w:sz="4" w:space="0" w:color="auto"/>
              <w:bottom w:val="dashed" w:sz="4" w:space="0" w:color="auto"/>
            </w:tcBorders>
            <w:noWrap/>
            <w:hideMark/>
          </w:tcPr>
          <w:p w14:paraId="69315EA8"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dashed" w:sz="4" w:space="0" w:color="auto"/>
              <w:bottom w:val="dashed" w:sz="4" w:space="0" w:color="auto"/>
            </w:tcBorders>
            <w:noWrap/>
            <w:hideMark/>
          </w:tcPr>
          <w:p w14:paraId="260951F6"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dashed" w:sz="4" w:space="0" w:color="auto"/>
              <w:bottom w:val="dashed" w:sz="4" w:space="0" w:color="auto"/>
            </w:tcBorders>
            <w:noWrap/>
            <w:hideMark/>
          </w:tcPr>
          <w:p w14:paraId="4E9A18AB"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w:t>
            </w:r>
          </w:p>
        </w:tc>
        <w:tc>
          <w:tcPr>
            <w:tcW w:w="425" w:type="dxa"/>
            <w:tcBorders>
              <w:top w:val="dashed" w:sz="4" w:space="0" w:color="auto"/>
              <w:bottom w:val="dashed" w:sz="4" w:space="0" w:color="auto"/>
            </w:tcBorders>
            <w:noWrap/>
            <w:hideMark/>
          </w:tcPr>
          <w:p w14:paraId="08B12AD8"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w:t>
            </w:r>
          </w:p>
        </w:tc>
        <w:tc>
          <w:tcPr>
            <w:tcW w:w="426" w:type="dxa"/>
            <w:tcBorders>
              <w:top w:val="dashed" w:sz="4" w:space="0" w:color="auto"/>
              <w:bottom w:val="dashed" w:sz="4" w:space="0" w:color="auto"/>
            </w:tcBorders>
            <w:noWrap/>
            <w:hideMark/>
          </w:tcPr>
          <w:p w14:paraId="0FC56854"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283" w:type="dxa"/>
            <w:tcBorders>
              <w:top w:val="dashed" w:sz="4" w:space="0" w:color="auto"/>
              <w:bottom w:val="dashed" w:sz="4" w:space="0" w:color="auto"/>
            </w:tcBorders>
            <w:noWrap/>
            <w:hideMark/>
          </w:tcPr>
          <w:p w14:paraId="23401969"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dashed" w:sz="4" w:space="0" w:color="auto"/>
              <w:bottom w:val="dashed" w:sz="4" w:space="0" w:color="auto"/>
            </w:tcBorders>
            <w:noWrap/>
            <w:hideMark/>
          </w:tcPr>
          <w:p w14:paraId="6D1BA224"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27</w:t>
            </w:r>
          </w:p>
        </w:tc>
        <w:tc>
          <w:tcPr>
            <w:tcW w:w="426" w:type="dxa"/>
            <w:tcBorders>
              <w:top w:val="dashed" w:sz="4" w:space="0" w:color="auto"/>
              <w:bottom w:val="dashed" w:sz="4" w:space="0" w:color="auto"/>
            </w:tcBorders>
            <w:noWrap/>
            <w:hideMark/>
          </w:tcPr>
          <w:p w14:paraId="5828267A"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283" w:type="dxa"/>
            <w:tcBorders>
              <w:top w:val="dashed" w:sz="4" w:space="0" w:color="auto"/>
              <w:bottom w:val="dashed" w:sz="4" w:space="0" w:color="auto"/>
            </w:tcBorders>
            <w:noWrap/>
            <w:hideMark/>
          </w:tcPr>
          <w:p w14:paraId="175909A3"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34</w:t>
            </w:r>
          </w:p>
        </w:tc>
        <w:tc>
          <w:tcPr>
            <w:tcW w:w="425" w:type="dxa"/>
            <w:tcBorders>
              <w:top w:val="dashed" w:sz="4" w:space="0" w:color="auto"/>
              <w:bottom w:val="dashed" w:sz="4" w:space="0" w:color="auto"/>
            </w:tcBorders>
            <w:noWrap/>
            <w:hideMark/>
          </w:tcPr>
          <w:p w14:paraId="4DD37A98"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28</w:t>
            </w:r>
          </w:p>
        </w:tc>
        <w:tc>
          <w:tcPr>
            <w:tcW w:w="426" w:type="dxa"/>
            <w:tcBorders>
              <w:top w:val="dashed" w:sz="4" w:space="0" w:color="auto"/>
              <w:bottom w:val="dashed" w:sz="4" w:space="0" w:color="auto"/>
            </w:tcBorders>
            <w:noWrap/>
            <w:hideMark/>
          </w:tcPr>
          <w:p w14:paraId="451304E4"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dashed" w:sz="4" w:space="0" w:color="auto"/>
              <w:bottom w:val="dashed" w:sz="4" w:space="0" w:color="auto"/>
            </w:tcBorders>
            <w:noWrap/>
            <w:hideMark/>
          </w:tcPr>
          <w:p w14:paraId="05AF7958"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34</w:t>
            </w:r>
          </w:p>
        </w:tc>
        <w:tc>
          <w:tcPr>
            <w:tcW w:w="425" w:type="dxa"/>
            <w:tcBorders>
              <w:top w:val="dashed" w:sz="4" w:space="0" w:color="auto"/>
              <w:bottom w:val="dashed" w:sz="4" w:space="0" w:color="auto"/>
            </w:tcBorders>
            <w:noWrap/>
            <w:hideMark/>
          </w:tcPr>
          <w:p w14:paraId="37CEE8A1"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16</w:t>
            </w:r>
          </w:p>
        </w:tc>
        <w:tc>
          <w:tcPr>
            <w:tcW w:w="425" w:type="dxa"/>
            <w:tcBorders>
              <w:top w:val="dashed" w:sz="4" w:space="0" w:color="auto"/>
              <w:bottom w:val="dashed" w:sz="4" w:space="0" w:color="auto"/>
            </w:tcBorders>
          </w:tcPr>
          <w:p w14:paraId="17BF4328"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18</w:t>
            </w:r>
          </w:p>
        </w:tc>
        <w:tc>
          <w:tcPr>
            <w:tcW w:w="426" w:type="dxa"/>
            <w:tcBorders>
              <w:top w:val="dashed" w:sz="4" w:space="0" w:color="auto"/>
              <w:bottom w:val="dashed" w:sz="4" w:space="0" w:color="auto"/>
            </w:tcBorders>
          </w:tcPr>
          <w:p w14:paraId="1F8000C4"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13</w:t>
            </w:r>
          </w:p>
        </w:tc>
        <w:tc>
          <w:tcPr>
            <w:tcW w:w="425" w:type="dxa"/>
            <w:tcBorders>
              <w:top w:val="dashed" w:sz="4" w:space="0" w:color="auto"/>
              <w:bottom w:val="dashed" w:sz="4" w:space="0" w:color="auto"/>
            </w:tcBorders>
          </w:tcPr>
          <w:p w14:paraId="0CAA31A1"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10</w:t>
            </w:r>
          </w:p>
        </w:tc>
      </w:tr>
      <w:tr w:rsidR="0061260A" w:rsidRPr="0061260A" w14:paraId="28D89545" w14:textId="77777777" w:rsidTr="005F740A">
        <w:trPr>
          <w:cantSplit/>
          <w:trHeight w:val="334"/>
        </w:trPr>
        <w:tc>
          <w:tcPr>
            <w:tcW w:w="459" w:type="dxa"/>
            <w:tcBorders>
              <w:top w:val="dashed" w:sz="4" w:space="0" w:color="auto"/>
              <w:bottom w:val="dashed" w:sz="4" w:space="0" w:color="auto"/>
            </w:tcBorders>
            <w:noWrap/>
            <w:hideMark/>
          </w:tcPr>
          <w:p w14:paraId="14928256" w14:textId="77777777" w:rsidR="0061260A" w:rsidRPr="0061260A" w:rsidRDefault="0061260A" w:rsidP="0061260A">
            <w:pPr>
              <w:rPr>
                <w:rFonts w:asciiTheme="minorHAnsi" w:hAnsiTheme="minorHAnsi" w:cstheme="minorHAnsi"/>
                <w:color w:val="000000"/>
                <w:sz w:val="18"/>
                <w:szCs w:val="18"/>
                <w:lang w:eastAsia="en-AU" w:bidi="en-US"/>
              </w:rPr>
            </w:pPr>
            <w:r w:rsidRPr="0061260A">
              <w:rPr>
                <w:rFonts w:asciiTheme="minorHAnsi" w:hAnsiTheme="minorHAnsi" w:cstheme="minorHAnsi"/>
                <w:b/>
                <w:bCs/>
                <w:color w:val="000000"/>
                <w:sz w:val="18"/>
                <w:szCs w:val="18"/>
                <w:lang w:eastAsia="en-AU" w:bidi="en-US"/>
              </w:rPr>
              <w:t>JE</w:t>
            </w:r>
          </w:p>
        </w:tc>
        <w:tc>
          <w:tcPr>
            <w:tcW w:w="250" w:type="dxa"/>
            <w:tcBorders>
              <w:top w:val="dashed" w:sz="4" w:space="0" w:color="auto"/>
              <w:bottom w:val="dashed" w:sz="4" w:space="0" w:color="auto"/>
            </w:tcBorders>
            <w:noWrap/>
            <w:hideMark/>
          </w:tcPr>
          <w:p w14:paraId="539EECE4"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w:t>
            </w:r>
          </w:p>
        </w:tc>
        <w:tc>
          <w:tcPr>
            <w:tcW w:w="425" w:type="dxa"/>
            <w:tcBorders>
              <w:top w:val="dashed" w:sz="4" w:space="0" w:color="auto"/>
              <w:bottom w:val="dashed" w:sz="4" w:space="0" w:color="auto"/>
            </w:tcBorders>
            <w:noWrap/>
            <w:hideMark/>
          </w:tcPr>
          <w:p w14:paraId="12F2C3E4"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284" w:type="dxa"/>
            <w:tcBorders>
              <w:top w:val="dashed" w:sz="4" w:space="0" w:color="auto"/>
              <w:bottom w:val="dashed" w:sz="4" w:space="0" w:color="auto"/>
            </w:tcBorders>
            <w:noWrap/>
            <w:hideMark/>
          </w:tcPr>
          <w:p w14:paraId="0651CC3C"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dashed" w:sz="4" w:space="0" w:color="auto"/>
              <w:bottom w:val="dashed" w:sz="4" w:space="0" w:color="auto"/>
            </w:tcBorders>
          </w:tcPr>
          <w:p w14:paraId="0B14DB70"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dashed" w:sz="4" w:space="0" w:color="auto"/>
              <w:bottom w:val="dashed" w:sz="4" w:space="0" w:color="auto"/>
            </w:tcBorders>
            <w:noWrap/>
            <w:hideMark/>
          </w:tcPr>
          <w:p w14:paraId="3A330FA9"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6" w:type="dxa"/>
            <w:tcBorders>
              <w:top w:val="dashed" w:sz="4" w:space="0" w:color="auto"/>
              <w:bottom w:val="dashed" w:sz="4" w:space="0" w:color="auto"/>
            </w:tcBorders>
            <w:noWrap/>
            <w:hideMark/>
          </w:tcPr>
          <w:p w14:paraId="53EC942B"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dashed" w:sz="4" w:space="0" w:color="auto"/>
              <w:bottom w:val="dashed" w:sz="4" w:space="0" w:color="auto"/>
            </w:tcBorders>
            <w:noWrap/>
            <w:hideMark/>
          </w:tcPr>
          <w:p w14:paraId="35FD244B"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dashed" w:sz="4" w:space="0" w:color="auto"/>
              <w:bottom w:val="dashed" w:sz="4" w:space="0" w:color="auto"/>
            </w:tcBorders>
            <w:noWrap/>
            <w:hideMark/>
          </w:tcPr>
          <w:p w14:paraId="4B660F96"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2</w:t>
            </w:r>
          </w:p>
        </w:tc>
        <w:tc>
          <w:tcPr>
            <w:tcW w:w="425" w:type="dxa"/>
            <w:tcBorders>
              <w:top w:val="dashed" w:sz="4" w:space="0" w:color="auto"/>
              <w:bottom w:val="dashed" w:sz="4" w:space="0" w:color="auto"/>
            </w:tcBorders>
            <w:noWrap/>
            <w:hideMark/>
          </w:tcPr>
          <w:p w14:paraId="2570CC21"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3</w:t>
            </w:r>
          </w:p>
        </w:tc>
        <w:tc>
          <w:tcPr>
            <w:tcW w:w="426" w:type="dxa"/>
            <w:tcBorders>
              <w:top w:val="dashed" w:sz="4" w:space="0" w:color="auto"/>
              <w:bottom w:val="dashed" w:sz="4" w:space="0" w:color="auto"/>
            </w:tcBorders>
            <w:noWrap/>
            <w:hideMark/>
          </w:tcPr>
          <w:p w14:paraId="7353D145"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6</w:t>
            </w:r>
          </w:p>
        </w:tc>
        <w:tc>
          <w:tcPr>
            <w:tcW w:w="283" w:type="dxa"/>
            <w:tcBorders>
              <w:top w:val="dashed" w:sz="4" w:space="0" w:color="auto"/>
              <w:bottom w:val="dashed" w:sz="4" w:space="0" w:color="auto"/>
            </w:tcBorders>
            <w:noWrap/>
            <w:hideMark/>
          </w:tcPr>
          <w:p w14:paraId="7190489D"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5</w:t>
            </w:r>
          </w:p>
        </w:tc>
        <w:tc>
          <w:tcPr>
            <w:tcW w:w="425" w:type="dxa"/>
            <w:tcBorders>
              <w:top w:val="dashed" w:sz="4" w:space="0" w:color="auto"/>
              <w:bottom w:val="dashed" w:sz="4" w:space="0" w:color="auto"/>
            </w:tcBorders>
            <w:noWrap/>
            <w:hideMark/>
          </w:tcPr>
          <w:p w14:paraId="473E9550"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2</w:t>
            </w:r>
          </w:p>
        </w:tc>
        <w:tc>
          <w:tcPr>
            <w:tcW w:w="426" w:type="dxa"/>
            <w:tcBorders>
              <w:top w:val="dashed" w:sz="4" w:space="0" w:color="auto"/>
              <w:bottom w:val="dashed" w:sz="4" w:space="0" w:color="auto"/>
            </w:tcBorders>
            <w:noWrap/>
            <w:hideMark/>
          </w:tcPr>
          <w:p w14:paraId="46F2F5A7"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6</w:t>
            </w:r>
          </w:p>
        </w:tc>
        <w:tc>
          <w:tcPr>
            <w:tcW w:w="283" w:type="dxa"/>
            <w:tcBorders>
              <w:top w:val="dashed" w:sz="4" w:space="0" w:color="auto"/>
              <w:bottom w:val="dashed" w:sz="4" w:space="0" w:color="auto"/>
            </w:tcBorders>
            <w:noWrap/>
            <w:hideMark/>
          </w:tcPr>
          <w:p w14:paraId="71C6EE78"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7</w:t>
            </w:r>
          </w:p>
        </w:tc>
        <w:tc>
          <w:tcPr>
            <w:tcW w:w="425" w:type="dxa"/>
            <w:tcBorders>
              <w:top w:val="dashed" w:sz="4" w:space="0" w:color="auto"/>
              <w:bottom w:val="dashed" w:sz="4" w:space="0" w:color="auto"/>
            </w:tcBorders>
            <w:noWrap/>
            <w:hideMark/>
          </w:tcPr>
          <w:p w14:paraId="77B75386"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33</w:t>
            </w:r>
          </w:p>
        </w:tc>
        <w:tc>
          <w:tcPr>
            <w:tcW w:w="426" w:type="dxa"/>
            <w:tcBorders>
              <w:top w:val="dashed" w:sz="4" w:space="0" w:color="auto"/>
              <w:bottom w:val="dashed" w:sz="4" w:space="0" w:color="auto"/>
            </w:tcBorders>
            <w:noWrap/>
            <w:hideMark/>
          </w:tcPr>
          <w:p w14:paraId="4F0C251A"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30</w:t>
            </w:r>
          </w:p>
        </w:tc>
        <w:tc>
          <w:tcPr>
            <w:tcW w:w="425" w:type="dxa"/>
            <w:tcBorders>
              <w:top w:val="dashed" w:sz="4" w:space="0" w:color="auto"/>
              <w:bottom w:val="dashed" w:sz="4" w:space="0" w:color="auto"/>
            </w:tcBorders>
            <w:noWrap/>
            <w:hideMark/>
          </w:tcPr>
          <w:p w14:paraId="1FF8462A"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16</w:t>
            </w:r>
          </w:p>
        </w:tc>
        <w:tc>
          <w:tcPr>
            <w:tcW w:w="425" w:type="dxa"/>
            <w:tcBorders>
              <w:top w:val="dashed" w:sz="4" w:space="0" w:color="auto"/>
              <w:bottom w:val="dashed" w:sz="4" w:space="0" w:color="auto"/>
            </w:tcBorders>
            <w:noWrap/>
            <w:hideMark/>
          </w:tcPr>
          <w:p w14:paraId="12A88C6E"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1</w:t>
            </w:r>
          </w:p>
        </w:tc>
        <w:tc>
          <w:tcPr>
            <w:tcW w:w="425" w:type="dxa"/>
            <w:tcBorders>
              <w:top w:val="dashed" w:sz="4" w:space="0" w:color="auto"/>
              <w:bottom w:val="dashed" w:sz="4" w:space="0" w:color="auto"/>
            </w:tcBorders>
          </w:tcPr>
          <w:p w14:paraId="67202343"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3</w:t>
            </w:r>
          </w:p>
        </w:tc>
        <w:tc>
          <w:tcPr>
            <w:tcW w:w="426" w:type="dxa"/>
            <w:tcBorders>
              <w:top w:val="dashed" w:sz="4" w:space="0" w:color="auto"/>
              <w:bottom w:val="dashed" w:sz="4" w:space="0" w:color="auto"/>
            </w:tcBorders>
          </w:tcPr>
          <w:p w14:paraId="56F5B03C"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1</w:t>
            </w:r>
          </w:p>
        </w:tc>
        <w:tc>
          <w:tcPr>
            <w:tcW w:w="425" w:type="dxa"/>
            <w:tcBorders>
              <w:top w:val="dashed" w:sz="4" w:space="0" w:color="auto"/>
              <w:bottom w:val="dashed" w:sz="4" w:space="0" w:color="auto"/>
            </w:tcBorders>
          </w:tcPr>
          <w:p w14:paraId="2A76C10B"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1</w:t>
            </w:r>
          </w:p>
        </w:tc>
      </w:tr>
      <w:tr w:rsidR="0061260A" w:rsidRPr="0061260A" w14:paraId="29399747" w14:textId="77777777" w:rsidTr="005F740A">
        <w:trPr>
          <w:cantSplit/>
          <w:trHeight w:val="334"/>
        </w:trPr>
        <w:tc>
          <w:tcPr>
            <w:tcW w:w="459" w:type="dxa"/>
            <w:tcBorders>
              <w:top w:val="dashed" w:sz="4" w:space="0" w:color="auto"/>
              <w:bottom w:val="dashed" w:sz="4" w:space="0" w:color="auto"/>
            </w:tcBorders>
            <w:noWrap/>
            <w:hideMark/>
          </w:tcPr>
          <w:p w14:paraId="17E33C7B" w14:textId="77777777" w:rsidR="0061260A" w:rsidRPr="0061260A" w:rsidRDefault="0061260A" w:rsidP="0061260A">
            <w:pPr>
              <w:rPr>
                <w:rFonts w:asciiTheme="minorHAnsi" w:hAnsiTheme="minorHAnsi" w:cstheme="minorHAnsi"/>
                <w:b/>
                <w:bCs/>
                <w:color w:val="000000"/>
                <w:sz w:val="18"/>
                <w:szCs w:val="18"/>
                <w:lang w:eastAsia="en-AU" w:bidi="en-US"/>
              </w:rPr>
            </w:pPr>
            <w:r w:rsidRPr="0061260A">
              <w:rPr>
                <w:rFonts w:asciiTheme="minorHAnsi" w:hAnsiTheme="minorHAnsi" w:cstheme="minorHAnsi"/>
                <w:b/>
                <w:bCs/>
                <w:color w:val="000000"/>
                <w:sz w:val="18"/>
                <w:szCs w:val="18"/>
                <w:lang w:eastAsia="en-AU" w:bidi="en-US"/>
              </w:rPr>
              <w:t>JW</w:t>
            </w:r>
          </w:p>
        </w:tc>
        <w:tc>
          <w:tcPr>
            <w:tcW w:w="250" w:type="dxa"/>
            <w:tcBorders>
              <w:top w:val="dashed" w:sz="4" w:space="0" w:color="auto"/>
              <w:bottom w:val="dashed" w:sz="4" w:space="0" w:color="auto"/>
            </w:tcBorders>
            <w:noWrap/>
            <w:hideMark/>
          </w:tcPr>
          <w:p w14:paraId="0393E7F2"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w:t>
            </w:r>
          </w:p>
        </w:tc>
        <w:tc>
          <w:tcPr>
            <w:tcW w:w="425" w:type="dxa"/>
            <w:tcBorders>
              <w:top w:val="dashed" w:sz="4" w:space="0" w:color="auto"/>
              <w:bottom w:val="dashed" w:sz="4" w:space="0" w:color="auto"/>
            </w:tcBorders>
            <w:noWrap/>
            <w:hideMark/>
          </w:tcPr>
          <w:p w14:paraId="5C35D74D"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284" w:type="dxa"/>
            <w:tcBorders>
              <w:top w:val="dashed" w:sz="4" w:space="0" w:color="auto"/>
              <w:bottom w:val="dashed" w:sz="4" w:space="0" w:color="auto"/>
            </w:tcBorders>
            <w:noWrap/>
            <w:hideMark/>
          </w:tcPr>
          <w:p w14:paraId="18917B25"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sz w:val="18"/>
                <w:szCs w:val="18"/>
                <w:lang w:eastAsia="en-AU" w:bidi="en-US"/>
              </w:rPr>
              <w:t>-</w:t>
            </w:r>
          </w:p>
        </w:tc>
        <w:tc>
          <w:tcPr>
            <w:tcW w:w="425" w:type="dxa"/>
            <w:tcBorders>
              <w:top w:val="dashed" w:sz="4" w:space="0" w:color="auto"/>
              <w:bottom w:val="dashed" w:sz="4" w:space="0" w:color="auto"/>
            </w:tcBorders>
          </w:tcPr>
          <w:p w14:paraId="202DE993"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w:t>
            </w:r>
          </w:p>
        </w:tc>
        <w:tc>
          <w:tcPr>
            <w:tcW w:w="425" w:type="dxa"/>
            <w:tcBorders>
              <w:top w:val="dashed" w:sz="4" w:space="0" w:color="auto"/>
              <w:bottom w:val="dashed" w:sz="4" w:space="0" w:color="auto"/>
            </w:tcBorders>
            <w:noWrap/>
            <w:hideMark/>
          </w:tcPr>
          <w:p w14:paraId="1C66698C"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208</w:t>
            </w:r>
          </w:p>
        </w:tc>
        <w:tc>
          <w:tcPr>
            <w:tcW w:w="426" w:type="dxa"/>
            <w:tcBorders>
              <w:top w:val="dashed" w:sz="4" w:space="0" w:color="auto"/>
              <w:bottom w:val="dashed" w:sz="4" w:space="0" w:color="auto"/>
            </w:tcBorders>
            <w:noWrap/>
            <w:hideMark/>
          </w:tcPr>
          <w:p w14:paraId="1FEBDBBB"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28</w:t>
            </w:r>
          </w:p>
        </w:tc>
        <w:tc>
          <w:tcPr>
            <w:tcW w:w="425" w:type="dxa"/>
            <w:tcBorders>
              <w:top w:val="dashed" w:sz="4" w:space="0" w:color="auto"/>
              <w:bottom w:val="dashed" w:sz="4" w:space="0" w:color="auto"/>
            </w:tcBorders>
            <w:noWrap/>
            <w:hideMark/>
          </w:tcPr>
          <w:p w14:paraId="36594D6E"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30</w:t>
            </w:r>
          </w:p>
        </w:tc>
        <w:tc>
          <w:tcPr>
            <w:tcW w:w="425" w:type="dxa"/>
            <w:tcBorders>
              <w:top w:val="dashed" w:sz="4" w:space="0" w:color="auto"/>
              <w:bottom w:val="dashed" w:sz="4" w:space="0" w:color="auto"/>
            </w:tcBorders>
            <w:noWrap/>
            <w:hideMark/>
          </w:tcPr>
          <w:p w14:paraId="1AFC4D27"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16</w:t>
            </w:r>
          </w:p>
        </w:tc>
        <w:tc>
          <w:tcPr>
            <w:tcW w:w="425" w:type="dxa"/>
            <w:tcBorders>
              <w:top w:val="dashed" w:sz="4" w:space="0" w:color="auto"/>
              <w:bottom w:val="dashed" w:sz="4" w:space="0" w:color="auto"/>
            </w:tcBorders>
            <w:noWrap/>
            <w:hideMark/>
          </w:tcPr>
          <w:p w14:paraId="5C28A2FD"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6</w:t>
            </w:r>
          </w:p>
        </w:tc>
        <w:tc>
          <w:tcPr>
            <w:tcW w:w="426" w:type="dxa"/>
            <w:tcBorders>
              <w:top w:val="dashed" w:sz="4" w:space="0" w:color="auto"/>
              <w:bottom w:val="dashed" w:sz="4" w:space="0" w:color="auto"/>
            </w:tcBorders>
            <w:noWrap/>
            <w:hideMark/>
          </w:tcPr>
          <w:p w14:paraId="1E01AB3D"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2</w:t>
            </w:r>
          </w:p>
        </w:tc>
        <w:tc>
          <w:tcPr>
            <w:tcW w:w="283" w:type="dxa"/>
            <w:tcBorders>
              <w:top w:val="dashed" w:sz="4" w:space="0" w:color="auto"/>
              <w:bottom w:val="dashed" w:sz="4" w:space="0" w:color="auto"/>
            </w:tcBorders>
            <w:noWrap/>
            <w:hideMark/>
          </w:tcPr>
          <w:p w14:paraId="41130925"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2</w:t>
            </w:r>
          </w:p>
        </w:tc>
        <w:tc>
          <w:tcPr>
            <w:tcW w:w="425" w:type="dxa"/>
            <w:tcBorders>
              <w:top w:val="dashed" w:sz="4" w:space="0" w:color="auto"/>
              <w:bottom w:val="dashed" w:sz="4" w:space="0" w:color="auto"/>
            </w:tcBorders>
            <w:noWrap/>
            <w:hideMark/>
          </w:tcPr>
          <w:p w14:paraId="12529CF2"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18</w:t>
            </w:r>
          </w:p>
        </w:tc>
        <w:tc>
          <w:tcPr>
            <w:tcW w:w="426" w:type="dxa"/>
            <w:tcBorders>
              <w:top w:val="dashed" w:sz="4" w:space="0" w:color="auto"/>
              <w:bottom w:val="dashed" w:sz="4" w:space="0" w:color="auto"/>
            </w:tcBorders>
            <w:noWrap/>
            <w:hideMark/>
          </w:tcPr>
          <w:p w14:paraId="065BB4DA"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23</w:t>
            </w:r>
          </w:p>
        </w:tc>
        <w:tc>
          <w:tcPr>
            <w:tcW w:w="283" w:type="dxa"/>
            <w:tcBorders>
              <w:top w:val="dashed" w:sz="4" w:space="0" w:color="auto"/>
              <w:bottom w:val="dashed" w:sz="4" w:space="0" w:color="auto"/>
            </w:tcBorders>
            <w:noWrap/>
            <w:hideMark/>
          </w:tcPr>
          <w:p w14:paraId="0735C6DF"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12</w:t>
            </w:r>
          </w:p>
        </w:tc>
        <w:tc>
          <w:tcPr>
            <w:tcW w:w="425" w:type="dxa"/>
            <w:tcBorders>
              <w:top w:val="dashed" w:sz="4" w:space="0" w:color="auto"/>
              <w:bottom w:val="dashed" w:sz="4" w:space="0" w:color="auto"/>
            </w:tcBorders>
            <w:noWrap/>
            <w:hideMark/>
          </w:tcPr>
          <w:p w14:paraId="351B0AEA"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7</w:t>
            </w:r>
          </w:p>
        </w:tc>
        <w:tc>
          <w:tcPr>
            <w:tcW w:w="426" w:type="dxa"/>
            <w:tcBorders>
              <w:top w:val="dashed" w:sz="4" w:space="0" w:color="auto"/>
              <w:bottom w:val="dashed" w:sz="4" w:space="0" w:color="auto"/>
            </w:tcBorders>
            <w:noWrap/>
            <w:hideMark/>
          </w:tcPr>
          <w:p w14:paraId="697E8BCC"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4</w:t>
            </w:r>
          </w:p>
        </w:tc>
        <w:tc>
          <w:tcPr>
            <w:tcW w:w="425" w:type="dxa"/>
            <w:tcBorders>
              <w:top w:val="dashed" w:sz="4" w:space="0" w:color="auto"/>
              <w:bottom w:val="dashed" w:sz="4" w:space="0" w:color="auto"/>
            </w:tcBorders>
            <w:noWrap/>
            <w:hideMark/>
          </w:tcPr>
          <w:p w14:paraId="36C5F451"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1</w:t>
            </w:r>
          </w:p>
        </w:tc>
        <w:tc>
          <w:tcPr>
            <w:tcW w:w="425" w:type="dxa"/>
            <w:tcBorders>
              <w:top w:val="dashed" w:sz="4" w:space="0" w:color="auto"/>
              <w:bottom w:val="dashed" w:sz="4" w:space="0" w:color="auto"/>
            </w:tcBorders>
            <w:noWrap/>
            <w:hideMark/>
          </w:tcPr>
          <w:p w14:paraId="633A8DC8"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2</w:t>
            </w:r>
          </w:p>
        </w:tc>
        <w:tc>
          <w:tcPr>
            <w:tcW w:w="425" w:type="dxa"/>
            <w:tcBorders>
              <w:top w:val="dashed" w:sz="4" w:space="0" w:color="auto"/>
              <w:bottom w:val="dashed" w:sz="4" w:space="0" w:color="auto"/>
            </w:tcBorders>
          </w:tcPr>
          <w:p w14:paraId="585E2100"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0</w:t>
            </w:r>
          </w:p>
        </w:tc>
        <w:tc>
          <w:tcPr>
            <w:tcW w:w="426" w:type="dxa"/>
            <w:tcBorders>
              <w:top w:val="dashed" w:sz="4" w:space="0" w:color="auto"/>
              <w:bottom w:val="dashed" w:sz="4" w:space="0" w:color="auto"/>
            </w:tcBorders>
          </w:tcPr>
          <w:p w14:paraId="2E24D3B2"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0</w:t>
            </w:r>
          </w:p>
        </w:tc>
        <w:tc>
          <w:tcPr>
            <w:tcW w:w="425" w:type="dxa"/>
            <w:tcBorders>
              <w:top w:val="dashed" w:sz="4" w:space="0" w:color="auto"/>
              <w:bottom w:val="dashed" w:sz="4" w:space="0" w:color="auto"/>
            </w:tcBorders>
          </w:tcPr>
          <w:p w14:paraId="55DA0D35"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0</w:t>
            </w:r>
          </w:p>
        </w:tc>
      </w:tr>
      <w:tr w:rsidR="0061260A" w:rsidRPr="0061260A" w14:paraId="3774C57C" w14:textId="77777777" w:rsidTr="005F740A">
        <w:trPr>
          <w:cantSplit/>
          <w:trHeight w:val="334"/>
        </w:trPr>
        <w:tc>
          <w:tcPr>
            <w:tcW w:w="459" w:type="dxa"/>
            <w:tcBorders>
              <w:top w:val="dashed" w:sz="4" w:space="0" w:color="auto"/>
              <w:bottom w:val="dashed" w:sz="4" w:space="0" w:color="auto"/>
            </w:tcBorders>
            <w:noWrap/>
            <w:hideMark/>
          </w:tcPr>
          <w:p w14:paraId="216D3D49" w14:textId="77777777" w:rsidR="0061260A" w:rsidRPr="0061260A" w:rsidRDefault="0061260A" w:rsidP="0061260A">
            <w:pPr>
              <w:rPr>
                <w:rFonts w:asciiTheme="minorHAnsi" w:hAnsiTheme="minorHAnsi" w:cstheme="minorHAnsi"/>
                <w:color w:val="000000"/>
                <w:sz w:val="18"/>
                <w:szCs w:val="18"/>
                <w:lang w:eastAsia="en-AU" w:bidi="en-US"/>
              </w:rPr>
            </w:pPr>
            <w:r w:rsidRPr="0061260A">
              <w:rPr>
                <w:rFonts w:asciiTheme="minorHAnsi" w:hAnsiTheme="minorHAnsi" w:cstheme="minorHAnsi"/>
                <w:b/>
                <w:bCs/>
                <w:color w:val="000000"/>
                <w:sz w:val="18"/>
                <w:szCs w:val="18"/>
                <w:lang w:eastAsia="en-AU" w:bidi="en-US"/>
              </w:rPr>
              <w:t>MTA</w:t>
            </w:r>
          </w:p>
        </w:tc>
        <w:tc>
          <w:tcPr>
            <w:tcW w:w="250" w:type="dxa"/>
            <w:tcBorders>
              <w:top w:val="dashed" w:sz="4" w:space="0" w:color="auto"/>
              <w:bottom w:val="dashed" w:sz="4" w:space="0" w:color="auto"/>
            </w:tcBorders>
            <w:noWrap/>
            <w:hideMark/>
          </w:tcPr>
          <w:p w14:paraId="76D4DFB9"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25</w:t>
            </w:r>
          </w:p>
        </w:tc>
        <w:tc>
          <w:tcPr>
            <w:tcW w:w="425" w:type="dxa"/>
            <w:tcBorders>
              <w:top w:val="dashed" w:sz="4" w:space="0" w:color="auto"/>
              <w:bottom w:val="dashed" w:sz="4" w:space="0" w:color="auto"/>
            </w:tcBorders>
            <w:noWrap/>
            <w:hideMark/>
          </w:tcPr>
          <w:p w14:paraId="5F97C3FA"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18</w:t>
            </w:r>
          </w:p>
        </w:tc>
        <w:tc>
          <w:tcPr>
            <w:tcW w:w="284" w:type="dxa"/>
            <w:tcBorders>
              <w:top w:val="dashed" w:sz="4" w:space="0" w:color="auto"/>
              <w:bottom w:val="dashed" w:sz="4" w:space="0" w:color="auto"/>
            </w:tcBorders>
            <w:noWrap/>
            <w:hideMark/>
          </w:tcPr>
          <w:p w14:paraId="5C462CC1"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18</w:t>
            </w:r>
          </w:p>
        </w:tc>
        <w:tc>
          <w:tcPr>
            <w:tcW w:w="425" w:type="dxa"/>
            <w:tcBorders>
              <w:top w:val="dashed" w:sz="4" w:space="0" w:color="auto"/>
              <w:bottom w:val="dashed" w:sz="4" w:space="0" w:color="auto"/>
            </w:tcBorders>
          </w:tcPr>
          <w:p w14:paraId="0B2FC747"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w:t>
            </w:r>
          </w:p>
        </w:tc>
        <w:tc>
          <w:tcPr>
            <w:tcW w:w="425" w:type="dxa"/>
            <w:tcBorders>
              <w:top w:val="dashed" w:sz="4" w:space="0" w:color="auto"/>
              <w:bottom w:val="dashed" w:sz="4" w:space="0" w:color="auto"/>
            </w:tcBorders>
            <w:noWrap/>
            <w:hideMark/>
          </w:tcPr>
          <w:p w14:paraId="42FC9621"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11</w:t>
            </w:r>
          </w:p>
        </w:tc>
        <w:tc>
          <w:tcPr>
            <w:tcW w:w="426" w:type="dxa"/>
            <w:tcBorders>
              <w:top w:val="dashed" w:sz="4" w:space="0" w:color="auto"/>
              <w:bottom w:val="dashed" w:sz="4" w:space="0" w:color="auto"/>
            </w:tcBorders>
            <w:noWrap/>
            <w:hideMark/>
          </w:tcPr>
          <w:p w14:paraId="6F1857B0"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5</w:t>
            </w:r>
          </w:p>
        </w:tc>
        <w:tc>
          <w:tcPr>
            <w:tcW w:w="425" w:type="dxa"/>
            <w:tcBorders>
              <w:top w:val="dashed" w:sz="4" w:space="0" w:color="auto"/>
              <w:bottom w:val="dashed" w:sz="4" w:space="0" w:color="auto"/>
            </w:tcBorders>
            <w:noWrap/>
            <w:hideMark/>
          </w:tcPr>
          <w:p w14:paraId="13E8E3C4"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5</w:t>
            </w:r>
          </w:p>
        </w:tc>
        <w:tc>
          <w:tcPr>
            <w:tcW w:w="425" w:type="dxa"/>
            <w:tcBorders>
              <w:top w:val="dashed" w:sz="4" w:space="0" w:color="auto"/>
              <w:bottom w:val="dashed" w:sz="4" w:space="0" w:color="auto"/>
            </w:tcBorders>
            <w:noWrap/>
            <w:hideMark/>
          </w:tcPr>
          <w:p w14:paraId="68768E2C"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16</w:t>
            </w:r>
          </w:p>
        </w:tc>
        <w:tc>
          <w:tcPr>
            <w:tcW w:w="425" w:type="dxa"/>
            <w:tcBorders>
              <w:top w:val="dashed" w:sz="4" w:space="0" w:color="auto"/>
              <w:bottom w:val="dashed" w:sz="4" w:space="0" w:color="auto"/>
            </w:tcBorders>
            <w:noWrap/>
            <w:hideMark/>
          </w:tcPr>
          <w:p w14:paraId="27392220"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19</w:t>
            </w:r>
          </w:p>
        </w:tc>
        <w:tc>
          <w:tcPr>
            <w:tcW w:w="426" w:type="dxa"/>
            <w:tcBorders>
              <w:top w:val="dashed" w:sz="4" w:space="0" w:color="auto"/>
              <w:bottom w:val="dashed" w:sz="4" w:space="0" w:color="auto"/>
            </w:tcBorders>
            <w:noWrap/>
            <w:hideMark/>
          </w:tcPr>
          <w:p w14:paraId="55DEEDEE"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1</w:t>
            </w:r>
          </w:p>
        </w:tc>
        <w:tc>
          <w:tcPr>
            <w:tcW w:w="283" w:type="dxa"/>
            <w:tcBorders>
              <w:top w:val="dashed" w:sz="4" w:space="0" w:color="auto"/>
              <w:bottom w:val="dashed" w:sz="4" w:space="0" w:color="auto"/>
            </w:tcBorders>
            <w:noWrap/>
            <w:hideMark/>
          </w:tcPr>
          <w:p w14:paraId="645AA82A"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2</w:t>
            </w:r>
          </w:p>
        </w:tc>
        <w:tc>
          <w:tcPr>
            <w:tcW w:w="425" w:type="dxa"/>
            <w:tcBorders>
              <w:top w:val="dashed" w:sz="4" w:space="0" w:color="auto"/>
              <w:bottom w:val="dashed" w:sz="4" w:space="0" w:color="auto"/>
            </w:tcBorders>
            <w:noWrap/>
            <w:hideMark/>
          </w:tcPr>
          <w:p w14:paraId="04F231E5"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11</w:t>
            </w:r>
          </w:p>
        </w:tc>
        <w:tc>
          <w:tcPr>
            <w:tcW w:w="426" w:type="dxa"/>
            <w:tcBorders>
              <w:top w:val="dashed" w:sz="4" w:space="0" w:color="auto"/>
              <w:bottom w:val="dashed" w:sz="4" w:space="0" w:color="auto"/>
            </w:tcBorders>
            <w:noWrap/>
            <w:hideMark/>
          </w:tcPr>
          <w:p w14:paraId="5A70E17A"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16</w:t>
            </w:r>
          </w:p>
        </w:tc>
        <w:tc>
          <w:tcPr>
            <w:tcW w:w="283" w:type="dxa"/>
            <w:tcBorders>
              <w:top w:val="dashed" w:sz="4" w:space="0" w:color="auto"/>
              <w:bottom w:val="dashed" w:sz="4" w:space="0" w:color="auto"/>
            </w:tcBorders>
            <w:noWrap/>
            <w:hideMark/>
          </w:tcPr>
          <w:p w14:paraId="3786E382"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32</w:t>
            </w:r>
          </w:p>
        </w:tc>
        <w:tc>
          <w:tcPr>
            <w:tcW w:w="425" w:type="dxa"/>
            <w:tcBorders>
              <w:top w:val="dashed" w:sz="4" w:space="0" w:color="auto"/>
              <w:bottom w:val="dashed" w:sz="4" w:space="0" w:color="auto"/>
            </w:tcBorders>
            <w:noWrap/>
            <w:hideMark/>
          </w:tcPr>
          <w:p w14:paraId="4CD2B211"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51</w:t>
            </w:r>
          </w:p>
        </w:tc>
        <w:tc>
          <w:tcPr>
            <w:tcW w:w="426" w:type="dxa"/>
            <w:tcBorders>
              <w:top w:val="dashed" w:sz="4" w:space="0" w:color="auto"/>
              <w:bottom w:val="dashed" w:sz="4" w:space="0" w:color="auto"/>
            </w:tcBorders>
            <w:noWrap/>
            <w:hideMark/>
          </w:tcPr>
          <w:p w14:paraId="4A0606B9"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12</w:t>
            </w:r>
          </w:p>
        </w:tc>
        <w:tc>
          <w:tcPr>
            <w:tcW w:w="425" w:type="dxa"/>
            <w:tcBorders>
              <w:top w:val="dashed" w:sz="4" w:space="0" w:color="auto"/>
              <w:bottom w:val="dashed" w:sz="4" w:space="0" w:color="auto"/>
            </w:tcBorders>
            <w:noWrap/>
            <w:hideMark/>
          </w:tcPr>
          <w:p w14:paraId="643CCB29"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13</w:t>
            </w:r>
          </w:p>
        </w:tc>
        <w:tc>
          <w:tcPr>
            <w:tcW w:w="425" w:type="dxa"/>
            <w:tcBorders>
              <w:top w:val="dashed" w:sz="4" w:space="0" w:color="auto"/>
              <w:bottom w:val="dashed" w:sz="4" w:space="0" w:color="auto"/>
            </w:tcBorders>
            <w:noWrap/>
            <w:hideMark/>
          </w:tcPr>
          <w:p w14:paraId="0B4AC993"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2</w:t>
            </w:r>
          </w:p>
        </w:tc>
        <w:tc>
          <w:tcPr>
            <w:tcW w:w="425" w:type="dxa"/>
            <w:tcBorders>
              <w:top w:val="dashed" w:sz="4" w:space="0" w:color="auto"/>
              <w:bottom w:val="dashed" w:sz="4" w:space="0" w:color="auto"/>
            </w:tcBorders>
          </w:tcPr>
          <w:p w14:paraId="4F23D289"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2</w:t>
            </w:r>
          </w:p>
        </w:tc>
        <w:tc>
          <w:tcPr>
            <w:tcW w:w="426" w:type="dxa"/>
            <w:tcBorders>
              <w:top w:val="dashed" w:sz="4" w:space="0" w:color="auto"/>
              <w:bottom w:val="dashed" w:sz="4" w:space="0" w:color="auto"/>
            </w:tcBorders>
          </w:tcPr>
          <w:p w14:paraId="2C50AC36"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color w:val="000000"/>
                <w:sz w:val="18"/>
                <w:szCs w:val="18"/>
                <w:lang w:eastAsia="en-AU" w:bidi="en-US"/>
              </w:rPr>
              <w:t>0</w:t>
            </w:r>
          </w:p>
        </w:tc>
        <w:tc>
          <w:tcPr>
            <w:tcW w:w="425" w:type="dxa"/>
            <w:tcBorders>
              <w:top w:val="dashed" w:sz="4" w:space="0" w:color="auto"/>
              <w:bottom w:val="dashed" w:sz="4" w:space="0" w:color="auto"/>
            </w:tcBorders>
          </w:tcPr>
          <w:p w14:paraId="2DEB504F"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2</w:t>
            </w:r>
          </w:p>
        </w:tc>
      </w:tr>
      <w:tr w:rsidR="0061260A" w:rsidRPr="0061260A" w14:paraId="7C2FB9C2" w14:textId="77777777" w:rsidTr="005F740A">
        <w:trPr>
          <w:cantSplit/>
          <w:trHeight w:val="334"/>
        </w:trPr>
        <w:tc>
          <w:tcPr>
            <w:tcW w:w="459" w:type="dxa"/>
            <w:tcBorders>
              <w:top w:val="dashed" w:sz="4" w:space="0" w:color="auto"/>
              <w:bottom w:val="dashed" w:sz="4" w:space="0" w:color="auto"/>
            </w:tcBorders>
            <w:noWrap/>
          </w:tcPr>
          <w:p w14:paraId="15C8F746" w14:textId="77777777" w:rsidR="0061260A" w:rsidRPr="0061260A" w:rsidRDefault="0061260A" w:rsidP="0061260A">
            <w:pPr>
              <w:rPr>
                <w:rFonts w:asciiTheme="minorHAnsi" w:hAnsiTheme="minorHAnsi" w:cstheme="minorHAnsi"/>
                <w:b/>
                <w:bCs/>
                <w:color w:val="000000"/>
                <w:sz w:val="18"/>
                <w:szCs w:val="18"/>
                <w:lang w:eastAsia="en-AU" w:bidi="en-US"/>
              </w:rPr>
            </w:pPr>
            <w:r w:rsidRPr="0061260A">
              <w:rPr>
                <w:rFonts w:asciiTheme="minorHAnsi" w:hAnsiTheme="minorHAnsi" w:cstheme="minorHAnsi"/>
                <w:b/>
                <w:bCs/>
                <w:color w:val="000000"/>
                <w:sz w:val="18"/>
                <w:szCs w:val="18"/>
                <w:lang w:eastAsia="en-AU" w:bidi="en-US"/>
              </w:rPr>
              <w:t>PS</w:t>
            </w:r>
          </w:p>
        </w:tc>
        <w:tc>
          <w:tcPr>
            <w:tcW w:w="250" w:type="dxa"/>
            <w:tcBorders>
              <w:top w:val="dashed" w:sz="4" w:space="0" w:color="auto"/>
              <w:bottom w:val="dashed" w:sz="4" w:space="0" w:color="auto"/>
            </w:tcBorders>
            <w:noWrap/>
          </w:tcPr>
          <w:p w14:paraId="59C2E802"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w:t>
            </w:r>
          </w:p>
        </w:tc>
        <w:tc>
          <w:tcPr>
            <w:tcW w:w="425" w:type="dxa"/>
            <w:tcBorders>
              <w:top w:val="dashed" w:sz="4" w:space="0" w:color="auto"/>
              <w:bottom w:val="dashed" w:sz="4" w:space="0" w:color="auto"/>
            </w:tcBorders>
            <w:noWrap/>
          </w:tcPr>
          <w:p w14:paraId="254B7BAE"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w:t>
            </w:r>
          </w:p>
        </w:tc>
        <w:tc>
          <w:tcPr>
            <w:tcW w:w="284" w:type="dxa"/>
            <w:tcBorders>
              <w:top w:val="dashed" w:sz="4" w:space="0" w:color="auto"/>
              <w:bottom w:val="dashed" w:sz="4" w:space="0" w:color="auto"/>
            </w:tcBorders>
            <w:noWrap/>
          </w:tcPr>
          <w:p w14:paraId="5BD48BB7"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w:t>
            </w:r>
          </w:p>
        </w:tc>
        <w:tc>
          <w:tcPr>
            <w:tcW w:w="425" w:type="dxa"/>
            <w:tcBorders>
              <w:top w:val="dashed" w:sz="4" w:space="0" w:color="auto"/>
              <w:bottom w:val="dashed" w:sz="4" w:space="0" w:color="auto"/>
            </w:tcBorders>
          </w:tcPr>
          <w:p w14:paraId="0400CC97"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w:t>
            </w:r>
          </w:p>
        </w:tc>
        <w:tc>
          <w:tcPr>
            <w:tcW w:w="425" w:type="dxa"/>
            <w:tcBorders>
              <w:top w:val="dashed" w:sz="4" w:space="0" w:color="auto"/>
              <w:bottom w:val="dashed" w:sz="4" w:space="0" w:color="auto"/>
            </w:tcBorders>
            <w:noWrap/>
          </w:tcPr>
          <w:p w14:paraId="2DB57FEB"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w:t>
            </w:r>
          </w:p>
        </w:tc>
        <w:tc>
          <w:tcPr>
            <w:tcW w:w="426" w:type="dxa"/>
            <w:tcBorders>
              <w:top w:val="dashed" w:sz="4" w:space="0" w:color="auto"/>
              <w:bottom w:val="dashed" w:sz="4" w:space="0" w:color="auto"/>
            </w:tcBorders>
            <w:noWrap/>
          </w:tcPr>
          <w:p w14:paraId="26F923A7"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w:t>
            </w:r>
          </w:p>
        </w:tc>
        <w:tc>
          <w:tcPr>
            <w:tcW w:w="425" w:type="dxa"/>
            <w:tcBorders>
              <w:top w:val="dashed" w:sz="4" w:space="0" w:color="auto"/>
              <w:bottom w:val="dashed" w:sz="4" w:space="0" w:color="auto"/>
            </w:tcBorders>
            <w:noWrap/>
          </w:tcPr>
          <w:p w14:paraId="3ED989DF"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w:t>
            </w:r>
          </w:p>
        </w:tc>
        <w:tc>
          <w:tcPr>
            <w:tcW w:w="425" w:type="dxa"/>
            <w:tcBorders>
              <w:top w:val="dashed" w:sz="4" w:space="0" w:color="auto"/>
              <w:bottom w:val="dashed" w:sz="4" w:space="0" w:color="auto"/>
            </w:tcBorders>
            <w:noWrap/>
          </w:tcPr>
          <w:p w14:paraId="3A8AFF70"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w:t>
            </w:r>
          </w:p>
        </w:tc>
        <w:tc>
          <w:tcPr>
            <w:tcW w:w="425" w:type="dxa"/>
            <w:tcBorders>
              <w:top w:val="dashed" w:sz="4" w:space="0" w:color="auto"/>
              <w:bottom w:val="dashed" w:sz="4" w:space="0" w:color="auto"/>
            </w:tcBorders>
            <w:noWrap/>
          </w:tcPr>
          <w:p w14:paraId="017633D9"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w:t>
            </w:r>
          </w:p>
        </w:tc>
        <w:tc>
          <w:tcPr>
            <w:tcW w:w="426" w:type="dxa"/>
            <w:tcBorders>
              <w:top w:val="dashed" w:sz="4" w:space="0" w:color="auto"/>
              <w:bottom w:val="dashed" w:sz="4" w:space="0" w:color="auto"/>
            </w:tcBorders>
            <w:noWrap/>
          </w:tcPr>
          <w:p w14:paraId="2EAFBC3D"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10</w:t>
            </w:r>
          </w:p>
        </w:tc>
        <w:tc>
          <w:tcPr>
            <w:tcW w:w="283" w:type="dxa"/>
            <w:tcBorders>
              <w:top w:val="dashed" w:sz="4" w:space="0" w:color="auto"/>
              <w:bottom w:val="dashed" w:sz="4" w:space="0" w:color="auto"/>
            </w:tcBorders>
            <w:noWrap/>
          </w:tcPr>
          <w:p w14:paraId="26D530AD"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9</w:t>
            </w:r>
          </w:p>
        </w:tc>
        <w:tc>
          <w:tcPr>
            <w:tcW w:w="425" w:type="dxa"/>
            <w:tcBorders>
              <w:top w:val="dashed" w:sz="4" w:space="0" w:color="auto"/>
              <w:bottom w:val="dashed" w:sz="4" w:space="0" w:color="auto"/>
            </w:tcBorders>
            <w:noWrap/>
          </w:tcPr>
          <w:p w14:paraId="5BB92AE2"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12</w:t>
            </w:r>
          </w:p>
        </w:tc>
        <w:tc>
          <w:tcPr>
            <w:tcW w:w="426" w:type="dxa"/>
            <w:tcBorders>
              <w:top w:val="dashed" w:sz="4" w:space="0" w:color="auto"/>
              <w:bottom w:val="dashed" w:sz="4" w:space="0" w:color="auto"/>
            </w:tcBorders>
            <w:noWrap/>
          </w:tcPr>
          <w:p w14:paraId="69AF13FA"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10</w:t>
            </w:r>
          </w:p>
        </w:tc>
        <w:tc>
          <w:tcPr>
            <w:tcW w:w="283" w:type="dxa"/>
            <w:tcBorders>
              <w:top w:val="dashed" w:sz="4" w:space="0" w:color="auto"/>
              <w:bottom w:val="dashed" w:sz="4" w:space="0" w:color="auto"/>
            </w:tcBorders>
            <w:noWrap/>
          </w:tcPr>
          <w:p w14:paraId="7C9E4751"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11</w:t>
            </w:r>
          </w:p>
        </w:tc>
        <w:tc>
          <w:tcPr>
            <w:tcW w:w="425" w:type="dxa"/>
            <w:tcBorders>
              <w:top w:val="dashed" w:sz="4" w:space="0" w:color="auto"/>
              <w:bottom w:val="dashed" w:sz="4" w:space="0" w:color="auto"/>
            </w:tcBorders>
            <w:noWrap/>
          </w:tcPr>
          <w:p w14:paraId="5F22E509"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30</w:t>
            </w:r>
          </w:p>
        </w:tc>
        <w:tc>
          <w:tcPr>
            <w:tcW w:w="426" w:type="dxa"/>
            <w:tcBorders>
              <w:top w:val="dashed" w:sz="4" w:space="0" w:color="auto"/>
              <w:bottom w:val="dashed" w:sz="4" w:space="0" w:color="auto"/>
            </w:tcBorders>
            <w:noWrap/>
          </w:tcPr>
          <w:p w14:paraId="58B978CA"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12</w:t>
            </w:r>
          </w:p>
        </w:tc>
        <w:tc>
          <w:tcPr>
            <w:tcW w:w="425" w:type="dxa"/>
            <w:tcBorders>
              <w:top w:val="dashed" w:sz="4" w:space="0" w:color="auto"/>
              <w:bottom w:val="dashed" w:sz="4" w:space="0" w:color="auto"/>
            </w:tcBorders>
            <w:noWrap/>
          </w:tcPr>
          <w:p w14:paraId="5E5BB426"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23</w:t>
            </w:r>
          </w:p>
        </w:tc>
        <w:tc>
          <w:tcPr>
            <w:tcW w:w="425" w:type="dxa"/>
            <w:tcBorders>
              <w:top w:val="dashed" w:sz="4" w:space="0" w:color="auto"/>
              <w:bottom w:val="dashed" w:sz="4" w:space="0" w:color="auto"/>
            </w:tcBorders>
            <w:noWrap/>
          </w:tcPr>
          <w:p w14:paraId="7F1AFCAD"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29</w:t>
            </w:r>
          </w:p>
        </w:tc>
        <w:tc>
          <w:tcPr>
            <w:tcW w:w="425" w:type="dxa"/>
            <w:tcBorders>
              <w:top w:val="dashed" w:sz="4" w:space="0" w:color="auto"/>
              <w:bottom w:val="dashed" w:sz="4" w:space="0" w:color="auto"/>
            </w:tcBorders>
          </w:tcPr>
          <w:p w14:paraId="495C881C"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2</w:t>
            </w:r>
          </w:p>
        </w:tc>
        <w:tc>
          <w:tcPr>
            <w:tcW w:w="426" w:type="dxa"/>
            <w:tcBorders>
              <w:top w:val="dashed" w:sz="4" w:space="0" w:color="auto"/>
              <w:bottom w:val="dashed" w:sz="4" w:space="0" w:color="auto"/>
            </w:tcBorders>
          </w:tcPr>
          <w:p w14:paraId="7DDE7F66"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0</w:t>
            </w:r>
          </w:p>
        </w:tc>
        <w:tc>
          <w:tcPr>
            <w:tcW w:w="425" w:type="dxa"/>
            <w:tcBorders>
              <w:top w:val="dashed" w:sz="4" w:space="0" w:color="auto"/>
              <w:bottom w:val="dashed" w:sz="4" w:space="0" w:color="auto"/>
            </w:tcBorders>
          </w:tcPr>
          <w:p w14:paraId="5BCA551A"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3</w:t>
            </w:r>
          </w:p>
        </w:tc>
      </w:tr>
      <w:tr w:rsidR="0061260A" w:rsidRPr="0061260A" w14:paraId="454654A5" w14:textId="77777777" w:rsidTr="005F740A">
        <w:trPr>
          <w:cantSplit/>
          <w:trHeight w:val="334"/>
        </w:trPr>
        <w:tc>
          <w:tcPr>
            <w:tcW w:w="459" w:type="dxa"/>
            <w:tcBorders>
              <w:top w:val="dashed" w:sz="4" w:space="0" w:color="auto"/>
              <w:bottom w:val="double" w:sz="4" w:space="0" w:color="auto"/>
            </w:tcBorders>
            <w:noWrap/>
          </w:tcPr>
          <w:p w14:paraId="4DF63638" w14:textId="77777777" w:rsidR="0061260A" w:rsidRPr="0061260A" w:rsidRDefault="0061260A" w:rsidP="0061260A">
            <w:pPr>
              <w:rPr>
                <w:rFonts w:asciiTheme="minorHAnsi" w:hAnsiTheme="minorHAnsi" w:cstheme="minorHAnsi"/>
                <w:b/>
                <w:bCs/>
                <w:color w:val="000000"/>
                <w:sz w:val="18"/>
                <w:szCs w:val="18"/>
                <w:lang w:eastAsia="en-AU" w:bidi="en-US"/>
              </w:rPr>
            </w:pPr>
            <w:r w:rsidRPr="0061260A">
              <w:rPr>
                <w:rFonts w:asciiTheme="minorHAnsi" w:hAnsiTheme="minorHAnsi" w:cstheme="minorHAnsi"/>
                <w:b/>
                <w:bCs/>
                <w:color w:val="000000"/>
                <w:sz w:val="18"/>
                <w:szCs w:val="18"/>
                <w:lang w:eastAsia="en-AU" w:bidi="en-US"/>
              </w:rPr>
              <w:t>QN</w:t>
            </w:r>
          </w:p>
        </w:tc>
        <w:tc>
          <w:tcPr>
            <w:tcW w:w="250" w:type="dxa"/>
            <w:tcBorders>
              <w:top w:val="dashed" w:sz="4" w:space="0" w:color="auto"/>
              <w:bottom w:val="double" w:sz="4" w:space="0" w:color="auto"/>
            </w:tcBorders>
            <w:noWrap/>
          </w:tcPr>
          <w:p w14:paraId="798AEE2A"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w:t>
            </w:r>
          </w:p>
        </w:tc>
        <w:tc>
          <w:tcPr>
            <w:tcW w:w="425" w:type="dxa"/>
            <w:tcBorders>
              <w:top w:val="dashed" w:sz="4" w:space="0" w:color="auto"/>
              <w:bottom w:val="double" w:sz="4" w:space="0" w:color="auto"/>
            </w:tcBorders>
            <w:noWrap/>
          </w:tcPr>
          <w:p w14:paraId="61DFA9B5"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w:t>
            </w:r>
          </w:p>
        </w:tc>
        <w:tc>
          <w:tcPr>
            <w:tcW w:w="284" w:type="dxa"/>
            <w:tcBorders>
              <w:top w:val="dashed" w:sz="4" w:space="0" w:color="auto"/>
              <w:bottom w:val="double" w:sz="4" w:space="0" w:color="auto"/>
            </w:tcBorders>
            <w:noWrap/>
          </w:tcPr>
          <w:p w14:paraId="5C7E66AF"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w:t>
            </w:r>
          </w:p>
        </w:tc>
        <w:tc>
          <w:tcPr>
            <w:tcW w:w="425" w:type="dxa"/>
            <w:tcBorders>
              <w:top w:val="dashed" w:sz="4" w:space="0" w:color="auto"/>
              <w:bottom w:val="double" w:sz="4" w:space="0" w:color="auto"/>
            </w:tcBorders>
          </w:tcPr>
          <w:p w14:paraId="783630EC"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w:t>
            </w:r>
          </w:p>
        </w:tc>
        <w:tc>
          <w:tcPr>
            <w:tcW w:w="425" w:type="dxa"/>
            <w:tcBorders>
              <w:top w:val="dashed" w:sz="4" w:space="0" w:color="auto"/>
              <w:bottom w:val="double" w:sz="4" w:space="0" w:color="auto"/>
            </w:tcBorders>
            <w:noWrap/>
          </w:tcPr>
          <w:p w14:paraId="51FFB669"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31</w:t>
            </w:r>
          </w:p>
        </w:tc>
        <w:tc>
          <w:tcPr>
            <w:tcW w:w="426" w:type="dxa"/>
            <w:tcBorders>
              <w:top w:val="dashed" w:sz="4" w:space="0" w:color="auto"/>
              <w:bottom w:val="double" w:sz="4" w:space="0" w:color="auto"/>
            </w:tcBorders>
            <w:noWrap/>
          </w:tcPr>
          <w:p w14:paraId="5A05AA8B"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6</w:t>
            </w:r>
          </w:p>
        </w:tc>
        <w:tc>
          <w:tcPr>
            <w:tcW w:w="425" w:type="dxa"/>
            <w:tcBorders>
              <w:top w:val="dashed" w:sz="4" w:space="0" w:color="auto"/>
              <w:bottom w:val="double" w:sz="4" w:space="0" w:color="auto"/>
            </w:tcBorders>
            <w:noWrap/>
          </w:tcPr>
          <w:p w14:paraId="266C6C84"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0</w:t>
            </w:r>
          </w:p>
        </w:tc>
        <w:tc>
          <w:tcPr>
            <w:tcW w:w="425" w:type="dxa"/>
            <w:tcBorders>
              <w:top w:val="dashed" w:sz="4" w:space="0" w:color="auto"/>
              <w:bottom w:val="double" w:sz="4" w:space="0" w:color="auto"/>
            </w:tcBorders>
            <w:noWrap/>
          </w:tcPr>
          <w:p w14:paraId="288BCB83"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4</w:t>
            </w:r>
          </w:p>
        </w:tc>
        <w:tc>
          <w:tcPr>
            <w:tcW w:w="425" w:type="dxa"/>
            <w:tcBorders>
              <w:top w:val="dashed" w:sz="4" w:space="0" w:color="auto"/>
              <w:bottom w:val="double" w:sz="4" w:space="0" w:color="auto"/>
            </w:tcBorders>
            <w:noWrap/>
          </w:tcPr>
          <w:p w14:paraId="160B25FA"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3</w:t>
            </w:r>
          </w:p>
        </w:tc>
        <w:tc>
          <w:tcPr>
            <w:tcW w:w="426" w:type="dxa"/>
            <w:tcBorders>
              <w:top w:val="dashed" w:sz="4" w:space="0" w:color="auto"/>
              <w:bottom w:val="double" w:sz="4" w:space="0" w:color="auto"/>
            </w:tcBorders>
            <w:noWrap/>
          </w:tcPr>
          <w:p w14:paraId="44BCA2F0"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3</w:t>
            </w:r>
          </w:p>
        </w:tc>
        <w:tc>
          <w:tcPr>
            <w:tcW w:w="283" w:type="dxa"/>
            <w:tcBorders>
              <w:top w:val="dashed" w:sz="4" w:space="0" w:color="auto"/>
              <w:bottom w:val="double" w:sz="4" w:space="0" w:color="auto"/>
            </w:tcBorders>
            <w:noWrap/>
          </w:tcPr>
          <w:p w14:paraId="13C3B718"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12</w:t>
            </w:r>
          </w:p>
        </w:tc>
        <w:tc>
          <w:tcPr>
            <w:tcW w:w="425" w:type="dxa"/>
            <w:tcBorders>
              <w:top w:val="dashed" w:sz="4" w:space="0" w:color="auto"/>
              <w:bottom w:val="double" w:sz="4" w:space="0" w:color="auto"/>
            </w:tcBorders>
            <w:noWrap/>
          </w:tcPr>
          <w:p w14:paraId="5653C864"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9</w:t>
            </w:r>
          </w:p>
        </w:tc>
        <w:tc>
          <w:tcPr>
            <w:tcW w:w="426" w:type="dxa"/>
            <w:tcBorders>
              <w:top w:val="dashed" w:sz="4" w:space="0" w:color="auto"/>
              <w:bottom w:val="double" w:sz="4" w:space="0" w:color="auto"/>
            </w:tcBorders>
            <w:noWrap/>
          </w:tcPr>
          <w:p w14:paraId="673B98C4"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11</w:t>
            </w:r>
          </w:p>
        </w:tc>
        <w:tc>
          <w:tcPr>
            <w:tcW w:w="283" w:type="dxa"/>
            <w:tcBorders>
              <w:top w:val="dashed" w:sz="4" w:space="0" w:color="auto"/>
              <w:bottom w:val="double" w:sz="4" w:space="0" w:color="auto"/>
            </w:tcBorders>
            <w:noWrap/>
          </w:tcPr>
          <w:p w14:paraId="74607B61"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5</w:t>
            </w:r>
          </w:p>
        </w:tc>
        <w:tc>
          <w:tcPr>
            <w:tcW w:w="425" w:type="dxa"/>
            <w:tcBorders>
              <w:top w:val="dashed" w:sz="4" w:space="0" w:color="auto"/>
              <w:bottom w:val="double" w:sz="4" w:space="0" w:color="auto"/>
            </w:tcBorders>
            <w:noWrap/>
          </w:tcPr>
          <w:p w14:paraId="346A32D2"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24</w:t>
            </w:r>
          </w:p>
        </w:tc>
        <w:tc>
          <w:tcPr>
            <w:tcW w:w="426" w:type="dxa"/>
            <w:tcBorders>
              <w:top w:val="dashed" w:sz="4" w:space="0" w:color="auto"/>
              <w:bottom w:val="double" w:sz="4" w:space="0" w:color="auto"/>
            </w:tcBorders>
            <w:noWrap/>
          </w:tcPr>
          <w:p w14:paraId="692C826B"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8</w:t>
            </w:r>
          </w:p>
        </w:tc>
        <w:tc>
          <w:tcPr>
            <w:tcW w:w="425" w:type="dxa"/>
            <w:tcBorders>
              <w:top w:val="dashed" w:sz="4" w:space="0" w:color="auto"/>
              <w:bottom w:val="double" w:sz="4" w:space="0" w:color="auto"/>
            </w:tcBorders>
            <w:noWrap/>
          </w:tcPr>
          <w:p w14:paraId="6B9444CB"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35</w:t>
            </w:r>
          </w:p>
        </w:tc>
        <w:tc>
          <w:tcPr>
            <w:tcW w:w="425" w:type="dxa"/>
            <w:tcBorders>
              <w:top w:val="dashed" w:sz="4" w:space="0" w:color="auto"/>
              <w:bottom w:val="double" w:sz="4" w:space="0" w:color="auto"/>
            </w:tcBorders>
            <w:noWrap/>
          </w:tcPr>
          <w:p w14:paraId="32201E9A"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5</w:t>
            </w:r>
          </w:p>
        </w:tc>
        <w:tc>
          <w:tcPr>
            <w:tcW w:w="425" w:type="dxa"/>
            <w:tcBorders>
              <w:top w:val="dashed" w:sz="4" w:space="0" w:color="auto"/>
              <w:bottom w:val="double" w:sz="4" w:space="0" w:color="auto"/>
            </w:tcBorders>
          </w:tcPr>
          <w:p w14:paraId="1542C15B"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1</w:t>
            </w:r>
          </w:p>
        </w:tc>
        <w:tc>
          <w:tcPr>
            <w:tcW w:w="426" w:type="dxa"/>
            <w:tcBorders>
              <w:top w:val="dashed" w:sz="4" w:space="0" w:color="auto"/>
              <w:bottom w:val="double" w:sz="4" w:space="0" w:color="auto"/>
            </w:tcBorders>
          </w:tcPr>
          <w:p w14:paraId="3D007782"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0</w:t>
            </w:r>
          </w:p>
        </w:tc>
        <w:tc>
          <w:tcPr>
            <w:tcW w:w="425" w:type="dxa"/>
            <w:tcBorders>
              <w:top w:val="dashed" w:sz="4" w:space="0" w:color="auto"/>
              <w:bottom w:val="double" w:sz="4" w:space="0" w:color="auto"/>
            </w:tcBorders>
          </w:tcPr>
          <w:p w14:paraId="55F57996"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color w:val="000000"/>
                <w:sz w:val="18"/>
                <w:szCs w:val="18"/>
                <w:lang w:eastAsia="en-AU" w:bidi="en-US"/>
              </w:rPr>
              <w:t>1</w:t>
            </w:r>
          </w:p>
        </w:tc>
      </w:tr>
      <w:tr w:rsidR="0061260A" w:rsidRPr="0061260A" w14:paraId="14D1897C" w14:textId="77777777" w:rsidTr="005F740A">
        <w:trPr>
          <w:cantSplit/>
          <w:trHeight w:val="334"/>
        </w:trPr>
        <w:tc>
          <w:tcPr>
            <w:tcW w:w="459" w:type="dxa"/>
            <w:tcBorders>
              <w:top w:val="double" w:sz="4" w:space="0" w:color="auto"/>
              <w:bottom w:val="double" w:sz="4" w:space="0" w:color="auto"/>
            </w:tcBorders>
            <w:noWrap/>
            <w:hideMark/>
          </w:tcPr>
          <w:p w14:paraId="362A2006" w14:textId="77777777" w:rsidR="0061260A" w:rsidRPr="0061260A" w:rsidRDefault="0061260A" w:rsidP="0061260A">
            <w:pPr>
              <w:rPr>
                <w:rFonts w:asciiTheme="minorHAnsi" w:hAnsiTheme="minorHAnsi" w:cstheme="minorHAnsi"/>
                <w:color w:val="000000"/>
                <w:sz w:val="18"/>
                <w:szCs w:val="18"/>
                <w:lang w:eastAsia="en-AU" w:bidi="en-US"/>
              </w:rPr>
            </w:pPr>
            <w:r w:rsidRPr="0061260A">
              <w:rPr>
                <w:rFonts w:asciiTheme="minorHAnsi" w:hAnsiTheme="minorHAnsi" w:cstheme="minorHAnsi"/>
                <w:b/>
                <w:bCs/>
                <w:color w:val="000000"/>
                <w:sz w:val="18"/>
                <w:szCs w:val="18"/>
                <w:lang w:eastAsia="en-AU" w:bidi="en-US"/>
              </w:rPr>
              <w:t>Ave per site</w:t>
            </w:r>
          </w:p>
        </w:tc>
        <w:tc>
          <w:tcPr>
            <w:tcW w:w="250" w:type="dxa"/>
            <w:tcBorders>
              <w:top w:val="double" w:sz="4" w:space="0" w:color="auto"/>
              <w:bottom w:val="double" w:sz="4" w:space="0" w:color="auto"/>
            </w:tcBorders>
            <w:noWrap/>
            <w:hideMark/>
          </w:tcPr>
          <w:p w14:paraId="091B571B"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b/>
                <w:bCs/>
                <w:color w:val="000000"/>
                <w:sz w:val="18"/>
                <w:szCs w:val="18"/>
                <w:lang w:eastAsia="en-AU" w:bidi="en-US"/>
              </w:rPr>
              <w:t>25</w:t>
            </w:r>
          </w:p>
        </w:tc>
        <w:tc>
          <w:tcPr>
            <w:tcW w:w="425" w:type="dxa"/>
            <w:tcBorders>
              <w:top w:val="double" w:sz="4" w:space="0" w:color="auto"/>
              <w:bottom w:val="double" w:sz="4" w:space="0" w:color="auto"/>
            </w:tcBorders>
            <w:noWrap/>
            <w:hideMark/>
          </w:tcPr>
          <w:p w14:paraId="78E960E0"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b/>
                <w:bCs/>
                <w:color w:val="000000"/>
                <w:sz w:val="18"/>
                <w:szCs w:val="18"/>
                <w:lang w:eastAsia="en-AU" w:bidi="en-US"/>
              </w:rPr>
              <w:t>18</w:t>
            </w:r>
          </w:p>
        </w:tc>
        <w:tc>
          <w:tcPr>
            <w:tcW w:w="284" w:type="dxa"/>
            <w:tcBorders>
              <w:top w:val="double" w:sz="4" w:space="0" w:color="auto"/>
              <w:bottom w:val="double" w:sz="4" w:space="0" w:color="auto"/>
            </w:tcBorders>
            <w:noWrap/>
            <w:hideMark/>
          </w:tcPr>
          <w:p w14:paraId="2C3668D0"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b/>
                <w:bCs/>
                <w:color w:val="000000"/>
                <w:sz w:val="18"/>
                <w:szCs w:val="18"/>
                <w:lang w:eastAsia="en-AU" w:bidi="en-US"/>
              </w:rPr>
              <w:t>18</w:t>
            </w:r>
          </w:p>
        </w:tc>
        <w:tc>
          <w:tcPr>
            <w:tcW w:w="425" w:type="dxa"/>
            <w:tcBorders>
              <w:top w:val="double" w:sz="4" w:space="0" w:color="auto"/>
              <w:bottom w:val="double" w:sz="4" w:space="0" w:color="auto"/>
            </w:tcBorders>
          </w:tcPr>
          <w:p w14:paraId="3E5FBBB8" w14:textId="77777777" w:rsidR="0061260A" w:rsidRPr="0061260A" w:rsidRDefault="0061260A" w:rsidP="0061260A">
            <w:pPr>
              <w:jc w:val="center"/>
              <w:rPr>
                <w:rFonts w:asciiTheme="minorHAnsi" w:hAnsiTheme="minorHAnsi" w:cstheme="minorHAnsi"/>
                <w:b/>
                <w:bCs/>
                <w:color w:val="000000"/>
                <w:sz w:val="18"/>
                <w:szCs w:val="18"/>
                <w:lang w:eastAsia="en-AU" w:bidi="en-US"/>
              </w:rPr>
            </w:pPr>
          </w:p>
        </w:tc>
        <w:tc>
          <w:tcPr>
            <w:tcW w:w="425" w:type="dxa"/>
            <w:tcBorders>
              <w:top w:val="double" w:sz="4" w:space="0" w:color="auto"/>
              <w:bottom w:val="double" w:sz="4" w:space="0" w:color="auto"/>
            </w:tcBorders>
            <w:noWrap/>
            <w:hideMark/>
          </w:tcPr>
          <w:p w14:paraId="79B1589C"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b/>
                <w:bCs/>
                <w:color w:val="000000"/>
                <w:sz w:val="18"/>
                <w:szCs w:val="18"/>
                <w:lang w:eastAsia="en-AU" w:bidi="en-US"/>
              </w:rPr>
              <w:t>83.3</w:t>
            </w:r>
          </w:p>
        </w:tc>
        <w:tc>
          <w:tcPr>
            <w:tcW w:w="426" w:type="dxa"/>
            <w:tcBorders>
              <w:top w:val="double" w:sz="4" w:space="0" w:color="auto"/>
              <w:bottom w:val="double" w:sz="4" w:space="0" w:color="auto"/>
            </w:tcBorders>
            <w:noWrap/>
            <w:hideMark/>
          </w:tcPr>
          <w:p w14:paraId="23A13F8D"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b/>
                <w:bCs/>
                <w:color w:val="000000"/>
                <w:sz w:val="18"/>
                <w:szCs w:val="18"/>
                <w:lang w:eastAsia="en-AU" w:bidi="en-US"/>
              </w:rPr>
              <w:t>13</w:t>
            </w:r>
          </w:p>
        </w:tc>
        <w:tc>
          <w:tcPr>
            <w:tcW w:w="425" w:type="dxa"/>
            <w:tcBorders>
              <w:top w:val="double" w:sz="4" w:space="0" w:color="auto"/>
              <w:bottom w:val="double" w:sz="4" w:space="0" w:color="auto"/>
            </w:tcBorders>
            <w:noWrap/>
            <w:hideMark/>
          </w:tcPr>
          <w:p w14:paraId="7C0FC6D5"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b/>
                <w:bCs/>
                <w:color w:val="000000"/>
                <w:sz w:val="18"/>
                <w:szCs w:val="18"/>
                <w:lang w:eastAsia="en-AU" w:bidi="en-US"/>
              </w:rPr>
              <w:t>10.5</w:t>
            </w:r>
          </w:p>
        </w:tc>
        <w:tc>
          <w:tcPr>
            <w:tcW w:w="425" w:type="dxa"/>
            <w:tcBorders>
              <w:top w:val="double" w:sz="4" w:space="0" w:color="auto"/>
              <w:bottom w:val="double" w:sz="4" w:space="0" w:color="auto"/>
            </w:tcBorders>
            <w:noWrap/>
            <w:hideMark/>
          </w:tcPr>
          <w:p w14:paraId="044BC594"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b/>
                <w:bCs/>
                <w:color w:val="000000"/>
                <w:sz w:val="18"/>
                <w:szCs w:val="18"/>
                <w:lang w:eastAsia="en-AU" w:bidi="en-US"/>
              </w:rPr>
              <w:t>13.8</w:t>
            </w:r>
          </w:p>
        </w:tc>
        <w:tc>
          <w:tcPr>
            <w:tcW w:w="425" w:type="dxa"/>
            <w:tcBorders>
              <w:top w:val="double" w:sz="4" w:space="0" w:color="auto"/>
              <w:bottom w:val="double" w:sz="4" w:space="0" w:color="auto"/>
            </w:tcBorders>
            <w:noWrap/>
            <w:hideMark/>
          </w:tcPr>
          <w:p w14:paraId="69E77D54" w14:textId="77777777" w:rsidR="0061260A" w:rsidRPr="0061260A" w:rsidRDefault="0061260A" w:rsidP="0061260A">
            <w:pPr>
              <w:jc w:val="center"/>
              <w:rPr>
                <w:rFonts w:asciiTheme="minorHAnsi" w:hAnsiTheme="minorHAnsi" w:cstheme="minorHAnsi"/>
                <w:color w:val="000000"/>
                <w:sz w:val="18"/>
                <w:szCs w:val="18"/>
                <w:lang w:eastAsia="en-AU" w:bidi="en-US"/>
              </w:rPr>
            </w:pPr>
            <w:r w:rsidRPr="0061260A">
              <w:rPr>
                <w:rFonts w:asciiTheme="minorHAnsi" w:hAnsiTheme="minorHAnsi" w:cstheme="minorHAnsi"/>
                <w:b/>
                <w:bCs/>
                <w:color w:val="000000"/>
                <w:sz w:val="18"/>
                <w:szCs w:val="18"/>
                <w:lang w:eastAsia="en-AU" w:bidi="en-US"/>
              </w:rPr>
              <w:t>7.8</w:t>
            </w:r>
          </w:p>
        </w:tc>
        <w:tc>
          <w:tcPr>
            <w:tcW w:w="426" w:type="dxa"/>
            <w:tcBorders>
              <w:top w:val="double" w:sz="4" w:space="0" w:color="auto"/>
              <w:bottom w:val="double" w:sz="4" w:space="0" w:color="auto"/>
            </w:tcBorders>
            <w:noWrap/>
            <w:hideMark/>
          </w:tcPr>
          <w:p w14:paraId="70BFF30D"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b/>
                <w:bCs/>
                <w:color w:val="000000"/>
                <w:sz w:val="18"/>
                <w:szCs w:val="18"/>
                <w:lang w:eastAsia="en-AU" w:bidi="en-US"/>
              </w:rPr>
              <w:t>3.4</w:t>
            </w:r>
          </w:p>
        </w:tc>
        <w:tc>
          <w:tcPr>
            <w:tcW w:w="283" w:type="dxa"/>
            <w:tcBorders>
              <w:top w:val="double" w:sz="4" w:space="0" w:color="auto"/>
              <w:bottom w:val="double" w:sz="4" w:space="0" w:color="auto"/>
            </w:tcBorders>
            <w:noWrap/>
            <w:hideMark/>
          </w:tcPr>
          <w:p w14:paraId="0EDC3D60"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b/>
                <w:bCs/>
                <w:color w:val="000000"/>
                <w:sz w:val="18"/>
                <w:szCs w:val="18"/>
                <w:lang w:eastAsia="en-AU" w:bidi="en-US"/>
              </w:rPr>
              <w:t>6</w:t>
            </w:r>
          </w:p>
        </w:tc>
        <w:tc>
          <w:tcPr>
            <w:tcW w:w="425" w:type="dxa"/>
            <w:tcBorders>
              <w:top w:val="double" w:sz="4" w:space="0" w:color="auto"/>
              <w:bottom w:val="double" w:sz="4" w:space="0" w:color="auto"/>
            </w:tcBorders>
            <w:noWrap/>
            <w:hideMark/>
          </w:tcPr>
          <w:p w14:paraId="322B44E6"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b/>
                <w:bCs/>
                <w:color w:val="000000"/>
                <w:sz w:val="18"/>
                <w:szCs w:val="18"/>
                <w:lang w:eastAsia="en-AU" w:bidi="en-US"/>
              </w:rPr>
              <w:t>11.6</w:t>
            </w:r>
          </w:p>
        </w:tc>
        <w:tc>
          <w:tcPr>
            <w:tcW w:w="426" w:type="dxa"/>
            <w:tcBorders>
              <w:top w:val="double" w:sz="4" w:space="0" w:color="auto"/>
              <w:bottom w:val="double" w:sz="4" w:space="0" w:color="auto"/>
            </w:tcBorders>
            <w:noWrap/>
            <w:hideMark/>
          </w:tcPr>
          <w:p w14:paraId="40FEE7CC"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b/>
                <w:bCs/>
                <w:color w:val="000000"/>
                <w:sz w:val="18"/>
                <w:szCs w:val="18"/>
                <w:lang w:eastAsia="en-AU" w:bidi="en-US"/>
              </w:rPr>
              <w:t>13.2</w:t>
            </w:r>
          </w:p>
        </w:tc>
        <w:tc>
          <w:tcPr>
            <w:tcW w:w="283" w:type="dxa"/>
            <w:tcBorders>
              <w:top w:val="double" w:sz="4" w:space="0" w:color="auto"/>
              <w:bottom w:val="double" w:sz="4" w:space="0" w:color="auto"/>
            </w:tcBorders>
            <w:noWrap/>
            <w:hideMark/>
          </w:tcPr>
          <w:p w14:paraId="0E0F5873"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b/>
                <w:bCs/>
                <w:color w:val="000000"/>
                <w:sz w:val="18"/>
                <w:szCs w:val="18"/>
                <w:lang w:eastAsia="en-AU" w:bidi="en-US"/>
              </w:rPr>
              <w:t>15</w:t>
            </w:r>
          </w:p>
        </w:tc>
        <w:tc>
          <w:tcPr>
            <w:tcW w:w="425" w:type="dxa"/>
            <w:tcBorders>
              <w:top w:val="double" w:sz="4" w:space="0" w:color="auto"/>
              <w:bottom w:val="double" w:sz="4" w:space="0" w:color="auto"/>
            </w:tcBorders>
            <w:noWrap/>
            <w:hideMark/>
          </w:tcPr>
          <w:p w14:paraId="7DC0F75C"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b/>
                <w:bCs/>
                <w:color w:val="000000"/>
                <w:sz w:val="18"/>
                <w:szCs w:val="18"/>
                <w:lang w:eastAsia="en-AU" w:bidi="en-US"/>
              </w:rPr>
              <w:t>28.8</w:t>
            </w:r>
          </w:p>
        </w:tc>
        <w:tc>
          <w:tcPr>
            <w:tcW w:w="426" w:type="dxa"/>
            <w:tcBorders>
              <w:top w:val="double" w:sz="4" w:space="0" w:color="auto"/>
              <w:bottom w:val="double" w:sz="4" w:space="0" w:color="auto"/>
            </w:tcBorders>
            <w:noWrap/>
            <w:hideMark/>
          </w:tcPr>
          <w:p w14:paraId="6EDE7E7A"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b/>
                <w:bCs/>
                <w:color w:val="000000"/>
                <w:sz w:val="18"/>
                <w:szCs w:val="18"/>
                <w:lang w:eastAsia="en-AU" w:bidi="en-US"/>
              </w:rPr>
              <w:t>11.2</w:t>
            </w:r>
          </w:p>
        </w:tc>
        <w:tc>
          <w:tcPr>
            <w:tcW w:w="425" w:type="dxa"/>
            <w:tcBorders>
              <w:top w:val="double" w:sz="4" w:space="0" w:color="auto"/>
              <w:bottom w:val="double" w:sz="4" w:space="0" w:color="auto"/>
            </w:tcBorders>
            <w:noWrap/>
            <w:hideMark/>
          </w:tcPr>
          <w:p w14:paraId="68A70A79"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b/>
                <w:bCs/>
                <w:color w:val="000000"/>
                <w:sz w:val="18"/>
                <w:szCs w:val="18"/>
                <w:lang w:eastAsia="en-AU" w:bidi="en-US"/>
              </w:rPr>
              <w:t>20.3</w:t>
            </w:r>
          </w:p>
        </w:tc>
        <w:tc>
          <w:tcPr>
            <w:tcW w:w="425" w:type="dxa"/>
            <w:tcBorders>
              <w:top w:val="double" w:sz="4" w:space="0" w:color="auto"/>
              <w:bottom w:val="double" w:sz="4" w:space="0" w:color="auto"/>
            </w:tcBorders>
            <w:noWrap/>
            <w:hideMark/>
          </w:tcPr>
          <w:p w14:paraId="6B49C368" w14:textId="77777777" w:rsidR="0061260A" w:rsidRPr="0061260A" w:rsidRDefault="0061260A" w:rsidP="0061260A">
            <w:pPr>
              <w:jc w:val="center"/>
              <w:rPr>
                <w:rFonts w:asciiTheme="minorHAnsi" w:hAnsiTheme="minorHAnsi" w:cstheme="minorHAnsi"/>
                <w:sz w:val="18"/>
                <w:szCs w:val="18"/>
                <w:lang w:eastAsia="en-AU" w:bidi="en-US"/>
              </w:rPr>
            </w:pPr>
            <w:r w:rsidRPr="0061260A">
              <w:rPr>
                <w:rFonts w:asciiTheme="minorHAnsi" w:hAnsiTheme="minorHAnsi" w:cstheme="minorHAnsi"/>
                <w:b/>
                <w:bCs/>
                <w:color w:val="000000"/>
                <w:sz w:val="18"/>
                <w:szCs w:val="18"/>
                <w:lang w:eastAsia="en-AU" w:bidi="en-US"/>
              </w:rPr>
              <w:t>7.9</w:t>
            </w:r>
          </w:p>
        </w:tc>
        <w:tc>
          <w:tcPr>
            <w:tcW w:w="425" w:type="dxa"/>
            <w:tcBorders>
              <w:top w:val="double" w:sz="4" w:space="0" w:color="auto"/>
              <w:bottom w:val="double" w:sz="4" w:space="0" w:color="auto"/>
            </w:tcBorders>
          </w:tcPr>
          <w:p w14:paraId="07DA6BDD" w14:textId="77777777" w:rsidR="0061260A" w:rsidRPr="0061260A" w:rsidRDefault="0061260A" w:rsidP="0061260A">
            <w:pPr>
              <w:jc w:val="center"/>
              <w:rPr>
                <w:rFonts w:asciiTheme="minorHAnsi" w:hAnsiTheme="minorHAnsi" w:cstheme="minorHAnsi"/>
                <w:b/>
                <w:bCs/>
                <w:sz w:val="18"/>
                <w:szCs w:val="18"/>
                <w:lang w:eastAsia="en-AU" w:bidi="en-US"/>
              </w:rPr>
            </w:pPr>
            <w:r w:rsidRPr="0061260A">
              <w:rPr>
                <w:rFonts w:asciiTheme="minorHAnsi" w:hAnsiTheme="minorHAnsi" w:cstheme="minorHAnsi"/>
                <w:b/>
                <w:bCs/>
                <w:sz w:val="18"/>
                <w:szCs w:val="18"/>
                <w:lang w:eastAsia="en-AU" w:bidi="en-US"/>
              </w:rPr>
              <w:t>3.7</w:t>
            </w:r>
          </w:p>
        </w:tc>
        <w:tc>
          <w:tcPr>
            <w:tcW w:w="426" w:type="dxa"/>
            <w:tcBorders>
              <w:top w:val="double" w:sz="4" w:space="0" w:color="auto"/>
              <w:bottom w:val="double" w:sz="4" w:space="0" w:color="auto"/>
            </w:tcBorders>
          </w:tcPr>
          <w:p w14:paraId="6168B328" w14:textId="77777777" w:rsidR="0061260A" w:rsidRPr="0061260A" w:rsidRDefault="0061260A" w:rsidP="0061260A">
            <w:pPr>
              <w:jc w:val="center"/>
              <w:rPr>
                <w:rFonts w:asciiTheme="minorHAnsi" w:hAnsiTheme="minorHAnsi" w:cstheme="minorHAnsi"/>
                <w:b/>
                <w:bCs/>
                <w:sz w:val="18"/>
                <w:szCs w:val="18"/>
                <w:lang w:eastAsia="en-AU" w:bidi="en-US"/>
              </w:rPr>
            </w:pPr>
            <w:r w:rsidRPr="0061260A">
              <w:rPr>
                <w:rFonts w:asciiTheme="minorHAnsi" w:hAnsiTheme="minorHAnsi" w:cstheme="minorHAnsi"/>
                <w:b/>
                <w:bCs/>
                <w:sz w:val="18"/>
                <w:szCs w:val="18"/>
                <w:lang w:eastAsia="en-AU" w:bidi="en-US"/>
              </w:rPr>
              <w:t>1.8</w:t>
            </w:r>
          </w:p>
        </w:tc>
        <w:tc>
          <w:tcPr>
            <w:tcW w:w="425" w:type="dxa"/>
            <w:tcBorders>
              <w:top w:val="double" w:sz="4" w:space="0" w:color="auto"/>
              <w:bottom w:val="double" w:sz="4" w:space="0" w:color="auto"/>
            </w:tcBorders>
          </w:tcPr>
          <w:p w14:paraId="08ADF661" w14:textId="77777777" w:rsidR="0061260A" w:rsidRPr="0061260A" w:rsidRDefault="0061260A" w:rsidP="0061260A">
            <w:pPr>
              <w:jc w:val="center"/>
              <w:rPr>
                <w:rFonts w:asciiTheme="minorHAnsi" w:hAnsiTheme="minorHAnsi" w:cstheme="minorHAnsi"/>
                <w:b/>
                <w:bCs/>
                <w:sz w:val="18"/>
                <w:szCs w:val="18"/>
                <w:lang w:eastAsia="en-AU" w:bidi="en-US"/>
              </w:rPr>
            </w:pPr>
            <w:r w:rsidRPr="0061260A">
              <w:rPr>
                <w:rFonts w:asciiTheme="minorHAnsi" w:hAnsiTheme="minorHAnsi" w:cstheme="minorHAnsi"/>
                <w:b/>
                <w:bCs/>
                <w:sz w:val="18"/>
                <w:szCs w:val="18"/>
                <w:lang w:eastAsia="en-AU" w:bidi="en-US"/>
              </w:rPr>
              <w:t>2.1</w:t>
            </w:r>
          </w:p>
        </w:tc>
      </w:tr>
    </w:tbl>
    <w:p w14:paraId="45940DE6" w14:textId="4A93BBB1" w:rsidR="0061260A" w:rsidRPr="0061260A" w:rsidRDefault="0061260A" w:rsidP="0061260A">
      <w:pPr>
        <w:rPr>
          <w:rFonts w:ascii="Calibri" w:hAnsi="Calibri"/>
          <w:sz w:val="18"/>
          <w:szCs w:val="18"/>
          <w:lang w:bidi="en-US"/>
        </w:rPr>
      </w:pPr>
      <w:r w:rsidRPr="0061260A">
        <w:rPr>
          <w:rFonts w:ascii="Calibri" w:hAnsi="Calibri"/>
          <w:sz w:val="18"/>
          <w:szCs w:val="18"/>
          <w:lang w:bidi="en-US"/>
        </w:rPr>
        <w:t xml:space="preserve">The number of unique individuals captured at monitoring grids and transects at the nine sites known to contain populations of the Canberra Grassland Earless Dragon and subjected to standardised monitoring. </w:t>
      </w:r>
      <w:r w:rsidRPr="0061260A">
        <w:rPr>
          <w:rFonts w:ascii="Calibri" w:hAnsi="Calibri"/>
          <w:sz w:val="18"/>
          <w:szCs w:val="18"/>
          <w:lang w:bidi="en-US"/>
        </w:rPr>
        <w:br/>
        <w:t>AP–Aerial Paddock; AT–Canberra Airport; BW–Bonshaw; CA–Cookanalla; JE–Jerrabomberra East Grasslands;</w:t>
      </w:r>
      <w:r w:rsidRPr="0061260A">
        <w:rPr>
          <w:rFonts w:ascii="Calibri" w:hAnsi="Calibri"/>
          <w:sz w:val="18"/>
          <w:szCs w:val="18"/>
          <w:lang w:bidi="en-US"/>
        </w:rPr>
        <w:br/>
        <w:t>JW– Jerrabomberra West Grasslands NR; MTA–Majura Training Area; PS–Private site, NSW; QN–Queanbeyan Nature Reserve, NSW. Data supplied by the ACT (S. Pulsford and E Carlson) and NSW (R. Pietsch and R. Armstrong) Governments.</w:t>
      </w:r>
    </w:p>
    <w:p w14:paraId="5BE5FEB4" w14:textId="77777777" w:rsidR="0061260A" w:rsidRPr="0061260A" w:rsidRDefault="0061260A" w:rsidP="0061260A">
      <w:pPr>
        <w:spacing w:after="120"/>
        <w:rPr>
          <w:rFonts w:ascii="Calibri" w:hAnsi="Calibri"/>
          <w:sz w:val="20"/>
          <w:szCs w:val="24"/>
          <w:lang w:bidi="en-US"/>
        </w:rPr>
      </w:pPr>
      <w:r w:rsidRPr="0061260A">
        <w:rPr>
          <w:rFonts w:ascii="Calibri" w:hAnsi="Calibri"/>
          <w:sz w:val="18"/>
          <w:szCs w:val="18"/>
          <w:lang w:bidi="en-US"/>
        </w:rPr>
        <w:t>‘–’ Surveys not conducted at those sites in those years</w:t>
      </w:r>
      <w:r w:rsidRPr="0061260A">
        <w:rPr>
          <w:rFonts w:ascii="Calibri" w:hAnsi="Calibri"/>
          <w:sz w:val="20"/>
          <w:szCs w:val="24"/>
          <w:lang w:bidi="en-US"/>
        </w:rPr>
        <w:t>.</w:t>
      </w:r>
      <w:bookmarkEnd w:id="2"/>
      <w:r w:rsidRPr="0061260A">
        <w:rPr>
          <w:rFonts w:ascii="Calibri" w:hAnsi="Calibri"/>
          <w:sz w:val="20"/>
          <w:szCs w:val="24"/>
          <w:lang w:bidi="en-US"/>
        </w:rPr>
        <w:t xml:space="preserve"> O</w:t>
      </w:r>
      <w:r w:rsidRPr="0061260A">
        <w:rPr>
          <w:rFonts w:ascii="Calibri" w:hAnsi="Calibri"/>
          <w:sz w:val="18"/>
          <w:szCs w:val="18"/>
          <w:lang w:bidi="en-US"/>
        </w:rPr>
        <w:t>nly one site (MTA) was surveyed in the first three years of records and no sites were surveyed in 2005. Surveys conducted in the 1990s are not included here because the methods and sites used then were different and do not allow direct comparison. An analysis of those data can be found in Dimond et al. 2012.</w:t>
      </w:r>
    </w:p>
    <w:p w14:paraId="21692A8A" w14:textId="77777777" w:rsidR="0061260A" w:rsidRPr="0061260A" w:rsidRDefault="0061260A" w:rsidP="0061260A">
      <w:pPr>
        <w:spacing w:after="200" w:line="276" w:lineRule="auto"/>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In 2021, the species was found to comprise three populations: (1) Canberra North (Majura Training Area, Canberra Airport); (2) Jerrabomberra West (Jerrabomberra West Grasslands Nature Reserve); and (3) Canberra South (Jerrabomberra East Grasslands, Queanbeyan Nature Reserve (NSW), NSW private property, Bonshaw, Aerial Paddock, Cookanalla). Each of these populations consists of a series of subpopulations that exist at the site and sampling grid level (Colley 2021).</w:t>
      </w:r>
    </w:p>
    <w:p w14:paraId="5A91C03B" w14:textId="77777777" w:rsidR="0061260A" w:rsidRPr="0061260A" w:rsidRDefault="0061260A" w:rsidP="0061260A">
      <w:pPr>
        <w:spacing w:after="200" w:line="276" w:lineRule="auto"/>
        <w:rPr>
          <w:rFonts w:asciiTheme="minorHAnsi" w:eastAsiaTheme="minorHAnsi" w:hAnsiTheme="minorHAnsi" w:cstheme="minorBidi"/>
          <w:sz w:val="21"/>
        </w:rPr>
      </w:pPr>
      <w:r w:rsidRPr="0061260A">
        <w:rPr>
          <w:rFonts w:asciiTheme="minorHAnsi" w:eastAsiaTheme="minorHAnsi" w:hAnsiTheme="minorHAnsi" w:cstheme="minorBidi"/>
          <w:sz w:val="21"/>
        </w:rPr>
        <w:t xml:space="preserve">Within the grassland habitat the dragons rely on the existence tussocks and arthropod burrows </w:t>
      </w:r>
      <w:r w:rsidRPr="0061260A">
        <w:rPr>
          <w:rFonts w:asciiTheme="minorHAnsi" w:eastAsiaTheme="minorHAnsi" w:hAnsiTheme="minorHAnsi" w:cstheme="minorBidi"/>
          <w:noProof/>
          <w:sz w:val="21"/>
          <w:szCs w:val="21"/>
          <w:lang w:eastAsia="en-AU"/>
        </w:rPr>
        <w:t>made by the Common Wolf Spider (</w:t>
      </w:r>
      <w:r w:rsidRPr="0061260A">
        <w:rPr>
          <w:rFonts w:asciiTheme="minorHAnsi" w:eastAsiaTheme="minorHAnsi" w:hAnsiTheme="minorHAnsi" w:cstheme="minorBidi"/>
          <w:i/>
          <w:iCs/>
          <w:noProof/>
          <w:sz w:val="21"/>
          <w:szCs w:val="21"/>
          <w:lang w:eastAsia="en-AU"/>
        </w:rPr>
        <w:t>Lycosa godeffroyi</w:t>
      </w:r>
      <w:r w:rsidRPr="0061260A">
        <w:rPr>
          <w:rFonts w:asciiTheme="minorHAnsi" w:eastAsiaTheme="minorHAnsi" w:hAnsiTheme="minorHAnsi" w:cstheme="minorBidi"/>
          <w:noProof/>
          <w:sz w:val="21"/>
          <w:szCs w:val="21"/>
          <w:lang w:eastAsia="en-AU"/>
        </w:rPr>
        <w:t>) and the Canberra Raspy Cricket (</w:t>
      </w:r>
      <w:r w:rsidRPr="0061260A">
        <w:rPr>
          <w:rFonts w:asciiTheme="minorHAnsi" w:eastAsiaTheme="minorHAnsi" w:hAnsiTheme="minorHAnsi" w:cstheme="minorBidi"/>
          <w:i/>
          <w:iCs/>
          <w:noProof/>
          <w:sz w:val="21"/>
          <w:szCs w:val="21"/>
          <w:lang w:eastAsia="en-AU"/>
        </w:rPr>
        <w:t>Cooraboorama canberrae</w:t>
      </w:r>
      <w:r w:rsidRPr="0061260A">
        <w:rPr>
          <w:rFonts w:asciiTheme="minorHAnsi" w:eastAsiaTheme="minorHAnsi" w:hAnsiTheme="minorHAnsi" w:cstheme="minorBidi"/>
          <w:noProof/>
          <w:sz w:val="21"/>
          <w:szCs w:val="21"/>
          <w:lang w:eastAsia="en-AU"/>
        </w:rPr>
        <w:t xml:space="preserve">) (Osborne et al. 1993b, Benson 1999). These are critical for shelter </w:t>
      </w:r>
      <w:r w:rsidRPr="0061260A">
        <w:rPr>
          <w:rFonts w:asciiTheme="minorHAnsi" w:eastAsiaTheme="minorHAnsi" w:hAnsiTheme="minorHAnsi" w:cstheme="minorBidi"/>
          <w:sz w:val="21"/>
        </w:rPr>
        <w:t>to survive the</w:t>
      </w:r>
      <w:r w:rsidRPr="0061260A">
        <w:rPr>
          <w:rFonts w:asciiTheme="minorHAnsi" w:eastAsiaTheme="minorHAnsi" w:hAnsiTheme="minorHAnsi" w:cstheme="minorBidi"/>
          <w:spacing w:val="1"/>
          <w:sz w:val="21"/>
        </w:rPr>
        <w:t xml:space="preserve"> </w:t>
      </w:r>
      <w:r w:rsidRPr="0061260A">
        <w:rPr>
          <w:rFonts w:asciiTheme="minorHAnsi" w:eastAsiaTheme="minorHAnsi" w:hAnsiTheme="minorHAnsi" w:cstheme="minorBidi"/>
          <w:sz w:val="21"/>
        </w:rPr>
        <w:t>extreme (low and high) temperatures experienced in these grasslands (</w:t>
      </w:r>
      <w:bookmarkStart w:id="3" w:name="_Hlk107244780"/>
      <w:r w:rsidRPr="0061260A">
        <w:rPr>
          <w:rFonts w:asciiTheme="minorHAnsi" w:eastAsiaTheme="minorHAnsi" w:hAnsiTheme="minorHAnsi" w:cstheme="minorBidi"/>
          <w:sz w:val="21"/>
        </w:rPr>
        <w:t>Nelson</w:t>
      </w:r>
      <w:r w:rsidRPr="0061260A">
        <w:rPr>
          <w:rFonts w:asciiTheme="minorHAnsi" w:eastAsiaTheme="minorHAnsi" w:hAnsiTheme="minorHAnsi" w:cstheme="minorBidi"/>
          <w:spacing w:val="1"/>
          <w:sz w:val="21"/>
        </w:rPr>
        <w:t xml:space="preserve"> </w:t>
      </w:r>
      <w:r w:rsidRPr="0061260A">
        <w:rPr>
          <w:rFonts w:asciiTheme="minorHAnsi" w:eastAsiaTheme="minorHAnsi" w:hAnsiTheme="minorHAnsi" w:cstheme="minorBidi"/>
          <w:sz w:val="21"/>
        </w:rPr>
        <w:t>and Cooper 2020</w:t>
      </w:r>
      <w:bookmarkEnd w:id="3"/>
      <w:r w:rsidRPr="0061260A">
        <w:rPr>
          <w:rFonts w:asciiTheme="minorHAnsi" w:eastAsiaTheme="minorHAnsi" w:hAnsiTheme="minorHAnsi" w:cstheme="minorBidi"/>
          <w:sz w:val="21"/>
        </w:rPr>
        <w:t xml:space="preserve">; Stevens et al. 2010; Doucette unpublished data). While dragons are more often found in areas where herbage biomass is lower (Osborne et al. 2013; Cook et al. 2015; Osborne 2015), maintaining a varied grassland structure and avoiding herbage biomass extremes is a management aim to maximise the range of shelter and thermal niches, and types of prey (Stevens et al. 2010; Taylor 2014; M. Evans pers. comm.). </w:t>
      </w:r>
    </w:p>
    <w:p w14:paraId="248877F1" w14:textId="77777777" w:rsidR="0061260A" w:rsidRPr="0061260A" w:rsidRDefault="0061260A" w:rsidP="0061260A">
      <w:pPr>
        <w:spacing w:after="200" w:line="276" w:lineRule="auto"/>
        <w:outlineLvl w:val="1"/>
        <w:rPr>
          <w:rFonts w:asciiTheme="minorHAnsi" w:eastAsiaTheme="minorHAnsi" w:hAnsiTheme="minorHAnsi" w:cstheme="minorBidi"/>
          <w:sz w:val="21"/>
        </w:rPr>
      </w:pPr>
      <w:r w:rsidRPr="0061260A">
        <w:rPr>
          <w:rFonts w:asciiTheme="minorHAnsi" w:eastAsiaTheme="minorHAnsi" w:hAnsiTheme="minorHAnsi" w:cstheme="minorBidi"/>
          <w:sz w:val="21"/>
        </w:rPr>
        <w:t>A captive breeding population, comprising individuals from Cookanalla and Jerrabomberra West, was established at the University of Canberra (UC) in 2013 for the purpose of research and insurance against extinction. Two additional colonies, founded from wild caught animals from the south Canberra population, were recently initiated at Melbourne Zoo (2019) and Tidbinbilla Nature Reserve (2021). One live animal from the northern Majura Training Area site has now been incorporated into the breeding colony at the Tidbinbilla Nature Reserve. Further details are provided in the listing assessment (ACT Scientific Committee and DCCEEW 2022).</w:t>
      </w:r>
    </w:p>
    <w:p w14:paraId="226E3098" w14:textId="77777777" w:rsidR="0061260A" w:rsidRPr="0061260A" w:rsidRDefault="0061260A" w:rsidP="0061260A">
      <w:pPr>
        <w:keepNext/>
        <w:keepLines/>
        <w:spacing w:before="200" w:line="276" w:lineRule="auto"/>
        <w:outlineLvl w:val="1"/>
        <w:rPr>
          <w:rFonts w:ascii="Arial" w:eastAsiaTheme="majorEastAsia" w:hAnsi="Arial" w:cstheme="majorBidi"/>
          <w:bCs/>
          <w:caps/>
          <w:color w:val="009999"/>
          <w:sz w:val="28"/>
          <w:szCs w:val="26"/>
        </w:rPr>
      </w:pPr>
      <w:r w:rsidRPr="0061260A">
        <w:rPr>
          <w:rFonts w:ascii="Arial" w:eastAsiaTheme="majorEastAsia" w:hAnsi="Arial" w:cstheme="majorBidi"/>
          <w:bCs/>
          <w:caps/>
          <w:color w:val="009999"/>
          <w:sz w:val="28"/>
          <w:szCs w:val="26"/>
        </w:rPr>
        <w:lastRenderedPageBreak/>
        <w:t>Threats</w:t>
      </w:r>
    </w:p>
    <w:p w14:paraId="784AFB1A" w14:textId="77777777" w:rsidR="0061260A" w:rsidRPr="0061260A" w:rsidRDefault="0061260A" w:rsidP="0061260A">
      <w:pPr>
        <w:spacing w:line="276" w:lineRule="auto"/>
        <w:rPr>
          <w:rFonts w:asciiTheme="minorHAnsi" w:eastAsiaTheme="minorHAnsi" w:hAnsiTheme="minorHAnsi" w:cstheme="minorBidi"/>
          <w:bCs/>
          <w:sz w:val="21"/>
          <w:szCs w:val="21"/>
        </w:rPr>
      </w:pPr>
      <w:r w:rsidRPr="0061260A">
        <w:rPr>
          <w:rFonts w:asciiTheme="minorHAnsi" w:eastAsiaTheme="minorHAnsi" w:hAnsiTheme="minorHAnsi" w:cstheme="minorBidi"/>
          <w:bCs/>
          <w:sz w:val="21"/>
          <w:szCs w:val="21"/>
        </w:rPr>
        <w:t>The threats to the species are detailed in the listing assessment (ACT Scientific Committee and DCCEEW 2022) and summarised here. The main threats that contributed to the species’ decline include the destruction, degradation, fragmentation and reduced connectivity of Natural Temperate Grassland (NTG) and associated native grassland habitat due to:</w:t>
      </w:r>
    </w:p>
    <w:p w14:paraId="6F900403" w14:textId="77777777" w:rsidR="0061260A" w:rsidRPr="0061260A" w:rsidRDefault="0061260A" w:rsidP="0061260A">
      <w:pPr>
        <w:numPr>
          <w:ilvl w:val="0"/>
          <w:numId w:val="16"/>
        </w:numPr>
        <w:spacing w:after="200" w:line="276" w:lineRule="auto"/>
        <w:contextualSpacing/>
        <w:rPr>
          <w:rFonts w:asciiTheme="minorHAnsi" w:eastAsiaTheme="minorHAnsi" w:hAnsiTheme="minorHAnsi" w:cstheme="minorBidi"/>
          <w:bCs/>
          <w:sz w:val="21"/>
          <w:szCs w:val="21"/>
        </w:rPr>
      </w:pPr>
      <w:r w:rsidRPr="0061260A">
        <w:rPr>
          <w:rFonts w:asciiTheme="minorHAnsi" w:eastAsiaTheme="minorHAnsi" w:hAnsiTheme="minorHAnsi" w:cstheme="minorBidi"/>
          <w:bCs/>
          <w:sz w:val="21"/>
          <w:szCs w:val="21"/>
        </w:rPr>
        <w:t xml:space="preserve">urban, industrial and agricultural development encroachment (Melville et al. 2018) of grasslands </w:t>
      </w:r>
    </w:p>
    <w:p w14:paraId="02F6D2C4" w14:textId="77777777" w:rsidR="0061260A" w:rsidRPr="0061260A" w:rsidRDefault="0061260A" w:rsidP="0061260A">
      <w:pPr>
        <w:numPr>
          <w:ilvl w:val="0"/>
          <w:numId w:val="16"/>
        </w:numPr>
        <w:spacing w:after="200" w:line="276" w:lineRule="auto"/>
        <w:contextualSpacing/>
        <w:rPr>
          <w:rFonts w:asciiTheme="minorHAnsi" w:eastAsiaTheme="minorHAnsi" w:hAnsiTheme="minorHAnsi" w:cstheme="minorBidi"/>
          <w:bCs/>
          <w:sz w:val="21"/>
          <w:szCs w:val="21"/>
        </w:rPr>
      </w:pPr>
      <w:r w:rsidRPr="0061260A">
        <w:rPr>
          <w:rFonts w:asciiTheme="minorHAnsi" w:eastAsiaTheme="minorHAnsi" w:hAnsiTheme="minorHAnsi" w:cstheme="minorBidi"/>
          <w:bCs/>
          <w:sz w:val="21"/>
          <w:szCs w:val="21"/>
        </w:rPr>
        <w:t>overgrazing of habitat by kangaroos, rabbits or livestock, or close mowing that led to the loss of tussock structure and excessive bare ground (ACT Government 2017)</w:t>
      </w:r>
    </w:p>
    <w:p w14:paraId="52005D6D" w14:textId="77777777" w:rsidR="0061260A" w:rsidRPr="0061260A" w:rsidRDefault="0061260A" w:rsidP="0061260A">
      <w:pPr>
        <w:numPr>
          <w:ilvl w:val="0"/>
          <w:numId w:val="16"/>
        </w:numPr>
        <w:spacing w:after="200" w:line="276" w:lineRule="auto"/>
        <w:contextualSpacing/>
        <w:rPr>
          <w:rFonts w:asciiTheme="minorHAnsi" w:eastAsiaTheme="minorHAnsi" w:hAnsiTheme="minorHAnsi" w:cstheme="minorBidi"/>
          <w:bCs/>
          <w:sz w:val="21"/>
          <w:szCs w:val="21"/>
        </w:rPr>
      </w:pPr>
      <w:r w:rsidRPr="0061260A">
        <w:rPr>
          <w:rFonts w:asciiTheme="minorHAnsi" w:eastAsiaTheme="minorHAnsi" w:hAnsiTheme="minorHAnsi" w:cstheme="minorBidi"/>
          <w:bCs/>
          <w:sz w:val="21"/>
          <w:szCs w:val="21"/>
        </w:rPr>
        <w:t>the interaction between high temperatures and lack of ground cover caused by drought and exacerbated by overgrazing (Dimond 2010; Dimond et al. 2012) that reduced suitable habitat, food availability and opportunities for subpopulations of this species to seek refugia (Dimond et al. 2012) resulting in increased mortality from exposure</w:t>
      </w:r>
    </w:p>
    <w:p w14:paraId="730D0F97" w14:textId="77777777" w:rsidR="0061260A" w:rsidRPr="0061260A" w:rsidRDefault="0061260A" w:rsidP="0061260A">
      <w:pPr>
        <w:numPr>
          <w:ilvl w:val="0"/>
          <w:numId w:val="16"/>
        </w:numPr>
        <w:spacing w:after="200" w:line="276" w:lineRule="auto"/>
        <w:contextualSpacing/>
        <w:rPr>
          <w:rFonts w:asciiTheme="minorHAnsi" w:eastAsiaTheme="minorHAnsi" w:hAnsiTheme="minorHAnsi" w:cstheme="minorHAnsi"/>
          <w:bCs/>
          <w:sz w:val="21"/>
          <w:szCs w:val="21"/>
        </w:rPr>
      </w:pPr>
      <w:r w:rsidRPr="0061260A">
        <w:rPr>
          <w:rFonts w:asciiTheme="minorHAnsi" w:eastAsiaTheme="minorHAnsi" w:hAnsiTheme="minorHAnsi" w:cstheme="minorHAnsi"/>
          <w:color w:val="000000"/>
          <w:sz w:val="21"/>
          <w:szCs w:val="21"/>
          <w:lang w:val="en-GB"/>
        </w:rPr>
        <w:t>the effect of high, including extreme, temperatures on physiological function and performance may compromise survival and reproduction, independent of its interacting effect with habitat</w:t>
      </w:r>
    </w:p>
    <w:p w14:paraId="571C0166" w14:textId="77777777" w:rsidR="0061260A" w:rsidRPr="0061260A" w:rsidRDefault="0061260A" w:rsidP="0061260A">
      <w:pPr>
        <w:numPr>
          <w:ilvl w:val="0"/>
          <w:numId w:val="17"/>
        </w:numPr>
        <w:spacing w:after="200" w:line="276" w:lineRule="auto"/>
        <w:contextualSpacing/>
        <w:rPr>
          <w:rFonts w:asciiTheme="minorHAnsi" w:eastAsiaTheme="minorHAnsi" w:hAnsiTheme="minorHAnsi" w:cstheme="minorBidi"/>
          <w:bCs/>
          <w:sz w:val="21"/>
          <w:szCs w:val="21"/>
        </w:rPr>
      </w:pPr>
      <w:r w:rsidRPr="0061260A">
        <w:rPr>
          <w:rFonts w:asciiTheme="minorHAnsi" w:eastAsiaTheme="minorHAnsi" w:hAnsiTheme="minorHAnsi" w:cstheme="minorBidi"/>
          <w:bCs/>
          <w:sz w:val="21"/>
          <w:szCs w:val="21"/>
        </w:rPr>
        <w:t>cultivation that likely destroyed arthropod populations, particularly of the Wolf Spider (</w:t>
      </w:r>
      <w:r w:rsidRPr="0061260A">
        <w:rPr>
          <w:rFonts w:asciiTheme="minorHAnsi" w:eastAsiaTheme="minorHAnsi" w:hAnsiTheme="minorHAnsi" w:cstheme="minorBidi"/>
          <w:bCs/>
          <w:i/>
          <w:iCs/>
          <w:sz w:val="21"/>
          <w:szCs w:val="21"/>
        </w:rPr>
        <w:t>Lycosa</w:t>
      </w:r>
      <w:r w:rsidRPr="0061260A">
        <w:rPr>
          <w:rFonts w:asciiTheme="minorHAnsi" w:eastAsiaTheme="minorHAnsi" w:hAnsiTheme="minorHAnsi" w:cstheme="minorBidi"/>
          <w:bCs/>
          <w:sz w:val="21"/>
          <w:szCs w:val="21"/>
        </w:rPr>
        <w:t xml:space="preserve"> spp.) and the Canberra Raspy Cricket (</w:t>
      </w:r>
      <w:r w:rsidRPr="0061260A">
        <w:rPr>
          <w:rFonts w:asciiTheme="minorHAnsi" w:eastAsiaTheme="minorHAnsi" w:hAnsiTheme="minorHAnsi" w:cstheme="minorBidi"/>
          <w:bCs/>
          <w:i/>
          <w:iCs/>
          <w:sz w:val="21"/>
          <w:szCs w:val="21"/>
        </w:rPr>
        <w:t>Cooraboorama canberrae</w:t>
      </w:r>
      <w:r w:rsidRPr="0061260A">
        <w:rPr>
          <w:rFonts w:asciiTheme="minorHAnsi" w:eastAsiaTheme="minorHAnsi" w:hAnsiTheme="minorHAnsi" w:cstheme="minorBidi"/>
          <w:bCs/>
          <w:sz w:val="21"/>
          <w:szCs w:val="21"/>
        </w:rPr>
        <w:t xml:space="preserve">), that the Canberra Grassland Earless Dragon relies on to form burrows (Nelson 2004, Stringer 2018, ACT Government 2017) </w:t>
      </w:r>
    </w:p>
    <w:p w14:paraId="686E9579" w14:textId="77777777" w:rsidR="0061260A" w:rsidRPr="0061260A" w:rsidRDefault="0061260A" w:rsidP="0061260A">
      <w:pPr>
        <w:numPr>
          <w:ilvl w:val="0"/>
          <w:numId w:val="16"/>
        </w:numPr>
        <w:spacing w:after="200" w:line="276" w:lineRule="auto"/>
        <w:contextualSpacing/>
        <w:rPr>
          <w:rFonts w:asciiTheme="minorHAnsi" w:eastAsiaTheme="minorHAnsi" w:hAnsiTheme="minorHAnsi" w:cstheme="minorBidi"/>
          <w:bCs/>
          <w:sz w:val="21"/>
          <w:szCs w:val="21"/>
        </w:rPr>
      </w:pPr>
      <w:r w:rsidRPr="0061260A">
        <w:rPr>
          <w:rFonts w:asciiTheme="minorHAnsi" w:eastAsiaTheme="minorHAnsi" w:hAnsiTheme="minorHAnsi" w:cstheme="minorBidi"/>
          <w:bCs/>
          <w:sz w:val="21"/>
          <w:szCs w:val="21"/>
        </w:rPr>
        <w:t>the application of pasture improvement techniques and introduced pasture species to outcompete native species for water, light and nutrients</w:t>
      </w:r>
    </w:p>
    <w:p w14:paraId="7569209D" w14:textId="77777777" w:rsidR="0061260A" w:rsidRPr="0061260A" w:rsidRDefault="0061260A" w:rsidP="0061260A">
      <w:pPr>
        <w:numPr>
          <w:ilvl w:val="0"/>
          <w:numId w:val="16"/>
        </w:numPr>
        <w:spacing w:after="200" w:line="276" w:lineRule="auto"/>
        <w:contextualSpacing/>
        <w:rPr>
          <w:rFonts w:asciiTheme="minorHAnsi" w:eastAsiaTheme="minorHAnsi" w:hAnsiTheme="minorHAnsi" w:cstheme="minorBidi"/>
          <w:bCs/>
          <w:sz w:val="21"/>
          <w:szCs w:val="21"/>
        </w:rPr>
      </w:pPr>
      <w:r w:rsidRPr="0061260A">
        <w:rPr>
          <w:rFonts w:asciiTheme="minorHAnsi" w:eastAsiaTheme="minorHAnsi" w:hAnsiTheme="minorHAnsi" w:cstheme="minorBidi"/>
          <w:bCs/>
          <w:sz w:val="21"/>
          <w:szCs w:val="21"/>
        </w:rPr>
        <w:t>invasive weeds, including the highly invasive African Lovegrass (</w:t>
      </w:r>
      <w:r w:rsidRPr="0061260A">
        <w:rPr>
          <w:rFonts w:asciiTheme="minorHAnsi" w:eastAsiaTheme="minorHAnsi" w:hAnsiTheme="minorHAnsi" w:cstheme="minorBidi"/>
          <w:bCs/>
          <w:i/>
          <w:iCs/>
          <w:sz w:val="21"/>
          <w:szCs w:val="21"/>
        </w:rPr>
        <w:t>Eragrostis curvula</w:t>
      </w:r>
      <w:r w:rsidRPr="0061260A">
        <w:rPr>
          <w:rFonts w:asciiTheme="minorHAnsi" w:eastAsiaTheme="minorHAnsi" w:hAnsiTheme="minorHAnsi" w:cstheme="minorBidi"/>
          <w:bCs/>
          <w:sz w:val="21"/>
          <w:szCs w:val="21"/>
        </w:rPr>
        <w:t xml:space="preserve">), that changed the structure of the grassland habitat to that of a monoculture, destroying NTG and associated native grassland, making it uninhabitable for the Canberra Grassland Earless Dragon by obscuring invertebrate burrows and filling inter-tussock gaps, which reduced the availability of basking and nesting sites (TSSC 2008; ACT Government 2017). </w:t>
      </w:r>
    </w:p>
    <w:p w14:paraId="5D15292F" w14:textId="77777777" w:rsidR="0061260A" w:rsidRPr="0061260A" w:rsidRDefault="0061260A" w:rsidP="0061260A">
      <w:pPr>
        <w:spacing w:line="276" w:lineRule="auto"/>
        <w:rPr>
          <w:rFonts w:asciiTheme="minorHAnsi" w:eastAsiaTheme="minorHAnsi" w:hAnsiTheme="minorHAnsi" w:cstheme="minorBidi"/>
          <w:bCs/>
          <w:sz w:val="21"/>
          <w:szCs w:val="21"/>
        </w:rPr>
      </w:pPr>
      <w:r w:rsidRPr="0061260A">
        <w:rPr>
          <w:rFonts w:asciiTheme="minorHAnsi" w:eastAsiaTheme="minorHAnsi" w:hAnsiTheme="minorHAnsi" w:cstheme="minorBidi"/>
          <w:bCs/>
          <w:sz w:val="21"/>
          <w:szCs w:val="21"/>
        </w:rPr>
        <w:t>Many further threats are detailed in the listing assessment (ACT Scientific Committee and DCCEEW 2022) including climate change related threats, excessive biomass/insufficient grazing and predation.</w:t>
      </w:r>
    </w:p>
    <w:p w14:paraId="0FD9DD8C" w14:textId="77777777" w:rsidR="0061260A" w:rsidRPr="0061260A" w:rsidRDefault="0061260A" w:rsidP="0061260A">
      <w:pPr>
        <w:keepNext/>
        <w:keepLines/>
        <w:spacing w:before="200" w:line="276" w:lineRule="auto"/>
        <w:outlineLvl w:val="1"/>
        <w:rPr>
          <w:rFonts w:ascii="Arial" w:eastAsiaTheme="majorEastAsia" w:hAnsi="Arial" w:cstheme="majorBidi"/>
          <w:bCs/>
          <w:caps/>
          <w:color w:val="009999"/>
          <w:sz w:val="28"/>
          <w:szCs w:val="26"/>
        </w:rPr>
      </w:pPr>
      <w:r w:rsidRPr="0061260A">
        <w:rPr>
          <w:rFonts w:ascii="Arial" w:eastAsiaTheme="majorEastAsia" w:hAnsi="Arial" w:cstheme="majorBidi"/>
          <w:bCs/>
          <w:caps/>
          <w:color w:val="009999"/>
          <w:sz w:val="28"/>
          <w:szCs w:val="26"/>
        </w:rPr>
        <w:t>Major Conservation Objective</w:t>
      </w:r>
    </w:p>
    <w:p w14:paraId="341505CC" w14:textId="77777777" w:rsidR="0061260A" w:rsidRPr="0061260A" w:rsidRDefault="0061260A" w:rsidP="0061260A">
      <w:pPr>
        <w:spacing w:after="200" w:line="276" w:lineRule="auto"/>
        <w:rPr>
          <w:rFonts w:asciiTheme="minorHAnsi" w:eastAsiaTheme="minorHAnsi" w:hAnsiTheme="minorHAnsi" w:cstheme="minorBidi"/>
          <w:sz w:val="21"/>
          <w:szCs w:val="21"/>
          <w:highlight w:val="yellow"/>
        </w:rPr>
      </w:pPr>
      <w:r w:rsidRPr="0061260A">
        <w:rPr>
          <w:rFonts w:asciiTheme="minorHAnsi" w:eastAsiaTheme="minorHAnsi" w:hAnsiTheme="minorHAnsi" w:cstheme="minorBidi"/>
          <w:sz w:val="21"/>
          <w:szCs w:val="21"/>
        </w:rPr>
        <w:t>The overall conservation objective of the species current action plan is to maintain in the long term, viable, wild populations of the species as a component of the indigenous biological resources of the ACT and as a contribution to regional and national conservation of the species. This includes the need to maintain natural evolutionary processes.</w:t>
      </w:r>
      <w:r w:rsidRPr="0061260A">
        <w:rPr>
          <w:rFonts w:asciiTheme="minorHAnsi" w:eastAsiaTheme="minorHAnsi" w:hAnsiTheme="minorHAnsi" w:cstheme="minorBidi"/>
          <w:sz w:val="21"/>
          <w:szCs w:val="21"/>
          <w:highlight w:val="yellow"/>
        </w:rPr>
        <w:t xml:space="preserve"> </w:t>
      </w:r>
    </w:p>
    <w:p w14:paraId="258C36F5" w14:textId="77777777" w:rsidR="0061260A" w:rsidRPr="0061260A" w:rsidRDefault="0061260A" w:rsidP="0061260A">
      <w:pPr>
        <w:keepNext/>
        <w:keepLines/>
        <w:spacing w:before="200" w:line="276" w:lineRule="auto"/>
        <w:outlineLvl w:val="1"/>
        <w:rPr>
          <w:rFonts w:ascii="Arial" w:eastAsiaTheme="majorEastAsia" w:hAnsi="Arial" w:cstheme="majorBidi"/>
          <w:bCs/>
          <w:caps/>
          <w:color w:val="009999"/>
          <w:sz w:val="28"/>
          <w:szCs w:val="26"/>
        </w:rPr>
      </w:pPr>
      <w:r w:rsidRPr="0061260A">
        <w:rPr>
          <w:rFonts w:ascii="Arial" w:eastAsiaTheme="majorEastAsia" w:hAnsi="Arial" w:cstheme="majorBidi"/>
          <w:bCs/>
          <w:caps/>
          <w:color w:val="009999"/>
          <w:sz w:val="28"/>
          <w:szCs w:val="26"/>
        </w:rPr>
        <w:t>Conservation PRIORITIES</w:t>
      </w:r>
    </w:p>
    <w:p w14:paraId="0F25124C" w14:textId="77777777" w:rsidR="0061260A" w:rsidRPr="0061260A" w:rsidRDefault="0061260A" w:rsidP="0061260A">
      <w:pPr>
        <w:spacing w:after="200" w:line="259" w:lineRule="auto"/>
        <w:contextualSpacing/>
        <w:rPr>
          <w:rFonts w:ascii="Calibri" w:eastAsia="Calibri" w:hAnsi="Calibri"/>
          <w:sz w:val="21"/>
          <w:szCs w:val="21"/>
        </w:rPr>
      </w:pPr>
      <w:r w:rsidRPr="0061260A">
        <w:rPr>
          <w:rFonts w:ascii="Calibri" w:eastAsia="Calibri" w:hAnsi="Calibri"/>
          <w:sz w:val="21"/>
          <w:szCs w:val="21"/>
        </w:rPr>
        <w:t>In the action plan (ACT Government 2017) and in recommendations made in Evans et al. 2018 (released after the action plan), the main conservation effort for the species is focused on protecting viable populations in functional native grassland habitat within two clusters of sites across its geographical range—the Majura Valley and the Jerrabomberra Valley. However, given recent populations reductions, ex-situ management has already been deemed necessary. Priorities in the action plan, updated with Evans et al. 2018, that continue to be important include to:</w:t>
      </w:r>
    </w:p>
    <w:p w14:paraId="1C3BB76B" w14:textId="77777777" w:rsidR="0061260A" w:rsidRPr="0061260A" w:rsidRDefault="0061260A" w:rsidP="0061260A">
      <w:pPr>
        <w:numPr>
          <w:ilvl w:val="0"/>
          <w:numId w:val="24"/>
        </w:numPr>
        <w:spacing w:after="200" w:line="276" w:lineRule="auto"/>
        <w:contextualSpacing/>
        <w:rPr>
          <w:rFonts w:ascii="Calibri" w:eastAsia="Calibri" w:hAnsi="Calibri"/>
          <w:sz w:val="21"/>
          <w:szCs w:val="21"/>
        </w:rPr>
      </w:pPr>
      <w:r w:rsidRPr="0061260A">
        <w:rPr>
          <w:rFonts w:ascii="Calibri" w:eastAsia="Calibri" w:hAnsi="Calibri"/>
          <w:sz w:val="21"/>
          <w:szCs w:val="21"/>
        </w:rPr>
        <w:t xml:space="preserve">conserve all populations </w:t>
      </w:r>
    </w:p>
    <w:p w14:paraId="39F83420" w14:textId="77777777" w:rsidR="0061260A" w:rsidRPr="0061260A" w:rsidRDefault="0061260A" w:rsidP="0061260A">
      <w:pPr>
        <w:numPr>
          <w:ilvl w:val="0"/>
          <w:numId w:val="24"/>
        </w:numPr>
        <w:spacing w:after="200" w:line="276" w:lineRule="auto"/>
        <w:contextualSpacing/>
        <w:rPr>
          <w:rFonts w:ascii="Calibri" w:eastAsia="Calibri" w:hAnsi="Calibri"/>
          <w:sz w:val="21"/>
          <w:szCs w:val="21"/>
        </w:rPr>
      </w:pPr>
      <w:r w:rsidRPr="0061260A">
        <w:rPr>
          <w:rFonts w:ascii="Calibri" w:eastAsia="Calibri" w:hAnsi="Calibri"/>
          <w:sz w:val="21"/>
          <w:szCs w:val="21"/>
        </w:rPr>
        <w:t xml:space="preserve">protect existing CGED habitat in the ACT and prevent further fragmentation </w:t>
      </w:r>
    </w:p>
    <w:p w14:paraId="01F48892" w14:textId="77777777" w:rsidR="0061260A" w:rsidRPr="0061260A" w:rsidRDefault="0061260A" w:rsidP="0061260A">
      <w:pPr>
        <w:numPr>
          <w:ilvl w:val="0"/>
          <w:numId w:val="24"/>
        </w:numPr>
        <w:spacing w:after="200" w:line="276" w:lineRule="auto"/>
        <w:contextualSpacing/>
        <w:rPr>
          <w:rFonts w:ascii="Calibri" w:eastAsia="Calibri" w:hAnsi="Calibri"/>
          <w:sz w:val="21"/>
          <w:szCs w:val="21"/>
        </w:rPr>
      </w:pPr>
      <w:r w:rsidRPr="0061260A">
        <w:rPr>
          <w:rFonts w:ascii="Calibri" w:eastAsia="Calibri" w:hAnsi="Calibri"/>
          <w:sz w:val="21"/>
          <w:szCs w:val="21"/>
        </w:rPr>
        <w:lastRenderedPageBreak/>
        <w:t>assume the species is present at any site where it previously occurred since 1991 unless this is disproved by rigorous survey (especially given the recent "reappearance" of other earless dragon species at sites in Cooma and in Victoria where the relevant species was assumed to be extinct).</w:t>
      </w:r>
    </w:p>
    <w:p w14:paraId="1D27ED75" w14:textId="77777777" w:rsidR="0061260A" w:rsidRPr="0061260A" w:rsidRDefault="0061260A" w:rsidP="0061260A">
      <w:pPr>
        <w:numPr>
          <w:ilvl w:val="0"/>
          <w:numId w:val="24"/>
        </w:numPr>
        <w:spacing w:after="200" w:line="276" w:lineRule="auto"/>
        <w:contextualSpacing/>
        <w:rPr>
          <w:rFonts w:ascii="Calibri" w:eastAsia="Calibri" w:hAnsi="Calibri"/>
          <w:sz w:val="21"/>
          <w:szCs w:val="21"/>
        </w:rPr>
      </w:pPr>
      <w:r w:rsidRPr="0061260A">
        <w:rPr>
          <w:rFonts w:ascii="Calibri" w:eastAsia="Calibri" w:hAnsi="Calibri"/>
          <w:sz w:val="21"/>
          <w:szCs w:val="21"/>
        </w:rPr>
        <w:t>conserve optimal habitat quality, particularly through an appropriate herbage mass management regime (biomass neither too high nor too low – see above) and in line with other Natural Temperate Grassland species’ needs</w:t>
      </w:r>
    </w:p>
    <w:p w14:paraId="1FCD5FA0" w14:textId="77777777" w:rsidR="0061260A" w:rsidRPr="0061260A" w:rsidRDefault="0061260A" w:rsidP="0061260A">
      <w:pPr>
        <w:numPr>
          <w:ilvl w:val="0"/>
          <w:numId w:val="24"/>
        </w:numPr>
        <w:spacing w:after="200" w:line="276" w:lineRule="auto"/>
        <w:contextualSpacing/>
        <w:rPr>
          <w:rFonts w:ascii="Calibri" w:eastAsia="Calibri" w:hAnsi="Calibri"/>
          <w:sz w:val="21"/>
          <w:szCs w:val="21"/>
        </w:rPr>
      </w:pPr>
      <w:r w:rsidRPr="0061260A">
        <w:rPr>
          <w:rFonts w:ascii="Calibri" w:eastAsia="Calibri" w:hAnsi="Calibri"/>
          <w:sz w:val="21"/>
          <w:szCs w:val="21"/>
        </w:rPr>
        <w:t xml:space="preserve">manage adjacent grassland to increase habitat area and connect populations or establish/re-establish populations </w:t>
      </w:r>
    </w:p>
    <w:p w14:paraId="24DA377F" w14:textId="77777777" w:rsidR="0061260A" w:rsidRPr="0061260A" w:rsidRDefault="0061260A" w:rsidP="0061260A">
      <w:pPr>
        <w:numPr>
          <w:ilvl w:val="0"/>
          <w:numId w:val="24"/>
        </w:numPr>
        <w:spacing w:after="200" w:line="276" w:lineRule="auto"/>
        <w:contextualSpacing/>
        <w:rPr>
          <w:rFonts w:ascii="Calibri" w:eastAsia="Calibri" w:hAnsi="Calibri"/>
          <w:sz w:val="21"/>
          <w:szCs w:val="21"/>
        </w:rPr>
      </w:pPr>
      <w:r w:rsidRPr="0061260A">
        <w:rPr>
          <w:rFonts w:ascii="Calibri" w:eastAsia="Calibri" w:hAnsi="Calibri"/>
          <w:sz w:val="21"/>
          <w:szCs w:val="21"/>
        </w:rPr>
        <w:t xml:space="preserve">not allow any environmental offsets for this species or its habitat (even though populations may occur on offset sites for other species and the Natural Temperate Grassland ecological community) </w:t>
      </w:r>
    </w:p>
    <w:p w14:paraId="628FC9B8" w14:textId="77777777" w:rsidR="0061260A" w:rsidRPr="0061260A" w:rsidRDefault="0061260A" w:rsidP="0061260A">
      <w:pPr>
        <w:numPr>
          <w:ilvl w:val="0"/>
          <w:numId w:val="24"/>
        </w:numPr>
        <w:spacing w:after="200" w:line="276" w:lineRule="auto"/>
        <w:contextualSpacing/>
        <w:rPr>
          <w:rFonts w:ascii="Calibri" w:eastAsia="Calibri" w:hAnsi="Calibri"/>
          <w:sz w:val="21"/>
          <w:szCs w:val="21"/>
        </w:rPr>
      </w:pPr>
      <w:r w:rsidRPr="0061260A">
        <w:rPr>
          <w:rFonts w:ascii="Calibri" w:eastAsia="Calibri" w:hAnsi="Calibri"/>
          <w:sz w:val="21"/>
          <w:szCs w:val="21"/>
        </w:rPr>
        <w:t xml:space="preserve">undertake further surveys at ACT sites where the abundance of the species across the site is not well understood, </w:t>
      </w:r>
      <w:r w:rsidRPr="0061260A">
        <w:rPr>
          <w:rFonts w:asciiTheme="minorHAnsi" w:eastAsiaTheme="minorHAnsi" w:hAnsiTheme="minorHAnsi" w:cstheme="minorBidi"/>
          <w:sz w:val="21"/>
          <w:szCs w:val="21"/>
        </w:rPr>
        <w:t>confirming distribution of remaining populations in the ACT region using rapid survey assessment methods</w:t>
      </w:r>
    </w:p>
    <w:p w14:paraId="413A75BB" w14:textId="77777777" w:rsidR="0061260A" w:rsidRPr="0061260A" w:rsidRDefault="0061260A" w:rsidP="0061260A">
      <w:pPr>
        <w:numPr>
          <w:ilvl w:val="0"/>
          <w:numId w:val="24"/>
        </w:numPr>
        <w:spacing w:after="200" w:line="276" w:lineRule="auto"/>
        <w:contextualSpacing/>
        <w:rPr>
          <w:rFonts w:ascii="Calibri" w:eastAsia="Calibri" w:hAnsi="Calibri"/>
          <w:sz w:val="21"/>
          <w:szCs w:val="21"/>
        </w:rPr>
      </w:pPr>
      <w:r w:rsidRPr="0061260A">
        <w:rPr>
          <w:rFonts w:ascii="Calibri" w:eastAsia="Calibri" w:hAnsi="Calibri"/>
          <w:sz w:val="21"/>
          <w:szCs w:val="21"/>
        </w:rPr>
        <w:t>monitor a representative set of sites to determine long-term population trends and to evaluate the effects of management</w:t>
      </w:r>
    </w:p>
    <w:p w14:paraId="7AC35142" w14:textId="77777777" w:rsidR="0061260A" w:rsidRPr="0061260A" w:rsidRDefault="0061260A" w:rsidP="0061260A">
      <w:pPr>
        <w:numPr>
          <w:ilvl w:val="0"/>
          <w:numId w:val="24"/>
        </w:numPr>
        <w:spacing w:after="200" w:line="276" w:lineRule="auto"/>
        <w:contextualSpacing/>
        <w:rPr>
          <w:rFonts w:ascii="Calibri" w:eastAsia="Calibri" w:hAnsi="Calibri"/>
          <w:sz w:val="21"/>
          <w:szCs w:val="21"/>
        </w:rPr>
      </w:pPr>
      <w:r w:rsidRPr="0061260A">
        <w:rPr>
          <w:rFonts w:ascii="Calibri" w:eastAsia="Calibri" w:hAnsi="Calibri"/>
          <w:sz w:val="21"/>
          <w:szCs w:val="21"/>
        </w:rPr>
        <w:t xml:space="preserve">establish relevant monitoring and research for adaptive management </w:t>
      </w:r>
    </w:p>
    <w:p w14:paraId="32115860" w14:textId="77777777" w:rsidR="0061260A" w:rsidRPr="0061260A" w:rsidRDefault="0061260A" w:rsidP="0061260A">
      <w:pPr>
        <w:numPr>
          <w:ilvl w:val="0"/>
          <w:numId w:val="24"/>
        </w:numPr>
        <w:spacing w:after="200" w:line="276" w:lineRule="auto"/>
        <w:contextualSpacing/>
        <w:rPr>
          <w:rFonts w:ascii="Calibri" w:eastAsia="Calibri" w:hAnsi="Calibri"/>
          <w:sz w:val="21"/>
          <w:szCs w:val="21"/>
        </w:rPr>
      </w:pPr>
      <w:r w:rsidRPr="0061260A">
        <w:rPr>
          <w:rFonts w:ascii="Calibri" w:eastAsia="Calibri" w:hAnsi="Calibri"/>
          <w:sz w:val="21"/>
          <w:szCs w:val="21"/>
        </w:rPr>
        <w:t>collaborate with research institutions to undertake required research and non-government organisations to undertake on ground actions</w:t>
      </w:r>
    </w:p>
    <w:p w14:paraId="5E78170A" w14:textId="77777777" w:rsidR="0061260A" w:rsidRPr="0061260A" w:rsidRDefault="0061260A" w:rsidP="0061260A">
      <w:pPr>
        <w:numPr>
          <w:ilvl w:val="0"/>
          <w:numId w:val="24"/>
        </w:numPr>
        <w:spacing w:after="200" w:line="276" w:lineRule="auto"/>
        <w:rPr>
          <w:rFonts w:ascii="Calibri" w:eastAsia="Calibri" w:hAnsi="Calibri"/>
          <w:sz w:val="21"/>
          <w:szCs w:val="21"/>
        </w:rPr>
      </w:pPr>
      <w:r w:rsidRPr="0061260A">
        <w:rPr>
          <w:rFonts w:ascii="Calibri" w:eastAsia="Calibri" w:hAnsi="Calibri"/>
          <w:sz w:val="21"/>
          <w:szCs w:val="21"/>
        </w:rPr>
        <w:t>liaise with NSW and other land holders (Commonwealth Government and Canberra Airport) with responsibility for the conservation of a threatened species or community.</w:t>
      </w:r>
    </w:p>
    <w:p w14:paraId="4018D55E" w14:textId="77777777" w:rsidR="0061260A" w:rsidRPr="0061260A" w:rsidRDefault="0061260A" w:rsidP="0061260A">
      <w:pPr>
        <w:spacing w:after="200" w:line="276" w:lineRule="auto"/>
        <w:contextualSpacing/>
        <w:rPr>
          <w:rFonts w:ascii="Calibri" w:eastAsia="Calibri" w:hAnsi="Calibri"/>
          <w:sz w:val="21"/>
          <w:szCs w:val="21"/>
        </w:rPr>
      </w:pPr>
      <w:r w:rsidRPr="0061260A">
        <w:rPr>
          <w:rFonts w:ascii="Calibri" w:eastAsia="Calibri" w:hAnsi="Calibri"/>
          <w:sz w:val="21"/>
          <w:szCs w:val="21"/>
        </w:rPr>
        <w:t>Research and adaptive management are required to better understand the habitat requirements for the species and techniques to maintain the species’ habitat. Specific research priorities in the current action plan and in Evans et al. 2018 that remain as priorities include:</w:t>
      </w:r>
    </w:p>
    <w:p w14:paraId="13BE3EDC" w14:textId="77777777" w:rsidR="0061260A" w:rsidRPr="0061260A" w:rsidRDefault="0061260A" w:rsidP="0061260A">
      <w:pPr>
        <w:numPr>
          <w:ilvl w:val="0"/>
          <w:numId w:val="25"/>
        </w:numPr>
        <w:spacing w:after="200" w:line="276" w:lineRule="auto"/>
        <w:contextualSpacing/>
        <w:rPr>
          <w:rFonts w:ascii="Calibri" w:eastAsia="Calibri" w:hAnsi="Calibri"/>
          <w:sz w:val="21"/>
          <w:szCs w:val="21"/>
        </w:rPr>
      </w:pPr>
      <w:r w:rsidRPr="0061260A">
        <w:rPr>
          <w:rFonts w:asciiTheme="minorHAnsi" w:eastAsiaTheme="minorHAnsi" w:hAnsiTheme="minorHAnsi" w:cstheme="minorBidi"/>
          <w:sz w:val="21"/>
          <w:szCs w:val="21"/>
        </w:rPr>
        <w:t>identifying relationships between Grassland Earless Dragon abundance and habitat structural elements (grass sward structure and factors affecting invertebrate burrow abundance) through time</w:t>
      </w:r>
    </w:p>
    <w:p w14:paraId="047E2AE2" w14:textId="77777777" w:rsidR="0061260A" w:rsidRPr="0061260A" w:rsidRDefault="0061260A" w:rsidP="0061260A">
      <w:pPr>
        <w:numPr>
          <w:ilvl w:val="0"/>
          <w:numId w:val="25"/>
        </w:numPr>
        <w:spacing w:after="200" w:line="276" w:lineRule="auto"/>
        <w:contextualSpacing/>
        <w:rPr>
          <w:rFonts w:ascii="Calibri" w:eastAsia="Calibri" w:hAnsi="Calibri"/>
          <w:sz w:val="21"/>
          <w:szCs w:val="21"/>
        </w:rPr>
      </w:pPr>
      <w:r w:rsidRPr="0061260A">
        <w:rPr>
          <w:rFonts w:ascii="Calibri" w:eastAsia="Calibri" w:hAnsi="Calibri"/>
          <w:sz w:val="21"/>
          <w:szCs w:val="21"/>
        </w:rPr>
        <w:t xml:space="preserve">land management practices compatible with, or required for, maintaining suitable habitat (such as grazing, slashing, burning) </w:t>
      </w:r>
    </w:p>
    <w:p w14:paraId="773FD2FA" w14:textId="77777777" w:rsidR="0061260A" w:rsidRPr="0061260A" w:rsidRDefault="0061260A" w:rsidP="0061260A">
      <w:pPr>
        <w:numPr>
          <w:ilvl w:val="0"/>
          <w:numId w:val="25"/>
        </w:numPr>
        <w:spacing w:after="200" w:line="276" w:lineRule="auto"/>
        <w:contextualSpacing/>
        <w:rPr>
          <w:rFonts w:ascii="Calibri" w:eastAsia="Calibri" w:hAnsi="Calibri"/>
          <w:sz w:val="21"/>
          <w:szCs w:val="21"/>
        </w:rPr>
      </w:pPr>
      <w:r w:rsidRPr="0061260A">
        <w:rPr>
          <w:rFonts w:ascii="Calibri" w:eastAsia="Calibri" w:hAnsi="Calibri"/>
          <w:sz w:val="21"/>
          <w:szCs w:val="21"/>
        </w:rPr>
        <w:t>breeding requirements, oviposition sites, reproductive rates, and their relationship to habitat structure, seasonal conditions and predicted effects of climate change (which are underway)</w:t>
      </w:r>
    </w:p>
    <w:p w14:paraId="668DA778" w14:textId="77777777" w:rsidR="0061260A" w:rsidRPr="0061260A" w:rsidRDefault="0061260A" w:rsidP="0061260A">
      <w:pPr>
        <w:numPr>
          <w:ilvl w:val="0"/>
          <w:numId w:val="25"/>
        </w:numPr>
        <w:spacing w:after="200" w:line="276" w:lineRule="auto"/>
        <w:contextualSpacing/>
        <w:rPr>
          <w:rFonts w:ascii="Calibri" w:eastAsia="Calibri" w:hAnsi="Calibri"/>
          <w:sz w:val="21"/>
          <w:szCs w:val="21"/>
        </w:rPr>
      </w:pPr>
      <w:r w:rsidRPr="0061260A">
        <w:rPr>
          <w:rFonts w:ascii="Calibri" w:eastAsia="Calibri" w:hAnsi="Calibri"/>
          <w:sz w:val="21"/>
          <w:szCs w:val="21"/>
        </w:rPr>
        <w:t>importance of availability and density of natural burrows, relationship between CGED and burrowing arthropods, effect of burrow supplementation on sparse CGED populations</w:t>
      </w:r>
    </w:p>
    <w:p w14:paraId="635EA11A" w14:textId="77777777" w:rsidR="0061260A" w:rsidRPr="0061260A" w:rsidRDefault="0061260A" w:rsidP="0061260A">
      <w:pPr>
        <w:numPr>
          <w:ilvl w:val="0"/>
          <w:numId w:val="25"/>
        </w:numPr>
        <w:spacing w:after="200" w:line="276" w:lineRule="auto"/>
        <w:contextualSpacing/>
        <w:rPr>
          <w:rFonts w:ascii="Calibri" w:eastAsia="Calibri" w:hAnsi="Calibri"/>
          <w:sz w:val="21"/>
          <w:szCs w:val="21"/>
        </w:rPr>
      </w:pPr>
      <w:r w:rsidRPr="0061260A">
        <w:rPr>
          <w:rFonts w:ascii="Calibri" w:eastAsia="Calibri" w:hAnsi="Calibri"/>
          <w:sz w:val="21"/>
          <w:szCs w:val="21"/>
        </w:rPr>
        <w:t>sensitivity of the species to weeds in its habitat, the weeds of major concern, and suitable control and revegetation methods</w:t>
      </w:r>
    </w:p>
    <w:p w14:paraId="40573B9C" w14:textId="77777777" w:rsidR="0061260A" w:rsidRPr="0061260A" w:rsidRDefault="0061260A" w:rsidP="0061260A">
      <w:pPr>
        <w:numPr>
          <w:ilvl w:val="0"/>
          <w:numId w:val="25"/>
        </w:numPr>
        <w:spacing w:after="200" w:line="276" w:lineRule="auto"/>
        <w:contextualSpacing/>
        <w:rPr>
          <w:rFonts w:ascii="Calibri" w:eastAsia="Calibri" w:hAnsi="Calibri"/>
          <w:sz w:val="21"/>
          <w:szCs w:val="21"/>
        </w:rPr>
      </w:pPr>
      <w:r w:rsidRPr="0061260A">
        <w:rPr>
          <w:rFonts w:ascii="Calibri" w:eastAsia="Calibri" w:hAnsi="Calibri"/>
          <w:sz w:val="21"/>
          <w:szCs w:val="21"/>
        </w:rPr>
        <w:t>techniques to maintain and breed the species in captivity for captive insurance populations and subsequently to</w:t>
      </w:r>
      <w:r w:rsidRPr="0061260A">
        <w:rPr>
          <w:rFonts w:asciiTheme="minorHAnsi" w:eastAsiaTheme="minorHAnsi" w:hAnsiTheme="minorHAnsi" w:cstheme="minorBidi"/>
          <w:sz w:val="21"/>
          <w:szCs w:val="21"/>
        </w:rPr>
        <w:t xml:space="preserve"> maintain the colonies that have been recently established since the action plan commenced</w:t>
      </w:r>
    </w:p>
    <w:p w14:paraId="6D96AF5A" w14:textId="77777777" w:rsidR="0061260A" w:rsidRPr="0061260A" w:rsidRDefault="0061260A" w:rsidP="0061260A">
      <w:pPr>
        <w:numPr>
          <w:ilvl w:val="0"/>
          <w:numId w:val="25"/>
        </w:numPr>
        <w:spacing w:after="120" w:line="276" w:lineRule="auto"/>
        <w:contextualSpacing/>
        <w:rPr>
          <w:rFonts w:ascii="Calibri" w:eastAsia="Calibri" w:hAnsi="Calibri"/>
          <w:sz w:val="21"/>
          <w:szCs w:val="21"/>
        </w:rPr>
      </w:pPr>
      <w:r w:rsidRPr="0061260A">
        <w:rPr>
          <w:rFonts w:ascii="Calibri" w:eastAsia="Calibri" w:hAnsi="Calibri"/>
          <w:sz w:val="21"/>
          <w:szCs w:val="21"/>
        </w:rPr>
        <w:t>determine the magnitude and significance of seasonal/annual population fluctuations (which may require annual or biennial monitoring at key sites) and the relationship with seasonal/annual conditions and habitat characteristics.</w:t>
      </w:r>
    </w:p>
    <w:p w14:paraId="48D20E2D" w14:textId="77777777" w:rsidR="0061260A" w:rsidRPr="0061260A" w:rsidRDefault="0061260A" w:rsidP="0061260A">
      <w:pPr>
        <w:numPr>
          <w:ilvl w:val="0"/>
          <w:numId w:val="25"/>
        </w:numPr>
        <w:spacing w:after="200" w:line="276" w:lineRule="auto"/>
        <w:rPr>
          <w:rFonts w:ascii="Calibri" w:eastAsia="Calibri" w:hAnsi="Calibri"/>
          <w:sz w:val="21"/>
          <w:szCs w:val="21"/>
        </w:rPr>
      </w:pPr>
      <w:r w:rsidRPr="0061260A">
        <w:rPr>
          <w:rFonts w:ascii="Calibri" w:eastAsia="Calibri" w:hAnsi="Calibri"/>
          <w:sz w:val="21"/>
          <w:szCs w:val="21"/>
        </w:rPr>
        <w:t>continue work with experimental reintroductions.</w:t>
      </w:r>
    </w:p>
    <w:p w14:paraId="3D769F34" w14:textId="77777777" w:rsidR="0061260A" w:rsidRPr="0061260A" w:rsidRDefault="0061260A" w:rsidP="0061260A">
      <w:pPr>
        <w:keepNext/>
        <w:keepLines/>
        <w:spacing w:before="200" w:line="276" w:lineRule="auto"/>
        <w:outlineLvl w:val="1"/>
        <w:rPr>
          <w:rFonts w:ascii="Arial" w:eastAsiaTheme="majorEastAsia" w:hAnsi="Arial" w:cstheme="majorBidi"/>
          <w:bCs/>
          <w:caps/>
          <w:color w:val="009999"/>
          <w:sz w:val="28"/>
          <w:szCs w:val="26"/>
        </w:rPr>
      </w:pPr>
      <w:r w:rsidRPr="0061260A">
        <w:rPr>
          <w:rFonts w:ascii="Arial" w:eastAsiaTheme="majorEastAsia" w:hAnsi="Arial" w:cstheme="majorBidi"/>
          <w:bCs/>
          <w:caps/>
          <w:color w:val="009999"/>
          <w:sz w:val="28"/>
          <w:szCs w:val="26"/>
        </w:rPr>
        <w:lastRenderedPageBreak/>
        <w:t>CONSERVATION ISSUES</w:t>
      </w:r>
    </w:p>
    <w:p w14:paraId="0AC652FA" w14:textId="77777777" w:rsidR="0061260A" w:rsidRPr="0061260A" w:rsidRDefault="0061260A" w:rsidP="0061260A">
      <w:pPr>
        <w:spacing w:after="200" w:line="259" w:lineRule="auto"/>
        <w:rPr>
          <w:rFonts w:asciiTheme="minorHAnsi" w:eastAsiaTheme="minorHAnsi" w:hAnsiTheme="minorHAnsi" w:cstheme="minorHAnsi"/>
          <w:sz w:val="21"/>
          <w:szCs w:val="21"/>
        </w:rPr>
      </w:pPr>
      <w:r w:rsidRPr="0061260A">
        <w:rPr>
          <w:rFonts w:asciiTheme="minorHAnsi" w:eastAsiaTheme="minorHAnsi" w:hAnsiTheme="minorHAnsi" w:cstheme="minorHAnsi"/>
          <w:sz w:val="21"/>
          <w:szCs w:val="21"/>
        </w:rPr>
        <w:t>Broader conservation issues need to be considered in developing and implementing actions arising from this advice and the species listing assessment (ACT Scientific Committee and DEECCW 2022).</w:t>
      </w:r>
    </w:p>
    <w:p w14:paraId="756A066D" w14:textId="77777777" w:rsidR="0061260A" w:rsidRPr="0061260A" w:rsidRDefault="0061260A" w:rsidP="0061260A">
      <w:pPr>
        <w:keepNext/>
        <w:keepLines/>
        <w:spacing w:after="120"/>
        <w:outlineLvl w:val="2"/>
        <w:rPr>
          <w:rFonts w:ascii="Calibri" w:eastAsiaTheme="majorEastAsia" w:hAnsi="Calibri" w:cstheme="majorBidi"/>
          <w:b/>
          <w:bCs/>
          <w:color w:val="009999"/>
          <w:sz w:val="23"/>
          <w:szCs w:val="23"/>
        </w:rPr>
      </w:pPr>
      <w:r w:rsidRPr="0061260A">
        <w:rPr>
          <w:rFonts w:ascii="Calibri" w:eastAsiaTheme="majorEastAsia" w:hAnsi="Calibri" w:cstheme="majorBidi"/>
          <w:b/>
          <w:bCs/>
          <w:color w:val="009999"/>
          <w:sz w:val="23"/>
          <w:szCs w:val="23"/>
        </w:rPr>
        <w:t>Critical Habitat</w:t>
      </w:r>
    </w:p>
    <w:p w14:paraId="7F8579FB" w14:textId="77777777" w:rsidR="0061260A" w:rsidRPr="0061260A" w:rsidRDefault="0061260A" w:rsidP="0061260A">
      <w:pPr>
        <w:spacing w:after="200" w:line="276" w:lineRule="auto"/>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Given the perilous state of this species (recently redefined taxonomically) it is critical that all available habitat, suitable for this species is protected in the ACT, both in the interests of existing resident populations and in the interests of maintaining opportunities for the re-establishment of the species in areas subject to local extirpation. Particular attention needs to be paid to incremental change (the tyranny of a thousand cuts) and emphasis on the avoidance of impacts on this species and its habitat is critical, with mitigation of impacts, and offsets not being appropriate mechanisms for proponents.</w:t>
      </w:r>
    </w:p>
    <w:p w14:paraId="3EA59216" w14:textId="77777777" w:rsidR="0061260A" w:rsidRPr="0061260A" w:rsidRDefault="0061260A" w:rsidP="0061260A">
      <w:pPr>
        <w:keepNext/>
        <w:keepLines/>
        <w:spacing w:after="120"/>
        <w:outlineLvl w:val="2"/>
        <w:rPr>
          <w:rFonts w:ascii="Calibri" w:eastAsiaTheme="majorEastAsia" w:hAnsi="Calibri" w:cstheme="majorBidi"/>
          <w:b/>
          <w:bCs/>
          <w:color w:val="009999"/>
          <w:sz w:val="23"/>
          <w:szCs w:val="23"/>
        </w:rPr>
      </w:pPr>
      <w:r w:rsidRPr="0061260A">
        <w:rPr>
          <w:rFonts w:ascii="Calibri" w:eastAsiaTheme="majorEastAsia" w:hAnsi="Calibri" w:cstheme="majorBidi"/>
          <w:b/>
          <w:bCs/>
          <w:color w:val="009999"/>
          <w:sz w:val="23"/>
          <w:szCs w:val="23"/>
        </w:rPr>
        <w:t>Climate Change</w:t>
      </w:r>
    </w:p>
    <w:p w14:paraId="70E2323A" w14:textId="77777777" w:rsidR="0061260A" w:rsidRPr="0061260A" w:rsidRDefault="0061260A" w:rsidP="0061260A">
      <w:pPr>
        <w:spacing w:after="200" w:line="276" w:lineRule="auto"/>
        <w:rPr>
          <w:rFonts w:asciiTheme="minorHAnsi" w:eastAsiaTheme="minorHAnsi" w:hAnsiTheme="minorHAnsi" w:cstheme="minorHAnsi"/>
          <w:sz w:val="21"/>
          <w:szCs w:val="21"/>
        </w:rPr>
      </w:pPr>
      <w:r w:rsidRPr="0061260A">
        <w:rPr>
          <w:rFonts w:asciiTheme="minorHAnsi" w:eastAsiaTheme="minorHAnsi" w:hAnsiTheme="minorHAnsi" w:cstheme="minorBidi"/>
          <w:sz w:val="21"/>
          <w:szCs w:val="21"/>
        </w:rPr>
        <w:t>Climate change impacts appear inevitable and will affect the likelihood of persistence, within the ACT, of many species. Most vulnerable in this regard are those species that occupy highly fragmented habitat with highly restricted distributions, such as the Canberra Grassland Earless Dragon. Capacity must be developed to model the impact on the Canberra Grassland Earless Dragon and its habitat under likely climate change scenarios if we are to anticipate and manage the impacts of climate change. This will require a combination of research and the development of in-house capacity for the collection of relevant data and its application in climate change modelling.</w:t>
      </w:r>
      <w:r w:rsidRPr="0061260A">
        <w:rPr>
          <w:rFonts w:asciiTheme="minorHAnsi" w:eastAsiaTheme="minorHAnsi" w:hAnsiTheme="minorHAnsi" w:cstheme="minorHAnsi"/>
          <w:sz w:val="21"/>
          <w:szCs w:val="21"/>
        </w:rPr>
        <w:t xml:space="preserve"> </w:t>
      </w:r>
    </w:p>
    <w:p w14:paraId="30ADCBEA" w14:textId="77777777" w:rsidR="0061260A" w:rsidRPr="0061260A" w:rsidRDefault="0061260A" w:rsidP="0061260A">
      <w:pPr>
        <w:spacing w:after="200" w:line="276" w:lineRule="auto"/>
        <w:rPr>
          <w:rFonts w:asciiTheme="minorHAnsi" w:eastAsiaTheme="minorHAnsi" w:hAnsiTheme="minorHAnsi" w:cstheme="minorBidi"/>
          <w:sz w:val="21"/>
          <w:szCs w:val="21"/>
        </w:rPr>
      </w:pPr>
      <w:r w:rsidRPr="0061260A">
        <w:rPr>
          <w:rFonts w:asciiTheme="minorHAnsi" w:eastAsiaTheme="minorHAnsi" w:hAnsiTheme="minorHAnsi" w:cstheme="minorHAnsi"/>
          <w:sz w:val="21"/>
          <w:szCs w:val="21"/>
        </w:rPr>
        <w:t>Kangaroo grass (</w:t>
      </w:r>
      <w:r w:rsidRPr="0061260A">
        <w:rPr>
          <w:rFonts w:asciiTheme="minorHAnsi" w:eastAsiaTheme="minorHAnsi" w:hAnsiTheme="minorHAnsi" w:cstheme="minorHAnsi"/>
          <w:i/>
          <w:iCs/>
          <w:sz w:val="21"/>
          <w:szCs w:val="21"/>
        </w:rPr>
        <w:t>Themeda triandra</w:t>
      </w:r>
      <w:r w:rsidRPr="0061260A">
        <w:rPr>
          <w:rFonts w:asciiTheme="minorHAnsi" w:eastAsiaTheme="minorHAnsi" w:hAnsiTheme="minorHAnsi" w:cstheme="minorHAnsi"/>
          <w:sz w:val="21"/>
          <w:szCs w:val="21"/>
        </w:rPr>
        <w:t xml:space="preserve">) is a diagnostic species within NTG habitat. Modelling by Mackenzie et al. (2019) suggests climates are likely to become increasingly unsuitable for maintaining this conservation asset locally, except for small subalpine grassland patches along the southern-most reaches of the Territory. Therefore, additional research is needed to improve model performance, and the understanding of distribution, for such critical grassland species, as it is unclear how their removal may impact the structure and function of NTG, with theory suggesting resilience may decrease and potential for ecological invasion will increase (Mackenzie et al. 2019). </w:t>
      </w:r>
    </w:p>
    <w:p w14:paraId="167498C4" w14:textId="77777777" w:rsidR="0061260A" w:rsidRPr="0061260A" w:rsidRDefault="0061260A" w:rsidP="0061260A">
      <w:pPr>
        <w:keepNext/>
        <w:keepLines/>
        <w:spacing w:after="120"/>
        <w:outlineLvl w:val="2"/>
        <w:rPr>
          <w:rFonts w:ascii="Calibri" w:eastAsiaTheme="majorEastAsia" w:hAnsi="Calibri" w:cstheme="majorBidi"/>
          <w:b/>
          <w:bCs/>
          <w:color w:val="009999"/>
          <w:sz w:val="23"/>
          <w:szCs w:val="23"/>
        </w:rPr>
      </w:pPr>
      <w:r w:rsidRPr="0061260A">
        <w:rPr>
          <w:rFonts w:ascii="Calibri" w:eastAsiaTheme="majorEastAsia" w:hAnsi="Calibri" w:cstheme="majorBidi"/>
          <w:b/>
          <w:bCs/>
          <w:color w:val="009999"/>
          <w:sz w:val="23"/>
          <w:szCs w:val="23"/>
        </w:rPr>
        <w:t>Captive Colonies</w:t>
      </w:r>
    </w:p>
    <w:p w14:paraId="121558FE" w14:textId="77777777" w:rsidR="0061260A" w:rsidRPr="0061260A" w:rsidRDefault="0061260A" w:rsidP="0061260A">
      <w:pPr>
        <w:spacing w:after="200" w:line="276" w:lineRule="auto"/>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The establishment of captive colonies of the Canberra Grassland Earless Dragon is beneficial to provide insurance against stochastic losses in the wild, to manage the progressive loss of genetic diversity in the wild, and to provide a source of individuals for the re-establishment of the Canberra Grassland Earless Dragon in local patches where it has been lost or that have been rehabilitated to be suitable for the establishment of the dragon. Insurance colonies do not come without risk, which includes disease risk and progressive selection for traits that are advantageous or neutral in captivity but deleterious in the wild (e.g. simplification of natural complex behaviours). In the context of disease, normal practice is to prohibit the release of animals from captive colonies to the wild in order to manage disease risk, but we make an exception in the case of insurance colonies. This requires that the insurance colonies are subject to strict quarantine, that the colony is strictly isolated from potential reservoirs of disease (e.g. other reptile species) and that animals scheduled for release are subject to stringent disease </w:t>
      </w:r>
      <w:r w:rsidRPr="0061260A">
        <w:rPr>
          <w:rFonts w:asciiTheme="minorHAnsi" w:eastAsiaTheme="minorHAnsi" w:hAnsiTheme="minorHAnsi" w:cstheme="minorBidi"/>
          <w:sz w:val="21"/>
          <w:szCs w:val="21"/>
        </w:rPr>
        <w:lastRenderedPageBreak/>
        <w:t>assessment. This needs appropriate oversight by qualified experts in establishing and maintaining quarantine conditions.</w:t>
      </w:r>
    </w:p>
    <w:p w14:paraId="5803CE2E" w14:textId="77777777" w:rsidR="0061260A" w:rsidRPr="0061260A" w:rsidRDefault="0061260A" w:rsidP="0061260A">
      <w:pPr>
        <w:keepNext/>
        <w:keepLines/>
        <w:spacing w:after="120"/>
        <w:outlineLvl w:val="2"/>
        <w:rPr>
          <w:rFonts w:ascii="Calibri" w:eastAsiaTheme="majorEastAsia" w:hAnsi="Calibri" w:cstheme="majorBidi"/>
          <w:b/>
          <w:bCs/>
          <w:color w:val="009999"/>
          <w:sz w:val="23"/>
          <w:szCs w:val="23"/>
        </w:rPr>
      </w:pPr>
      <w:r w:rsidRPr="0061260A">
        <w:rPr>
          <w:rFonts w:ascii="Calibri" w:eastAsiaTheme="majorEastAsia" w:hAnsi="Calibri" w:cstheme="majorBidi"/>
          <w:b/>
          <w:bCs/>
          <w:color w:val="009999"/>
          <w:sz w:val="23"/>
          <w:szCs w:val="23"/>
        </w:rPr>
        <w:t>Population Viability</w:t>
      </w:r>
    </w:p>
    <w:p w14:paraId="2509A69C" w14:textId="77777777" w:rsidR="0061260A" w:rsidRPr="0061260A" w:rsidRDefault="0061260A" w:rsidP="0061260A">
      <w:pPr>
        <w:spacing w:after="200" w:line="276" w:lineRule="auto"/>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With species on the brink of extinction, such as the Canberra Grassland Earless Dragon, the question often raised is whether the species is already functionally extinct. That is, have the populations declined in abundance and become fragmented to such an extent and has the genetic diversity of the species declined to such an extent that the species no longer has the capacity to rebound should conditions improve or to respond to management intervention. Such an assessment needs to be made in the case of the Canberra Grassland Earless Dragon, and if it is determined that the species is functionally extinct, to explore more drastic options for bringing the species to a position where it has the potential to recover (e.g. outbreeding with related taxa).</w:t>
      </w:r>
    </w:p>
    <w:p w14:paraId="7E4977B9" w14:textId="77777777" w:rsidR="0061260A" w:rsidRPr="0061260A" w:rsidRDefault="0061260A" w:rsidP="0061260A">
      <w:pPr>
        <w:keepNext/>
        <w:keepLines/>
        <w:spacing w:after="120"/>
        <w:outlineLvl w:val="2"/>
        <w:rPr>
          <w:rFonts w:ascii="Calibri" w:eastAsiaTheme="majorEastAsia" w:hAnsi="Calibri" w:cstheme="majorBidi"/>
          <w:b/>
          <w:bCs/>
          <w:color w:val="009999"/>
          <w:sz w:val="23"/>
          <w:szCs w:val="23"/>
        </w:rPr>
      </w:pPr>
      <w:r w:rsidRPr="0061260A">
        <w:rPr>
          <w:rFonts w:ascii="Calibri" w:eastAsiaTheme="majorEastAsia" w:hAnsi="Calibri" w:cstheme="majorBidi"/>
          <w:b/>
          <w:bCs/>
          <w:color w:val="009999"/>
          <w:sz w:val="23"/>
          <w:szCs w:val="23"/>
        </w:rPr>
        <w:t>Jurisdictional Collaboration</w:t>
      </w:r>
    </w:p>
    <w:p w14:paraId="6382F83B" w14:textId="77777777" w:rsidR="0061260A" w:rsidRPr="0061260A" w:rsidRDefault="0061260A" w:rsidP="0061260A">
      <w:pPr>
        <w:spacing w:after="200" w:line="276" w:lineRule="auto"/>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The ACT is subject to complex jurisdictional arrangements as considerable areas of grassland are managed by the Commonwealth (including important habitat for the species at Canberra Airport and on Department of Defence Land in the Majura Valley. Developing policies and action/recovery plans in this context therefore requires discussion/negotiations across these jurisdictional entities. </w:t>
      </w:r>
    </w:p>
    <w:p w14:paraId="3279CB5F" w14:textId="77777777" w:rsidR="0061260A" w:rsidRPr="0061260A" w:rsidRDefault="0061260A" w:rsidP="0061260A">
      <w:pPr>
        <w:keepNext/>
        <w:keepLines/>
        <w:spacing w:after="120"/>
        <w:outlineLvl w:val="2"/>
        <w:rPr>
          <w:rFonts w:ascii="Calibri" w:eastAsiaTheme="majorEastAsia" w:hAnsi="Calibri" w:cstheme="majorBidi"/>
          <w:b/>
          <w:bCs/>
          <w:color w:val="009999"/>
          <w:sz w:val="23"/>
          <w:szCs w:val="23"/>
        </w:rPr>
      </w:pPr>
      <w:r w:rsidRPr="0061260A">
        <w:rPr>
          <w:rFonts w:ascii="Calibri" w:eastAsiaTheme="majorEastAsia" w:hAnsi="Calibri" w:cstheme="majorBidi"/>
          <w:b/>
          <w:bCs/>
          <w:color w:val="009999"/>
          <w:sz w:val="23"/>
          <w:szCs w:val="23"/>
        </w:rPr>
        <w:t>Ngunnawal Community Engagement</w:t>
      </w:r>
    </w:p>
    <w:p w14:paraId="057BD07C" w14:textId="77777777" w:rsidR="0061260A" w:rsidRPr="0061260A" w:rsidRDefault="0061260A" w:rsidP="0061260A">
      <w:pPr>
        <w:spacing w:after="200" w:line="276" w:lineRule="auto"/>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The ACT Government should facilitate, the inclusion of the Ngunnawal people in the conservation of this species and its habitat as part of Ngunnawal Country. Reference to the draft Cultural Resource Management Plan (ACT Government in prep.) would be useful to inform culturally appropriate resource management including of native species that aligns with achieving conservation outcomes for the species. </w:t>
      </w:r>
    </w:p>
    <w:p w14:paraId="79F9D7C5" w14:textId="77777777" w:rsidR="0061260A" w:rsidRPr="0061260A" w:rsidRDefault="0061260A" w:rsidP="0061260A">
      <w:pPr>
        <w:keepNext/>
        <w:keepLines/>
        <w:spacing w:before="200" w:line="276" w:lineRule="auto"/>
        <w:outlineLvl w:val="1"/>
        <w:rPr>
          <w:rFonts w:ascii="Arial" w:eastAsiaTheme="majorEastAsia" w:hAnsi="Arial" w:cstheme="majorBidi"/>
          <w:bCs/>
          <w:caps/>
          <w:color w:val="009999"/>
          <w:sz w:val="28"/>
          <w:szCs w:val="26"/>
        </w:rPr>
      </w:pPr>
      <w:r w:rsidRPr="0061260A">
        <w:rPr>
          <w:rFonts w:ascii="Arial" w:eastAsiaTheme="majorEastAsia" w:hAnsi="Arial" w:cstheme="majorBidi"/>
          <w:bCs/>
          <w:caps/>
          <w:color w:val="009999"/>
          <w:sz w:val="28"/>
          <w:szCs w:val="26"/>
        </w:rPr>
        <w:t>Other Relevant Advice, plans or Prescriptions</w:t>
      </w:r>
    </w:p>
    <w:p w14:paraId="00D79FA6" w14:textId="77777777" w:rsidR="0061260A" w:rsidRPr="0061260A" w:rsidRDefault="0061260A" w:rsidP="0061260A">
      <w:pPr>
        <w:numPr>
          <w:ilvl w:val="0"/>
          <w:numId w:val="12"/>
        </w:numPr>
        <w:spacing w:after="200" w:line="276" w:lineRule="auto"/>
        <w:contextualSpacing/>
        <w:rPr>
          <w:rFonts w:asciiTheme="minorHAnsi" w:eastAsiaTheme="minorHAnsi" w:hAnsiTheme="minorHAnsi" w:cstheme="minorBidi"/>
          <w:sz w:val="21"/>
          <w:szCs w:val="21"/>
          <w:lang w:eastAsia="en-AU"/>
        </w:rPr>
      </w:pPr>
      <w:r w:rsidRPr="0061260A">
        <w:rPr>
          <w:rFonts w:asciiTheme="minorHAnsi" w:eastAsiaTheme="minorHAnsi" w:hAnsiTheme="minorHAnsi" w:cstheme="minorBidi"/>
          <w:sz w:val="21"/>
          <w:szCs w:val="21"/>
          <w:lang w:eastAsia="en-AU"/>
        </w:rPr>
        <w:t>Commonwealth Conservation Advice – Canberra Grassland Earless Dragon (ACT Scientific Committee and DCCEEW 2022)</w:t>
      </w:r>
    </w:p>
    <w:p w14:paraId="6B14592D" w14:textId="77777777" w:rsidR="0061260A" w:rsidRPr="0061260A" w:rsidRDefault="0061260A" w:rsidP="0061260A">
      <w:pPr>
        <w:numPr>
          <w:ilvl w:val="0"/>
          <w:numId w:val="12"/>
        </w:numPr>
        <w:spacing w:after="200" w:line="276" w:lineRule="auto"/>
        <w:contextualSpacing/>
        <w:rPr>
          <w:rFonts w:asciiTheme="minorHAnsi" w:eastAsiaTheme="minorHAnsi" w:hAnsiTheme="minorHAnsi" w:cstheme="minorBidi"/>
          <w:sz w:val="21"/>
          <w:szCs w:val="21"/>
          <w:lang w:eastAsia="en-AU"/>
        </w:rPr>
      </w:pPr>
      <w:r w:rsidRPr="0061260A">
        <w:rPr>
          <w:rFonts w:asciiTheme="minorHAnsi" w:eastAsiaTheme="minorHAnsi" w:hAnsiTheme="minorHAnsi" w:cstheme="minorBidi"/>
          <w:sz w:val="21"/>
          <w:szCs w:val="21"/>
        </w:rPr>
        <w:t>ACT Native Grassland Conservation Strategy and Action Plans (ACT Government 2017)</w:t>
      </w:r>
    </w:p>
    <w:p w14:paraId="06AE0432" w14:textId="77777777" w:rsidR="0061260A" w:rsidRPr="0061260A" w:rsidRDefault="0061260A" w:rsidP="0061260A">
      <w:pPr>
        <w:numPr>
          <w:ilvl w:val="0"/>
          <w:numId w:val="12"/>
        </w:numPr>
        <w:spacing w:after="200" w:line="276" w:lineRule="auto"/>
        <w:contextualSpacing/>
        <w:rPr>
          <w:rFonts w:asciiTheme="minorHAnsi" w:eastAsiaTheme="minorHAnsi" w:hAnsiTheme="minorHAnsi" w:cstheme="minorBidi"/>
          <w:sz w:val="21"/>
          <w:szCs w:val="21"/>
          <w:lang w:eastAsia="en-AU"/>
        </w:rPr>
      </w:pPr>
      <w:r w:rsidRPr="0061260A">
        <w:rPr>
          <w:rFonts w:asciiTheme="minorHAnsi" w:eastAsiaTheme="minorHAnsi" w:hAnsiTheme="minorHAnsi" w:cstheme="minorBidi"/>
          <w:sz w:val="21"/>
          <w:szCs w:val="21"/>
        </w:rPr>
        <w:t>Grassland Earless Dragon Action Plan (ACT Government 2017)</w:t>
      </w:r>
    </w:p>
    <w:p w14:paraId="5CE39FF2" w14:textId="77777777" w:rsidR="0061260A" w:rsidRPr="0061260A" w:rsidRDefault="0061260A" w:rsidP="0061260A">
      <w:pPr>
        <w:numPr>
          <w:ilvl w:val="0"/>
          <w:numId w:val="12"/>
        </w:numPr>
        <w:spacing w:after="200" w:line="276" w:lineRule="auto"/>
        <w:contextualSpacing/>
        <w:rPr>
          <w:rFonts w:asciiTheme="minorHAnsi" w:eastAsiaTheme="minorHAnsi" w:hAnsiTheme="minorHAnsi" w:cstheme="minorBidi"/>
          <w:sz w:val="21"/>
          <w:szCs w:val="21"/>
          <w:lang w:eastAsia="en-AU"/>
        </w:rPr>
      </w:pPr>
      <w:r w:rsidRPr="0061260A">
        <w:rPr>
          <w:rFonts w:asciiTheme="minorHAnsi" w:eastAsiaTheme="minorHAnsi" w:hAnsiTheme="minorHAnsi" w:cstheme="minorBidi"/>
          <w:sz w:val="21"/>
          <w:szCs w:val="21"/>
        </w:rPr>
        <w:t>Grassland Earless Dragon Action Plan Progress Report (ACT Government 2022)</w:t>
      </w:r>
    </w:p>
    <w:p w14:paraId="237BE015" w14:textId="77777777" w:rsidR="0061260A" w:rsidRPr="0061260A" w:rsidRDefault="0061260A" w:rsidP="0061260A">
      <w:pPr>
        <w:keepNext/>
        <w:keepLines/>
        <w:spacing w:before="200" w:line="276" w:lineRule="auto"/>
        <w:outlineLvl w:val="1"/>
        <w:rPr>
          <w:rFonts w:ascii="Arial" w:eastAsiaTheme="majorEastAsia" w:hAnsi="Arial" w:cstheme="majorBidi"/>
          <w:bCs/>
          <w:caps/>
          <w:color w:val="009999"/>
          <w:sz w:val="28"/>
          <w:szCs w:val="26"/>
        </w:rPr>
      </w:pPr>
      <w:r w:rsidRPr="0061260A">
        <w:rPr>
          <w:rFonts w:ascii="Arial" w:eastAsiaTheme="majorEastAsia" w:hAnsi="Arial" w:cstheme="majorBidi"/>
          <w:bCs/>
          <w:caps/>
          <w:color w:val="009999"/>
          <w:sz w:val="28"/>
          <w:szCs w:val="26"/>
        </w:rPr>
        <w:t>Listing Background</w:t>
      </w:r>
    </w:p>
    <w:p w14:paraId="62503EF3" w14:textId="77777777" w:rsidR="0061260A" w:rsidRPr="0061260A" w:rsidRDefault="0061260A" w:rsidP="0061260A">
      <w:pPr>
        <w:spacing w:line="276" w:lineRule="auto"/>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The </w:t>
      </w:r>
      <w:r w:rsidRPr="0061260A">
        <w:rPr>
          <w:rFonts w:asciiTheme="minorHAnsi" w:eastAsiaTheme="minorHAnsi" w:hAnsiTheme="minorHAnsi" w:cstheme="minorBidi"/>
          <w:noProof/>
          <w:sz w:val="21"/>
          <w:szCs w:val="21"/>
          <w:lang w:eastAsia="en-AU"/>
        </w:rPr>
        <w:t>Canberra Grassland Earless Dragon</w:t>
      </w:r>
      <w:r w:rsidRPr="0061260A">
        <w:rPr>
          <w:rFonts w:asciiTheme="minorHAnsi" w:eastAsiaTheme="minorHAnsi" w:hAnsiTheme="minorHAnsi" w:cstheme="minorBidi"/>
          <w:sz w:val="21"/>
          <w:szCs w:val="21"/>
        </w:rPr>
        <w:t xml:space="preserve"> is now conventionally accepted as </w:t>
      </w:r>
      <w:r w:rsidRPr="0061260A">
        <w:rPr>
          <w:rFonts w:asciiTheme="minorHAnsi" w:eastAsiaTheme="minorHAnsi" w:hAnsiTheme="minorHAnsi" w:cstheme="minorBidi"/>
          <w:i/>
          <w:iCs/>
          <w:sz w:val="21"/>
          <w:szCs w:val="21"/>
        </w:rPr>
        <w:t>Tympanocryptis lineata</w:t>
      </w:r>
      <w:r w:rsidRPr="0061260A">
        <w:rPr>
          <w:rFonts w:asciiTheme="minorHAnsi" w:eastAsiaTheme="minorHAnsi" w:hAnsiTheme="minorHAnsi" w:cstheme="minorBidi"/>
          <w:sz w:val="21"/>
          <w:szCs w:val="21"/>
        </w:rPr>
        <w:t xml:space="preserve"> Peters, 1863. The Eastern Lined Earless Dragon </w:t>
      </w:r>
      <w:r w:rsidRPr="0061260A">
        <w:rPr>
          <w:rFonts w:asciiTheme="minorHAnsi" w:eastAsiaTheme="minorHAnsi" w:hAnsiTheme="minorHAnsi" w:cstheme="minorBidi"/>
          <w:i/>
          <w:iCs/>
          <w:sz w:val="21"/>
          <w:szCs w:val="21"/>
        </w:rPr>
        <w:t>Tympanocryptis lineata pinguicolla</w:t>
      </w:r>
      <w:r w:rsidRPr="0061260A">
        <w:rPr>
          <w:rFonts w:asciiTheme="minorHAnsi" w:eastAsiaTheme="minorHAnsi" w:hAnsiTheme="minorHAnsi" w:cstheme="minorBidi"/>
          <w:sz w:val="21"/>
          <w:szCs w:val="21"/>
        </w:rPr>
        <w:t xml:space="preserve"> was initially listed 15 April 1996 as an Endangered species under the </w:t>
      </w:r>
      <w:r w:rsidRPr="0061260A">
        <w:rPr>
          <w:rFonts w:asciiTheme="minorHAnsi" w:eastAsiaTheme="minorHAnsi" w:hAnsiTheme="minorHAnsi" w:cstheme="minorBidi"/>
          <w:i/>
          <w:sz w:val="21"/>
          <w:szCs w:val="21"/>
        </w:rPr>
        <w:t>Nature Conservation Act 1980</w:t>
      </w:r>
      <w:r w:rsidRPr="0061260A">
        <w:rPr>
          <w:rFonts w:asciiTheme="minorHAnsi" w:eastAsiaTheme="minorHAnsi" w:hAnsiTheme="minorHAnsi" w:cstheme="minorBidi"/>
          <w:iCs/>
          <w:sz w:val="21"/>
          <w:szCs w:val="21"/>
        </w:rPr>
        <w:t xml:space="preserve"> which was the highest category of threat at that time. </w:t>
      </w:r>
      <w:r w:rsidRPr="0061260A">
        <w:rPr>
          <w:rFonts w:asciiTheme="minorHAnsi" w:eastAsiaTheme="minorHAnsi" w:hAnsiTheme="minorHAnsi" w:cstheme="minorBidi"/>
          <w:sz w:val="21"/>
          <w:szCs w:val="21"/>
        </w:rPr>
        <w:t xml:space="preserve">In making its assessment the </w:t>
      </w:r>
      <w:r w:rsidRPr="0061260A">
        <w:rPr>
          <w:rFonts w:asciiTheme="minorHAnsi" w:eastAsiaTheme="minorHAnsi" w:hAnsiTheme="minorHAnsi" w:cstheme="minorBidi"/>
          <w:iCs/>
          <w:sz w:val="21"/>
          <w:szCs w:val="21"/>
        </w:rPr>
        <w:t>ACT Flora and Fauna</w:t>
      </w:r>
      <w:r w:rsidRPr="0061260A">
        <w:rPr>
          <w:rFonts w:asciiTheme="minorHAnsi" w:eastAsiaTheme="minorHAnsi" w:hAnsiTheme="minorHAnsi" w:cstheme="minorBidi"/>
          <w:sz w:val="21"/>
          <w:szCs w:val="21"/>
        </w:rPr>
        <w:t xml:space="preserve"> Committee concluded that it satisfied the criteria:</w:t>
      </w:r>
    </w:p>
    <w:p w14:paraId="3B8BC865" w14:textId="77777777" w:rsidR="0061260A" w:rsidRPr="0061260A" w:rsidRDefault="0061260A" w:rsidP="0061260A">
      <w:pPr>
        <w:tabs>
          <w:tab w:val="left" w:pos="851"/>
        </w:tabs>
        <w:spacing w:line="276" w:lineRule="auto"/>
        <w:ind w:left="709" w:hanging="284"/>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1.2</w:t>
      </w:r>
      <w:r w:rsidRPr="0061260A">
        <w:rPr>
          <w:rFonts w:asciiTheme="minorHAnsi" w:eastAsiaTheme="minorHAnsi" w:hAnsiTheme="minorHAnsi" w:cstheme="minorBidi"/>
          <w:sz w:val="21"/>
          <w:szCs w:val="21"/>
        </w:rPr>
        <w:tab/>
        <w:t xml:space="preserve"> Species is observed, estimated, inferred or suspected to be at risk of premature extinction in the ACT region in the near future, as demonstrated by:</w:t>
      </w:r>
    </w:p>
    <w:p w14:paraId="7C93958B" w14:textId="77777777" w:rsidR="0061260A" w:rsidRPr="0061260A" w:rsidRDefault="0061260A" w:rsidP="0061260A">
      <w:pPr>
        <w:spacing w:line="276" w:lineRule="auto"/>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ab/>
        <w:t>1.2.1</w:t>
      </w:r>
      <w:r w:rsidRPr="0061260A">
        <w:rPr>
          <w:rFonts w:asciiTheme="minorHAnsi" w:eastAsiaTheme="minorHAnsi" w:hAnsiTheme="minorHAnsi" w:cstheme="minorBidi"/>
          <w:sz w:val="21"/>
          <w:szCs w:val="21"/>
        </w:rPr>
        <w:tab/>
        <w:t>Current severe decline in population or distribution from evidence based on:</w:t>
      </w:r>
    </w:p>
    <w:p w14:paraId="44DCE0F1" w14:textId="77777777" w:rsidR="0061260A" w:rsidRPr="0061260A" w:rsidRDefault="0061260A" w:rsidP="0061260A">
      <w:pPr>
        <w:spacing w:line="276" w:lineRule="auto"/>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ab/>
      </w:r>
      <w:r w:rsidRPr="0061260A">
        <w:rPr>
          <w:rFonts w:asciiTheme="minorHAnsi" w:eastAsiaTheme="minorHAnsi" w:hAnsiTheme="minorHAnsi" w:cstheme="minorBidi"/>
          <w:sz w:val="21"/>
          <w:szCs w:val="21"/>
        </w:rPr>
        <w:tab/>
        <w:t>1.2.1.3</w:t>
      </w:r>
      <w:r w:rsidRPr="0061260A">
        <w:rPr>
          <w:rFonts w:asciiTheme="minorHAnsi" w:eastAsiaTheme="minorHAnsi" w:hAnsiTheme="minorHAnsi" w:cstheme="minorBidi"/>
          <w:sz w:val="21"/>
          <w:szCs w:val="21"/>
        </w:rPr>
        <w:tab/>
        <w:t>severe decline in quality or quantity of habitat</w:t>
      </w:r>
    </w:p>
    <w:p w14:paraId="68AE69AC" w14:textId="0ABA39A8" w:rsidR="0061260A" w:rsidRPr="0061260A" w:rsidRDefault="0061260A" w:rsidP="00081BCA">
      <w:pPr>
        <w:spacing w:line="276" w:lineRule="auto"/>
        <w:ind w:left="1418" w:hanging="1418"/>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ab/>
      </w:r>
      <w:r w:rsidRPr="0061260A">
        <w:rPr>
          <w:rFonts w:asciiTheme="minorHAnsi" w:eastAsiaTheme="minorHAnsi" w:hAnsiTheme="minorHAnsi" w:cstheme="minorBidi"/>
          <w:sz w:val="21"/>
          <w:szCs w:val="21"/>
        </w:rPr>
        <w:tab/>
        <w:t>1.2.1.5</w:t>
      </w:r>
      <w:r w:rsidRPr="0061260A">
        <w:rPr>
          <w:rFonts w:asciiTheme="minorHAnsi" w:eastAsiaTheme="minorHAnsi" w:hAnsiTheme="minorHAnsi" w:cstheme="minorBidi"/>
          <w:sz w:val="21"/>
          <w:szCs w:val="21"/>
        </w:rPr>
        <w:tab/>
        <w:t>severe threats from herbivores, predators, parasites, pathogens or</w:t>
      </w:r>
      <w:r w:rsidR="00081BCA">
        <w:rPr>
          <w:rFonts w:asciiTheme="minorHAnsi" w:eastAsiaTheme="minorHAnsi" w:hAnsiTheme="minorHAnsi" w:cstheme="minorBidi"/>
          <w:sz w:val="21"/>
          <w:szCs w:val="21"/>
        </w:rPr>
        <w:t xml:space="preserve"> </w:t>
      </w:r>
      <w:r w:rsidRPr="0061260A">
        <w:rPr>
          <w:rFonts w:asciiTheme="minorHAnsi" w:eastAsiaTheme="minorHAnsi" w:hAnsiTheme="minorHAnsi" w:cstheme="minorBidi"/>
          <w:sz w:val="21"/>
          <w:szCs w:val="21"/>
        </w:rPr>
        <w:t>competitors.</w:t>
      </w:r>
    </w:p>
    <w:p w14:paraId="0618C973" w14:textId="77777777" w:rsidR="0061260A" w:rsidRPr="0061260A" w:rsidRDefault="0061260A" w:rsidP="0061260A">
      <w:pPr>
        <w:tabs>
          <w:tab w:val="left" w:pos="709"/>
        </w:tabs>
        <w:spacing w:line="276" w:lineRule="auto"/>
        <w:ind w:left="1418" w:hanging="1418"/>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lastRenderedPageBreak/>
        <w:tab/>
        <w:t>1.2.4</w:t>
      </w:r>
      <w:r w:rsidRPr="0061260A">
        <w:rPr>
          <w:rFonts w:asciiTheme="minorHAnsi" w:eastAsiaTheme="minorHAnsi" w:hAnsiTheme="minorHAnsi" w:cstheme="minorBidi"/>
          <w:sz w:val="21"/>
          <w:szCs w:val="21"/>
        </w:rPr>
        <w:tab/>
        <w:t>Severely fragmented distribution for a species currently occurring over a small range or having a small area of occupancy within its range.</w:t>
      </w:r>
    </w:p>
    <w:p w14:paraId="7FF4EBB5" w14:textId="77777777" w:rsidR="0061260A" w:rsidRPr="0061260A" w:rsidRDefault="0061260A" w:rsidP="0061260A">
      <w:pPr>
        <w:tabs>
          <w:tab w:val="left" w:pos="709"/>
        </w:tabs>
        <w:spacing w:after="200" w:line="276" w:lineRule="auto"/>
        <w:ind w:left="1418" w:hanging="1418"/>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ab/>
        <w:t>1.2.6</w:t>
      </w:r>
      <w:r w:rsidRPr="0061260A">
        <w:rPr>
          <w:rFonts w:asciiTheme="minorHAnsi" w:eastAsiaTheme="minorHAnsi" w:hAnsiTheme="minorHAnsi" w:cstheme="minorBidi"/>
          <w:sz w:val="21"/>
          <w:szCs w:val="21"/>
        </w:rPr>
        <w:tab/>
        <w:t>Extremely small population.</w:t>
      </w:r>
    </w:p>
    <w:p w14:paraId="72038207" w14:textId="77777777" w:rsidR="0061260A" w:rsidRPr="0061260A" w:rsidRDefault="0061260A" w:rsidP="0061260A">
      <w:pPr>
        <w:spacing w:line="276" w:lineRule="auto"/>
        <w:rPr>
          <w:rFonts w:asciiTheme="minorHAnsi" w:eastAsiaTheme="minorHAnsi" w:hAnsiTheme="minorHAnsi" w:cstheme="minorBidi"/>
          <w:iCs/>
          <w:sz w:val="21"/>
          <w:szCs w:val="21"/>
        </w:rPr>
      </w:pPr>
      <w:r w:rsidRPr="0061260A">
        <w:rPr>
          <w:rFonts w:asciiTheme="minorHAnsi" w:eastAsiaTheme="minorHAnsi" w:hAnsiTheme="minorHAnsi" w:cstheme="minorBidi"/>
          <w:iCs/>
          <w:sz w:val="21"/>
          <w:szCs w:val="21"/>
        </w:rPr>
        <w:t>The Committee assessed that this species met the criteria for listing as Endangered for the following reasons:</w:t>
      </w:r>
    </w:p>
    <w:p w14:paraId="0BA02960" w14:textId="77777777" w:rsidR="0061260A" w:rsidRPr="0061260A" w:rsidRDefault="0061260A" w:rsidP="0061260A">
      <w:pPr>
        <w:numPr>
          <w:ilvl w:val="0"/>
          <w:numId w:val="13"/>
        </w:numPr>
        <w:spacing w:after="200" w:line="276" w:lineRule="auto"/>
        <w:ind w:left="709" w:hanging="284"/>
        <w:contextualSpacing/>
        <w:rPr>
          <w:rFonts w:asciiTheme="minorHAnsi" w:eastAsiaTheme="minorHAnsi" w:hAnsiTheme="minorHAnsi" w:cstheme="minorBidi"/>
          <w:iCs/>
          <w:sz w:val="21"/>
          <w:szCs w:val="21"/>
        </w:rPr>
      </w:pPr>
      <w:r w:rsidRPr="0061260A">
        <w:rPr>
          <w:rFonts w:asciiTheme="minorHAnsi" w:eastAsiaTheme="minorHAnsi" w:hAnsiTheme="minorHAnsi" w:cstheme="minorBidi"/>
          <w:iCs/>
          <w:sz w:val="21"/>
          <w:szCs w:val="21"/>
        </w:rPr>
        <w:t>There has been a serious decline in the quality and quantity of habitat of this species throughout its range including the ACT and known populations are now fragmented in distribution</w:t>
      </w:r>
    </w:p>
    <w:p w14:paraId="1A6011D5" w14:textId="77777777" w:rsidR="0061260A" w:rsidRPr="0061260A" w:rsidRDefault="0061260A" w:rsidP="0061260A">
      <w:pPr>
        <w:numPr>
          <w:ilvl w:val="0"/>
          <w:numId w:val="13"/>
        </w:numPr>
        <w:spacing w:after="200" w:line="276" w:lineRule="auto"/>
        <w:ind w:left="709" w:hanging="284"/>
        <w:contextualSpacing/>
        <w:rPr>
          <w:rFonts w:asciiTheme="minorHAnsi" w:eastAsiaTheme="minorHAnsi" w:hAnsiTheme="minorHAnsi" w:cstheme="minorBidi"/>
          <w:iCs/>
          <w:sz w:val="21"/>
          <w:szCs w:val="21"/>
        </w:rPr>
      </w:pPr>
      <w:r w:rsidRPr="0061260A">
        <w:rPr>
          <w:rFonts w:asciiTheme="minorHAnsi" w:eastAsiaTheme="minorHAnsi" w:hAnsiTheme="minorHAnsi" w:cstheme="minorBidi"/>
          <w:iCs/>
          <w:sz w:val="21"/>
          <w:szCs w:val="21"/>
        </w:rPr>
        <w:t>The grassland habitat of this species has been and continues to be exploited for agricultural and urban and industrial development. The remaining areas are vulnerable to further fragmentation associated with urban infrastructure and there is little likelihood of the creation of any ecological links between remaining disjunct areas.</w:t>
      </w:r>
    </w:p>
    <w:p w14:paraId="7298D691" w14:textId="77777777" w:rsidR="0061260A" w:rsidRPr="0061260A" w:rsidRDefault="0061260A" w:rsidP="0061260A">
      <w:pPr>
        <w:numPr>
          <w:ilvl w:val="0"/>
          <w:numId w:val="13"/>
        </w:numPr>
        <w:spacing w:after="200" w:line="276" w:lineRule="auto"/>
        <w:ind w:left="709" w:hanging="284"/>
        <w:contextualSpacing/>
        <w:rPr>
          <w:rFonts w:asciiTheme="minorHAnsi" w:eastAsiaTheme="minorHAnsi" w:hAnsiTheme="minorHAnsi" w:cstheme="minorBidi"/>
          <w:iCs/>
          <w:sz w:val="21"/>
          <w:szCs w:val="21"/>
        </w:rPr>
      </w:pPr>
      <w:r w:rsidRPr="0061260A">
        <w:rPr>
          <w:rFonts w:asciiTheme="minorHAnsi" w:eastAsiaTheme="minorHAnsi" w:hAnsiTheme="minorHAnsi" w:cstheme="minorBidi"/>
          <w:iCs/>
          <w:sz w:val="21"/>
          <w:szCs w:val="21"/>
        </w:rPr>
        <w:t>The very small known current range of the species and the very low proportion of this range which the species now occupies is the primary concern for its conservation.</w:t>
      </w:r>
    </w:p>
    <w:p w14:paraId="6C6C6FBC" w14:textId="77777777" w:rsidR="0061260A" w:rsidRPr="0061260A" w:rsidRDefault="0061260A" w:rsidP="0061260A">
      <w:pPr>
        <w:spacing w:after="200" w:line="276" w:lineRule="auto"/>
        <w:rPr>
          <w:rFonts w:asciiTheme="minorHAnsi" w:eastAsiaTheme="minorHAnsi" w:hAnsiTheme="minorHAnsi" w:cstheme="minorBidi"/>
          <w:iCs/>
          <w:sz w:val="21"/>
          <w:szCs w:val="21"/>
        </w:rPr>
      </w:pPr>
      <w:r w:rsidRPr="0061260A">
        <w:rPr>
          <w:rFonts w:asciiTheme="minorHAnsi" w:eastAsiaTheme="minorHAnsi" w:hAnsiTheme="minorHAnsi" w:cstheme="minorBidi"/>
          <w:iCs/>
          <w:sz w:val="21"/>
          <w:szCs w:val="21"/>
        </w:rPr>
        <w:t xml:space="preserve">On 26 October 2001, the listed scientific and common names were changed under the </w:t>
      </w:r>
      <w:r w:rsidRPr="0061260A">
        <w:rPr>
          <w:rFonts w:asciiTheme="minorHAnsi" w:eastAsiaTheme="minorHAnsi" w:hAnsiTheme="minorHAnsi" w:cstheme="minorBidi"/>
          <w:i/>
          <w:sz w:val="21"/>
          <w:szCs w:val="21"/>
        </w:rPr>
        <w:t>Nature Conservation Act 1980</w:t>
      </w:r>
      <w:r w:rsidRPr="0061260A">
        <w:rPr>
          <w:rFonts w:asciiTheme="minorHAnsi" w:eastAsiaTheme="minorHAnsi" w:hAnsiTheme="minorHAnsi" w:cstheme="minorBidi"/>
          <w:iCs/>
          <w:sz w:val="21"/>
          <w:szCs w:val="21"/>
        </w:rPr>
        <w:t xml:space="preserve"> to Grassland Earless Dragon</w:t>
      </w:r>
      <w:r w:rsidRPr="0061260A">
        <w:rPr>
          <w:rFonts w:asciiTheme="minorHAnsi" w:eastAsiaTheme="minorHAnsi" w:hAnsiTheme="minorHAnsi" w:cstheme="minorBidi"/>
          <w:i/>
          <w:sz w:val="21"/>
          <w:szCs w:val="21"/>
        </w:rPr>
        <w:t xml:space="preserve"> </w:t>
      </w:r>
      <w:r w:rsidRPr="0061260A">
        <w:rPr>
          <w:rFonts w:asciiTheme="minorHAnsi" w:eastAsiaTheme="minorHAnsi" w:hAnsiTheme="minorHAnsi" w:cstheme="minorBidi"/>
          <w:iCs/>
          <w:sz w:val="21"/>
          <w:szCs w:val="21"/>
        </w:rPr>
        <w:t>(</w:t>
      </w:r>
      <w:r w:rsidRPr="0061260A">
        <w:rPr>
          <w:rFonts w:asciiTheme="minorHAnsi" w:eastAsiaTheme="minorHAnsi" w:hAnsiTheme="minorHAnsi" w:cstheme="minorBidi"/>
          <w:i/>
          <w:sz w:val="21"/>
          <w:szCs w:val="21"/>
        </w:rPr>
        <w:t>Tympanocryptis pinguicolla</w:t>
      </w:r>
      <w:r w:rsidRPr="0061260A">
        <w:rPr>
          <w:rFonts w:asciiTheme="minorHAnsi" w:eastAsiaTheme="minorHAnsi" w:hAnsiTheme="minorHAnsi" w:cstheme="minorBidi"/>
          <w:iCs/>
          <w:sz w:val="21"/>
          <w:szCs w:val="21"/>
        </w:rPr>
        <w:t xml:space="preserve">). Under the </w:t>
      </w:r>
      <w:r w:rsidRPr="0061260A">
        <w:rPr>
          <w:rFonts w:asciiTheme="minorHAnsi" w:eastAsiaTheme="minorHAnsi" w:hAnsiTheme="minorHAnsi" w:cstheme="minorBidi"/>
          <w:i/>
          <w:sz w:val="21"/>
          <w:szCs w:val="21"/>
        </w:rPr>
        <w:t>Nature Conservation Act 2014</w:t>
      </w:r>
      <w:r w:rsidRPr="0061260A">
        <w:rPr>
          <w:rFonts w:asciiTheme="minorHAnsi" w:eastAsiaTheme="minorHAnsi" w:hAnsiTheme="minorHAnsi" w:cstheme="minorBidi"/>
          <w:iCs/>
          <w:sz w:val="21"/>
          <w:szCs w:val="21"/>
        </w:rPr>
        <w:t xml:space="preserve"> the category of Critically Endangered was included on the Threatened Native Species List for the first time</w:t>
      </w:r>
      <w:r w:rsidRPr="0061260A">
        <w:rPr>
          <w:rFonts w:asciiTheme="minorHAnsi" w:eastAsiaTheme="minorHAnsi" w:hAnsiTheme="minorHAnsi" w:cstheme="minorBidi"/>
          <w:i/>
          <w:sz w:val="21"/>
          <w:szCs w:val="21"/>
        </w:rPr>
        <w:t>.</w:t>
      </w:r>
    </w:p>
    <w:p w14:paraId="17077144" w14:textId="77777777" w:rsidR="0061260A" w:rsidRPr="0061260A" w:rsidRDefault="0061260A" w:rsidP="0061260A">
      <w:pPr>
        <w:spacing w:after="200" w:line="276" w:lineRule="auto"/>
        <w:rPr>
          <w:rFonts w:asciiTheme="minorHAnsi" w:eastAsiaTheme="minorHAnsi" w:hAnsiTheme="minorHAnsi" w:cstheme="minorBidi"/>
          <w:sz w:val="21"/>
          <w:szCs w:val="21"/>
        </w:rPr>
      </w:pPr>
      <w:r w:rsidRPr="0061260A">
        <w:rPr>
          <w:rFonts w:asciiTheme="minorHAnsi" w:eastAsiaTheme="minorHAnsi" w:hAnsiTheme="minorHAnsi" w:cstheme="minorBidi"/>
          <w:iCs/>
          <w:sz w:val="21"/>
          <w:szCs w:val="21"/>
        </w:rPr>
        <w:t xml:space="preserve">Recent taxonomic revisions by Melville et al. (2019a) have determined that </w:t>
      </w:r>
      <w:r w:rsidRPr="0061260A">
        <w:rPr>
          <w:rFonts w:asciiTheme="minorHAnsi" w:eastAsiaTheme="minorHAnsi" w:hAnsiTheme="minorHAnsi" w:cstheme="minorBidi"/>
          <w:i/>
          <w:sz w:val="21"/>
          <w:szCs w:val="21"/>
        </w:rPr>
        <w:t>T. pinguicolla</w:t>
      </w:r>
      <w:r w:rsidRPr="0061260A">
        <w:rPr>
          <w:rFonts w:asciiTheme="minorHAnsi" w:eastAsiaTheme="minorHAnsi" w:hAnsiTheme="minorHAnsi" w:cstheme="minorBidi"/>
          <w:iCs/>
          <w:sz w:val="21"/>
          <w:szCs w:val="21"/>
        </w:rPr>
        <w:t xml:space="preserve"> is a complex of four species (</w:t>
      </w:r>
      <w:r w:rsidRPr="0061260A">
        <w:rPr>
          <w:rFonts w:asciiTheme="minorHAnsi" w:eastAsiaTheme="minorHAnsi" w:hAnsiTheme="minorHAnsi" w:cstheme="minorBidi"/>
          <w:i/>
          <w:sz w:val="21"/>
          <w:szCs w:val="21"/>
        </w:rPr>
        <w:t>T. pinguicolla</w:t>
      </w:r>
      <w:r w:rsidRPr="0061260A">
        <w:rPr>
          <w:rFonts w:asciiTheme="minorHAnsi" w:eastAsiaTheme="minorHAnsi" w:hAnsiTheme="minorHAnsi" w:cstheme="minorBidi"/>
          <w:iCs/>
          <w:sz w:val="21"/>
          <w:szCs w:val="21"/>
        </w:rPr>
        <w:t xml:space="preserve">, </w:t>
      </w:r>
      <w:r w:rsidRPr="0061260A">
        <w:rPr>
          <w:rFonts w:asciiTheme="minorHAnsi" w:eastAsiaTheme="minorHAnsi" w:hAnsiTheme="minorHAnsi" w:cstheme="minorBidi"/>
          <w:i/>
          <w:sz w:val="21"/>
          <w:szCs w:val="21"/>
        </w:rPr>
        <w:t>T. lineata</w:t>
      </w:r>
      <w:r w:rsidRPr="0061260A">
        <w:rPr>
          <w:rFonts w:asciiTheme="minorHAnsi" w:eastAsiaTheme="minorHAnsi" w:hAnsiTheme="minorHAnsi" w:cstheme="minorBidi"/>
          <w:iCs/>
          <w:sz w:val="21"/>
          <w:szCs w:val="21"/>
        </w:rPr>
        <w:t xml:space="preserve">, </w:t>
      </w:r>
      <w:r w:rsidRPr="0061260A">
        <w:rPr>
          <w:rFonts w:asciiTheme="minorHAnsi" w:eastAsiaTheme="minorHAnsi" w:hAnsiTheme="minorHAnsi" w:cstheme="minorBidi"/>
          <w:i/>
          <w:sz w:val="21"/>
          <w:szCs w:val="21"/>
        </w:rPr>
        <w:t>T. osbornei</w:t>
      </w:r>
      <w:r w:rsidRPr="0061260A">
        <w:rPr>
          <w:rFonts w:asciiTheme="minorHAnsi" w:eastAsiaTheme="minorHAnsi" w:hAnsiTheme="minorHAnsi" w:cstheme="minorBidi"/>
          <w:iCs/>
          <w:sz w:val="21"/>
          <w:szCs w:val="21"/>
        </w:rPr>
        <w:t xml:space="preserve">, </w:t>
      </w:r>
      <w:r w:rsidRPr="0061260A">
        <w:rPr>
          <w:rFonts w:asciiTheme="minorHAnsi" w:eastAsiaTheme="minorHAnsi" w:hAnsiTheme="minorHAnsi" w:cstheme="minorBidi"/>
          <w:i/>
          <w:sz w:val="21"/>
          <w:szCs w:val="21"/>
        </w:rPr>
        <w:t>T. mccartneyi</w:t>
      </w:r>
      <w:r w:rsidRPr="0061260A">
        <w:rPr>
          <w:rFonts w:asciiTheme="minorHAnsi" w:eastAsiaTheme="minorHAnsi" w:hAnsiTheme="minorHAnsi" w:cstheme="minorBidi"/>
          <w:iCs/>
          <w:sz w:val="21"/>
          <w:szCs w:val="21"/>
        </w:rPr>
        <w:t xml:space="preserve">) each with a distinct, non-overlapping, geographic distribution. </w:t>
      </w:r>
      <w:r w:rsidRPr="0061260A">
        <w:rPr>
          <w:rFonts w:asciiTheme="minorHAnsi" w:eastAsiaTheme="minorHAnsi" w:hAnsiTheme="minorHAnsi" w:cstheme="minorBidi"/>
          <w:i/>
          <w:sz w:val="21"/>
          <w:szCs w:val="21"/>
        </w:rPr>
        <w:t>Tympanocryptis lineata</w:t>
      </w:r>
      <w:r w:rsidRPr="0061260A">
        <w:rPr>
          <w:rFonts w:asciiTheme="minorHAnsi" w:eastAsiaTheme="minorHAnsi" w:hAnsiTheme="minorHAnsi" w:cstheme="minorBidi"/>
          <w:iCs/>
          <w:sz w:val="21"/>
          <w:szCs w:val="21"/>
        </w:rPr>
        <w:t xml:space="preserve"> is the name now assigned to the Canberra Grassland Earless Dragon as it was discovered to be the source of the lectotype for this name (Melville et al. 2019a)</w:t>
      </w:r>
      <w:r w:rsidRPr="0061260A">
        <w:rPr>
          <w:rFonts w:asciiTheme="minorHAnsi" w:eastAsiaTheme="minorHAnsi" w:hAnsiTheme="minorHAnsi" w:cstheme="minorBidi"/>
          <w:sz w:val="21"/>
          <w:szCs w:val="21"/>
        </w:rPr>
        <w:t xml:space="preserve">. This taxonomic revision warranted an assessment of the threat status of each of the new species and a likely change of status for the Canberra Grassland Earless Dragon. Assessment of new information from the ACT and NSW governments by the ACT Scientific Committee and the Commonwealth Threatened Species Scientific Committee found that the species meets the thresholds for IUCN Criteria: A–A4(b); B–B1ab(i,ii,iii,iv,v); C–C1&amp;C2a(i) to make it eligible for listing as Critically Endangered. </w:t>
      </w:r>
    </w:p>
    <w:p w14:paraId="1390FBD2" w14:textId="77777777" w:rsidR="0061260A" w:rsidRPr="0061260A" w:rsidRDefault="0061260A" w:rsidP="0061260A">
      <w:pPr>
        <w:spacing w:after="200" w:line="276" w:lineRule="auto"/>
        <w:rPr>
          <w:rFonts w:asciiTheme="minorHAnsi" w:eastAsiaTheme="minorHAnsi" w:hAnsiTheme="minorHAnsi" w:cstheme="minorBidi"/>
          <w:sz w:val="21"/>
        </w:rPr>
      </w:pPr>
      <w:r w:rsidRPr="0061260A">
        <w:rPr>
          <w:rFonts w:asciiTheme="minorHAnsi" w:eastAsiaTheme="minorHAnsi" w:hAnsiTheme="minorHAnsi" w:cstheme="minorBidi"/>
          <w:sz w:val="21"/>
          <w:szCs w:val="21"/>
        </w:rPr>
        <w:t xml:space="preserve">This species met the listing eligibility criteria to be listed as Critically Endangered under the </w:t>
      </w:r>
      <w:r w:rsidRPr="0061260A">
        <w:rPr>
          <w:rFonts w:asciiTheme="minorHAnsi" w:eastAsiaTheme="minorHAnsi" w:hAnsiTheme="minorHAnsi" w:cstheme="minorBidi"/>
          <w:i/>
          <w:sz w:val="21"/>
          <w:szCs w:val="21"/>
        </w:rPr>
        <w:t xml:space="preserve">Environment Protection and Biodiversity Conservation Act 1999 </w:t>
      </w:r>
      <w:r w:rsidRPr="0061260A">
        <w:rPr>
          <w:rFonts w:asciiTheme="minorHAnsi" w:eastAsiaTheme="minorHAnsi" w:hAnsiTheme="minorHAnsi" w:cstheme="minorBidi"/>
          <w:sz w:val="21"/>
          <w:szCs w:val="21"/>
        </w:rPr>
        <w:t xml:space="preserve">(EPBC Act) in 2023. </w:t>
      </w:r>
      <w:r w:rsidRPr="0061260A">
        <w:rPr>
          <w:rFonts w:asciiTheme="minorHAnsi" w:eastAsiaTheme="minorHAnsi" w:hAnsiTheme="minorHAnsi" w:cstheme="minorBidi"/>
          <w:sz w:val="21"/>
        </w:rPr>
        <w:t xml:space="preserve">In 2023, under the </w:t>
      </w:r>
      <w:r w:rsidRPr="0061260A">
        <w:rPr>
          <w:rFonts w:asciiTheme="minorHAnsi" w:eastAsiaTheme="minorHAnsi" w:hAnsiTheme="minorHAnsi" w:cstheme="minorBidi"/>
          <w:i/>
          <w:sz w:val="21"/>
        </w:rPr>
        <w:t>Nature Conservation Act 2014</w:t>
      </w:r>
      <w:r w:rsidRPr="0061260A">
        <w:rPr>
          <w:rFonts w:asciiTheme="minorHAnsi" w:eastAsiaTheme="minorHAnsi" w:hAnsiTheme="minorHAnsi" w:cstheme="minorBidi"/>
          <w:sz w:val="21"/>
        </w:rPr>
        <w:t>, the ACT Scientific Committee recommended the Canberra Grassland Earless Dragon be listed in the Critically Endangered category in the ACT Threatened Native Species List to align with the proposed EPBC Act listing.</w:t>
      </w:r>
    </w:p>
    <w:p w14:paraId="3C197105" w14:textId="77777777" w:rsidR="0061260A" w:rsidRPr="0061260A" w:rsidRDefault="0061260A" w:rsidP="0061260A">
      <w:pPr>
        <w:keepNext/>
        <w:keepLines/>
        <w:spacing w:before="200" w:line="276" w:lineRule="auto"/>
        <w:outlineLvl w:val="1"/>
        <w:rPr>
          <w:rFonts w:ascii="Arial" w:eastAsiaTheme="majorEastAsia" w:hAnsi="Arial" w:cstheme="majorBidi"/>
          <w:bCs/>
          <w:caps/>
          <w:color w:val="009999"/>
          <w:sz w:val="28"/>
          <w:szCs w:val="26"/>
        </w:rPr>
      </w:pPr>
      <w:r w:rsidRPr="0061260A">
        <w:rPr>
          <w:rFonts w:ascii="Arial" w:eastAsiaTheme="majorEastAsia" w:hAnsi="Arial" w:cstheme="majorBidi"/>
          <w:bCs/>
          <w:caps/>
          <w:color w:val="009999"/>
          <w:sz w:val="28"/>
          <w:szCs w:val="26"/>
        </w:rPr>
        <w:t>Action Plan Decision</w:t>
      </w:r>
    </w:p>
    <w:p w14:paraId="37119C77" w14:textId="77777777" w:rsidR="0061260A" w:rsidRPr="0061260A" w:rsidRDefault="0061260A" w:rsidP="0061260A">
      <w:pPr>
        <w:spacing w:after="200" w:line="276" w:lineRule="auto"/>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An Action Plan for this species is in place in the ACT (ACT Government 2017) under the </w:t>
      </w:r>
      <w:r w:rsidRPr="0061260A">
        <w:rPr>
          <w:rFonts w:asciiTheme="minorHAnsi" w:eastAsiaTheme="minorHAnsi" w:hAnsiTheme="minorHAnsi" w:cstheme="minorBidi"/>
          <w:i/>
          <w:iCs/>
          <w:sz w:val="21"/>
          <w:szCs w:val="21"/>
        </w:rPr>
        <w:t>Nature Conservation Act 2014</w:t>
      </w:r>
      <w:r w:rsidRPr="0061260A">
        <w:rPr>
          <w:rFonts w:asciiTheme="minorHAnsi" w:eastAsiaTheme="minorHAnsi" w:hAnsiTheme="minorHAnsi" w:cstheme="minorBidi"/>
          <w:sz w:val="21"/>
          <w:szCs w:val="21"/>
        </w:rPr>
        <w:t xml:space="preserve"> and the ACT Scientific Committee recommends that the Minister for the Environment should make the decision to continue that action plan subject to drawing from the National Recovery Plan for this species and subject to any necessary changes highlighted in the 5-yearly progress report on that action plan (Conservator of Flora and Fauna in prep.). </w:t>
      </w:r>
    </w:p>
    <w:p w14:paraId="39AC5E4B" w14:textId="77777777" w:rsidR="0061260A" w:rsidRPr="0061260A" w:rsidRDefault="0061260A" w:rsidP="0061260A">
      <w:pPr>
        <w:keepNext/>
        <w:keepLines/>
        <w:spacing w:before="200" w:line="276" w:lineRule="auto"/>
        <w:outlineLvl w:val="1"/>
        <w:rPr>
          <w:rFonts w:ascii="Arial" w:eastAsiaTheme="majorEastAsia" w:hAnsi="Arial" w:cstheme="majorBidi"/>
          <w:bCs/>
          <w:caps/>
          <w:color w:val="009999"/>
          <w:sz w:val="28"/>
          <w:szCs w:val="26"/>
        </w:rPr>
      </w:pPr>
      <w:r w:rsidRPr="0061260A">
        <w:rPr>
          <w:rFonts w:ascii="Arial" w:eastAsiaTheme="majorEastAsia" w:hAnsi="Arial" w:cstheme="majorBidi"/>
          <w:bCs/>
          <w:caps/>
          <w:color w:val="009999"/>
          <w:sz w:val="28"/>
          <w:szCs w:val="26"/>
        </w:rPr>
        <w:t>References</w:t>
      </w:r>
    </w:p>
    <w:p w14:paraId="24AA2DA7"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ACT Flora and Fauna Committee 1996. Recommendation for Declaration of an Endangered Species </w:t>
      </w:r>
      <w:bookmarkStart w:id="4" w:name="_Hlk117526048"/>
      <w:r w:rsidRPr="0061260A">
        <w:rPr>
          <w:rFonts w:asciiTheme="minorHAnsi" w:eastAsiaTheme="minorHAnsi" w:hAnsiTheme="minorHAnsi" w:cstheme="minorBidi"/>
          <w:i/>
          <w:iCs/>
          <w:sz w:val="21"/>
          <w:szCs w:val="21"/>
        </w:rPr>
        <w:t>Tympanocryptis lineata pinguicolla</w:t>
      </w:r>
      <w:r w:rsidRPr="0061260A">
        <w:rPr>
          <w:rFonts w:asciiTheme="minorHAnsi" w:eastAsiaTheme="minorHAnsi" w:hAnsiTheme="minorHAnsi" w:cstheme="minorBidi"/>
          <w:sz w:val="21"/>
          <w:szCs w:val="21"/>
        </w:rPr>
        <w:t xml:space="preserve"> Eastern Lined Earless Dragon</w:t>
      </w:r>
      <w:bookmarkEnd w:id="4"/>
      <w:r w:rsidRPr="0061260A">
        <w:rPr>
          <w:rFonts w:asciiTheme="minorHAnsi" w:eastAsiaTheme="minorHAnsi" w:hAnsiTheme="minorHAnsi" w:cstheme="minorBidi"/>
          <w:sz w:val="21"/>
          <w:szCs w:val="21"/>
        </w:rPr>
        <w:t>. Unpublished recommendation to the Minister. ACT Government, Canberra.</w:t>
      </w:r>
    </w:p>
    <w:p w14:paraId="2FA6214E"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lastRenderedPageBreak/>
        <w:t xml:space="preserve">ACT Government 2009. </w:t>
      </w:r>
      <w:r w:rsidRPr="0061260A">
        <w:rPr>
          <w:rFonts w:asciiTheme="minorHAnsi" w:eastAsiaTheme="minorHAnsi" w:hAnsiTheme="minorHAnsi" w:cstheme="minorBidi"/>
          <w:i/>
          <w:iCs/>
          <w:sz w:val="21"/>
          <w:szCs w:val="21"/>
        </w:rPr>
        <w:t>ACT Weeds Strategy</w:t>
      </w:r>
      <w:r w:rsidRPr="0061260A">
        <w:rPr>
          <w:rFonts w:asciiTheme="minorHAnsi" w:eastAsiaTheme="minorHAnsi" w:hAnsiTheme="minorHAnsi" w:cstheme="minorBidi"/>
          <w:b/>
          <w:i/>
          <w:iCs/>
          <w:sz w:val="21"/>
          <w:szCs w:val="21"/>
        </w:rPr>
        <w:t xml:space="preserve"> </w:t>
      </w:r>
      <w:r w:rsidRPr="0061260A">
        <w:rPr>
          <w:rFonts w:asciiTheme="minorHAnsi" w:eastAsiaTheme="minorHAnsi" w:hAnsiTheme="minorHAnsi" w:cstheme="minorBidi"/>
          <w:bCs/>
          <w:i/>
          <w:iCs/>
          <w:sz w:val="21"/>
          <w:szCs w:val="21"/>
        </w:rPr>
        <w:t>2009–2019.</w:t>
      </w:r>
      <w:r w:rsidRPr="0061260A">
        <w:rPr>
          <w:rFonts w:asciiTheme="minorHAnsi" w:eastAsiaTheme="minorHAnsi" w:hAnsiTheme="minorHAnsi" w:cstheme="minorBidi"/>
          <w:bCs/>
          <w:sz w:val="21"/>
          <w:szCs w:val="21"/>
        </w:rPr>
        <w:t xml:space="preserve"> Department of the Environment, Climate Change, Energy and Water. ACT Government, Canberra.</w:t>
      </w:r>
      <w:r w:rsidRPr="0061260A">
        <w:rPr>
          <w:rFonts w:asciiTheme="minorHAnsi" w:eastAsiaTheme="minorHAnsi" w:hAnsiTheme="minorHAnsi" w:cstheme="minorBidi"/>
          <w:sz w:val="21"/>
          <w:szCs w:val="21"/>
        </w:rPr>
        <w:t xml:space="preserve"> </w:t>
      </w:r>
    </w:p>
    <w:p w14:paraId="13588BAC"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ACT Government 2017. </w:t>
      </w:r>
      <w:r w:rsidRPr="0061260A">
        <w:rPr>
          <w:rFonts w:asciiTheme="minorHAnsi" w:eastAsiaTheme="minorHAnsi" w:hAnsiTheme="minorHAnsi" w:cstheme="minorBidi"/>
          <w:i/>
          <w:iCs/>
          <w:sz w:val="21"/>
          <w:szCs w:val="21"/>
        </w:rPr>
        <w:t>ACT Native Grassland Conservation Strategy and Action Plans</w:t>
      </w:r>
      <w:r w:rsidRPr="0061260A">
        <w:rPr>
          <w:rFonts w:asciiTheme="minorHAnsi" w:eastAsiaTheme="minorHAnsi" w:hAnsiTheme="minorHAnsi" w:cstheme="minorBidi"/>
          <w:sz w:val="21"/>
          <w:szCs w:val="21"/>
        </w:rPr>
        <w:t>. Environment, Planning and Sustainable Development Directorate, ACT Government, Canberra.</w:t>
      </w:r>
    </w:p>
    <w:p w14:paraId="46F31343"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ACT Government 2019. </w:t>
      </w:r>
      <w:r w:rsidRPr="0061260A">
        <w:rPr>
          <w:rFonts w:asciiTheme="minorHAnsi" w:eastAsiaTheme="minorHAnsi" w:hAnsiTheme="minorHAnsi" w:cstheme="minorBidi"/>
          <w:i/>
          <w:iCs/>
          <w:sz w:val="21"/>
          <w:szCs w:val="21"/>
        </w:rPr>
        <w:t>Draft Herbage Mass Management Guidelines for Lowland Grassy Ecosystems of the ACT</w:t>
      </w:r>
      <w:r w:rsidRPr="0061260A">
        <w:rPr>
          <w:rFonts w:asciiTheme="minorHAnsi" w:eastAsiaTheme="minorHAnsi" w:hAnsiTheme="minorHAnsi" w:cstheme="minorBidi"/>
          <w:sz w:val="21"/>
          <w:szCs w:val="21"/>
        </w:rPr>
        <w:t>. Environment, Planning and Sustainable Development Directorate, ACT Government, Canberra.</w:t>
      </w:r>
    </w:p>
    <w:p w14:paraId="7636B9A5"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ACT Government 2019. </w:t>
      </w:r>
      <w:r w:rsidRPr="0061260A">
        <w:rPr>
          <w:rFonts w:asciiTheme="minorHAnsi" w:eastAsiaTheme="minorHAnsi" w:hAnsiTheme="minorHAnsi" w:cstheme="minorBidi"/>
          <w:i/>
          <w:iCs/>
          <w:sz w:val="21"/>
          <w:szCs w:val="21"/>
        </w:rPr>
        <w:t>Ecological Guidelines for Fire, Fuel And Access Management Operations: Part 1 Background and Explanatory Section</w:t>
      </w:r>
      <w:r w:rsidRPr="0061260A">
        <w:rPr>
          <w:rFonts w:asciiTheme="minorHAnsi" w:eastAsiaTheme="minorHAnsi" w:hAnsiTheme="minorHAnsi" w:cstheme="minorBidi"/>
          <w:sz w:val="21"/>
          <w:szCs w:val="21"/>
        </w:rPr>
        <w:t>. Environment, Planning and Sustainable Development Directorate, ACT Government, Canberra.</w:t>
      </w:r>
    </w:p>
    <w:p w14:paraId="2C7CD3A6" w14:textId="77777777" w:rsidR="0061260A" w:rsidRPr="0061260A" w:rsidRDefault="0061260A" w:rsidP="0061260A">
      <w:pPr>
        <w:spacing w:line="276" w:lineRule="auto"/>
        <w:ind w:left="567" w:hanging="567"/>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ACT Government 2021. </w:t>
      </w:r>
      <w:r w:rsidRPr="0061260A">
        <w:rPr>
          <w:rFonts w:asciiTheme="minorHAnsi" w:eastAsiaTheme="minorHAnsi" w:hAnsiTheme="minorHAnsi" w:cstheme="minorBidi"/>
          <w:i/>
          <w:iCs/>
          <w:sz w:val="21"/>
          <w:szCs w:val="21"/>
        </w:rPr>
        <w:t>Canberra Nature Park Reserve Management Plan 2021</w:t>
      </w:r>
      <w:r w:rsidRPr="0061260A">
        <w:rPr>
          <w:rFonts w:asciiTheme="minorHAnsi" w:eastAsiaTheme="minorHAnsi" w:hAnsiTheme="minorHAnsi" w:cstheme="minorBidi"/>
          <w:sz w:val="21"/>
          <w:szCs w:val="21"/>
        </w:rPr>
        <w:t xml:space="preserve">. Environment, Planning and Sustainable Development Directorate, ACT Government, Canberra. </w:t>
      </w:r>
      <w:hyperlink r:id="rId9" w:history="1">
        <w:r w:rsidRPr="0061260A">
          <w:rPr>
            <w:rFonts w:asciiTheme="minorHAnsi" w:eastAsiaTheme="minorHAnsi" w:hAnsiTheme="minorHAnsi" w:cstheme="minorBidi"/>
            <w:color w:val="0000FF"/>
            <w:sz w:val="21"/>
            <w:szCs w:val="21"/>
            <w:u w:val="single"/>
          </w:rPr>
          <w:t>https://www.environment.act.gov.au/__data/assets/pdf_file/0009/1899396/2021-CNP-Plan_FA4.pdf</w:t>
        </w:r>
      </w:hyperlink>
      <w:r w:rsidRPr="0061260A">
        <w:rPr>
          <w:rFonts w:asciiTheme="minorHAnsi" w:eastAsiaTheme="minorHAnsi" w:hAnsiTheme="minorHAnsi" w:cstheme="minorBidi"/>
          <w:sz w:val="21"/>
          <w:szCs w:val="21"/>
        </w:rPr>
        <w:t xml:space="preserve"> </w:t>
      </w:r>
    </w:p>
    <w:p w14:paraId="4BD03F93"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bCs/>
          <w:sz w:val="21"/>
        </w:rPr>
      </w:pPr>
      <w:r w:rsidRPr="0061260A">
        <w:rPr>
          <w:rFonts w:asciiTheme="minorHAnsi" w:eastAsiaTheme="minorHAnsi" w:hAnsiTheme="minorHAnsi" w:cstheme="minorBidi"/>
          <w:sz w:val="21"/>
          <w:szCs w:val="21"/>
        </w:rPr>
        <w:t xml:space="preserve">ACT Government in prep. </w:t>
      </w:r>
      <w:r w:rsidRPr="0061260A">
        <w:rPr>
          <w:rFonts w:asciiTheme="minorHAnsi" w:eastAsiaTheme="minorHAnsi" w:hAnsiTheme="minorHAnsi" w:cstheme="minorBidi"/>
          <w:i/>
          <w:iCs/>
          <w:sz w:val="21"/>
          <w:szCs w:val="21"/>
        </w:rPr>
        <w:t>Draft Cultural Resource Management Plan</w:t>
      </w:r>
      <w:r w:rsidRPr="0061260A">
        <w:rPr>
          <w:rFonts w:asciiTheme="minorHAnsi" w:eastAsiaTheme="minorHAnsi" w:hAnsiTheme="minorHAnsi" w:cstheme="minorBidi"/>
          <w:sz w:val="21"/>
          <w:szCs w:val="21"/>
        </w:rPr>
        <w:t>. Environment Planning and Sustainable Development, ACT Government, Canberra.</w:t>
      </w:r>
    </w:p>
    <w:p w14:paraId="0F23D40E"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bCs/>
          <w:sz w:val="21"/>
        </w:rPr>
        <w:t xml:space="preserve">ACT Scientific Committee and DCCEEW 2022. </w:t>
      </w:r>
      <w:r w:rsidRPr="0061260A">
        <w:rPr>
          <w:rFonts w:asciiTheme="minorHAnsi" w:eastAsiaTheme="minorHAnsi" w:hAnsiTheme="minorHAnsi" w:cstheme="minorBidi"/>
          <w:bCs/>
          <w:i/>
          <w:iCs/>
          <w:sz w:val="21"/>
        </w:rPr>
        <w:t>Listing Advice for</w:t>
      </w:r>
      <w:r w:rsidRPr="0061260A">
        <w:rPr>
          <w:rFonts w:asciiTheme="minorHAnsi" w:eastAsiaTheme="minorHAnsi" w:hAnsiTheme="minorHAnsi" w:cstheme="minorBidi"/>
          <w:bCs/>
          <w:sz w:val="21"/>
        </w:rPr>
        <w:t xml:space="preserve"> </w:t>
      </w:r>
      <w:r w:rsidRPr="0061260A">
        <w:rPr>
          <w:rFonts w:asciiTheme="minorHAnsi" w:eastAsiaTheme="minorHAnsi" w:hAnsiTheme="minorHAnsi" w:cstheme="minorHAnsi"/>
          <w:i/>
          <w:iCs/>
          <w:sz w:val="21"/>
          <w:szCs w:val="21"/>
        </w:rPr>
        <w:t xml:space="preserve">Grassland Earless Dragon </w:t>
      </w:r>
      <w:r w:rsidRPr="0061260A">
        <w:rPr>
          <w:rFonts w:asciiTheme="minorHAnsi" w:eastAsiaTheme="minorHAnsi" w:hAnsiTheme="minorHAnsi" w:cstheme="minorHAnsi"/>
          <w:i/>
          <w:iCs/>
          <w:sz w:val="21"/>
          <w:szCs w:val="21"/>
          <w:u w:val="single"/>
        </w:rPr>
        <w:t>Tympanocrytis pinguicolla</w:t>
      </w:r>
      <w:r w:rsidRPr="0061260A">
        <w:rPr>
          <w:rFonts w:asciiTheme="minorHAnsi" w:eastAsiaTheme="minorHAnsi" w:hAnsiTheme="minorHAnsi" w:cstheme="minorHAnsi"/>
          <w:i/>
          <w:iCs/>
          <w:sz w:val="21"/>
          <w:szCs w:val="21"/>
        </w:rPr>
        <w:t xml:space="preserve">. </w:t>
      </w:r>
      <w:r w:rsidRPr="0061260A">
        <w:rPr>
          <w:rFonts w:asciiTheme="minorHAnsi" w:eastAsiaTheme="minorHAnsi" w:hAnsiTheme="minorHAnsi" w:cstheme="minorBidi"/>
          <w:bCs/>
          <w:sz w:val="21"/>
        </w:rPr>
        <w:t>Prepared by the ACT Scientific Committee for the Department of Climate Change, Energy, the Environment and Water (Commonwealth), Canberra.</w:t>
      </w:r>
    </w:p>
    <w:p w14:paraId="6C8AD4E8"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AECOM 2014. 2013–2014 ACT threatened species monitoring. Report prepared for Spotless Services and Department of Defence. AECOM Australia Pty Ltd, Canberra.</w:t>
      </w:r>
    </w:p>
    <w:p w14:paraId="2516AE7C"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Barton PS, Manning AD, Gibb H, Wood JT, Lindenmayer DB and Cunningham SA 2011. Experimental reduction of native vertebrate grazing and addition of logs benefit beetle diversity at multiple scales. </w:t>
      </w:r>
      <w:r w:rsidRPr="0061260A">
        <w:rPr>
          <w:rFonts w:asciiTheme="minorHAnsi" w:eastAsiaTheme="minorHAnsi" w:hAnsiTheme="minorHAnsi" w:cstheme="minorBidi"/>
          <w:i/>
          <w:iCs/>
          <w:sz w:val="21"/>
          <w:szCs w:val="21"/>
        </w:rPr>
        <w:t>Journal of Applied Ecology</w:t>
      </w:r>
      <w:r w:rsidRPr="0061260A">
        <w:rPr>
          <w:rFonts w:asciiTheme="minorHAnsi" w:eastAsiaTheme="minorHAnsi" w:hAnsiTheme="minorHAnsi" w:cstheme="minorBidi"/>
          <w:sz w:val="21"/>
          <w:szCs w:val="21"/>
        </w:rPr>
        <w:t xml:space="preserve"> 48(4): 943–951.</w:t>
      </w:r>
    </w:p>
    <w:p w14:paraId="72309B98"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Benson KA 1999. Resource use and habitat selection by the Grassland Earless Dragon, </w:t>
      </w:r>
      <w:r w:rsidRPr="0061260A">
        <w:rPr>
          <w:rFonts w:asciiTheme="minorHAnsi" w:eastAsiaTheme="minorHAnsi" w:hAnsiTheme="minorHAnsi" w:cstheme="minorBidi"/>
          <w:i/>
          <w:iCs/>
          <w:sz w:val="21"/>
          <w:szCs w:val="21"/>
        </w:rPr>
        <w:t>Tympanocryptis pinguicolla</w:t>
      </w:r>
      <w:r w:rsidRPr="0061260A">
        <w:rPr>
          <w:rFonts w:asciiTheme="minorHAnsi" w:eastAsiaTheme="minorHAnsi" w:hAnsiTheme="minorHAnsi" w:cstheme="minorBidi"/>
          <w:sz w:val="21"/>
          <w:szCs w:val="21"/>
        </w:rPr>
        <w:t>: Microhabitat and Diet. Honours Thesis. Applied Ecology Research Group, University of Canberra, Canberra.</w:t>
      </w:r>
    </w:p>
    <w:p w14:paraId="4DCDFA2C"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BOM – Bureau of Meteorology 2022. Daily maximum temperature – Canberra Airport. Commonwealth of Australia. </w:t>
      </w:r>
      <w:hyperlink r:id="rId10" w:history="1">
        <w:r w:rsidRPr="0061260A">
          <w:rPr>
            <w:rFonts w:asciiTheme="minorHAnsi" w:eastAsiaTheme="minorHAnsi" w:hAnsiTheme="minorHAnsi" w:cstheme="minorBidi"/>
            <w:color w:val="0000FF"/>
            <w:sz w:val="21"/>
            <w:szCs w:val="21"/>
            <w:u w:val="single"/>
          </w:rPr>
          <w:t>http://www.bom.gov.au/jsp/ncc/cdio/weatherData/av?p_nccObsCode=122&amp;p_display_type=dailyDataFile&amp;p_startYear=&amp;p_c=&amp;p_stn_num=070351</w:t>
        </w:r>
      </w:hyperlink>
      <w:r w:rsidRPr="0061260A">
        <w:rPr>
          <w:rFonts w:asciiTheme="minorHAnsi" w:eastAsiaTheme="minorHAnsi" w:hAnsiTheme="minorHAnsi" w:cstheme="minorBidi"/>
          <w:sz w:val="21"/>
          <w:szCs w:val="21"/>
        </w:rPr>
        <w:t xml:space="preserve"> </w:t>
      </w:r>
    </w:p>
    <w:p w14:paraId="72034FCF"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Carlson E, MacDonald AJ, Adamack A, McGrath T, Doucette LI, Osborne WS, Gruber B and Sarre SD 2016. How many conservation units are there for the endangered Grassland Earless Dragons? </w:t>
      </w:r>
      <w:r w:rsidRPr="0061260A">
        <w:rPr>
          <w:rFonts w:asciiTheme="minorHAnsi" w:eastAsiaTheme="minorHAnsi" w:hAnsiTheme="minorHAnsi" w:cstheme="minorBidi"/>
          <w:i/>
          <w:iCs/>
          <w:sz w:val="21"/>
          <w:szCs w:val="21"/>
        </w:rPr>
        <w:t>Conservation Genetics</w:t>
      </w:r>
      <w:r w:rsidRPr="0061260A">
        <w:rPr>
          <w:rFonts w:asciiTheme="minorHAnsi" w:eastAsiaTheme="minorHAnsi" w:hAnsiTheme="minorHAnsi" w:cstheme="minorBidi"/>
          <w:sz w:val="21"/>
          <w:szCs w:val="21"/>
        </w:rPr>
        <w:t xml:space="preserve"> 17(4): 761–774.</w:t>
      </w:r>
    </w:p>
    <w:p w14:paraId="0419B2A3"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Cogger HG 2014. </w:t>
      </w:r>
      <w:r w:rsidRPr="0061260A">
        <w:rPr>
          <w:rFonts w:asciiTheme="minorHAnsi" w:eastAsiaTheme="minorHAnsi" w:hAnsiTheme="minorHAnsi" w:cstheme="minorBidi"/>
          <w:i/>
          <w:iCs/>
          <w:sz w:val="21"/>
          <w:szCs w:val="21"/>
        </w:rPr>
        <w:t>Reptiles and Amphibians of Australia</w:t>
      </w:r>
      <w:r w:rsidRPr="0061260A">
        <w:rPr>
          <w:rFonts w:asciiTheme="minorHAnsi" w:eastAsiaTheme="minorHAnsi" w:hAnsiTheme="minorHAnsi" w:cstheme="minorBidi"/>
          <w:sz w:val="21"/>
          <w:szCs w:val="21"/>
        </w:rPr>
        <w:t>. CSIRO Publishing, Collingwood.</w:t>
      </w:r>
    </w:p>
    <w:p w14:paraId="68E6C332"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Colley R. 2021. Gene flow and effective population size of the Canberra Grassland Earless Dragon (</w:t>
      </w:r>
      <w:r w:rsidRPr="0061260A">
        <w:rPr>
          <w:rFonts w:asciiTheme="minorHAnsi" w:eastAsiaTheme="minorHAnsi" w:hAnsiTheme="minorHAnsi" w:cstheme="minorBidi"/>
          <w:i/>
          <w:iCs/>
          <w:sz w:val="21"/>
          <w:szCs w:val="21"/>
        </w:rPr>
        <w:t>Tympanocryptis lineata</w:t>
      </w:r>
      <w:r w:rsidRPr="0061260A">
        <w:rPr>
          <w:rFonts w:asciiTheme="minorHAnsi" w:eastAsiaTheme="minorHAnsi" w:hAnsiTheme="minorHAnsi" w:cstheme="minorBidi"/>
          <w:sz w:val="21"/>
          <w:szCs w:val="21"/>
        </w:rPr>
        <w:t>). Honours Thesis. University of Canberra, Canberra.</w:t>
      </w:r>
    </w:p>
    <w:p w14:paraId="77DB46E7" w14:textId="77777777" w:rsidR="0061260A" w:rsidRPr="0061260A" w:rsidRDefault="0061260A" w:rsidP="0061260A">
      <w:pPr>
        <w:spacing w:after="200" w:line="276" w:lineRule="auto"/>
        <w:ind w:left="567" w:hanging="567"/>
        <w:contextualSpacing/>
        <w:rPr>
          <w:rFonts w:asciiTheme="minorHAnsi" w:eastAsiaTheme="minorHAnsi" w:hAnsiTheme="minorHAnsi" w:cstheme="minorHAnsi"/>
          <w:sz w:val="21"/>
          <w:szCs w:val="21"/>
        </w:rPr>
      </w:pPr>
      <w:r w:rsidRPr="0061260A">
        <w:rPr>
          <w:rFonts w:asciiTheme="minorHAnsi" w:eastAsiaTheme="minorHAnsi" w:hAnsiTheme="minorHAnsi" w:cstheme="minorHAnsi"/>
          <w:sz w:val="21"/>
          <w:szCs w:val="21"/>
        </w:rPr>
        <w:t>Conservator of Flora and Fauna in prep.</w:t>
      </w:r>
      <w:r w:rsidRPr="0061260A">
        <w:rPr>
          <w:rFonts w:asciiTheme="minorHAnsi" w:eastAsiaTheme="minorHAnsi" w:hAnsiTheme="minorHAnsi" w:cstheme="minorBidi"/>
          <w:sz w:val="21"/>
          <w:szCs w:val="21"/>
        </w:rPr>
        <w:t xml:space="preserve"> </w:t>
      </w:r>
      <w:r w:rsidRPr="0061260A">
        <w:rPr>
          <w:rFonts w:asciiTheme="minorHAnsi" w:eastAsiaTheme="minorHAnsi" w:hAnsiTheme="minorHAnsi" w:cstheme="minorHAnsi"/>
          <w:i/>
          <w:iCs/>
          <w:sz w:val="21"/>
          <w:szCs w:val="21"/>
        </w:rPr>
        <w:t xml:space="preserve">Grassland Earless Dragon </w:t>
      </w:r>
      <w:r w:rsidRPr="0061260A">
        <w:rPr>
          <w:rFonts w:asciiTheme="minorHAnsi" w:eastAsiaTheme="minorHAnsi" w:hAnsiTheme="minorHAnsi" w:cstheme="minorHAnsi"/>
          <w:i/>
          <w:iCs/>
          <w:sz w:val="21"/>
          <w:szCs w:val="21"/>
          <w:u w:val="single"/>
        </w:rPr>
        <w:t>Tympanocrytis pinguicolla</w:t>
      </w:r>
      <w:r w:rsidRPr="0061260A">
        <w:rPr>
          <w:rFonts w:asciiTheme="minorHAnsi" w:eastAsiaTheme="minorHAnsi" w:hAnsiTheme="minorHAnsi" w:cstheme="minorHAnsi"/>
          <w:i/>
          <w:iCs/>
          <w:sz w:val="21"/>
          <w:szCs w:val="21"/>
        </w:rPr>
        <w:t xml:space="preserve"> Action Plan—Implementation Progress Report 2022</w:t>
      </w:r>
      <w:r w:rsidRPr="0061260A">
        <w:rPr>
          <w:rFonts w:asciiTheme="minorHAnsi" w:eastAsiaTheme="minorHAnsi" w:hAnsiTheme="minorHAnsi" w:cstheme="minorHAnsi"/>
          <w:sz w:val="21"/>
          <w:szCs w:val="21"/>
        </w:rPr>
        <w:t>. Environment, Planning and Sustainable Development Directorate, ACT Government, Canberra.</w:t>
      </w:r>
    </w:p>
    <w:p w14:paraId="323C01C8"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Cook E, Evans M and Osborne W 2015. Monitoring Grassland Earless Dragons in the Majura and Jerrabomberra Grasslands: 2014 survey update. Unpublished report. ACT Government, Canberra.</w:t>
      </w:r>
    </w:p>
    <w:p w14:paraId="431D24DB"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CSIRO and BOM 2020. </w:t>
      </w:r>
      <w:r w:rsidRPr="0061260A">
        <w:rPr>
          <w:rFonts w:asciiTheme="minorHAnsi" w:eastAsiaTheme="minorHAnsi" w:hAnsiTheme="minorHAnsi" w:cstheme="minorBidi"/>
          <w:i/>
          <w:iCs/>
          <w:sz w:val="21"/>
          <w:szCs w:val="21"/>
        </w:rPr>
        <w:t>The State of the Climate 2020</w:t>
      </w:r>
      <w:r w:rsidRPr="0061260A">
        <w:rPr>
          <w:rFonts w:asciiTheme="minorHAnsi" w:eastAsiaTheme="minorHAnsi" w:hAnsiTheme="minorHAnsi" w:cstheme="minorBidi"/>
          <w:sz w:val="21"/>
          <w:szCs w:val="21"/>
        </w:rPr>
        <w:t>. Commonwealth Scientific and Industrial Research Organisation and The Bureau of Meteorology, Canberra.</w:t>
      </w:r>
    </w:p>
    <w:p w14:paraId="501BBF2C"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lastRenderedPageBreak/>
        <w:t>Dimond WJ 2010. Population decline in the endangered Grassland Earless Dragon in Australia: Identification, causes and management. PhD Thesis. Institute for Applied Ecology, University of Canberra, Canberra.</w:t>
      </w:r>
    </w:p>
    <w:p w14:paraId="5381DE1D"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Dimond WJ, Osborne WS, Evans MC, Gruber B and Sarre SD 2012. Back to the brink: population decline of the endangered Grassland Earless Dragon (</w:t>
      </w:r>
      <w:r w:rsidRPr="0061260A">
        <w:rPr>
          <w:rFonts w:asciiTheme="minorHAnsi" w:eastAsiaTheme="minorHAnsi" w:hAnsiTheme="minorHAnsi" w:cstheme="minorBidi"/>
          <w:i/>
          <w:iCs/>
          <w:sz w:val="21"/>
          <w:szCs w:val="21"/>
        </w:rPr>
        <w:t>Tympanocryptis pinguicolla</w:t>
      </w:r>
      <w:r w:rsidRPr="0061260A">
        <w:rPr>
          <w:rFonts w:asciiTheme="minorHAnsi" w:eastAsiaTheme="minorHAnsi" w:hAnsiTheme="minorHAnsi" w:cstheme="minorBidi"/>
          <w:sz w:val="21"/>
          <w:szCs w:val="21"/>
        </w:rPr>
        <w:t xml:space="preserve">) following its rediscovery. </w:t>
      </w:r>
      <w:r w:rsidRPr="0061260A">
        <w:rPr>
          <w:rFonts w:asciiTheme="minorHAnsi" w:eastAsiaTheme="minorHAnsi" w:hAnsiTheme="minorHAnsi" w:cstheme="minorBidi"/>
          <w:i/>
          <w:iCs/>
          <w:sz w:val="21"/>
          <w:szCs w:val="21"/>
        </w:rPr>
        <w:t>Herpetological Conservation and Biology</w:t>
      </w:r>
      <w:r w:rsidRPr="0061260A">
        <w:rPr>
          <w:rFonts w:asciiTheme="minorHAnsi" w:eastAsiaTheme="minorHAnsi" w:hAnsiTheme="minorHAnsi" w:cstheme="minorBidi"/>
          <w:sz w:val="21"/>
          <w:szCs w:val="21"/>
        </w:rPr>
        <w:t xml:space="preserve"> 7(2): 132–149.</w:t>
      </w:r>
    </w:p>
    <w:p w14:paraId="3832E44A"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Doucette LI and Sarre SD 2018. Maintenance and Breeding of Grassland Earless Dragons in Captivity. University of Canberra, Canberra.</w:t>
      </w:r>
    </w:p>
    <w:p w14:paraId="136CB7FD"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Evans M, Howland B and Sato C 2018. Grassland Earless Dragon Management and Research Priorities 2018–2022. Conservation Research and Parks and Conservation Service. Environment Planning and Sustainable Development, Canberra, ACT Government, Canberra.</w:t>
      </w:r>
    </w:p>
    <w:p w14:paraId="4CDB14DD"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Frankham R, Bradshaw CJ, Brook BW 2014. Genetics in conservation management: revised recommendations for the 50/500 rules, Red List criteria and population viability analyses. </w:t>
      </w:r>
      <w:r w:rsidRPr="0061260A">
        <w:rPr>
          <w:rFonts w:asciiTheme="minorHAnsi" w:eastAsiaTheme="minorHAnsi" w:hAnsiTheme="minorHAnsi" w:cstheme="minorBidi"/>
          <w:i/>
          <w:iCs/>
          <w:sz w:val="21"/>
          <w:szCs w:val="21"/>
        </w:rPr>
        <w:t>Biological Conservation</w:t>
      </w:r>
      <w:r w:rsidRPr="0061260A">
        <w:rPr>
          <w:rFonts w:asciiTheme="minorHAnsi" w:eastAsiaTheme="minorHAnsi" w:hAnsiTheme="minorHAnsi" w:cstheme="minorBidi"/>
          <w:sz w:val="21"/>
          <w:szCs w:val="21"/>
        </w:rPr>
        <w:t xml:space="preserve"> 170(1): 56–63.</w:t>
      </w:r>
    </w:p>
    <w:p w14:paraId="0BBC45B8"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Geyle HM, Tingley R, Amey AP, Cogger H, Couper PJ, Cowan M, Craig MD, Doughty P, Driscoll DA, Ellis RJ, Emery JP, Fenner A, Gardner MG, Garnett ST, Gillespie GR, Greenlees MJ, Hoskin CJ, Keogh JS, Lloyd R, Melville J, McDonald PJ, Michael DR, Mitchell NJ, Sanderson C, Shea GM, Sumner J, Wapstra E, Woinarski JCZ and Chapple DG 2021. Reptiles on the brink: identifying the Australian terrestrial snake and lizard species most at risk of extinction. </w:t>
      </w:r>
      <w:r w:rsidRPr="0061260A">
        <w:rPr>
          <w:rFonts w:asciiTheme="minorHAnsi" w:eastAsiaTheme="minorHAnsi" w:hAnsiTheme="minorHAnsi" w:cstheme="minorBidi"/>
          <w:i/>
          <w:iCs/>
          <w:sz w:val="21"/>
          <w:szCs w:val="21"/>
        </w:rPr>
        <w:t>Pacific Conservation Biology</w:t>
      </w:r>
      <w:r w:rsidRPr="0061260A">
        <w:rPr>
          <w:rFonts w:asciiTheme="minorHAnsi" w:eastAsiaTheme="minorHAnsi" w:hAnsiTheme="minorHAnsi" w:cstheme="minorBidi"/>
          <w:sz w:val="21"/>
          <w:szCs w:val="21"/>
        </w:rPr>
        <w:t>. 27(1): 3–12.</w:t>
      </w:r>
    </w:p>
    <w:p w14:paraId="50CB58BE"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Greer AE 1989. </w:t>
      </w:r>
      <w:r w:rsidRPr="0061260A">
        <w:rPr>
          <w:rFonts w:asciiTheme="minorHAnsi" w:eastAsiaTheme="minorHAnsi" w:hAnsiTheme="minorHAnsi" w:cstheme="minorBidi"/>
          <w:i/>
          <w:iCs/>
          <w:sz w:val="21"/>
          <w:szCs w:val="21"/>
        </w:rPr>
        <w:t>The Biology and Evolution of Australian Lizards</w:t>
      </w:r>
      <w:r w:rsidRPr="0061260A">
        <w:rPr>
          <w:rFonts w:asciiTheme="minorHAnsi" w:eastAsiaTheme="minorHAnsi" w:hAnsiTheme="minorHAnsi" w:cstheme="minorBidi"/>
          <w:sz w:val="21"/>
          <w:szCs w:val="21"/>
        </w:rPr>
        <w:t>. Surrey Beatty &amp; Sons, Chipping Norton.</w:t>
      </w:r>
    </w:p>
    <w:p w14:paraId="24185401"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Hill WG 1981. Estimation of effective population size from data on linkage disequilibrium. </w:t>
      </w:r>
      <w:r w:rsidRPr="0061260A">
        <w:rPr>
          <w:rFonts w:asciiTheme="minorHAnsi" w:eastAsiaTheme="minorHAnsi" w:hAnsiTheme="minorHAnsi" w:cstheme="minorBidi"/>
          <w:i/>
          <w:iCs/>
          <w:sz w:val="21"/>
          <w:szCs w:val="21"/>
        </w:rPr>
        <w:t>Genetics Research</w:t>
      </w:r>
      <w:r w:rsidRPr="0061260A">
        <w:rPr>
          <w:rFonts w:asciiTheme="minorHAnsi" w:eastAsiaTheme="minorHAnsi" w:hAnsiTheme="minorHAnsi" w:cstheme="minorBidi"/>
          <w:sz w:val="21"/>
          <w:szCs w:val="21"/>
        </w:rPr>
        <w:t xml:space="preserve"> 38(3): 209–16.</w:t>
      </w:r>
    </w:p>
    <w:p w14:paraId="545B822E"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Hoehn M, Dimond W, Osborne W, and Sarre SD 2013. Genetic analysis reveals the costs of peri-urban development for the endangered Grassland Earless Dragon. </w:t>
      </w:r>
      <w:r w:rsidRPr="0061260A">
        <w:rPr>
          <w:rFonts w:asciiTheme="minorHAnsi" w:eastAsiaTheme="minorHAnsi" w:hAnsiTheme="minorHAnsi" w:cstheme="minorBidi"/>
          <w:i/>
          <w:iCs/>
          <w:sz w:val="21"/>
          <w:szCs w:val="21"/>
        </w:rPr>
        <w:t>Conservation Genetics</w:t>
      </w:r>
      <w:r w:rsidRPr="0061260A">
        <w:rPr>
          <w:rFonts w:asciiTheme="minorHAnsi" w:eastAsiaTheme="minorHAnsi" w:hAnsiTheme="minorHAnsi" w:cstheme="minorBidi"/>
          <w:sz w:val="21"/>
          <w:szCs w:val="21"/>
        </w:rPr>
        <w:t xml:space="preserve"> 14(6): 1269–1278.</w:t>
      </w:r>
    </w:p>
    <w:p w14:paraId="559DF40E"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Kirono DGC, Round V, Heady C, Chiew FHS and Osbrough S 2020. Drought projections for Australia: updated results and analysis of model simulations. </w:t>
      </w:r>
      <w:r w:rsidRPr="0061260A">
        <w:rPr>
          <w:rFonts w:asciiTheme="minorHAnsi" w:eastAsiaTheme="minorHAnsi" w:hAnsiTheme="minorHAnsi" w:cstheme="minorBidi"/>
          <w:i/>
          <w:iCs/>
          <w:sz w:val="21"/>
          <w:szCs w:val="21"/>
        </w:rPr>
        <w:t>Weather and Climate Extremes</w:t>
      </w:r>
      <w:r w:rsidRPr="0061260A">
        <w:rPr>
          <w:rFonts w:asciiTheme="minorHAnsi" w:eastAsiaTheme="minorHAnsi" w:hAnsiTheme="minorHAnsi" w:cstheme="minorBidi"/>
          <w:sz w:val="21"/>
          <w:szCs w:val="21"/>
        </w:rPr>
        <w:t xml:space="preserve"> 30: 100280.</w:t>
      </w:r>
    </w:p>
    <w:p w14:paraId="27A892A8"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Langston AC 1996. The ecology and distribution of </w:t>
      </w:r>
      <w:r w:rsidRPr="0061260A">
        <w:rPr>
          <w:rFonts w:asciiTheme="minorHAnsi" w:eastAsiaTheme="minorHAnsi" w:hAnsiTheme="minorHAnsi" w:cstheme="minorBidi"/>
          <w:i/>
          <w:iCs/>
          <w:sz w:val="21"/>
          <w:szCs w:val="21"/>
        </w:rPr>
        <w:t>Tympanocryptis lineata pinguicolla</w:t>
      </w:r>
      <w:r w:rsidRPr="0061260A">
        <w:rPr>
          <w:rFonts w:asciiTheme="minorHAnsi" w:eastAsiaTheme="minorHAnsi" w:hAnsiTheme="minorHAnsi" w:cstheme="minorBidi"/>
          <w:sz w:val="21"/>
          <w:szCs w:val="21"/>
        </w:rPr>
        <w:t xml:space="preserve"> (Southern Lined Earless Dragon) in the Australian Capital Territory and adjacent sub-region. Honours Thesis. Faculty of Applied Science, University of Canberra, Canberra. </w:t>
      </w:r>
    </w:p>
    <w:p w14:paraId="090EFB25"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MacKenzie JB, Baines G, Johnston L and Seddon J 2019. Identifying biodiversity refugia under climate change in the ACT and region. Environment, Planning and Sustainable Development Directorate, ACT Government, Canberra. </w:t>
      </w:r>
      <w:hyperlink r:id="rId11" w:history="1">
        <w:r w:rsidRPr="0061260A">
          <w:rPr>
            <w:rFonts w:asciiTheme="minorHAnsi" w:eastAsiaTheme="minorHAnsi" w:hAnsiTheme="minorHAnsi" w:cstheme="minorBidi"/>
            <w:color w:val="0000FF"/>
            <w:sz w:val="21"/>
            <w:szCs w:val="21"/>
            <w:u w:val="single"/>
          </w:rPr>
          <w:t>https://www.environment.act.gov.au/__data/assets/pdf_file/0007/1404808/identifying-biodiversity-refugia-in-the-act.pdf</w:t>
        </w:r>
      </w:hyperlink>
      <w:r w:rsidRPr="0061260A">
        <w:rPr>
          <w:rFonts w:asciiTheme="minorHAnsi" w:eastAsiaTheme="minorHAnsi" w:hAnsiTheme="minorHAnsi" w:cstheme="minorBidi"/>
          <w:sz w:val="21"/>
          <w:szCs w:val="21"/>
        </w:rPr>
        <w:t xml:space="preserve"> </w:t>
      </w:r>
    </w:p>
    <w:p w14:paraId="1EC57231"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Melbourne BA 1993. The assessment of insect biodiversity. A case study: ants and carabid beetles in grasslands of the ACT. Honours Thesis. Australian National University, Canberra.</w:t>
      </w:r>
    </w:p>
    <w:p w14:paraId="17BA7AAD"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Melville J, Chaplin K, Hutchinson M, Sumner J, Gruber B, MacDonald AJ and Sarre SD 2019a. Taxonomy and conservation of Grassland Earless Dragons: new species and an assessment of the first possible extinction of a reptile on mainland Australia. </w:t>
      </w:r>
      <w:r w:rsidRPr="0061260A">
        <w:rPr>
          <w:rFonts w:asciiTheme="minorHAnsi" w:eastAsiaTheme="minorHAnsi" w:hAnsiTheme="minorHAnsi" w:cstheme="minorBidi"/>
          <w:i/>
          <w:iCs/>
          <w:sz w:val="21"/>
          <w:szCs w:val="21"/>
        </w:rPr>
        <w:t>Royal Society Open Science</w:t>
      </w:r>
      <w:r w:rsidRPr="0061260A">
        <w:rPr>
          <w:rFonts w:asciiTheme="minorHAnsi" w:eastAsiaTheme="minorHAnsi" w:hAnsiTheme="minorHAnsi" w:cstheme="minorBidi"/>
          <w:sz w:val="21"/>
          <w:szCs w:val="21"/>
        </w:rPr>
        <w:t xml:space="preserve"> 6(5): 190–233.</w:t>
      </w:r>
    </w:p>
    <w:p w14:paraId="6800ED27"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lastRenderedPageBreak/>
        <w:t xml:space="preserve">Melville J, Chaplin K, Hipsley CA, Sarre SD, Sumner J, Hutchinson M </w:t>
      </w:r>
      <w:r w:rsidRPr="0061260A">
        <w:rPr>
          <w:rFonts w:asciiTheme="minorHAnsi" w:eastAsiaTheme="minorHAnsi" w:hAnsiTheme="minorHAnsi" w:cstheme="minorBidi"/>
          <w:bCs/>
          <w:sz w:val="21"/>
          <w:szCs w:val="21"/>
        </w:rPr>
        <w:t>2019b</w:t>
      </w:r>
      <w:r w:rsidRPr="0061260A">
        <w:rPr>
          <w:rFonts w:asciiTheme="minorHAnsi" w:eastAsiaTheme="minorHAnsi" w:hAnsiTheme="minorHAnsi" w:cstheme="minorBidi"/>
          <w:sz w:val="21"/>
          <w:szCs w:val="21"/>
        </w:rPr>
        <w:t xml:space="preserve">. Integrating phylogeography and high-resolution X-ray CT reveals five new cryptic species and multiple hybrid zones among Australian earless dragons. </w:t>
      </w:r>
      <w:r w:rsidRPr="0061260A">
        <w:rPr>
          <w:rFonts w:asciiTheme="minorHAnsi" w:eastAsiaTheme="minorHAnsi" w:hAnsiTheme="minorHAnsi" w:cstheme="minorBidi"/>
          <w:i/>
          <w:iCs/>
          <w:sz w:val="21"/>
          <w:szCs w:val="21"/>
        </w:rPr>
        <w:t xml:space="preserve">Royal Society Open Science </w:t>
      </w:r>
      <w:r w:rsidRPr="0061260A">
        <w:rPr>
          <w:rFonts w:asciiTheme="minorHAnsi" w:eastAsiaTheme="minorHAnsi" w:hAnsiTheme="minorHAnsi" w:cstheme="minorBidi"/>
          <w:sz w:val="21"/>
          <w:szCs w:val="21"/>
        </w:rPr>
        <w:t>6(12): 1–32.</w:t>
      </w:r>
    </w:p>
    <w:p w14:paraId="0696D4C0"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Melville J, Hutchinson M, Clemann N, Robertson P and Michael D 2018. </w:t>
      </w:r>
      <w:r w:rsidRPr="0061260A">
        <w:rPr>
          <w:rFonts w:asciiTheme="minorHAnsi" w:eastAsiaTheme="minorHAnsi" w:hAnsiTheme="minorHAnsi" w:cstheme="minorBidi"/>
          <w:i/>
          <w:iCs/>
          <w:sz w:val="21"/>
          <w:szCs w:val="21"/>
        </w:rPr>
        <w:t>Tympanocryptis pinguicolla</w:t>
      </w:r>
      <w:r w:rsidRPr="0061260A">
        <w:rPr>
          <w:rFonts w:asciiTheme="minorHAnsi" w:eastAsiaTheme="minorHAnsi" w:hAnsiTheme="minorHAnsi" w:cstheme="minorBidi"/>
          <w:sz w:val="21"/>
          <w:szCs w:val="21"/>
        </w:rPr>
        <w:t>. </w:t>
      </w:r>
      <w:r w:rsidRPr="0061260A">
        <w:rPr>
          <w:rFonts w:asciiTheme="minorHAnsi" w:eastAsiaTheme="minorHAnsi" w:hAnsiTheme="minorHAnsi" w:cstheme="minorBidi"/>
          <w:i/>
          <w:iCs/>
          <w:sz w:val="21"/>
          <w:szCs w:val="21"/>
        </w:rPr>
        <w:t>The IUCN Red List of Threatened Species</w:t>
      </w:r>
      <w:r w:rsidRPr="0061260A">
        <w:rPr>
          <w:rFonts w:asciiTheme="minorHAnsi" w:eastAsiaTheme="minorHAnsi" w:hAnsiTheme="minorHAnsi" w:cstheme="minorBidi"/>
          <w:sz w:val="21"/>
          <w:szCs w:val="21"/>
        </w:rPr>
        <w:t> 2018: e.T22579A83494675.</w:t>
      </w:r>
    </w:p>
    <w:p w14:paraId="636C8C96"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Mitchell FJ 1948. A revision of the lacertilian genus </w:t>
      </w:r>
      <w:r w:rsidRPr="0061260A">
        <w:rPr>
          <w:rFonts w:asciiTheme="minorHAnsi" w:eastAsiaTheme="minorHAnsi" w:hAnsiTheme="minorHAnsi" w:cstheme="minorBidi"/>
          <w:i/>
          <w:iCs/>
          <w:sz w:val="21"/>
          <w:szCs w:val="21"/>
        </w:rPr>
        <w:t>Tympanocryptis</w:t>
      </w:r>
      <w:r w:rsidRPr="0061260A">
        <w:rPr>
          <w:rFonts w:asciiTheme="minorHAnsi" w:eastAsiaTheme="minorHAnsi" w:hAnsiTheme="minorHAnsi" w:cstheme="minorBidi"/>
          <w:sz w:val="21"/>
          <w:szCs w:val="21"/>
        </w:rPr>
        <w:t xml:space="preserve">. </w:t>
      </w:r>
      <w:r w:rsidRPr="0061260A">
        <w:rPr>
          <w:rFonts w:asciiTheme="minorHAnsi" w:eastAsiaTheme="minorHAnsi" w:hAnsiTheme="minorHAnsi" w:cstheme="minorBidi"/>
          <w:i/>
          <w:iCs/>
          <w:sz w:val="21"/>
          <w:szCs w:val="21"/>
        </w:rPr>
        <w:t>Records of the South Australian Museum</w:t>
      </w:r>
      <w:r w:rsidRPr="0061260A">
        <w:rPr>
          <w:rFonts w:asciiTheme="minorHAnsi" w:eastAsiaTheme="minorHAnsi" w:hAnsiTheme="minorHAnsi" w:cstheme="minorBidi"/>
          <w:sz w:val="21"/>
          <w:szCs w:val="21"/>
        </w:rPr>
        <w:t xml:space="preserve"> 9(1): 57–86.</w:t>
      </w:r>
    </w:p>
    <w:p w14:paraId="565A313B"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Nelson L 2004. Thermal ecology and implications for life history variation in </w:t>
      </w:r>
      <w:r w:rsidRPr="0061260A">
        <w:rPr>
          <w:rFonts w:asciiTheme="minorHAnsi" w:eastAsiaTheme="minorHAnsi" w:hAnsiTheme="minorHAnsi" w:cstheme="minorBidi"/>
          <w:i/>
          <w:iCs/>
          <w:sz w:val="21"/>
          <w:szCs w:val="21"/>
        </w:rPr>
        <w:t>Tympanocryptis pinguicolla</w:t>
      </w:r>
      <w:r w:rsidRPr="0061260A">
        <w:rPr>
          <w:rFonts w:asciiTheme="minorHAnsi" w:eastAsiaTheme="minorHAnsi" w:hAnsiTheme="minorHAnsi" w:cstheme="minorBidi"/>
          <w:sz w:val="21"/>
          <w:szCs w:val="21"/>
        </w:rPr>
        <w:t xml:space="preserve"> (Grassland Earless Dragon). PhD Thesis. Division of Botany and Zoology, Australian National University, Canberra.</w:t>
      </w:r>
    </w:p>
    <w:p w14:paraId="5D1F7CFF"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Nelson LS and Cooper PD 2017. Seasonal effects on body temperature of the endangered grassland earless dragon, </w:t>
      </w:r>
      <w:r w:rsidRPr="0061260A">
        <w:rPr>
          <w:rFonts w:asciiTheme="minorHAnsi" w:eastAsiaTheme="minorHAnsi" w:hAnsiTheme="minorHAnsi" w:cstheme="minorBidi"/>
          <w:i/>
          <w:iCs/>
          <w:sz w:val="21"/>
          <w:szCs w:val="21"/>
        </w:rPr>
        <w:t>Tympanocryptis pinguicolla</w:t>
      </w:r>
      <w:r w:rsidRPr="0061260A">
        <w:rPr>
          <w:rFonts w:asciiTheme="minorHAnsi" w:eastAsiaTheme="minorHAnsi" w:hAnsiTheme="minorHAnsi" w:cstheme="minorBidi"/>
          <w:sz w:val="21"/>
          <w:szCs w:val="21"/>
        </w:rPr>
        <w:t xml:space="preserve">, from populations at two elevations. </w:t>
      </w:r>
      <w:r w:rsidRPr="0061260A">
        <w:rPr>
          <w:rFonts w:asciiTheme="minorHAnsi" w:eastAsiaTheme="minorHAnsi" w:hAnsiTheme="minorHAnsi" w:cstheme="minorBidi"/>
          <w:i/>
          <w:iCs/>
          <w:sz w:val="21"/>
          <w:szCs w:val="21"/>
        </w:rPr>
        <w:t>Australian Journal of Zoology</w:t>
      </w:r>
      <w:r w:rsidRPr="0061260A">
        <w:rPr>
          <w:rFonts w:asciiTheme="minorHAnsi" w:eastAsiaTheme="minorHAnsi" w:hAnsiTheme="minorHAnsi" w:cstheme="minorBidi"/>
          <w:sz w:val="21"/>
          <w:szCs w:val="21"/>
        </w:rPr>
        <w:t xml:space="preserve"> 65(3): 165–178.</w:t>
      </w:r>
    </w:p>
    <w:p w14:paraId="1C0B374D"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Nelson LS, Smith WJS and Goldie R 1996. 1996 survey program for the Eastern Lined Earless Dragon, </w:t>
      </w:r>
      <w:r w:rsidRPr="0061260A">
        <w:rPr>
          <w:rFonts w:asciiTheme="minorHAnsi" w:eastAsiaTheme="minorHAnsi" w:hAnsiTheme="minorHAnsi" w:cstheme="minorBidi"/>
          <w:i/>
          <w:iCs/>
          <w:sz w:val="21"/>
          <w:szCs w:val="21"/>
        </w:rPr>
        <w:t>Tympanocryptis pinguicolla.</w:t>
      </w:r>
      <w:r w:rsidRPr="0061260A">
        <w:rPr>
          <w:rFonts w:asciiTheme="minorHAnsi" w:eastAsiaTheme="minorHAnsi" w:hAnsiTheme="minorHAnsi" w:cstheme="minorBidi"/>
          <w:sz w:val="21"/>
          <w:szCs w:val="21"/>
        </w:rPr>
        <w:t xml:space="preserve"> Internal Report 96/2. Wildlife Research Unit, ACT Parks and Conservation Service, ACT Government, Canberra.</w:t>
      </w:r>
    </w:p>
    <w:p w14:paraId="755557B1"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NSW Government 2020. Saving our Species – Help save the Grassland Earless Dragon </w:t>
      </w:r>
      <w:r w:rsidRPr="0061260A">
        <w:rPr>
          <w:rFonts w:asciiTheme="minorHAnsi" w:eastAsiaTheme="minorHAnsi" w:hAnsiTheme="minorHAnsi" w:cstheme="minorBidi"/>
          <w:i/>
          <w:iCs/>
          <w:sz w:val="21"/>
          <w:szCs w:val="21"/>
        </w:rPr>
        <w:t>Tympanocryptis pinguicolla</w:t>
      </w:r>
      <w:r w:rsidRPr="0061260A">
        <w:rPr>
          <w:rFonts w:asciiTheme="minorHAnsi" w:eastAsiaTheme="minorHAnsi" w:hAnsiTheme="minorHAnsi" w:cstheme="minorBidi"/>
          <w:sz w:val="21"/>
          <w:szCs w:val="21"/>
        </w:rPr>
        <w:t>. Department of Planning and Environment, NSW Government, Sydney.</w:t>
      </w:r>
    </w:p>
    <w:p w14:paraId="66120F85"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NSW Scientific Committee 1996. Final Determination – Grassland earless dragon (</w:t>
      </w:r>
      <w:r w:rsidRPr="0061260A">
        <w:rPr>
          <w:rFonts w:asciiTheme="minorHAnsi" w:eastAsiaTheme="minorHAnsi" w:hAnsiTheme="minorHAnsi" w:cstheme="minorBidi"/>
          <w:i/>
          <w:iCs/>
          <w:sz w:val="21"/>
          <w:szCs w:val="21"/>
        </w:rPr>
        <w:t>Tympanocryptis pinguicolla</w:t>
      </w:r>
      <w:r w:rsidRPr="0061260A">
        <w:rPr>
          <w:rFonts w:asciiTheme="minorHAnsi" w:eastAsiaTheme="minorHAnsi" w:hAnsiTheme="minorHAnsi" w:cstheme="minorBidi"/>
          <w:sz w:val="21"/>
          <w:szCs w:val="21"/>
        </w:rPr>
        <w:t>) - endangered species listing (formerly called south-eastern lined earless dragon (Tympanocryptis lineata pinguicolla). Department of Planning and Environment, NSW Government, Sydney.</w:t>
      </w:r>
    </w:p>
    <w:p w14:paraId="5DEA42A6"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Osborne W 2015. Monitoring grassland earless dragons at Jerrabomberra East Grassland Reserve 2009–2015. Report for Canberra Nature Park, ACT Parks and Conservation Service. Institute for Applied Ecology, University of Canberra, Canberra.</w:t>
      </w:r>
    </w:p>
    <w:p w14:paraId="7F0BB244"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Osborne WS, Kukolic K, Davis MS, and Blackburn R 1993. Recent records of the Earless Dragon </w:t>
      </w:r>
      <w:r w:rsidRPr="0061260A">
        <w:rPr>
          <w:rFonts w:asciiTheme="minorHAnsi" w:eastAsiaTheme="minorHAnsi" w:hAnsiTheme="minorHAnsi" w:cstheme="minorBidi"/>
          <w:i/>
          <w:iCs/>
          <w:sz w:val="21"/>
          <w:szCs w:val="21"/>
        </w:rPr>
        <w:t>Tympanocryptis lineata pinguicolla</w:t>
      </w:r>
      <w:r w:rsidRPr="0061260A">
        <w:rPr>
          <w:rFonts w:asciiTheme="minorHAnsi" w:eastAsiaTheme="minorHAnsi" w:hAnsiTheme="minorHAnsi" w:cstheme="minorBidi"/>
          <w:sz w:val="21"/>
          <w:szCs w:val="21"/>
        </w:rPr>
        <w:t xml:space="preserve"> in the Canberra region and a description of its habitat. </w:t>
      </w:r>
      <w:r w:rsidRPr="0061260A">
        <w:rPr>
          <w:rFonts w:asciiTheme="minorHAnsi" w:eastAsiaTheme="minorHAnsi" w:hAnsiTheme="minorHAnsi" w:cstheme="minorBidi"/>
          <w:i/>
          <w:iCs/>
          <w:sz w:val="21"/>
          <w:szCs w:val="21"/>
        </w:rPr>
        <w:t>Herpetofauna</w:t>
      </w:r>
      <w:r w:rsidRPr="0061260A">
        <w:rPr>
          <w:rFonts w:asciiTheme="minorHAnsi" w:eastAsiaTheme="minorHAnsi" w:hAnsiTheme="minorHAnsi" w:cstheme="minorBidi"/>
          <w:sz w:val="21"/>
          <w:szCs w:val="21"/>
        </w:rPr>
        <w:t xml:space="preserve"> 23(1): 16–25.</w:t>
      </w:r>
    </w:p>
    <w:p w14:paraId="7EC2E458"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Osborne W, Doucette L and Gilbert M 2013. Monitoring Grassland Earless Dragons at the Jerrabomberra Grassland Reserves – 2011, 2012 and 2013. Institute for Applied Ecology, University of Canberra, Canberra.</w:t>
      </w:r>
    </w:p>
    <w:p w14:paraId="15BEF7BC"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Osborne W, Wong D and Dimond W 2009. Habitat mapping for the Grassland Earless Dragon (</w:t>
      </w:r>
      <w:r w:rsidRPr="0061260A">
        <w:rPr>
          <w:rFonts w:asciiTheme="minorHAnsi" w:eastAsiaTheme="minorHAnsi" w:hAnsiTheme="minorHAnsi" w:cstheme="minorBidi"/>
          <w:i/>
          <w:iCs/>
          <w:sz w:val="21"/>
          <w:szCs w:val="21"/>
        </w:rPr>
        <w:t>Tympanocryptis pinguicolla</w:t>
      </w:r>
      <w:r w:rsidRPr="0061260A">
        <w:rPr>
          <w:rFonts w:asciiTheme="minorHAnsi" w:eastAsiaTheme="minorHAnsi" w:hAnsiTheme="minorHAnsi" w:cstheme="minorBidi"/>
          <w:sz w:val="21"/>
          <w:szCs w:val="21"/>
        </w:rPr>
        <w:t>) at Cookanalla and Wendover, Symonston, ACT. Report and mapping for ACT Planning and Land Authority. Institute for Applied Ecology, University of Canberra, Canberra.</w:t>
      </w:r>
    </w:p>
    <w:p w14:paraId="5A32B333"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Peters WCH 1863. Eine Übersicht der von Hrn. Richard Schomburgk an das zoologische Museum eingesandten Amphibien, aus Buchsfelde bei Adelaide in Südaustralien. </w:t>
      </w:r>
      <w:r w:rsidRPr="0061260A">
        <w:rPr>
          <w:rFonts w:asciiTheme="minorHAnsi" w:eastAsiaTheme="minorHAnsi" w:hAnsiTheme="minorHAnsi" w:cstheme="minorBidi"/>
          <w:i/>
          <w:iCs/>
          <w:sz w:val="21"/>
          <w:szCs w:val="21"/>
        </w:rPr>
        <w:t>Monatsberichte der Königlichen Preussische Akademie des Wissenschaften zu Berlin</w:t>
      </w:r>
      <w:r w:rsidRPr="0061260A">
        <w:rPr>
          <w:rFonts w:asciiTheme="minorHAnsi" w:eastAsiaTheme="minorHAnsi" w:hAnsiTheme="minorHAnsi" w:cstheme="minorBidi"/>
          <w:sz w:val="21"/>
          <w:szCs w:val="21"/>
        </w:rPr>
        <w:t xml:space="preserve"> 1863: 228–236.</w:t>
      </w:r>
    </w:p>
    <w:p w14:paraId="66118570"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Robertson P and Evans M 2009. </w:t>
      </w:r>
      <w:r w:rsidRPr="0061260A">
        <w:rPr>
          <w:rFonts w:asciiTheme="minorHAnsi" w:eastAsiaTheme="minorHAnsi" w:hAnsiTheme="minorHAnsi" w:cstheme="minorBidi"/>
          <w:i/>
          <w:iCs/>
          <w:sz w:val="21"/>
          <w:szCs w:val="21"/>
        </w:rPr>
        <w:t xml:space="preserve">National Recovery Plan for the Grassland Earless Dragon </w:t>
      </w:r>
      <w:r w:rsidRPr="0061260A">
        <w:rPr>
          <w:rFonts w:asciiTheme="minorHAnsi" w:eastAsiaTheme="minorHAnsi" w:hAnsiTheme="minorHAnsi" w:cstheme="minorBidi"/>
          <w:i/>
          <w:iCs/>
          <w:sz w:val="21"/>
          <w:szCs w:val="21"/>
          <w:u w:val="single"/>
        </w:rPr>
        <w:t>Tympanocryptis pinguicolla</w:t>
      </w:r>
      <w:r w:rsidRPr="0061260A">
        <w:rPr>
          <w:rFonts w:asciiTheme="minorHAnsi" w:eastAsiaTheme="minorHAnsi" w:hAnsiTheme="minorHAnsi" w:cstheme="minorBidi"/>
          <w:sz w:val="21"/>
          <w:szCs w:val="21"/>
        </w:rPr>
        <w:t>. ACT Department of Territory and Municipal Services, ACT Government, Canberra.</w:t>
      </w:r>
    </w:p>
    <w:p w14:paraId="493918B1"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Sarre SD, Stringer E, Duncan R and Gruber B 2020</w:t>
      </w:r>
      <w:r w:rsidRPr="0061260A">
        <w:rPr>
          <w:rFonts w:asciiTheme="minorHAnsi" w:eastAsiaTheme="minorHAnsi" w:hAnsiTheme="minorHAnsi" w:cstheme="minorBidi"/>
          <w:i/>
          <w:iCs/>
          <w:sz w:val="21"/>
          <w:szCs w:val="21"/>
        </w:rPr>
        <w:t>. Future Monitoring of Canberra Grassland Earless Dragons (Tympanocryptis lineata) in the ACT</w:t>
      </w:r>
      <w:r w:rsidRPr="0061260A">
        <w:rPr>
          <w:rFonts w:asciiTheme="minorHAnsi" w:eastAsiaTheme="minorHAnsi" w:hAnsiTheme="minorHAnsi" w:cstheme="minorBidi"/>
          <w:sz w:val="21"/>
          <w:szCs w:val="21"/>
        </w:rPr>
        <w:t>. University of Canberra, Canberra.</w:t>
      </w:r>
    </w:p>
    <w:p w14:paraId="2E751392"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Sharp S 2011. </w:t>
      </w:r>
      <w:r w:rsidRPr="0061260A">
        <w:rPr>
          <w:rFonts w:asciiTheme="minorHAnsi" w:eastAsiaTheme="minorHAnsi" w:hAnsiTheme="minorHAnsi" w:cstheme="minorBidi"/>
          <w:i/>
          <w:iCs/>
          <w:sz w:val="21"/>
          <w:szCs w:val="21"/>
        </w:rPr>
        <w:t>Distribution and Abundance of African Lovegrass in the ACT and Capital Region and options for strategic control.</w:t>
      </w:r>
      <w:r w:rsidRPr="0061260A">
        <w:rPr>
          <w:rFonts w:asciiTheme="minorHAnsi" w:eastAsiaTheme="minorHAnsi" w:hAnsiTheme="minorHAnsi" w:cstheme="minorBidi"/>
          <w:sz w:val="21"/>
          <w:szCs w:val="21"/>
        </w:rPr>
        <w:t xml:space="preserve"> Report to the Southern ACT Catchment Group, Canberra.</w:t>
      </w:r>
    </w:p>
    <w:p w14:paraId="5C7C96A3"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lastRenderedPageBreak/>
        <w:t>Smith W 1994. The ecology and taxonomy of the Southern Lined Earless Dragon (</w:t>
      </w:r>
      <w:r w:rsidRPr="0061260A">
        <w:rPr>
          <w:rFonts w:asciiTheme="minorHAnsi" w:eastAsiaTheme="minorHAnsi" w:hAnsiTheme="minorHAnsi" w:cstheme="minorBidi"/>
          <w:i/>
          <w:iCs/>
          <w:sz w:val="21"/>
          <w:szCs w:val="21"/>
        </w:rPr>
        <w:t>Tympanocryptis lineata pinguicolla</w:t>
      </w:r>
      <w:r w:rsidRPr="0061260A">
        <w:rPr>
          <w:rFonts w:asciiTheme="minorHAnsi" w:eastAsiaTheme="minorHAnsi" w:hAnsiTheme="minorHAnsi" w:cstheme="minorBidi"/>
          <w:sz w:val="21"/>
          <w:szCs w:val="21"/>
        </w:rPr>
        <w:t>). Honours Thesis. Australian National University, Canberra.</w:t>
      </w:r>
    </w:p>
    <w:p w14:paraId="32ABD9CF"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Stevens TA, Evans MC, Osborne WS and Sarre SD 2010. Home ranges of, and habitat use by, the grassland earless dragon (</w:t>
      </w:r>
      <w:r w:rsidRPr="0061260A">
        <w:rPr>
          <w:rFonts w:asciiTheme="minorHAnsi" w:eastAsiaTheme="minorHAnsi" w:hAnsiTheme="minorHAnsi" w:cstheme="minorBidi"/>
          <w:i/>
          <w:iCs/>
          <w:sz w:val="21"/>
          <w:szCs w:val="21"/>
        </w:rPr>
        <w:t>Tympanocryptis pinguicolla</w:t>
      </w:r>
      <w:r w:rsidRPr="0061260A">
        <w:rPr>
          <w:rFonts w:asciiTheme="minorHAnsi" w:eastAsiaTheme="minorHAnsi" w:hAnsiTheme="minorHAnsi" w:cstheme="minorBidi"/>
          <w:sz w:val="21"/>
          <w:szCs w:val="21"/>
        </w:rPr>
        <w:t xml:space="preserve">) in remnant native grasslands near Canberra. </w:t>
      </w:r>
      <w:r w:rsidRPr="0061260A">
        <w:rPr>
          <w:rFonts w:asciiTheme="minorHAnsi" w:eastAsiaTheme="minorHAnsi" w:hAnsiTheme="minorHAnsi" w:cstheme="minorBidi"/>
          <w:i/>
          <w:iCs/>
          <w:sz w:val="21"/>
          <w:szCs w:val="21"/>
        </w:rPr>
        <w:t>Australian Journal of Zoology</w:t>
      </w:r>
      <w:r w:rsidRPr="0061260A">
        <w:rPr>
          <w:rFonts w:asciiTheme="minorHAnsi" w:eastAsiaTheme="minorHAnsi" w:hAnsiTheme="minorHAnsi" w:cstheme="minorBidi"/>
          <w:sz w:val="21"/>
          <w:szCs w:val="21"/>
        </w:rPr>
        <w:t xml:space="preserve"> 58(2): 76–84.</w:t>
      </w:r>
    </w:p>
    <w:p w14:paraId="05CFB7F0"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Stringer EJ 2018. The detection and monitoring of Grassland Earless Dragons (</w:t>
      </w:r>
      <w:r w:rsidRPr="0061260A">
        <w:rPr>
          <w:rFonts w:asciiTheme="minorHAnsi" w:eastAsiaTheme="minorHAnsi" w:hAnsiTheme="minorHAnsi" w:cstheme="minorBidi"/>
          <w:i/>
          <w:iCs/>
          <w:sz w:val="21"/>
          <w:szCs w:val="21"/>
        </w:rPr>
        <w:t>Tympanocryptis pinguicolla</w:t>
      </w:r>
      <w:r w:rsidRPr="0061260A">
        <w:rPr>
          <w:rFonts w:asciiTheme="minorHAnsi" w:eastAsiaTheme="minorHAnsi" w:hAnsiTheme="minorHAnsi" w:cstheme="minorBidi"/>
          <w:sz w:val="21"/>
          <w:szCs w:val="21"/>
        </w:rPr>
        <w:t>). Honours Thesis. University of Canberra, Canberra.</w:t>
      </w:r>
    </w:p>
    <w:p w14:paraId="0CD02E95"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Taylor KA 2014. Behavioural ecology of captive Grassland Earless Dragons (</w:t>
      </w:r>
      <w:r w:rsidRPr="0061260A">
        <w:rPr>
          <w:rFonts w:asciiTheme="minorHAnsi" w:eastAsiaTheme="minorHAnsi" w:hAnsiTheme="minorHAnsi" w:cstheme="minorBidi"/>
          <w:i/>
          <w:iCs/>
          <w:sz w:val="21"/>
          <w:szCs w:val="21"/>
        </w:rPr>
        <w:t>Tympanocryptis pinguicolla</w:t>
      </w:r>
      <w:r w:rsidRPr="0061260A">
        <w:rPr>
          <w:rFonts w:asciiTheme="minorHAnsi" w:eastAsiaTheme="minorHAnsi" w:hAnsiTheme="minorHAnsi" w:cstheme="minorBidi"/>
          <w:sz w:val="21"/>
          <w:szCs w:val="21"/>
        </w:rPr>
        <w:t>). Honours Thesis. University of Canberra, Canberra.</w:t>
      </w:r>
    </w:p>
    <w:p w14:paraId="2997CD0B"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Thomson J 2021. Detecting and monitoring the Canberra Grassland Earless Dragon (</w:t>
      </w:r>
      <w:r w:rsidRPr="0061260A">
        <w:rPr>
          <w:rFonts w:asciiTheme="minorHAnsi" w:eastAsiaTheme="minorHAnsi" w:hAnsiTheme="minorHAnsi" w:cstheme="minorBidi"/>
          <w:i/>
          <w:iCs/>
          <w:sz w:val="21"/>
          <w:szCs w:val="21"/>
        </w:rPr>
        <w:t>Tympanocryptis lineata</w:t>
      </w:r>
      <w:r w:rsidRPr="0061260A">
        <w:rPr>
          <w:rFonts w:asciiTheme="minorHAnsi" w:eastAsiaTheme="minorHAnsi" w:hAnsiTheme="minorHAnsi" w:cstheme="minorBidi"/>
          <w:sz w:val="21"/>
          <w:szCs w:val="21"/>
        </w:rPr>
        <w:t>). Honours Thesis. University of Canberra, Canberra.</w:t>
      </w:r>
    </w:p>
    <w:p w14:paraId="3FA1DA57"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Trenberth KE, Dai A, van der Schrier G, Jones PD, Barichivich J, Briffa KR and Sheffield J 2014. Global warming and changes in drought. </w:t>
      </w:r>
      <w:r w:rsidRPr="0061260A">
        <w:rPr>
          <w:rFonts w:asciiTheme="minorHAnsi" w:eastAsiaTheme="minorHAnsi" w:hAnsiTheme="minorHAnsi" w:cstheme="minorBidi"/>
          <w:i/>
          <w:iCs/>
          <w:sz w:val="21"/>
          <w:szCs w:val="21"/>
        </w:rPr>
        <w:t>Nature Climate Change</w:t>
      </w:r>
      <w:r w:rsidRPr="0061260A">
        <w:rPr>
          <w:rFonts w:asciiTheme="minorHAnsi" w:eastAsiaTheme="minorHAnsi" w:hAnsiTheme="minorHAnsi" w:cstheme="minorBidi"/>
          <w:sz w:val="21"/>
          <w:szCs w:val="21"/>
        </w:rPr>
        <w:t xml:space="preserve"> 4(1): 17–22.</w:t>
      </w:r>
    </w:p>
    <w:p w14:paraId="3F42100D"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TSSC 2008. </w:t>
      </w:r>
      <w:r w:rsidRPr="0061260A">
        <w:rPr>
          <w:rFonts w:asciiTheme="minorHAnsi" w:eastAsiaTheme="minorHAnsi" w:hAnsiTheme="minorHAnsi" w:cstheme="minorBidi"/>
          <w:i/>
          <w:iCs/>
          <w:sz w:val="21"/>
          <w:szCs w:val="21"/>
        </w:rPr>
        <w:t>Listing Advice: Natural Temperate Grassland of the Victorian Volcanic Plain</w:t>
      </w:r>
      <w:r w:rsidRPr="0061260A">
        <w:rPr>
          <w:rFonts w:asciiTheme="minorHAnsi" w:eastAsiaTheme="minorHAnsi" w:hAnsiTheme="minorHAnsi" w:cstheme="minorBidi"/>
          <w:sz w:val="21"/>
          <w:szCs w:val="21"/>
        </w:rPr>
        <w:t>. Threatened Species Scientific Committee. Commonwealth Department of the Environment, Water, Heritage and the Arts, Canberra.</w:t>
      </w:r>
    </w:p>
    <w:p w14:paraId="646E9165" w14:textId="77777777" w:rsidR="0061260A" w:rsidRPr="0061260A" w:rsidRDefault="0061260A" w:rsidP="0061260A">
      <w:pPr>
        <w:spacing w:after="200" w:line="276" w:lineRule="auto"/>
        <w:ind w:left="567" w:hanging="567"/>
        <w:contextualSpacing/>
        <w:rPr>
          <w:rFonts w:asciiTheme="minorHAnsi" w:eastAsiaTheme="minorHAnsi" w:hAnsiTheme="minorHAnsi" w:cstheme="minorBidi"/>
          <w:sz w:val="21"/>
          <w:szCs w:val="21"/>
        </w:rPr>
      </w:pPr>
      <w:r w:rsidRPr="0061260A">
        <w:rPr>
          <w:rFonts w:asciiTheme="minorHAnsi" w:eastAsiaTheme="minorHAnsi" w:hAnsiTheme="minorHAnsi" w:cstheme="minorBidi"/>
          <w:sz w:val="21"/>
          <w:szCs w:val="21"/>
        </w:rPr>
        <w:t xml:space="preserve">Waples RS 1991. Genetic methods for estimating the effective size of cetacean populations. </w:t>
      </w:r>
      <w:r w:rsidRPr="0061260A">
        <w:rPr>
          <w:rFonts w:asciiTheme="minorHAnsi" w:eastAsiaTheme="minorHAnsi" w:hAnsiTheme="minorHAnsi" w:cstheme="minorBidi"/>
          <w:i/>
          <w:iCs/>
          <w:sz w:val="21"/>
          <w:szCs w:val="21"/>
        </w:rPr>
        <w:t>Report of the International Whaling Commission (special issue)</w:t>
      </w:r>
      <w:r w:rsidRPr="0061260A">
        <w:rPr>
          <w:rFonts w:asciiTheme="minorHAnsi" w:eastAsiaTheme="minorHAnsi" w:hAnsiTheme="minorHAnsi" w:cstheme="minorBidi"/>
          <w:sz w:val="21"/>
          <w:szCs w:val="21"/>
        </w:rPr>
        <w:t xml:space="preserve"> 13: 279–300.</w:t>
      </w:r>
    </w:p>
    <w:p w14:paraId="00CCC542" w14:textId="77777777" w:rsidR="0061260A" w:rsidRPr="0061260A" w:rsidRDefault="0061260A" w:rsidP="0061260A">
      <w:pPr>
        <w:keepNext/>
        <w:keepLines/>
        <w:spacing w:before="200" w:line="276" w:lineRule="auto"/>
        <w:outlineLvl w:val="1"/>
        <w:rPr>
          <w:rFonts w:ascii="Arial" w:eastAsiaTheme="majorEastAsia" w:hAnsi="Arial" w:cstheme="majorBidi"/>
          <w:bCs/>
          <w:caps/>
          <w:color w:val="009999"/>
          <w:sz w:val="28"/>
          <w:szCs w:val="26"/>
        </w:rPr>
      </w:pPr>
      <w:r w:rsidRPr="0061260A">
        <w:rPr>
          <w:rFonts w:ascii="Arial" w:eastAsiaTheme="majorEastAsia" w:hAnsi="Arial" w:cstheme="majorBidi"/>
          <w:bCs/>
          <w:caps/>
          <w:color w:val="009999"/>
          <w:sz w:val="28"/>
          <w:szCs w:val="26"/>
        </w:rPr>
        <w:t>Further Information</w:t>
      </w:r>
    </w:p>
    <w:p w14:paraId="4AB8283A" w14:textId="66A7F1FE" w:rsidR="0061260A" w:rsidRPr="0061260A" w:rsidRDefault="0061260A" w:rsidP="0061260A">
      <w:pPr>
        <w:spacing w:after="200" w:line="276" w:lineRule="auto"/>
        <w:rPr>
          <w:rFonts w:asciiTheme="minorHAnsi" w:eastAsiaTheme="minorHAnsi" w:hAnsiTheme="minorHAnsi" w:cstheme="minorBidi"/>
          <w:color w:val="0000FF"/>
          <w:sz w:val="22"/>
          <w:szCs w:val="22"/>
          <w:u w:val="single"/>
        </w:rPr>
      </w:pPr>
      <w:r w:rsidRPr="0061260A">
        <w:rPr>
          <w:rFonts w:asciiTheme="minorHAnsi" w:eastAsiaTheme="minorHAnsi" w:hAnsiTheme="minorHAnsi" w:cstheme="minorBidi"/>
          <w:sz w:val="21"/>
          <w:szCs w:val="21"/>
        </w:rPr>
        <w:t>Further information on the related Action Plan and Woodland Strategy or other threatened species and ecological communities can be obtained from the Environment, Planning and Sustainable Development Directorate (EPSDD): Phone: (02) 132281, EPSDD Website:</w:t>
      </w:r>
      <w:r w:rsidR="001016AE">
        <w:rPr>
          <w:rFonts w:asciiTheme="minorHAnsi" w:eastAsiaTheme="minorHAnsi" w:hAnsiTheme="minorHAnsi" w:cstheme="minorBidi"/>
          <w:sz w:val="21"/>
          <w:szCs w:val="21"/>
        </w:rPr>
        <w:t xml:space="preserve"> </w:t>
      </w:r>
      <w:hyperlink r:id="rId12" w:history="1">
        <w:r w:rsidR="001016AE" w:rsidRPr="00A90D6A">
          <w:rPr>
            <w:rStyle w:val="Hyperlink"/>
            <w:rFonts w:asciiTheme="minorHAnsi" w:eastAsiaTheme="minorHAnsi" w:hAnsiTheme="minorHAnsi" w:cstheme="minorBidi"/>
            <w:sz w:val="21"/>
            <w:szCs w:val="21"/>
          </w:rPr>
          <w:t>https://www.environment.act.gov.au/</w:t>
        </w:r>
      </w:hyperlink>
      <w:r w:rsidR="001016AE">
        <w:rPr>
          <w:rFonts w:asciiTheme="minorHAnsi" w:eastAsiaTheme="minorHAnsi" w:hAnsiTheme="minorHAnsi" w:cstheme="minorBidi"/>
          <w:sz w:val="21"/>
          <w:szCs w:val="21"/>
        </w:rPr>
        <w:t xml:space="preserve"> </w:t>
      </w:r>
    </w:p>
    <w:p w14:paraId="15EC1C34" w14:textId="77777777" w:rsidR="0061260A" w:rsidRPr="0061260A" w:rsidRDefault="0061260A" w:rsidP="0061260A">
      <w:pPr>
        <w:spacing w:after="200" w:line="276" w:lineRule="auto"/>
        <w:rPr>
          <w:rFonts w:asciiTheme="minorHAnsi" w:eastAsiaTheme="minorHAnsi" w:hAnsiTheme="minorHAnsi" w:cstheme="minorBidi"/>
          <w:color w:val="0000FF"/>
          <w:sz w:val="22"/>
          <w:szCs w:val="22"/>
          <w:u w:val="single"/>
        </w:rPr>
      </w:pPr>
      <w:r w:rsidRPr="0061260A">
        <w:rPr>
          <w:rFonts w:asciiTheme="minorHAnsi" w:eastAsiaTheme="minorHAnsi" w:hAnsiTheme="minorHAnsi" w:cstheme="minorBidi"/>
          <w:color w:val="0000FF"/>
          <w:sz w:val="22"/>
          <w:szCs w:val="22"/>
          <w:u w:val="single"/>
        </w:rPr>
        <w:br w:type="page"/>
      </w:r>
    </w:p>
    <w:p w14:paraId="1E02C1BF" w14:textId="77777777" w:rsidR="0061260A" w:rsidRPr="0061260A" w:rsidRDefault="0061260A" w:rsidP="0061260A">
      <w:pPr>
        <w:keepNext/>
        <w:keepLines/>
        <w:spacing w:before="200" w:line="276" w:lineRule="auto"/>
        <w:outlineLvl w:val="1"/>
        <w:rPr>
          <w:rFonts w:ascii="Arial" w:eastAsiaTheme="majorEastAsia" w:hAnsi="Arial" w:cstheme="majorBidi"/>
          <w:bCs/>
          <w:caps/>
          <w:color w:val="009999"/>
          <w:sz w:val="22"/>
          <w:szCs w:val="22"/>
        </w:rPr>
      </w:pPr>
      <w:r w:rsidRPr="0061260A">
        <w:rPr>
          <w:rFonts w:ascii="Arial" w:eastAsiaTheme="majorEastAsia" w:hAnsi="Arial" w:cstheme="majorBidi"/>
          <w:bCs/>
          <w:caps/>
          <w:color w:val="009999"/>
          <w:sz w:val="28"/>
          <w:szCs w:val="26"/>
        </w:rPr>
        <w:lastRenderedPageBreak/>
        <w:t xml:space="preserve">Attachment A: Listing Assessment </w:t>
      </w:r>
      <w:r w:rsidRPr="0061260A">
        <w:rPr>
          <w:rFonts w:ascii="Arial" w:eastAsiaTheme="majorEastAsia" w:hAnsi="Arial" w:cstheme="majorBidi"/>
          <w:bCs/>
          <w:caps/>
          <w:color w:val="009999"/>
          <w:sz w:val="22"/>
          <w:szCs w:val="22"/>
        </w:rPr>
        <w:t>(ACT Scientific Committee and DEECCW 2022)</w:t>
      </w:r>
    </w:p>
    <w:p w14:paraId="6ACF8178" w14:textId="77777777" w:rsidR="0061260A" w:rsidRPr="0061260A" w:rsidRDefault="0061260A" w:rsidP="0061260A">
      <w:pPr>
        <w:keepNext/>
        <w:keepLines/>
        <w:rPr>
          <w:rFonts w:ascii="Calibri" w:hAnsi="Calibri" w:cs="Calibri"/>
          <w:sz w:val="22"/>
          <w:szCs w:val="22"/>
          <w:lang w:eastAsia="en-AU"/>
        </w:rPr>
      </w:pPr>
      <w:r w:rsidRPr="0061260A">
        <w:rPr>
          <w:rFonts w:ascii="Calibri" w:hAnsi="Calibri" w:cs="Calibri"/>
          <w:noProof/>
          <w:sz w:val="22"/>
          <w:szCs w:val="22"/>
          <w:lang w:eastAsia="en-AU"/>
        </w:rPr>
        <w:drawing>
          <wp:inline distT="0" distB="0" distL="0" distR="0" wp14:anchorId="2F97C205" wp14:editId="6BFB18AC">
            <wp:extent cx="4876357" cy="467106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0036" cy="4684163"/>
                    </a:xfrm>
                    <a:prstGeom prst="rect">
                      <a:avLst/>
                    </a:prstGeom>
                    <a:noFill/>
                    <a:ln>
                      <a:noFill/>
                    </a:ln>
                  </pic:spPr>
                </pic:pic>
              </a:graphicData>
            </a:graphic>
          </wp:inline>
        </w:drawing>
      </w:r>
    </w:p>
    <w:p w14:paraId="35A6C491" w14:textId="77777777" w:rsidR="0061260A" w:rsidRPr="0061260A" w:rsidRDefault="0061260A" w:rsidP="0061260A">
      <w:pPr>
        <w:keepLines/>
        <w:rPr>
          <w:rFonts w:ascii="Calibri" w:hAnsi="Calibri" w:cs="Calibri"/>
          <w:sz w:val="22"/>
          <w:szCs w:val="22"/>
          <w:lang w:eastAsia="en-AU"/>
        </w:rPr>
      </w:pPr>
      <w:r w:rsidRPr="0061260A">
        <w:rPr>
          <w:rFonts w:ascii="Calibri" w:hAnsi="Calibri" w:cs="Calibri"/>
          <w:noProof/>
          <w:sz w:val="22"/>
          <w:szCs w:val="22"/>
          <w:lang w:eastAsia="en-AU"/>
        </w:rPr>
        <w:drawing>
          <wp:inline distT="0" distB="0" distL="0" distR="0" wp14:anchorId="1AEE7D0A" wp14:editId="4A3FBA87">
            <wp:extent cx="4876165" cy="3684946"/>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4917" cy="3699117"/>
                    </a:xfrm>
                    <a:prstGeom prst="rect">
                      <a:avLst/>
                    </a:prstGeom>
                    <a:noFill/>
                    <a:ln>
                      <a:noFill/>
                    </a:ln>
                  </pic:spPr>
                </pic:pic>
              </a:graphicData>
            </a:graphic>
          </wp:inline>
        </w:drawing>
      </w:r>
      <w:r w:rsidRPr="0061260A">
        <w:rPr>
          <w:rFonts w:ascii="Calibri" w:hAnsi="Calibri" w:cs="Calibri"/>
          <w:sz w:val="22"/>
          <w:szCs w:val="22"/>
          <w:lang w:eastAsia="en-AU"/>
        </w:rPr>
        <w:br w:type="page"/>
      </w:r>
    </w:p>
    <w:p w14:paraId="59CFBEC6" w14:textId="77777777" w:rsidR="0061260A" w:rsidRPr="0061260A" w:rsidRDefault="0061260A" w:rsidP="0061260A">
      <w:pPr>
        <w:rPr>
          <w:rFonts w:ascii="Calibri" w:hAnsi="Calibri" w:cs="Calibri"/>
          <w:sz w:val="22"/>
          <w:szCs w:val="22"/>
          <w:lang w:eastAsia="en-AU"/>
        </w:rPr>
      </w:pPr>
      <w:r w:rsidRPr="0061260A">
        <w:rPr>
          <w:rFonts w:ascii="Calibri" w:hAnsi="Calibri" w:cs="Calibri"/>
          <w:noProof/>
          <w:sz w:val="22"/>
          <w:szCs w:val="22"/>
          <w:lang w:eastAsia="en-AU"/>
        </w:rPr>
        <w:lastRenderedPageBreak/>
        <w:drawing>
          <wp:inline distT="0" distB="0" distL="0" distR="0" wp14:anchorId="09E3BB57" wp14:editId="0096BA79">
            <wp:extent cx="5731510" cy="248412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484120"/>
                    </a:xfrm>
                    <a:prstGeom prst="rect">
                      <a:avLst/>
                    </a:prstGeom>
                    <a:noFill/>
                    <a:ln>
                      <a:noFill/>
                    </a:ln>
                  </pic:spPr>
                </pic:pic>
              </a:graphicData>
            </a:graphic>
          </wp:inline>
        </w:drawing>
      </w:r>
    </w:p>
    <w:p w14:paraId="11D69271" w14:textId="77777777" w:rsidR="0061260A" w:rsidRPr="0061260A" w:rsidRDefault="0061260A" w:rsidP="0061260A">
      <w:pPr>
        <w:rPr>
          <w:rFonts w:ascii="Calibri" w:hAnsi="Calibri" w:cs="Calibri"/>
          <w:sz w:val="22"/>
          <w:szCs w:val="22"/>
          <w:lang w:eastAsia="en-AU"/>
        </w:rPr>
      </w:pPr>
      <w:r w:rsidRPr="0061260A">
        <w:rPr>
          <w:rFonts w:ascii="Calibri" w:hAnsi="Calibri" w:cs="Calibri"/>
          <w:sz w:val="22"/>
          <w:szCs w:val="22"/>
          <w:lang w:eastAsia="en-AU"/>
        </w:rPr>
        <w:t> </w:t>
      </w:r>
    </w:p>
    <w:p w14:paraId="6FBCAABA" w14:textId="77777777" w:rsidR="0061260A" w:rsidRPr="0061260A" w:rsidRDefault="0061260A" w:rsidP="0061260A">
      <w:pPr>
        <w:rPr>
          <w:rFonts w:ascii="Calibri" w:hAnsi="Calibri" w:cs="Calibri"/>
          <w:sz w:val="22"/>
          <w:szCs w:val="22"/>
          <w:lang w:eastAsia="en-AU"/>
        </w:rPr>
      </w:pPr>
      <w:r w:rsidRPr="0061260A">
        <w:rPr>
          <w:rFonts w:ascii="Calibri" w:hAnsi="Calibri" w:cs="Calibri"/>
          <w:noProof/>
          <w:sz w:val="22"/>
          <w:szCs w:val="22"/>
          <w:lang w:eastAsia="en-AU"/>
        </w:rPr>
        <w:drawing>
          <wp:inline distT="0" distB="0" distL="0" distR="0" wp14:anchorId="317C5A79" wp14:editId="0AA79560">
            <wp:extent cx="5731510" cy="293751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937510"/>
                    </a:xfrm>
                    <a:prstGeom prst="rect">
                      <a:avLst/>
                    </a:prstGeom>
                    <a:noFill/>
                    <a:ln>
                      <a:noFill/>
                    </a:ln>
                  </pic:spPr>
                </pic:pic>
              </a:graphicData>
            </a:graphic>
          </wp:inline>
        </w:drawing>
      </w:r>
    </w:p>
    <w:p w14:paraId="33EE8BD2" w14:textId="77777777" w:rsidR="0061260A" w:rsidRPr="0061260A" w:rsidRDefault="0061260A" w:rsidP="0061260A">
      <w:pPr>
        <w:rPr>
          <w:rFonts w:ascii="Calibri" w:hAnsi="Calibri" w:cs="Calibri"/>
          <w:sz w:val="22"/>
          <w:szCs w:val="22"/>
          <w:lang w:eastAsia="en-AU"/>
        </w:rPr>
      </w:pPr>
      <w:r w:rsidRPr="0061260A">
        <w:rPr>
          <w:rFonts w:ascii="Calibri" w:hAnsi="Calibri" w:cs="Calibri"/>
          <w:sz w:val="22"/>
          <w:szCs w:val="22"/>
          <w:lang w:eastAsia="en-AU"/>
        </w:rPr>
        <w:t> </w:t>
      </w:r>
    </w:p>
    <w:p w14:paraId="6176C0A4" w14:textId="77777777" w:rsidR="0061260A" w:rsidRPr="0061260A" w:rsidRDefault="0061260A" w:rsidP="0061260A">
      <w:pPr>
        <w:rPr>
          <w:rFonts w:ascii="Calibri" w:hAnsi="Calibri" w:cs="Calibri"/>
          <w:sz w:val="22"/>
          <w:szCs w:val="22"/>
          <w:lang w:eastAsia="en-AU"/>
        </w:rPr>
      </w:pPr>
      <w:r w:rsidRPr="0061260A">
        <w:rPr>
          <w:rFonts w:ascii="Calibri" w:hAnsi="Calibri" w:cs="Calibri"/>
          <w:sz w:val="22"/>
          <w:szCs w:val="22"/>
          <w:lang w:eastAsia="en-AU"/>
        </w:rPr>
        <w:t> </w:t>
      </w:r>
    </w:p>
    <w:p w14:paraId="23C94D1D" w14:textId="77777777" w:rsidR="0061260A" w:rsidRPr="0061260A" w:rsidRDefault="0061260A" w:rsidP="0061260A">
      <w:pPr>
        <w:rPr>
          <w:rFonts w:ascii="Calibri" w:hAnsi="Calibri" w:cs="Calibri"/>
          <w:sz w:val="22"/>
          <w:szCs w:val="22"/>
          <w:lang w:eastAsia="en-AU"/>
        </w:rPr>
      </w:pPr>
      <w:r w:rsidRPr="0061260A">
        <w:rPr>
          <w:rFonts w:ascii="Calibri" w:hAnsi="Calibri" w:cs="Calibri"/>
          <w:noProof/>
          <w:sz w:val="22"/>
          <w:szCs w:val="22"/>
          <w:lang w:eastAsia="en-AU"/>
        </w:rPr>
        <w:lastRenderedPageBreak/>
        <w:drawing>
          <wp:inline distT="0" distB="0" distL="0" distR="0" wp14:anchorId="5A1A3271" wp14:editId="3A0E01D7">
            <wp:extent cx="5731510" cy="552958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5529580"/>
                    </a:xfrm>
                    <a:prstGeom prst="rect">
                      <a:avLst/>
                    </a:prstGeom>
                    <a:noFill/>
                    <a:ln>
                      <a:noFill/>
                    </a:ln>
                  </pic:spPr>
                </pic:pic>
              </a:graphicData>
            </a:graphic>
          </wp:inline>
        </w:drawing>
      </w:r>
    </w:p>
    <w:p w14:paraId="7CA01CD6" w14:textId="77777777" w:rsidR="0061260A" w:rsidRPr="0061260A" w:rsidRDefault="0061260A" w:rsidP="0061260A">
      <w:pPr>
        <w:rPr>
          <w:rFonts w:ascii="Calibri" w:hAnsi="Calibri" w:cs="Calibri"/>
          <w:sz w:val="22"/>
          <w:szCs w:val="22"/>
          <w:lang w:eastAsia="en-AU"/>
        </w:rPr>
      </w:pPr>
      <w:r w:rsidRPr="0061260A">
        <w:rPr>
          <w:rFonts w:ascii="Calibri" w:hAnsi="Calibri" w:cs="Calibri"/>
          <w:sz w:val="22"/>
          <w:szCs w:val="22"/>
          <w:lang w:eastAsia="en-AU"/>
        </w:rPr>
        <w:t> </w:t>
      </w:r>
    </w:p>
    <w:p w14:paraId="257F2CA3" w14:textId="77777777" w:rsidR="0061260A" w:rsidRPr="0061260A" w:rsidRDefault="0061260A" w:rsidP="0061260A">
      <w:pPr>
        <w:rPr>
          <w:rFonts w:ascii="Calibri" w:hAnsi="Calibri" w:cs="Calibri"/>
          <w:sz w:val="22"/>
          <w:szCs w:val="22"/>
          <w:lang w:eastAsia="en-AU"/>
        </w:rPr>
      </w:pPr>
      <w:r w:rsidRPr="0061260A">
        <w:rPr>
          <w:rFonts w:ascii="Calibri" w:hAnsi="Calibri" w:cs="Calibri"/>
          <w:sz w:val="22"/>
          <w:szCs w:val="22"/>
          <w:lang w:eastAsia="en-AU"/>
        </w:rPr>
        <w:t> </w:t>
      </w:r>
    </w:p>
    <w:p w14:paraId="1AE03C76" w14:textId="77777777" w:rsidR="0061260A" w:rsidRPr="0061260A" w:rsidRDefault="0061260A" w:rsidP="0061260A">
      <w:pPr>
        <w:rPr>
          <w:rFonts w:ascii="Calibri" w:hAnsi="Calibri" w:cs="Calibri"/>
          <w:sz w:val="22"/>
          <w:szCs w:val="22"/>
          <w:lang w:eastAsia="en-AU"/>
        </w:rPr>
      </w:pPr>
      <w:r w:rsidRPr="0061260A">
        <w:rPr>
          <w:rFonts w:ascii="Calibri" w:hAnsi="Calibri" w:cs="Calibri"/>
          <w:noProof/>
          <w:sz w:val="22"/>
          <w:szCs w:val="22"/>
          <w:lang w:eastAsia="en-AU"/>
        </w:rPr>
        <w:lastRenderedPageBreak/>
        <w:drawing>
          <wp:inline distT="0" distB="0" distL="0" distR="0" wp14:anchorId="46695CBD" wp14:editId="53178B03">
            <wp:extent cx="5731510" cy="59524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5952490"/>
                    </a:xfrm>
                    <a:prstGeom prst="rect">
                      <a:avLst/>
                    </a:prstGeom>
                    <a:noFill/>
                    <a:ln>
                      <a:noFill/>
                    </a:ln>
                  </pic:spPr>
                </pic:pic>
              </a:graphicData>
            </a:graphic>
          </wp:inline>
        </w:drawing>
      </w:r>
    </w:p>
    <w:p w14:paraId="277C4D24" w14:textId="77777777" w:rsidR="0061260A" w:rsidRPr="0061260A" w:rsidRDefault="0061260A" w:rsidP="0061260A">
      <w:pPr>
        <w:rPr>
          <w:rFonts w:ascii="Calibri" w:hAnsi="Calibri" w:cs="Calibri"/>
          <w:sz w:val="22"/>
          <w:szCs w:val="22"/>
          <w:lang w:eastAsia="en-AU"/>
        </w:rPr>
      </w:pPr>
    </w:p>
    <w:p w14:paraId="4138FD44" w14:textId="77777777" w:rsidR="00AC3B4D" w:rsidRDefault="00AC3B4D" w:rsidP="00DE7AF2">
      <w:pPr>
        <w:spacing w:before="80" w:after="60"/>
      </w:pPr>
    </w:p>
    <w:sectPr w:rsidR="00AC3B4D" w:rsidSect="00360716">
      <w:headerReference w:type="even" r:id="rId19"/>
      <w:headerReference w:type="default" r:id="rId20"/>
      <w:footerReference w:type="even" r:id="rId21"/>
      <w:footerReference w:type="default" r:id="rId22"/>
      <w:headerReference w:type="first" r:id="rId23"/>
      <w:footerReference w:type="first" r:id="rId24"/>
      <w:pgSz w:w="11907" w:h="16839" w:code="9"/>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8B119" w14:textId="77777777" w:rsidR="00206D2B" w:rsidRDefault="00206D2B">
      <w:r>
        <w:separator/>
      </w:r>
    </w:p>
  </w:endnote>
  <w:endnote w:type="continuationSeparator" w:id="0">
    <w:p w14:paraId="065C0649" w14:textId="77777777" w:rsidR="00206D2B" w:rsidRDefault="0020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Neue LT 55 Roman">
    <w:altName w:val="HelveticaNeue LT 55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9C3E2" w14:textId="77777777" w:rsidR="00A3030A" w:rsidRDefault="00A303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87939" w14:textId="2DBC850F" w:rsidR="00CC69FB" w:rsidRPr="00A3030A" w:rsidRDefault="00A3030A" w:rsidP="00A3030A">
    <w:pPr>
      <w:pStyle w:val="Footer"/>
      <w:spacing w:before="0" w:after="0" w:line="240" w:lineRule="auto"/>
      <w:jc w:val="center"/>
      <w:rPr>
        <w:rFonts w:cs="Arial"/>
        <w:sz w:val="14"/>
      </w:rPr>
    </w:pPr>
    <w:r w:rsidRPr="00A3030A">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EA92" w14:textId="77777777" w:rsidR="00A3030A" w:rsidRDefault="00A303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F1D64" w14:textId="77777777" w:rsidR="00206D2B" w:rsidRDefault="00206D2B">
      <w:r>
        <w:separator/>
      </w:r>
    </w:p>
  </w:footnote>
  <w:footnote w:type="continuationSeparator" w:id="0">
    <w:p w14:paraId="5777F0D3" w14:textId="77777777" w:rsidR="00206D2B" w:rsidRDefault="00206D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CE441" w14:textId="77777777" w:rsidR="00A3030A" w:rsidRDefault="00A303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C46C8" w14:textId="77777777" w:rsidR="00A3030A" w:rsidRDefault="00A303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15AA3" w14:textId="77777777" w:rsidR="00A3030A" w:rsidRDefault="00A303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04C7C3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7FD1A7B"/>
    <w:multiLevelType w:val="hybridMultilevel"/>
    <w:tmpl w:val="582AD1E8"/>
    <w:lvl w:ilvl="0" w:tplc="44F86300">
      <w:start w:val="1"/>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A0A4658"/>
    <w:multiLevelType w:val="multilevel"/>
    <w:tmpl w:val="4C9A11D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pStyle w:val="AH5Sec"/>
      <w:lvlText w:val="%5"/>
      <w:lvlJc w:val="left"/>
      <w:pPr>
        <w:tabs>
          <w:tab w:val="num" w:pos="700"/>
        </w:tabs>
        <w:ind w:left="700" w:hanging="700"/>
      </w:pPr>
      <w:rPr>
        <w:b/>
        <w:i w:val="0"/>
      </w:rPr>
    </w:lvl>
    <w:lvl w:ilvl="5">
      <w:start w:val="1"/>
      <w:numFmt w:val="decimal"/>
      <w:lvlText w:val="(%6)"/>
      <w:lvlJc w:val="right"/>
      <w:pPr>
        <w:tabs>
          <w:tab w:val="num" w:pos="700"/>
        </w:tabs>
        <w:ind w:left="700" w:hanging="200"/>
      </w:pPr>
      <w:rPr>
        <w:b w:val="0"/>
      </w:rPr>
    </w:lvl>
    <w:lvl w:ilvl="6">
      <w:start w:val="1"/>
      <w:numFmt w:val="lowerLetter"/>
      <w:lvlText w:val="(%7)"/>
      <w:lvlJc w:val="right"/>
      <w:pPr>
        <w:tabs>
          <w:tab w:val="num" w:pos="1200"/>
        </w:tabs>
        <w:ind w:left="1200" w:hanging="200"/>
      </w:pPr>
      <w:rPr>
        <w:b w:val="0"/>
        <w:i w:val="0"/>
      </w:rPr>
    </w:lvl>
    <w:lvl w:ilvl="7">
      <w:start w:val="1"/>
      <w:numFmt w:val="lowerRoman"/>
      <w:lvlText w:val="(%8)"/>
      <w:lvlJc w:val="right"/>
      <w:pPr>
        <w:tabs>
          <w:tab w:val="num" w:pos="1740"/>
        </w:tabs>
        <w:ind w:left="1740" w:hanging="200"/>
      </w:pPr>
      <w:rPr>
        <w:b w:val="0"/>
        <w:i w:val="0"/>
      </w:rPr>
    </w:lvl>
    <w:lvl w:ilvl="8">
      <w:start w:val="1"/>
      <w:numFmt w:val="upperLetter"/>
      <w:lvlText w:val="(%9)"/>
      <w:lvlJc w:val="right"/>
      <w:pPr>
        <w:tabs>
          <w:tab w:val="num" w:pos="2260"/>
        </w:tabs>
        <w:ind w:left="2260" w:hanging="200"/>
      </w:pPr>
      <w:rPr>
        <w:b w:val="0"/>
        <w:i w:val="0"/>
      </w:rPr>
    </w:lvl>
  </w:abstractNum>
  <w:abstractNum w:abstractNumId="3" w15:restartNumberingAfterBreak="0">
    <w:nsid w:val="0A952223"/>
    <w:multiLevelType w:val="hybridMultilevel"/>
    <w:tmpl w:val="0DA841C8"/>
    <w:lvl w:ilvl="0" w:tplc="01D250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B67408"/>
    <w:multiLevelType w:val="hybridMultilevel"/>
    <w:tmpl w:val="EF74CD64"/>
    <w:lvl w:ilvl="0" w:tplc="7DC46A7E">
      <w:start w:val="1"/>
      <w:numFmt w:val="bullet"/>
      <w:pStyle w:val="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762427"/>
    <w:multiLevelType w:val="hybridMultilevel"/>
    <w:tmpl w:val="2474D7DA"/>
    <w:lvl w:ilvl="0" w:tplc="8E84C208">
      <w:numFmt w:val="bullet"/>
      <w:lvlText w:val="-"/>
      <w:lvlJc w:val="left"/>
      <w:pPr>
        <w:ind w:left="720" w:hanging="360"/>
      </w:pPr>
      <w:rPr>
        <w:rFonts w:ascii="Calibri" w:eastAsiaTheme="minorHAnsi" w:hAnsi="Calibri" w:cs="Calibri" w:hint="default"/>
      </w:rPr>
    </w:lvl>
    <w:lvl w:ilvl="1" w:tplc="649C095C">
      <w:numFmt w:val="bullet"/>
      <w:lvlText w:val=""/>
      <w:lvlJc w:val="left"/>
      <w:pPr>
        <w:ind w:left="1440" w:hanging="360"/>
      </w:pPr>
      <w:rPr>
        <w:rFonts w:ascii="Calibri" w:eastAsiaTheme="minorHAnsi" w:hAnsi="Calibri" w:cs="Calibri" w:hint="default"/>
      </w:rPr>
    </w:lvl>
    <w:lvl w:ilvl="2" w:tplc="3D682628">
      <w:start w:val="4"/>
      <w:numFmt w:val="bullet"/>
      <w:lvlText w:val="•"/>
      <w:lvlJc w:val="left"/>
      <w:pPr>
        <w:ind w:left="2160" w:hanging="36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E3653B9"/>
    <w:multiLevelType w:val="multilevel"/>
    <w:tmpl w:val="8FCC0180"/>
    <w:lvl w:ilvl="0">
      <w:start w:val="1"/>
      <w:numFmt w:val="decimal"/>
      <w:lvlText w:val="%1"/>
      <w:lvlJc w:val="left"/>
      <w:pPr>
        <w:ind w:left="432" w:hanging="432"/>
      </w:pPr>
    </w:lvl>
    <w:lvl w:ilvl="1">
      <w:start w:val="1"/>
      <w:numFmt w:val="decimal"/>
      <w:lvlText w:val="%1.%2"/>
      <w:lvlJc w:val="left"/>
      <w:pPr>
        <w:ind w:left="576" w:hanging="576"/>
      </w:pPr>
      <w:rPr>
        <w:b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0FBF3D0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0401407"/>
    <w:multiLevelType w:val="hybridMultilevel"/>
    <w:tmpl w:val="CBA6250C"/>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7703FCC"/>
    <w:multiLevelType w:val="hybridMultilevel"/>
    <w:tmpl w:val="69626FE4"/>
    <w:lvl w:ilvl="0" w:tplc="01D250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501507"/>
    <w:multiLevelType w:val="hybridMultilevel"/>
    <w:tmpl w:val="3B1269E8"/>
    <w:lvl w:ilvl="0" w:tplc="75C0ABBE">
      <w:start w:val="1"/>
      <w:numFmt w:val="bullet"/>
      <w:lvlText w:val="-"/>
      <w:lvlJc w:val="left"/>
      <w:pPr>
        <w:tabs>
          <w:tab w:val="num" w:pos="810"/>
        </w:tabs>
        <w:ind w:left="810" w:hanging="360"/>
      </w:pPr>
      <w:rPr>
        <w:rFonts w:ascii="Times New Roman" w:eastAsia="Times New Roman" w:hAnsi="Times New Roman" w:hint="default"/>
      </w:rPr>
    </w:lvl>
    <w:lvl w:ilvl="1" w:tplc="04090003">
      <w:start w:val="1"/>
      <w:numFmt w:val="bullet"/>
      <w:lvlText w:val="o"/>
      <w:lvlJc w:val="left"/>
      <w:pPr>
        <w:tabs>
          <w:tab w:val="num" w:pos="1530"/>
        </w:tabs>
        <w:ind w:left="1530" w:hanging="360"/>
      </w:pPr>
      <w:rPr>
        <w:rFonts w:ascii="Courier New" w:hAnsi="Courier New" w:cs="Courier New" w:hint="default"/>
      </w:rPr>
    </w:lvl>
    <w:lvl w:ilvl="2" w:tplc="04090005">
      <w:start w:val="1"/>
      <w:numFmt w:val="bullet"/>
      <w:lvlText w:val=""/>
      <w:lvlJc w:val="left"/>
      <w:pPr>
        <w:tabs>
          <w:tab w:val="num" w:pos="2250"/>
        </w:tabs>
        <w:ind w:left="2250" w:hanging="360"/>
      </w:pPr>
      <w:rPr>
        <w:rFonts w:ascii="Wingdings" w:hAnsi="Wingdings" w:cs="Times New Roman" w:hint="default"/>
      </w:rPr>
    </w:lvl>
    <w:lvl w:ilvl="3" w:tplc="04090001">
      <w:start w:val="1"/>
      <w:numFmt w:val="bullet"/>
      <w:lvlText w:val=""/>
      <w:lvlJc w:val="left"/>
      <w:pPr>
        <w:tabs>
          <w:tab w:val="num" w:pos="2970"/>
        </w:tabs>
        <w:ind w:left="2970" w:hanging="360"/>
      </w:pPr>
      <w:rPr>
        <w:rFonts w:ascii="Symbol" w:hAnsi="Symbol" w:cs="Times New Roman" w:hint="default"/>
      </w:rPr>
    </w:lvl>
    <w:lvl w:ilvl="4" w:tplc="04090003">
      <w:start w:val="1"/>
      <w:numFmt w:val="bullet"/>
      <w:lvlText w:val="o"/>
      <w:lvlJc w:val="left"/>
      <w:pPr>
        <w:tabs>
          <w:tab w:val="num" w:pos="3690"/>
        </w:tabs>
        <w:ind w:left="3690" w:hanging="360"/>
      </w:pPr>
      <w:rPr>
        <w:rFonts w:ascii="Courier New" w:hAnsi="Courier New" w:cs="Courier New" w:hint="default"/>
      </w:rPr>
    </w:lvl>
    <w:lvl w:ilvl="5" w:tplc="04090005">
      <w:start w:val="1"/>
      <w:numFmt w:val="bullet"/>
      <w:lvlText w:val=""/>
      <w:lvlJc w:val="left"/>
      <w:pPr>
        <w:tabs>
          <w:tab w:val="num" w:pos="4410"/>
        </w:tabs>
        <w:ind w:left="4410" w:hanging="360"/>
      </w:pPr>
      <w:rPr>
        <w:rFonts w:ascii="Wingdings" w:hAnsi="Wingdings" w:cs="Times New Roman" w:hint="default"/>
      </w:rPr>
    </w:lvl>
    <w:lvl w:ilvl="6" w:tplc="04090001">
      <w:start w:val="1"/>
      <w:numFmt w:val="bullet"/>
      <w:lvlText w:val=""/>
      <w:lvlJc w:val="left"/>
      <w:pPr>
        <w:tabs>
          <w:tab w:val="num" w:pos="5130"/>
        </w:tabs>
        <w:ind w:left="5130" w:hanging="360"/>
      </w:pPr>
      <w:rPr>
        <w:rFonts w:ascii="Symbol" w:hAnsi="Symbol" w:cs="Times New Roman" w:hint="default"/>
      </w:rPr>
    </w:lvl>
    <w:lvl w:ilvl="7" w:tplc="04090003">
      <w:start w:val="1"/>
      <w:numFmt w:val="bullet"/>
      <w:lvlText w:val="o"/>
      <w:lvlJc w:val="left"/>
      <w:pPr>
        <w:tabs>
          <w:tab w:val="num" w:pos="5850"/>
        </w:tabs>
        <w:ind w:left="5850" w:hanging="360"/>
      </w:pPr>
      <w:rPr>
        <w:rFonts w:ascii="Courier New" w:hAnsi="Courier New" w:cs="Courier New" w:hint="default"/>
      </w:rPr>
    </w:lvl>
    <w:lvl w:ilvl="8" w:tplc="04090005">
      <w:start w:val="1"/>
      <w:numFmt w:val="bullet"/>
      <w:lvlText w:val=""/>
      <w:lvlJc w:val="left"/>
      <w:pPr>
        <w:tabs>
          <w:tab w:val="num" w:pos="6570"/>
        </w:tabs>
        <w:ind w:left="6570" w:hanging="360"/>
      </w:pPr>
      <w:rPr>
        <w:rFonts w:ascii="Wingdings" w:hAnsi="Wingdings" w:cs="Times New Roman" w:hint="default"/>
      </w:rPr>
    </w:lvl>
  </w:abstractNum>
  <w:abstractNum w:abstractNumId="11" w15:restartNumberingAfterBreak="0">
    <w:nsid w:val="362F614E"/>
    <w:multiLevelType w:val="hybridMultilevel"/>
    <w:tmpl w:val="F3442390"/>
    <w:lvl w:ilvl="0" w:tplc="477E314E">
      <w:start w:val="1"/>
      <w:numFmt w:val="lowerLetter"/>
      <w:lvlText w:val="(%1)"/>
      <w:lvlJc w:val="left"/>
      <w:pPr>
        <w:tabs>
          <w:tab w:val="num" w:pos="394"/>
        </w:tabs>
        <w:ind w:left="394" w:hanging="360"/>
      </w:pPr>
      <w:rPr>
        <w:rFonts w:hint="default"/>
      </w:rPr>
    </w:lvl>
    <w:lvl w:ilvl="1" w:tplc="04090019">
      <w:start w:val="1"/>
      <w:numFmt w:val="lowerLetter"/>
      <w:lvlText w:val="%2."/>
      <w:lvlJc w:val="left"/>
      <w:pPr>
        <w:tabs>
          <w:tab w:val="num" w:pos="1114"/>
        </w:tabs>
        <w:ind w:left="1114" w:hanging="360"/>
      </w:pPr>
    </w:lvl>
    <w:lvl w:ilvl="2" w:tplc="0409001B">
      <w:start w:val="1"/>
      <w:numFmt w:val="lowerRoman"/>
      <w:lvlText w:val="%3."/>
      <w:lvlJc w:val="right"/>
      <w:pPr>
        <w:tabs>
          <w:tab w:val="num" w:pos="1834"/>
        </w:tabs>
        <w:ind w:left="1834" w:hanging="180"/>
      </w:pPr>
    </w:lvl>
    <w:lvl w:ilvl="3" w:tplc="0409000F">
      <w:start w:val="1"/>
      <w:numFmt w:val="decimal"/>
      <w:lvlText w:val="%4."/>
      <w:lvlJc w:val="left"/>
      <w:pPr>
        <w:tabs>
          <w:tab w:val="num" w:pos="2554"/>
        </w:tabs>
        <w:ind w:left="2554" w:hanging="360"/>
      </w:pPr>
    </w:lvl>
    <w:lvl w:ilvl="4" w:tplc="04090019">
      <w:start w:val="1"/>
      <w:numFmt w:val="lowerLetter"/>
      <w:lvlText w:val="%5."/>
      <w:lvlJc w:val="left"/>
      <w:pPr>
        <w:tabs>
          <w:tab w:val="num" w:pos="3274"/>
        </w:tabs>
        <w:ind w:left="3274" w:hanging="360"/>
      </w:pPr>
    </w:lvl>
    <w:lvl w:ilvl="5" w:tplc="0409001B">
      <w:start w:val="1"/>
      <w:numFmt w:val="lowerRoman"/>
      <w:lvlText w:val="%6."/>
      <w:lvlJc w:val="right"/>
      <w:pPr>
        <w:tabs>
          <w:tab w:val="num" w:pos="3994"/>
        </w:tabs>
        <w:ind w:left="3994" w:hanging="180"/>
      </w:pPr>
    </w:lvl>
    <w:lvl w:ilvl="6" w:tplc="0409000F">
      <w:start w:val="1"/>
      <w:numFmt w:val="decimal"/>
      <w:lvlText w:val="%7."/>
      <w:lvlJc w:val="left"/>
      <w:pPr>
        <w:tabs>
          <w:tab w:val="num" w:pos="4714"/>
        </w:tabs>
        <w:ind w:left="4714" w:hanging="360"/>
      </w:pPr>
    </w:lvl>
    <w:lvl w:ilvl="7" w:tplc="04090019">
      <w:start w:val="1"/>
      <w:numFmt w:val="lowerLetter"/>
      <w:lvlText w:val="%8."/>
      <w:lvlJc w:val="left"/>
      <w:pPr>
        <w:tabs>
          <w:tab w:val="num" w:pos="5434"/>
        </w:tabs>
        <w:ind w:left="5434" w:hanging="360"/>
      </w:pPr>
    </w:lvl>
    <w:lvl w:ilvl="8" w:tplc="0409001B">
      <w:start w:val="1"/>
      <w:numFmt w:val="lowerRoman"/>
      <w:lvlText w:val="%9."/>
      <w:lvlJc w:val="right"/>
      <w:pPr>
        <w:tabs>
          <w:tab w:val="num" w:pos="6154"/>
        </w:tabs>
        <w:ind w:left="6154" w:hanging="180"/>
      </w:pPr>
    </w:lvl>
  </w:abstractNum>
  <w:abstractNum w:abstractNumId="12" w15:restartNumberingAfterBreak="0">
    <w:nsid w:val="37074B9E"/>
    <w:multiLevelType w:val="hybridMultilevel"/>
    <w:tmpl w:val="76A4D7B8"/>
    <w:lvl w:ilvl="0" w:tplc="8E84C208">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7086305"/>
    <w:multiLevelType w:val="singleLevel"/>
    <w:tmpl w:val="C12E9D90"/>
    <w:lvl w:ilvl="0">
      <w:start w:val="1"/>
      <w:numFmt w:val="bullet"/>
      <w:pStyle w:val="Aparabullet"/>
      <w:lvlText w:val=""/>
      <w:lvlJc w:val="left"/>
      <w:pPr>
        <w:tabs>
          <w:tab w:val="num" w:pos="1740"/>
        </w:tabs>
        <w:ind w:left="1740" w:hanging="540"/>
      </w:pPr>
      <w:rPr>
        <w:rFonts w:ascii="Symbol" w:hAnsi="Symbol" w:hint="default"/>
        <w:sz w:val="20"/>
      </w:rPr>
    </w:lvl>
  </w:abstractNum>
  <w:abstractNum w:abstractNumId="14" w15:restartNumberingAfterBreak="0">
    <w:nsid w:val="39FB163B"/>
    <w:multiLevelType w:val="hybridMultilevel"/>
    <w:tmpl w:val="112E7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DA7748"/>
    <w:multiLevelType w:val="hybridMultilevel"/>
    <w:tmpl w:val="C5D41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791B83"/>
    <w:multiLevelType w:val="hybridMultilevel"/>
    <w:tmpl w:val="DCE83E44"/>
    <w:lvl w:ilvl="0" w:tplc="8E84C208">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1F61D07"/>
    <w:multiLevelType w:val="hybridMultilevel"/>
    <w:tmpl w:val="AD562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8350D6"/>
    <w:multiLevelType w:val="hybridMultilevel"/>
    <w:tmpl w:val="C2445EB0"/>
    <w:lvl w:ilvl="0" w:tplc="0C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Calibri" w:eastAsiaTheme="minorHAnsi" w:hAnsi="Calibri" w:cs="Calibri" w:hint="default"/>
      </w:rPr>
    </w:lvl>
    <w:lvl w:ilvl="2" w:tplc="FFFFFFFF">
      <w:start w:val="4"/>
      <w:numFmt w:val="bullet"/>
      <w:lvlText w:val="•"/>
      <w:lvlJc w:val="left"/>
      <w:pPr>
        <w:ind w:left="2160" w:hanging="36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A1C2803"/>
    <w:multiLevelType w:val="hybridMultilevel"/>
    <w:tmpl w:val="C5E0D15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A10480E"/>
    <w:multiLevelType w:val="hybridMultilevel"/>
    <w:tmpl w:val="231AED14"/>
    <w:lvl w:ilvl="0" w:tplc="08090011">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C5C4C8C"/>
    <w:multiLevelType w:val="hybridMultilevel"/>
    <w:tmpl w:val="94F878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E9A50D7"/>
    <w:multiLevelType w:val="hybridMultilevel"/>
    <w:tmpl w:val="B9F20E72"/>
    <w:lvl w:ilvl="0" w:tplc="DE10BB94">
      <w:start w:val="1"/>
      <w:numFmt w:val="decimal"/>
      <w:lvlText w:val="%1"/>
      <w:lvlJc w:val="left"/>
      <w:pPr>
        <w:tabs>
          <w:tab w:val="num" w:pos="705"/>
        </w:tabs>
        <w:ind w:left="705" w:hanging="705"/>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3" w15:restartNumberingAfterBreak="0">
    <w:nsid w:val="79422221"/>
    <w:multiLevelType w:val="hybridMultilevel"/>
    <w:tmpl w:val="755249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606D92"/>
    <w:multiLevelType w:val="multilevel"/>
    <w:tmpl w:val="9CC24D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Apara"/>
      <w:lvlText w:val="%7."/>
      <w:lvlJc w:val="left"/>
      <w:pPr>
        <w:tabs>
          <w:tab w:val="num" w:pos="5040"/>
        </w:tabs>
        <w:ind w:left="5040" w:hanging="720"/>
      </w:pPr>
    </w:lvl>
    <w:lvl w:ilvl="7">
      <w:start w:val="1"/>
      <w:numFmt w:val="decimal"/>
      <w:pStyle w:val="Asubpara"/>
      <w:lvlText w:val="%8."/>
      <w:lvlJc w:val="left"/>
      <w:pPr>
        <w:tabs>
          <w:tab w:val="num" w:pos="5760"/>
        </w:tabs>
        <w:ind w:left="5760" w:hanging="720"/>
      </w:pPr>
    </w:lvl>
    <w:lvl w:ilvl="8">
      <w:start w:val="1"/>
      <w:numFmt w:val="decimal"/>
      <w:pStyle w:val="Asubsubpara"/>
      <w:lvlText w:val="%9."/>
      <w:lvlJc w:val="left"/>
      <w:pPr>
        <w:tabs>
          <w:tab w:val="num" w:pos="6480"/>
        </w:tabs>
        <w:ind w:left="6480" w:hanging="720"/>
      </w:pPr>
    </w:lvl>
  </w:abstractNum>
  <w:num w:numId="1" w16cid:durableId="1353268213">
    <w:abstractNumId w:val="2"/>
  </w:num>
  <w:num w:numId="2" w16cid:durableId="2083720391">
    <w:abstractNumId w:val="0"/>
  </w:num>
  <w:num w:numId="3" w16cid:durableId="2105876301">
    <w:abstractNumId w:val="7"/>
  </w:num>
  <w:num w:numId="4" w16cid:durableId="2005165570">
    <w:abstractNumId w:val="13"/>
  </w:num>
  <w:num w:numId="5" w16cid:durableId="980615184">
    <w:abstractNumId w:val="22"/>
  </w:num>
  <w:num w:numId="6" w16cid:durableId="1102529959">
    <w:abstractNumId w:val="1"/>
  </w:num>
  <w:num w:numId="7" w16cid:durableId="1603956837">
    <w:abstractNumId w:val="10"/>
  </w:num>
  <w:num w:numId="8" w16cid:durableId="7098000">
    <w:abstractNumId w:val="11"/>
  </w:num>
  <w:num w:numId="9" w16cid:durableId="1350067219">
    <w:abstractNumId w:val="24"/>
  </w:num>
  <w:num w:numId="10" w16cid:durableId="342708389">
    <w:abstractNumId w:val="4"/>
  </w:num>
  <w:num w:numId="11" w16cid:durableId="92628604">
    <w:abstractNumId w:val="6"/>
  </w:num>
  <w:num w:numId="12" w16cid:durableId="1816993593">
    <w:abstractNumId w:val="17"/>
  </w:num>
  <w:num w:numId="13" w16cid:durableId="248317542">
    <w:abstractNumId w:val="8"/>
  </w:num>
  <w:num w:numId="14" w16cid:durableId="847720181">
    <w:abstractNumId w:val="5"/>
  </w:num>
  <w:num w:numId="15" w16cid:durableId="452596247">
    <w:abstractNumId w:val="12"/>
  </w:num>
  <w:num w:numId="16" w16cid:durableId="876505326">
    <w:abstractNumId w:val="14"/>
  </w:num>
  <w:num w:numId="17" w16cid:durableId="969747514">
    <w:abstractNumId w:val="23"/>
  </w:num>
  <w:num w:numId="18" w16cid:durableId="1642154144">
    <w:abstractNumId w:val="16"/>
  </w:num>
  <w:num w:numId="19" w16cid:durableId="1407722102">
    <w:abstractNumId w:val="20"/>
  </w:num>
  <w:num w:numId="20" w16cid:durableId="783118879">
    <w:abstractNumId w:val="21"/>
  </w:num>
  <w:num w:numId="21" w16cid:durableId="1432042169">
    <w:abstractNumId w:val="3"/>
  </w:num>
  <w:num w:numId="22" w16cid:durableId="2119913366">
    <w:abstractNumId w:val="9"/>
  </w:num>
  <w:num w:numId="23" w16cid:durableId="1652709158">
    <w:abstractNumId w:val="15"/>
  </w:num>
  <w:num w:numId="24" w16cid:durableId="188959575">
    <w:abstractNumId w:val="18"/>
  </w:num>
  <w:num w:numId="25" w16cid:durableId="1287426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A30"/>
    <w:rsid w:val="00003EC4"/>
    <w:rsid w:val="00033675"/>
    <w:rsid w:val="00043DF4"/>
    <w:rsid w:val="00044CEB"/>
    <w:rsid w:val="00081BCA"/>
    <w:rsid w:val="00094E61"/>
    <w:rsid w:val="000D5A29"/>
    <w:rsid w:val="000D6301"/>
    <w:rsid w:val="001016AE"/>
    <w:rsid w:val="00122216"/>
    <w:rsid w:val="00125074"/>
    <w:rsid w:val="0013521D"/>
    <w:rsid w:val="001562F9"/>
    <w:rsid w:val="001610F8"/>
    <w:rsid w:val="00161E36"/>
    <w:rsid w:val="001A166F"/>
    <w:rsid w:val="001A34A3"/>
    <w:rsid w:val="001B269F"/>
    <w:rsid w:val="001C2ABC"/>
    <w:rsid w:val="001F3A30"/>
    <w:rsid w:val="00206D2B"/>
    <w:rsid w:val="00213034"/>
    <w:rsid w:val="00216224"/>
    <w:rsid w:val="00223297"/>
    <w:rsid w:val="002457F6"/>
    <w:rsid w:val="00247C11"/>
    <w:rsid w:val="00263358"/>
    <w:rsid w:val="002653B5"/>
    <w:rsid w:val="00272EAF"/>
    <w:rsid w:val="00282215"/>
    <w:rsid w:val="002B218E"/>
    <w:rsid w:val="00306808"/>
    <w:rsid w:val="00321F7A"/>
    <w:rsid w:val="00331505"/>
    <w:rsid w:val="003550A8"/>
    <w:rsid w:val="00360716"/>
    <w:rsid w:val="003677FC"/>
    <w:rsid w:val="003962F3"/>
    <w:rsid w:val="003D438F"/>
    <w:rsid w:val="0044449D"/>
    <w:rsid w:val="00456711"/>
    <w:rsid w:val="00473AE9"/>
    <w:rsid w:val="00475551"/>
    <w:rsid w:val="0048644D"/>
    <w:rsid w:val="004A5ABC"/>
    <w:rsid w:val="004E1DCB"/>
    <w:rsid w:val="004F4068"/>
    <w:rsid w:val="00505CA0"/>
    <w:rsid w:val="0052218D"/>
    <w:rsid w:val="00526662"/>
    <w:rsid w:val="005706BD"/>
    <w:rsid w:val="00573AAA"/>
    <w:rsid w:val="0059678C"/>
    <w:rsid w:val="005C0126"/>
    <w:rsid w:val="005F27E4"/>
    <w:rsid w:val="0061260A"/>
    <w:rsid w:val="00630098"/>
    <w:rsid w:val="0067184C"/>
    <w:rsid w:val="006A348F"/>
    <w:rsid w:val="00747FD5"/>
    <w:rsid w:val="007726D2"/>
    <w:rsid w:val="00775E9D"/>
    <w:rsid w:val="007820F3"/>
    <w:rsid w:val="007A0A8F"/>
    <w:rsid w:val="007F41B7"/>
    <w:rsid w:val="008076C4"/>
    <w:rsid w:val="00812838"/>
    <w:rsid w:val="008230D7"/>
    <w:rsid w:val="0084598E"/>
    <w:rsid w:val="008936B5"/>
    <w:rsid w:val="008E0DAD"/>
    <w:rsid w:val="00973072"/>
    <w:rsid w:val="00996CC2"/>
    <w:rsid w:val="009A6971"/>
    <w:rsid w:val="009C7EF0"/>
    <w:rsid w:val="009D04CD"/>
    <w:rsid w:val="009E7ADA"/>
    <w:rsid w:val="009F7046"/>
    <w:rsid w:val="00A3030A"/>
    <w:rsid w:val="00A410CF"/>
    <w:rsid w:val="00A61E0A"/>
    <w:rsid w:val="00A7614D"/>
    <w:rsid w:val="00AA6557"/>
    <w:rsid w:val="00AB35E8"/>
    <w:rsid w:val="00AC3B4D"/>
    <w:rsid w:val="00AE469F"/>
    <w:rsid w:val="00AF2FB0"/>
    <w:rsid w:val="00AF442F"/>
    <w:rsid w:val="00B006B0"/>
    <w:rsid w:val="00B21E90"/>
    <w:rsid w:val="00B373E8"/>
    <w:rsid w:val="00B43C00"/>
    <w:rsid w:val="00BD2A74"/>
    <w:rsid w:val="00C01061"/>
    <w:rsid w:val="00C26AC0"/>
    <w:rsid w:val="00C402AA"/>
    <w:rsid w:val="00C52B6A"/>
    <w:rsid w:val="00C935BD"/>
    <w:rsid w:val="00CC69FB"/>
    <w:rsid w:val="00CC771D"/>
    <w:rsid w:val="00CF4A00"/>
    <w:rsid w:val="00D30BDF"/>
    <w:rsid w:val="00D41292"/>
    <w:rsid w:val="00D6696A"/>
    <w:rsid w:val="00D6799D"/>
    <w:rsid w:val="00D93955"/>
    <w:rsid w:val="00DD4A60"/>
    <w:rsid w:val="00DE7AF2"/>
    <w:rsid w:val="00DF6241"/>
    <w:rsid w:val="00E26CE6"/>
    <w:rsid w:val="00E409AB"/>
    <w:rsid w:val="00E475D4"/>
    <w:rsid w:val="00E664FA"/>
    <w:rsid w:val="00E70705"/>
    <w:rsid w:val="00E73446"/>
    <w:rsid w:val="00E85289"/>
    <w:rsid w:val="00E94BC0"/>
    <w:rsid w:val="00EA0C7A"/>
    <w:rsid w:val="00EC36FC"/>
    <w:rsid w:val="00ED400B"/>
    <w:rsid w:val="00EE17C4"/>
    <w:rsid w:val="00EF1CC5"/>
    <w:rsid w:val="00EF5966"/>
    <w:rsid w:val="00F003EA"/>
    <w:rsid w:val="00F32623"/>
    <w:rsid w:val="00F442BF"/>
    <w:rsid w:val="00F44A3C"/>
    <w:rsid w:val="00F63AA7"/>
    <w:rsid w:val="00F82D25"/>
    <w:rsid w:val="00F84A44"/>
    <w:rsid w:val="00FA4631"/>
    <w:rsid w:val="00FE3582"/>
    <w:rsid w:val="00FE4D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C9A764"/>
  <w15:docId w15:val="{770905B9-F367-462A-88D2-ED84F192A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6557"/>
    <w:rPr>
      <w:sz w:val="24"/>
      <w:lang w:eastAsia="en-US"/>
    </w:rPr>
  </w:style>
  <w:style w:type="paragraph" w:styleId="Heading1">
    <w:name w:val="heading 1"/>
    <w:basedOn w:val="Billname"/>
    <w:next w:val="Normal"/>
    <w:link w:val="Heading1Char"/>
    <w:uiPriority w:val="9"/>
    <w:qFormat/>
    <w:rsid w:val="0059678C"/>
    <w:pPr>
      <w:spacing w:before="700"/>
      <w:outlineLvl w:val="0"/>
    </w:pPr>
  </w:style>
  <w:style w:type="paragraph" w:styleId="Heading2">
    <w:name w:val="heading 2"/>
    <w:basedOn w:val="Normal"/>
    <w:next w:val="Normal"/>
    <w:link w:val="Heading2Char"/>
    <w:uiPriority w:val="9"/>
    <w:qFormat/>
    <w:rsid w:val="0059678C"/>
    <w:pPr>
      <w:spacing w:before="240" w:after="60"/>
      <w:outlineLvl w:val="1"/>
    </w:pPr>
    <w:rPr>
      <w:rFonts w:ascii="Arial" w:hAnsi="Arial" w:cs="Arial"/>
      <w:b/>
      <w:bCs/>
    </w:rPr>
  </w:style>
  <w:style w:type="paragraph" w:styleId="Heading3">
    <w:name w:val="heading 3"/>
    <w:basedOn w:val="Normal"/>
    <w:next w:val="Normal"/>
    <w:link w:val="Heading3Char"/>
    <w:uiPriority w:val="9"/>
    <w:qFormat/>
    <w:rsid w:val="0059678C"/>
    <w:pPr>
      <w:spacing w:before="240" w:after="60"/>
      <w:ind w:left="720" w:hanging="720"/>
      <w:outlineLvl w:val="2"/>
    </w:pPr>
    <w:rPr>
      <w:rFonts w:ascii="Arial" w:hAnsi="Arial" w:cs="Arial"/>
      <w:b/>
      <w:bCs/>
    </w:rPr>
  </w:style>
  <w:style w:type="paragraph" w:styleId="Heading4">
    <w:name w:val="heading 4"/>
    <w:basedOn w:val="Normal"/>
    <w:next w:val="Normal"/>
    <w:link w:val="Heading4Char"/>
    <w:qFormat/>
    <w:rsid w:val="00AA6557"/>
    <w:pPr>
      <w:keepNext/>
      <w:pBdr>
        <w:right w:val="single" w:sz="4" w:space="4" w:color="auto"/>
      </w:pBdr>
      <w:ind w:left="743" w:hanging="709"/>
      <w:outlineLvl w:val="3"/>
    </w:pPr>
    <w:rPr>
      <w:i/>
      <w:iCs/>
      <w:sz w:val="22"/>
      <w:szCs w:val="22"/>
    </w:rPr>
  </w:style>
  <w:style w:type="paragraph" w:styleId="Heading5">
    <w:name w:val="heading 5"/>
    <w:aliases w:val="Heading 2 non TOC"/>
    <w:basedOn w:val="Heading2"/>
    <w:next w:val="Normal"/>
    <w:link w:val="Heading5Char"/>
    <w:uiPriority w:val="9"/>
    <w:unhideWhenUsed/>
    <w:qFormat/>
    <w:rsid w:val="0061260A"/>
    <w:pPr>
      <w:keepNext/>
      <w:keepLines/>
      <w:spacing w:before="200" w:after="0" w:line="276" w:lineRule="auto"/>
      <w:outlineLvl w:val="4"/>
    </w:pPr>
    <w:rPr>
      <w:rFonts w:eastAsiaTheme="majorEastAsia" w:cstheme="majorBidi"/>
      <w:b w:val="0"/>
      <w:caps/>
      <w:color w:val="009999"/>
      <w:sz w:val="28"/>
      <w:szCs w:val="26"/>
    </w:rPr>
  </w:style>
  <w:style w:type="paragraph" w:styleId="Heading6">
    <w:name w:val="heading 6"/>
    <w:basedOn w:val="Normal"/>
    <w:next w:val="Normal"/>
    <w:link w:val="Heading6Char"/>
    <w:uiPriority w:val="9"/>
    <w:unhideWhenUsed/>
    <w:qFormat/>
    <w:rsid w:val="0061260A"/>
    <w:pPr>
      <w:keepNext/>
      <w:keepLines/>
      <w:spacing w:before="200" w:line="276" w:lineRule="auto"/>
      <w:ind w:left="1152" w:hanging="1152"/>
      <w:outlineLvl w:val="5"/>
    </w:pPr>
    <w:rPr>
      <w:rFonts w:asciiTheme="majorHAnsi" w:eastAsiaTheme="majorEastAsia" w:hAnsiTheme="majorHAnsi" w:cstheme="majorBidi"/>
      <w:i/>
      <w:iCs/>
      <w:color w:val="243F60" w:themeColor="accent1" w:themeShade="7F"/>
      <w:sz w:val="21"/>
      <w:szCs w:val="21"/>
    </w:rPr>
  </w:style>
  <w:style w:type="paragraph" w:styleId="Heading7">
    <w:name w:val="heading 7"/>
    <w:basedOn w:val="Normal"/>
    <w:next w:val="Normal"/>
    <w:link w:val="Heading7Char"/>
    <w:uiPriority w:val="9"/>
    <w:semiHidden/>
    <w:unhideWhenUsed/>
    <w:qFormat/>
    <w:rsid w:val="0061260A"/>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1"/>
      <w:szCs w:val="21"/>
    </w:rPr>
  </w:style>
  <w:style w:type="paragraph" w:styleId="Heading8">
    <w:name w:val="heading 8"/>
    <w:basedOn w:val="Normal"/>
    <w:next w:val="Normal"/>
    <w:link w:val="Heading8Char"/>
    <w:uiPriority w:val="9"/>
    <w:semiHidden/>
    <w:unhideWhenUsed/>
    <w:qFormat/>
    <w:rsid w:val="0061260A"/>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61260A"/>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A6557"/>
    <w:pPr>
      <w:pBdr>
        <w:top w:val="single" w:sz="4" w:space="1" w:color="auto"/>
        <w:bottom w:val="single" w:sz="4" w:space="1" w:color="auto"/>
      </w:pBdr>
      <w:spacing w:before="240" w:after="240"/>
    </w:pPr>
    <w:rPr>
      <w:rFonts w:ascii="Arial" w:hAnsi="Arial"/>
      <w:b/>
      <w:kern w:val="28"/>
      <w:sz w:val="40"/>
    </w:rPr>
  </w:style>
  <w:style w:type="paragraph" w:styleId="Footer">
    <w:name w:val="footer"/>
    <w:basedOn w:val="Normal"/>
    <w:link w:val="FooterChar"/>
    <w:uiPriority w:val="99"/>
    <w:rsid w:val="00AA6557"/>
    <w:pPr>
      <w:tabs>
        <w:tab w:val="left" w:pos="2880"/>
      </w:tabs>
      <w:spacing w:before="120" w:after="60" w:line="240" w:lineRule="exact"/>
    </w:pPr>
    <w:rPr>
      <w:rFonts w:ascii="Arial" w:hAnsi="Arial"/>
      <w:sz w:val="18"/>
    </w:rPr>
  </w:style>
  <w:style w:type="paragraph" w:customStyle="1" w:styleId="Billname">
    <w:name w:val="Billname"/>
    <w:basedOn w:val="Normal"/>
    <w:rsid w:val="00AA6557"/>
    <w:pPr>
      <w:tabs>
        <w:tab w:val="left" w:pos="2400"/>
        <w:tab w:val="left" w:pos="2880"/>
      </w:tabs>
      <w:spacing w:before="1220" w:after="100"/>
    </w:pPr>
    <w:rPr>
      <w:rFonts w:ascii="Arial" w:hAnsi="Arial"/>
      <w:b/>
      <w:sz w:val="40"/>
    </w:rPr>
  </w:style>
  <w:style w:type="paragraph" w:customStyle="1" w:styleId="Amain">
    <w:name w:val="A main"/>
    <w:basedOn w:val="Normal"/>
    <w:rsid w:val="00AA6557"/>
    <w:pPr>
      <w:tabs>
        <w:tab w:val="right" w:pos="500"/>
        <w:tab w:val="left" w:pos="700"/>
      </w:tabs>
      <w:spacing w:before="80" w:after="60"/>
      <w:ind w:left="700" w:hanging="700"/>
      <w:jc w:val="both"/>
      <w:outlineLvl w:val="5"/>
    </w:pPr>
  </w:style>
  <w:style w:type="paragraph" w:customStyle="1" w:styleId="N-line3">
    <w:name w:val="N-line3"/>
    <w:basedOn w:val="Normal"/>
    <w:next w:val="Normal"/>
    <w:rsid w:val="00AA6557"/>
    <w:pPr>
      <w:pBdr>
        <w:bottom w:val="single" w:sz="12" w:space="1" w:color="auto"/>
      </w:pBdr>
      <w:jc w:val="both"/>
    </w:pPr>
  </w:style>
  <w:style w:type="paragraph" w:customStyle="1" w:styleId="madeunder">
    <w:name w:val="made under"/>
    <w:basedOn w:val="Normal"/>
    <w:rsid w:val="00AA6557"/>
    <w:pPr>
      <w:spacing w:before="180" w:after="60"/>
      <w:jc w:val="both"/>
    </w:pPr>
  </w:style>
  <w:style w:type="paragraph" w:customStyle="1" w:styleId="CoverActName">
    <w:name w:val="CoverActName"/>
    <w:basedOn w:val="Normal"/>
    <w:rsid w:val="00AA6557"/>
    <w:pPr>
      <w:tabs>
        <w:tab w:val="left" w:pos="2600"/>
      </w:tabs>
      <w:spacing w:before="200" w:after="60"/>
      <w:jc w:val="both"/>
    </w:pPr>
    <w:rPr>
      <w:rFonts w:ascii="Arial" w:hAnsi="Arial"/>
      <w:b/>
    </w:rPr>
  </w:style>
  <w:style w:type="paragraph" w:customStyle="1" w:styleId="06Copyright">
    <w:name w:val="06Copyright"/>
    <w:basedOn w:val="Normal"/>
    <w:rsid w:val="00AA6557"/>
    <w:pPr>
      <w:tabs>
        <w:tab w:val="left" w:pos="2880"/>
      </w:tabs>
    </w:pPr>
  </w:style>
  <w:style w:type="paragraph" w:customStyle="1" w:styleId="Apara">
    <w:name w:val="A para"/>
    <w:basedOn w:val="Normal"/>
    <w:rsid w:val="00AA6557"/>
    <w:pPr>
      <w:numPr>
        <w:ilvl w:val="6"/>
        <w:numId w:val="9"/>
      </w:numPr>
      <w:spacing w:before="80" w:after="60"/>
      <w:jc w:val="both"/>
      <w:outlineLvl w:val="6"/>
    </w:pPr>
  </w:style>
  <w:style w:type="paragraph" w:customStyle="1" w:styleId="Asubpara">
    <w:name w:val="A subpara"/>
    <w:basedOn w:val="Normal"/>
    <w:rsid w:val="00AA6557"/>
    <w:pPr>
      <w:numPr>
        <w:ilvl w:val="7"/>
        <w:numId w:val="9"/>
      </w:numPr>
      <w:spacing w:before="80" w:after="60"/>
      <w:jc w:val="both"/>
      <w:outlineLvl w:val="7"/>
    </w:pPr>
  </w:style>
  <w:style w:type="paragraph" w:customStyle="1" w:styleId="Asubsubpara">
    <w:name w:val="A subsubpara"/>
    <w:basedOn w:val="Normal"/>
    <w:rsid w:val="00AA6557"/>
    <w:pPr>
      <w:numPr>
        <w:ilvl w:val="8"/>
        <w:numId w:val="9"/>
      </w:numPr>
      <w:spacing w:before="80" w:after="60"/>
      <w:jc w:val="both"/>
      <w:outlineLvl w:val="8"/>
    </w:pPr>
  </w:style>
  <w:style w:type="paragraph" w:customStyle="1" w:styleId="AH5Sec">
    <w:name w:val="A H5 Sec"/>
    <w:basedOn w:val="Normal"/>
    <w:next w:val="Amain"/>
    <w:rsid w:val="00AA6557"/>
    <w:pPr>
      <w:keepNext/>
      <w:numPr>
        <w:ilvl w:val="4"/>
        <w:numId w:val="1"/>
      </w:numPr>
      <w:spacing w:before="180" w:after="60"/>
      <w:outlineLvl w:val="4"/>
    </w:pPr>
    <w:rPr>
      <w:rFonts w:ascii="Arial" w:hAnsi="Arial"/>
      <w:b/>
    </w:rPr>
  </w:style>
  <w:style w:type="paragraph" w:styleId="Header">
    <w:name w:val="header"/>
    <w:basedOn w:val="Normal"/>
    <w:link w:val="HeaderChar"/>
    <w:uiPriority w:val="99"/>
    <w:rsid w:val="00AA6557"/>
    <w:pPr>
      <w:tabs>
        <w:tab w:val="left" w:pos="2880"/>
        <w:tab w:val="center" w:pos="4153"/>
        <w:tab w:val="right" w:pos="8306"/>
      </w:tabs>
    </w:pPr>
  </w:style>
  <w:style w:type="paragraph" w:customStyle="1" w:styleId="ref">
    <w:name w:val="ref"/>
    <w:basedOn w:val="Normal"/>
    <w:next w:val="Normal"/>
    <w:rsid w:val="00AA6557"/>
    <w:pPr>
      <w:spacing w:after="60"/>
      <w:jc w:val="both"/>
    </w:pPr>
    <w:rPr>
      <w:sz w:val="18"/>
    </w:rPr>
  </w:style>
  <w:style w:type="character" w:customStyle="1" w:styleId="CharDivText">
    <w:name w:val="CharDivText"/>
    <w:basedOn w:val="DefaultParagraphFont"/>
    <w:rsid w:val="00AA6557"/>
  </w:style>
  <w:style w:type="paragraph" w:customStyle="1" w:styleId="CoverInForce">
    <w:name w:val="CoverInForce"/>
    <w:basedOn w:val="Normal"/>
    <w:rsid w:val="00AA6557"/>
    <w:pPr>
      <w:tabs>
        <w:tab w:val="left" w:pos="2600"/>
      </w:tabs>
      <w:spacing w:before="200" w:after="60"/>
      <w:jc w:val="both"/>
    </w:pPr>
    <w:rPr>
      <w:rFonts w:ascii="Arial" w:hAnsi="Arial"/>
    </w:rPr>
  </w:style>
  <w:style w:type="paragraph" w:customStyle="1" w:styleId="AFHdg">
    <w:name w:val="AFHdg"/>
    <w:basedOn w:val="Normal"/>
    <w:rsid w:val="00AA6557"/>
    <w:pPr>
      <w:tabs>
        <w:tab w:val="left" w:pos="2600"/>
      </w:tabs>
      <w:spacing w:before="80" w:after="60"/>
      <w:jc w:val="both"/>
    </w:pPr>
    <w:rPr>
      <w:rFonts w:ascii="Arial" w:hAnsi="Arial"/>
      <w:b/>
      <w:sz w:val="32"/>
    </w:rPr>
  </w:style>
  <w:style w:type="paragraph" w:customStyle="1" w:styleId="ApprFormHd">
    <w:name w:val="ApprFormHd"/>
    <w:basedOn w:val="Normal"/>
    <w:rsid w:val="00AA6557"/>
    <w:pPr>
      <w:keepNext/>
      <w:tabs>
        <w:tab w:val="left" w:pos="2600"/>
      </w:tabs>
      <w:spacing w:before="320" w:after="60"/>
      <w:outlineLvl w:val="0"/>
    </w:pPr>
    <w:rPr>
      <w:rFonts w:ascii="Arial" w:hAnsi="Arial"/>
      <w:b/>
      <w:sz w:val="34"/>
    </w:rPr>
  </w:style>
  <w:style w:type="character" w:styleId="PageNumber">
    <w:name w:val="page number"/>
    <w:basedOn w:val="DefaultParagraphFont"/>
    <w:rsid w:val="00AA6557"/>
  </w:style>
  <w:style w:type="paragraph" w:customStyle="1" w:styleId="Aparabullet">
    <w:name w:val="A para bullet"/>
    <w:basedOn w:val="Normal"/>
    <w:rsid w:val="00AA6557"/>
    <w:pPr>
      <w:numPr>
        <w:numId w:val="4"/>
      </w:numPr>
    </w:pPr>
  </w:style>
  <w:style w:type="paragraph" w:styleId="TOC1">
    <w:name w:val="toc 1"/>
    <w:basedOn w:val="Normal"/>
    <w:next w:val="Normal"/>
    <w:autoRedefine/>
    <w:uiPriority w:val="39"/>
    <w:qFormat/>
    <w:rsid w:val="00AA6557"/>
  </w:style>
  <w:style w:type="paragraph" w:styleId="TOC2">
    <w:name w:val="toc 2"/>
    <w:basedOn w:val="Normal"/>
    <w:next w:val="Normal"/>
    <w:autoRedefine/>
    <w:uiPriority w:val="39"/>
    <w:qFormat/>
    <w:rsid w:val="00AA6557"/>
    <w:pPr>
      <w:ind w:left="240"/>
    </w:pPr>
  </w:style>
  <w:style w:type="paragraph" w:styleId="TOC3">
    <w:name w:val="toc 3"/>
    <w:basedOn w:val="Normal"/>
    <w:next w:val="Normal"/>
    <w:autoRedefine/>
    <w:uiPriority w:val="39"/>
    <w:qFormat/>
    <w:rsid w:val="00AA6557"/>
    <w:pPr>
      <w:ind w:left="480"/>
    </w:pPr>
  </w:style>
  <w:style w:type="paragraph" w:styleId="TOC4">
    <w:name w:val="toc 4"/>
    <w:basedOn w:val="Normal"/>
    <w:next w:val="Normal"/>
    <w:autoRedefine/>
    <w:uiPriority w:val="39"/>
    <w:rsid w:val="00AA6557"/>
    <w:pPr>
      <w:ind w:left="720"/>
    </w:pPr>
  </w:style>
  <w:style w:type="paragraph" w:styleId="TOC5">
    <w:name w:val="toc 5"/>
    <w:basedOn w:val="Normal"/>
    <w:next w:val="Normal"/>
    <w:autoRedefine/>
    <w:uiPriority w:val="39"/>
    <w:rsid w:val="00AA6557"/>
    <w:pPr>
      <w:ind w:left="960"/>
    </w:pPr>
  </w:style>
  <w:style w:type="paragraph" w:styleId="TOC6">
    <w:name w:val="toc 6"/>
    <w:basedOn w:val="Normal"/>
    <w:next w:val="Normal"/>
    <w:autoRedefine/>
    <w:uiPriority w:val="39"/>
    <w:rsid w:val="00AA6557"/>
    <w:pPr>
      <w:ind w:left="1200"/>
    </w:pPr>
  </w:style>
  <w:style w:type="paragraph" w:styleId="TOC7">
    <w:name w:val="toc 7"/>
    <w:basedOn w:val="Normal"/>
    <w:next w:val="Normal"/>
    <w:autoRedefine/>
    <w:uiPriority w:val="39"/>
    <w:rsid w:val="00AA6557"/>
    <w:pPr>
      <w:ind w:left="1440"/>
    </w:pPr>
  </w:style>
  <w:style w:type="paragraph" w:styleId="TOC8">
    <w:name w:val="toc 8"/>
    <w:basedOn w:val="Normal"/>
    <w:next w:val="Normal"/>
    <w:autoRedefine/>
    <w:uiPriority w:val="39"/>
    <w:rsid w:val="00AA6557"/>
    <w:pPr>
      <w:ind w:left="1680"/>
    </w:pPr>
  </w:style>
  <w:style w:type="paragraph" w:styleId="TOC9">
    <w:name w:val="toc 9"/>
    <w:basedOn w:val="Normal"/>
    <w:next w:val="Normal"/>
    <w:autoRedefine/>
    <w:uiPriority w:val="39"/>
    <w:rsid w:val="00AA6557"/>
    <w:pPr>
      <w:ind w:left="1920"/>
    </w:pPr>
  </w:style>
  <w:style w:type="character" w:styleId="Hyperlink">
    <w:name w:val="Hyperlink"/>
    <w:basedOn w:val="DefaultParagraphFont"/>
    <w:uiPriority w:val="99"/>
    <w:rsid w:val="00AA6557"/>
    <w:rPr>
      <w:color w:val="0000FF"/>
      <w:u w:val="single"/>
    </w:rPr>
  </w:style>
  <w:style w:type="paragraph" w:styleId="BodyTextIndent">
    <w:name w:val="Body Text Indent"/>
    <w:basedOn w:val="Normal"/>
    <w:link w:val="BodyTextIndentChar"/>
    <w:uiPriority w:val="99"/>
    <w:rsid w:val="00AA6557"/>
    <w:pPr>
      <w:spacing w:before="120" w:after="60"/>
      <w:ind w:left="709"/>
    </w:pPr>
  </w:style>
  <w:style w:type="paragraph" w:customStyle="1" w:styleId="Minister">
    <w:name w:val="Minister"/>
    <w:basedOn w:val="Normal"/>
    <w:rsid w:val="00AA6557"/>
    <w:pPr>
      <w:spacing w:before="880" w:after="60"/>
      <w:jc w:val="right"/>
    </w:pPr>
    <w:rPr>
      <w:caps/>
      <w:szCs w:val="24"/>
    </w:rPr>
  </w:style>
  <w:style w:type="paragraph" w:customStyle="1" w:styleId="DateLine">
    <w:name w:val="DateLine"/>
    <w:basedOn w:val="Normal"/>
    <w:rsid w:val="00AA6557"/>
    <w:pPr>
      <w:tabs>
        <w:tab w:val="left" w:pos="4320"/>
      </w:tabs>
      <w:spacing w:before="80" w:after="60"/>
      <w:jc w:val="both"/>
    </w:pPr>
    <w:rPr>
      <w:szCs w:val="24"/>
    </w:rPr>
  </w:style>
  <w:style w:type="paragraph" w:customStyle="1" w:styleId="MinisterWord">
    <w:name w:val="MinisterWord"/>
    <w:basedOn w:val="Normal"/>
    <w:rsid w:val="00AA6557"/>
    <w:pPr>
      <w:tabs>
        <w:tab w:val="left" w:pos="2880"/>
      </w:tabs>
      <w:jc w:val="right"/>
    </w:pPr>
    <w:rPr>
      <w:szCs w:val="24"/>
    </w:rPr>
  </w:style>
  <w:style w:type="character" w:styleId="FollowedHyperlink">
    <w:name w:val="FollowedHyperlink"/>
    <w:basedOn w:val="DefaultParagraphFont"/>
    <w:uiPriority w:val="99"/>
    <w:rsid w:val="00AA6557"/>
    <w:rPr>
      <w:color w:val="800080"/>
      <w:u w:val="single"/>
    </w:rPr>
  </w:style>
  <w:style w:type="character" w:styleId="FootnoteReference">
    <w:name w:val="footnote reference"/>
    <w:basedOn w:val="DefaultParagraphFont"/>
    <w:uiPriority w:val="99"/>
    <w:semiHidden/>
    <w:rsid w:val="00AA6557"/>
    <w:rPr>
      <w:rFonts w:ascii="Times New Roman" w:hAnsi="Times New Roman" w:cs="Times New Roman"/>
      <w:sz w:val="24"/>
      <w:szCs w:val="24"/>
      <w:vertAlign w:val="superscript"/>
    </w:rPr>
  </w:style>
  <w:style w:type="paragraph" w:styleId="FootnoteText">
    <w:name w:val="footnote text"/>
    <w:basedOn w:val="Normal"/>
    <w:link w:val="FootnoteTextChar"/>
    <w:uiPriority w:val="99"/>
    <w:semiHidden/>
    <w:rsid w:val="00AA6557"/>
    <w:pPr>
      <w:spacing w:before="80" w:after="60"/>
      <w:jc w:val="both"/>
    </w:pPr>
    <w:rPr>
      <w:szCs w:val="24"/>
    </w:rPr>
  </w:style>
  <w:style w:type="paragraph" w:customStyle="1" w:styleId="ShadedSchClause">
    <w:name w:val="Shaded Sch Clause"/>
    <w:basedOn w:val="Normal"/>
    <w:next w:val="Normal"/>
    <w:rsid w:val="00AA6557"/>
    <w:pPr>
      <w:keepNext/>
      <w:shd w:val="pct25" w:color="auto" w:fill="auto"/>
      <w:tabs>
        <w:tab w:val="left" w:pos="700"/>
      </w:tabs>
      <w:spacing w:before="160"/>
      <w:ind w:left="700" w:hanging="700"/>
      <w:outlineLvl w:val="3"/>
    </w:pPr>
    <w:rPr>
      <w:rFonts w:ascii="Arial" w:hAnsi="Arial" w:cs="Arial"/>
      <w:b/>
      <w:bCs/>
      <w:szCs w:val="24"/>
    </w:rPr>
  </w:style>
  <w:style w:type="character" w:customStyle="1" w:styleId="CharSectNo">
    <w:name w:val="CharSectNo"/>
    <w:basedOn w:val="DefaultParagraphFont"/>
    <w:rsid w:val="00AA6557"/>
  </w:style>
  <w:style w:type="paragraph" w:styleId="BalloonText">
    <w:name w:val="Balloon Text"/>
    <w:basedOn w:val="Normal"/>
    <w:link w:val="BalloonTextChar"/>
    <w:uiPriority w:val="99"/>
    <w:semiHidden/>
    <w:unhideWhenUsed/>
    <w:rsid w:val="00A410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0CF"/>
    <w:rPr>
      <w:rFonts w:ascii="Segoe UI" w:hAnsi="Segoe UI" w:cs="Segoe UI"/>
      <w:sz w:val="18"/>
      <w:szCs w:val="18"/>
      <w:lang w:eastAsia="en-US"/>
    </w:rPr>
  </w:style>
  <w:style w:type="character" w:customStyle="1" w:styleId="Heading5Char">
    <w:name w:val="Heading 5 Char"/>
    <w:aliases w:val="Heading 2 non TOC Char"/>
    <w:basedOn w:val="DefaultParagraphFont"/>
    <w:link w:val="Heading5"/>
    <w:uiPriority w:val="9"/>
    <w:rsid w:val="0061260A"/>
    <w:rPr>
      <w:rFonts w:ascii="Arial" w:eastAsiaTheme="majorEastAsia" w:hAnsi="Arial" w:cstheme="majorBidi"/>
      <w:bCs/>
      <w:caps/>
      <w:color w:val="009999"/>
      <w:sz w:val="28"/>
      <w:szCs w:val="26"/>
      <w:lang w:eastAsia="en-US"/>
    </w:rPr>
  </w:style>
  <w:style w:type="character" w:customStyle="1" w:styleId="Heading6Char">
    <w:name w:val="Heading 6 Char"/>
    <w:basedOn w:val="DefaultParagraphFont"/>
    <w:link w:val="Heading6"/>
    <w:uiPriority w:val="9"/>
    <w:rsid w:val="0061260A"/>
    <w:rPr>
      <w:rFonts w:asciiTheme="majorHAnsi" w:eastAsiaTheme="majorEastAsia" w:hAnsiTheme="majorHAnsi" w:cstheme="majorBidi"/>
      <w:i/>
      <w:iCs/>
      <w:color w:val="243F60" w:themeColor="accent1" w:themeShade="7F"/>
      <w:sz w:val="21"/>
      <w:szCs w:val="21"/>
      <w:lang w:eastAsia="en-US"/>
    </w:rPr>
  </w:style>
  <w:style w:type="character" w:customStyle="1" w:styleId="Heading7Char">
    <w:name w:val="Heading 7 Char"/>
    <w:basedOn w:val="DefaultParagraphFont"/>
    <w:link w:val="Heading7"/>
    <w:uiPriority w:val="9"/>
    <w:semiHidden/>
    <w:rsid w:val="0061260A"/>
    <w:rPr>
      <w:rFonts w:asciiTheme="majorHAnsi" w:eastAsiaTheme="majorEastAsia" w:hAnsiTheme="majorHAnsi" w:cstheme="majorBidi"/>
      <w:i/>
      <w:iCs/>
      <w:color w:val="404040" w:themeColor="text1" w:themeTint="BF"/>
      <w:sz w:val="21"/>
      <w:szCs w:val="21"/>
      <w:lang w:eastAsia="en-US"/>
    </w:rPr>
  </w:style>
  <w:style w:type="character" w:customStyle="1" w:styleId="Heading8Char">
    <w:name w:val="Heading 8 Char"/>
    <w:basedOn w:val="DefaultParagraphFont"/>
    <w:link w:val="Heading8"/>
    <w:uiPriority w:val="9"/>
    <w:semiHidden/>
    <w:rsid w:val="0061260A"/>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61260A"/>
    <w:rPr>
      <w:rFonts w:asciiTheme="majorHAnsi" w:eastAsiaTheme="majorEastAsia" w:hAnsiTheme="majorHAnsi" w:cstheme="majorBidi"/>
      <w:i/>
      <w:iCs/>
      <w:color w:val="404040" w:themeColor="text1" w:themeTint="BF"/>
      <w:lang w:eastAsia="en-US"/>
    </w:rPr>
  </w:style>
  <w:style w:type="numbering" w:customStyle="1" w:styleId="NoList1">
    <w:name w:val="No List1"/>
    <w:next w:val="NoList"/>
    <w:uiPriority w:val="99"/>
    <w:semiHidden/>
    <w:unhideWhenUsed/>
    <w:rsid w:val="0061260A"/>
  </w:style>
  <w:style w:type="character" w:customStyle="1" w:styleId="Heading1Char">
    <w:name w:val="Heading 1 Char"/>
    <w:basedOn w:val="DefaultParagraphFont"/>
    <w:link w:val="Heading1"/>
    <w:uiPriority w:val="9"/>
    <w:rsid w:val="0061260A"/>
    <w:rPr>
      <w:rFonts w:ascii="Arial" w:hAnsi="Arial"/>
      <w:b/>
      <w:sz w:val="40"/>
      <w:lang w:eastAsia="en-US"/>
    </w:rPr>
  </w:style>
  <w:style w:type="character" w:customStyle="1" w:styleId="Heading2Char">
    <w:name w:val="Heading 2 Char"/>
    <w:basedOn w:val="DefaultParagraphFont"/>
    <w:link w:val="Heading2"/>
    <w:uiPriority w:val="9"/>
    <w:rsid w:val="0061260A"/>
    <w:rPr>
      <w:rFonts w:ascii="Arial" w:hAnsi="Arial" w:cs="Arial"/>
      <w:b/>
      <w:bCs/>
      <w:sz w:val="24"/>
      <w:lang w:eastAsia="en-US"/>
    </w:rPr>
  </w:style>
  <w:style w:type="character" w:customStyle="1" w:styleId="Heading3Char">
    <w:name w:val="Heading 3 Char"/>
    <w:basedOn w:val="DefaultParagraphFont"/>
    <w:link w:val="Heading3"/>
    <w:uiPriority w:val="9"/>
    <w:rsid w:val="0061260A"/>
    <w:rPr>
      <w:rFonts w:ascii="Arial" w:hAnsi="Arial" w:cs="Arial"/>
      <w:b/>
      <w:bCs/>
      <w:sz w:val="24"/>
      <w:lang w:eastAsia="en-US"/>
    </w:rPr>
  </w:style>
  <w:style w:type="character" w:customStyle="1" w:styleId="Heading4Char">
    <w:name w:val="Heading 4 Char"/>
    <w:basedOn w:val="DefaultParagraphFont"/>
    <w:link w:val="Heading4"/>
    <w:rsid w:val="0061260A"/>
    <w:rPr>
      <w:i/>
      <w:iCs/>
      <w:sz w:val="22"/>
      <w:szCs w:val="22"/>
      <w:lang w:eastAsia="en-US"/>
    </w:rPr>
  </w:style>
  <w:style w:type="character" w:customStyle="1" w:styleId="TitleChar">
    <w:name w:val="Title Char"/>
    <w:basedOn w:val="DefaultParagraphFont"/>
    <w:link w:val="Title"/>
    <w:uiPriority w:val="10"/>
    <w:rsid w:val="0061260A"/>
    <w:rPr>
      <w:rFonts w:ascii="Arial" w:hAnsi="Arial"/>
      <w:b/>
      <w:kern w:val="28"/>
      <w:sz w:val="40"/>
      <w:lang w:eastAsia="en-US"/>
    </w:rPr>
  </w:style>
  <w:style w:type="paragraph" w:styleId="ListParagraph">
    <w:name w:val="List Paragraph"/>
    <w:basedOn w:val="Normal"/>
    <w:uiPriority w:val="34"/>
    <w:qFormat/>
    <w:rsid w:val="0061260A"/>
    <w:pPr>
      <w:spacing w:after="200" w:line="276" w:lineRule="auto"/>
      <w:ind w:left="720"/>
      <w:contextualSpacing/>
    </w:pPr>
    <w:rPr>
      <w:rFonts w:asciiTheme="minorHAnsi" w:eastAsiaTheme="minorHAnsi" w:hAnsiTheme="minorHAnsi" w:cstheme="minorBidi"/>
      <w:sz w:val="21"/>
      <w:szCs w:val="21"/>
    </w:rPr>
  </w:style>
  <w:style w:type="character" w:customStyle="1" w:styleId="FooterChar">
    <w:name w:val="Footer Char"/>
    <w:basedOn w:val="DefaultParagraphFont"/>
    <w:link w:val="Footer"/>
    <w:uiPriority w:val="99"/>
    <w:rsid w:val="0061260A"/>
    <w:rPr>
      <w:rFonts w:ascii="Arial" w:hAnsi="Arial"/>
      <w:sz w:val="18"/>
      <w:lang w:eastAsia="en-US"/>
    </w:rPr>
  </w:style>
  <w:style w:type="paragraph" w:customStyle="1" w:styleId="BodyText1">
    <w:name w:val="Body Text1"/>
    <w:rsid w:val="0061260A"/>
    <w:pPr>
      <w:widowControl w:val="0"/>
      <w:overflowPunct w:val="0"/>
      <w:autoSpaceDE w:val="0"/>
      <w:autoSpaceDN w:val="0"/>
      <w:adjustRightInd w:val="0"/>
      <w:spacing w:before="170"/>
      <w:textAlignment w:val="baseline"/>
    </w:pPr>
    <w:rPr>
      <w:rFonts w:ascii="Helvetica" w:hAnsi="Helvetica"/>
      <w:sz w:val="22"/>
      <w:lang w:val="en-GB" w:eastAsia="en-US"/>
    </w:rPr>
  </w:style>
  <w:style w:type="paragraph" w:styleId="BodyText">
    <w:name w:val="Body Text"/>
    <w:basedOn w:val="Normal"/>
    <w:link w:val="BodyTextChar"/>
    <w:rsid w:val="0061260A"/>
    <w:rPr>
      <w:rFonts w:ascii="Comic Sans MS" w:hAnsi="Comic Sans MS"/>
      <w:sz w:val="20"/>
      <w:lang w:val="en-US"/>
    </w:rPr>
  </w:style>
  <w:style w:type="character" w:customStyle="1" w:styleId="BodyTextChar">
    <w:name w:val="Body Text Char"/>
    <w:basedOn w:val="DefaultParagraphFont"/>
    <w:link w:val="BodyText"/>
    <w:rsid w:val="0061260A"/>
    <w:rPr>
      <w:rFonts w:ascii="Comic Sans MS" w:hAnsi="Comic Sans MS"/>
      <w:lang w:val="en-US" w:eastAsia="en-US"/>
    </w:rPr>
  </w:style>
  <w:style w:type="character" w:customStyle="1" w:styleId="HeaderChar">
    <w:name w:val="Header Char"/>
    <w:basedOn w:val="DefaultParagraphFont"/>
    <w:link w:val="Header"/>
    <w:uiPriority w:val="99"/>
    <w:rsid w:val="0061260A"/>
    <w:rPr>
      <w:sz w:val="24"/>
      <w:lang w:eastAsia="en-US"/>
    </w:rPr>
  </w:style>
  <w:style w:type="paragraph" w:styleId="BodyText3">
    <w:name w:val="Body Text 3"/>
    <w:basedOn w:val="Normal"/>
    <w:link w:val="BodyText3Char"/>
    <w:semiHidden/>
    <w:rsid w:val="0061260A"/>
    <w:rPr>
      <w:rFonts w:asciiTheme="minorHAnsi" w:hAnsiTheme="minorHAnsi"/>
      <w:i/>
      <w:iCs/>
      <w:sz w:val="20"/>
    </w:rPr>
  </w:style>
  <w:style w:type="character" w:customStyle="1" w:styleId="BodyText3Char">
    <w:name w:val="Body Text 3 Char"/>
    <w:basedOn w:val="DefaultParagraphFont"/>
    <w:link w:val="BodyText3"/>
    <w:semiHidden/>
    <w:rsid w:val="0061260A"/>
    <w:rPr>
      <w:rFonts w:asciiTheme="minorHAnsi" w:hAnsiTheme="minorHAnsi"/>
      <w:i/>
      <w:iCs/>
      <w:lang w:eastAsia="en-US"/>
    </w:rPr>
  </w:style>
  <w:style w:type="character" w:customStyle="1" w:styleId="BodyTextIndentChar">
    <w:name w:val="Body Text Indent Char"/>
    <w:basedOn w:val="DefaultParagraphFont"/>
    <w:link w:val="BodyTextIndent"/>
    <w:uiPriority w:val="99"/>
    <w:rsid w:val="0061260A"/>
    <w:rPr>
      <w:sz w:val="24"/>
      <w:lang w:eastAsia="en-US"/>
    </w:rPr>
  </w:style>
  <w:style w:type="character" w:styleId="CommentReference">
    <w:name w:val="annotation reference"/>
    <w:basedOn w:val="DefaultParagraphFont"/>
    <w:uiPriority w:val="99"/>
    <w:semiHidden/>
    <w:unhideWhenUsed/>
    <w:rsid w:val="0061260A"/>
    <w:rPr>
      <w:sz w:val="16"/>
      <w:szCs w:val="16"/>
    </w:rPr>
  </w:style>
  <w:style w:type="paragraph" w:styleId="CommentText">
    <w:name w:val="annotation text"/>
    <w:basedOn w:val="Normal"/>
    <w:link w:val="CommentTextChar"/>
    <w:uiPriority w:val="99"/>
    <w:unhideWhenUsed/>
    <w:rsid w:val="0061260A"/>
    <w:pPr>
      <w:spacing w:after="20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rsid w:val="0061260A"/>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61260A"/>
    <w:rPr>
      <w:b/>
      <w:bCs/>
    </w:rPr>
  </w:style>
  <w:style w:type="character" w:customStyle="1" w:styleId="CommentSubjectChar">
    <w:name w:val="Comment Subject Char"/>
    <w:basedOn w:val="CommentTextChar"/>
    <w:link w:val="CommentSubject"/>
    <w:uiPriority w:val="99"/>
    <w:semiHidden/>
    <w:rsid w:val="0061260A"/>
    <w:rPr>
      <w:rFonts w:asciiTheme="minorHAnsi" w:eastAsiaTheme="minorHAnsi" w:hAnsiTheme="minorHAnsi" w:cstheme="minorBidi"/>
      <w:b/>
      <w:bCs/>
      <w:lang w:eastAsia="en-US"/>
    </w:rPr>
  </w:style>
  <w:style w:type="table" w:styleId="TableGrid">
    <w:name w:val="Table Grid"/>
    <w:basedOn w:val="TableNormal"/>
    <w:uiPriority w:val="59"/>
    <w:rsid w:val="0061260A"/>
    <w:pPr>
      <w:ind w:left="426" w:hanging="284"/>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Figure title"/>
    <w:basedOn w:val="Normal"/>
    <w:next w:val="Normal"/>
    <w:link w:val="SubtitleChar"/>
    <w:uiPriority w:val="11"/>
    <w:qFormat/>
    <w:rsid w:val="0061260A"/>
    <w:pPr>
      <w:numPr>
        <w:ilvl w:val="1"/>
      </w:numPr>
      <w:spacing w:after="200" w:line="276" w:lineRule="auto"/>
    </w:pPr>
    <w:rPr>
      <w:rFonts w:asciiTheme="minorHAnsi" w:eastAsiaTheme="majorEastAsia" w:hAnsiTheme="minorHAnsi" w:cstheme="majorBidi"/>
      <w:iCs/>
      <w:color w:val="4F81BD" w:themeColor="accent1"/>
      <w:spacing w:val="15"/>
      <w:sz w:val="20"/>
      <w:szCs w:val="21"/>
    </w:rPr>
  </w:style>
  <w:style w:type="character" w:customStyle="1" w:styleId="SubtitleChar">
    <w:name w:val="Subtitle Char"/>
    <w:aliases w:val="Figure title Char"/>
    <w:basedOn w:val="DefaultParagraphFont"/>
    <w:link w:val="Subtitle"/>
    <w:uiPriority w:val="11"/>
    <w:rsid w:val="0061260A"/>
    <w:rPr>
      <w:rFonts w:asciiTheme="minorHAnsi" w:eastAsiaTheme="majorEastAsia" w:hAnsiTheme="minorHAnsi" w:cstheme="majorBidi"/>
      <w:iCs/>
      <w:color w:val="4F81BD" w:themeColor="accent1"/>
      <w:spacing w:val="15"/>
      <w:szCs w:val="21"/>
      <w:lang w:eastAsia="en-US"/>
    </w:rPr>
  </w:style>
  <w:style w:type="character" w:styleId="SubtleEmphasis">
    <w:name w:val="Subtle Emphasis"/>
    <w:aliases w:val="Table heading"/>
    <w:basedOn w:val="TitleChar"/>
    <w:uiPriority w:val="19"/>
    <w:qFormat/>
    <w:rsid w:val="0061260A"/>
    <w:rPr>
      <w:rFonts w:ascii="Times New Roman" w:hAnsi="Times New Roman"/>
      <w:b/>
      <w:iCs/>
      <w:color w:val="4F81BD" w:themeColor="accent1"/>
      <w:kern w:val="28"/>
      <w:sz w:val="20"/>
      <w:lang w:eastAsia="en-US"/>
    </w:rPr>
  </w:style>
  <w:style w:type="character" w:customStyle="1" w:styleId="hvr">
    <w:name w:val="hvr"/>
    <w:basedOn w:val="DefaultParagraphFont"/>
    <w:rsid w:val="0061260A"/>
  </w:style>
  <w:style w:type="character" w:customStyle="1" w:styleId="illustration1">
    <w:name w:val="illustration1"/>
    <w:basedOn w:val="DefaultParagraphFont"/>
    <w:rsid w:val="0061260A"/>
    <w:rPr>
      <w:i/>
      <w:iCs/>
      <w:color w:val="966A00"/>
    </w:rPr>
  </w:style>
  <w:style w:type="paragraph" w:styleId="NormalWeb">
    <w:name w:val="Normal (Web)"/>
    <w:basedOn w:val="Normal"/>
    <w:uiPriority w:val="99"/>
    <w:unhideWhenUsed/>
    <w:rsid w:val="0061260A"/>
    <w:rPr>
      <w:rFonts w:asciiTheme="minorHAnsi" w:hAnsiTheme="minorHAnsi"/>
      <w:sz w:val="20"/>
      <w:lang w:eastAsia="en-AU"/>
    </w:rPr>
  </w:style>
  <w:style w:type="paragraph" w:styleId="Revision">
    <w:name w:val="Revision"/>
    <w:hidden/>
    <w:uiPriority w:val="99"/>
    <w:semiHidden/>
    <w:rsid w:val="0061260A"/>
    <w:rPr>
      <w:rFonts w:asciiTheme="minorHAnsi" w:eastAsiaTheme="minorHAnsi" w:hAnsiTheme="minorHAnsi" w:cstheme="minorBidi"/>
      <w:sz w:val="24"/>
      <w:szCs w:val="22"/>
      <w:lang w:eastAsia="en-US"/>
    </w:rPr>
  </w:style>
  <w:style w:type="paragraph" w:customStyle="1" w:styleId="Pa4">
    <w:name w:val="Pa4"/>
    <w:basedOn w:val="Normal"/>
    <w:next w:val="Normal"/>
    <w:uiPriority w:val="99"/>
    <w:rsid w:val="0061260A"/>
    <w:pPr>
      <w:autoSpaceDE w:val="0"/>
      <w:autoSpaceDN w:val="0"/>
      <w:adjustRightInd w:val="0"/>
      <w:spacing w:line="221" w:lineRule="atLeast"/>
    </w:pPr>
    <w:rPr>
      <w:rFonts w:ascii="Calibri Light" w:eastAsiaTheme="minorHAnsi" w:hAnsi="Calibri Light" w:cstheme="minorBidi"/>
      <w:sz w:val="21"/>
      <w:szCs w:val="21"/>
    </w:rPr>
  </w:style>
  <w:style w:type="paragraph" w:customStyle="1" w:styleId="Overviewtext">
    <w:name w:val="Overview_text"/>
    <w:basedOn w:val="Normal"/>
    <w:link w:val="OverviewtextChar"/>
    <w:qFormat/>
    <w:rsid w:val="0061260A"/>
    <w:pPr>
      <w:spacing w:before="120"/>
    </w:pPr>
    <w:rPr>
      <w:rFonts w:asciiTheme="minorHAnsi" w:eastAsiaTheme="minorHAnsi" w:hAnsiTheme="minorHAnsi" w:cstheme="minorBidi"/>
      <w:color w:val="009999"/>
      <w:szCs w:val="24"/>
    </w:rPr>
  </w:style>
  <w:style w:type="character" w:customStyle="1" w:styleId="OverviewtextChar">
    <w:name w:val="Overview_text Char"/>
    <w:basedOn w:val="DefaultParagraphFont"/>
    <w:link w:val="Overviewtext"/>
    <w:rsid w:val="0061260A"/>
    <w:rPr>
      <w:rFonts w:asciiTheme="minorHAnsi" w:eastAsiaTheme="minorHAnsi" w:hAnsiTheme="minorHAnsi" w:cstheme="minorBidi"/>
      <w:color w:val="009999"/>
      <w:sz w:val="24"/>
      <w:szCs w:val="24"/>
      <w:lang w:eastAsia="en-US"/>
    </w:rPr>
  </w:style>
  <w:style w:type="paragraph" w:customStyle="1" w:styleId="Dotpoint">
    <w:name w:val="Dot point"/>
    <w:basedOn w:val="ListParagraph"/>
    <w:link w:val="DotpointChar"/>
    <w:qFormat/>
    <w:rsid w:val="0061260A"/>
    <w:pPr>
      <w:numPr>
        <w:numId w:val="10"/>
      </w:numPr>
      <w:spacing w:after="0" w:line="240" w:lineRule="auto"/>
      <w:contextualSpacing w:val="0"/>
    </w:pPr>
  </w:style>
  <w:style w:type="character" w:customStyle="1" w:styleId="DotpointChar">
    <w:name w:val="Dot point Char"/>
    <w:basedOn w:val="DefaultParagraphFont"/>
    <w:link w:val="Dotpoint"/>
    <w:rsid w:val="0061260A"/>
    <w:rPr>
      <w:rFonts w:asciiTheme="minorHAnsi" w:eastAsiaTheme="minorHAnsi" w:hAnsiTheme="minorHAnsi" w:cstheme="minorBidi"/>
      <w:sz w:val="21"/>
      <w:szCs w:val="21"/>
      <w:lang w:eastAsia="en-US"/>
    </w:rPr>
  </w:style>
  <w:style w:type="character" w:styleId="BookTitle">
    <w:name w:val="Book Title"/>
    <w:aliases w:val="Table title"/>
    <w:uiPriority w:val="33"/>
    <w:qFormat/>
    <w:rsid w:val="0061260A"/>
    <w:rPr>
      <w:color w:val="auto"/>
      <w:sz w:val="21"/>
      <w:szCs w:val="21"/>
    </w:rPr>
  </w:style>
  <w:style w:type="character" w:styleId="Emphasis">
    <w:name w:val="Emphasis"/>
    <w:basedOn w:val="DefaultParagraphFont"/>
    <w:uiPriority w:val="20"/>
    <w:qFormat/>
    <w:rsid w:val="0061260A"/>
    <w:rPr>
      <w:i/>
      <w:iCs/>
    </w:rPr>
  </w:style>
  <w:style w:type="character" w:customStyle="1" w:styleId="A5">
    <w:name w:val="A5"/>
    <w:uiPriority w:val="99"/>
    <w:rsid w:val="0061260A"/>
    <w:rPr>
      <w:rFonts w:cs="Calibri Light"/>
      <w:color w:val="000000"/>
      <w:sz w:val="28"/>
      <w:szCs w:val="28"/>
    </w:rPr>
  </w:style>
  <w:style w:type="paragraph" w:customStyle="1" w:styleId="BodyText2">
    <w:name w:val="Body Text2"/>
    <w:rsid w:val="0061260A"/>
    <w:pPr>
      <w:widowControl w:val="0"/>
      <w:overflowPunct w:val="0"/>
      <w:autoSpaceDE w:val="0"/>
      <w:autoSpaceDN w:val="0"/>
      <w:adjustRightInd w:val="0"/>
      <w:spacing w:before="170"/>
      <w:textAlignment w:val="baseline"/>
    </w:pPr>
    <w:rPr>
      <w:rFonts w:ascii="Helvetica" w:hAnsi="Helvetica"/>
      <w:sz w:val="22"/>
      <w:lang w:val="en-GB" w:eastAsia="en-US"/>
    </w:rPr>
  </w:style>
  <w:style w:type="paragraph" w:customStyle="1" w:styleId="masters">
    <w:name w:val="masters"/>
    <w:basedOn w:val="Normal"/>
    <w:rsid w:val="0061260A"/>
    <w:pPr>
      <w:overflowPunct w:val="0"/>
      <w:autoSpaceDE w:val="0"/>
      <w:autoSpaceDN w:val="0"/>
      <w:adjustRightInd w:val="0"/>
      <w:spacing w:line="360" w:lineRule="atLeast"/>
      <w:textAlignment w:val="baseline"/>
    </w:pPr>
    <w:rPr>
      <w:rFonts w:asciiTheme="minorHAnsi" w:hAnsiTheme="minorHAnsi"/>
      <w:sz w:val="21"/>
      <w:lang w:val="en-GB"/>
    </w:rPr>
  </w:style>
  <w:style w:type="paragraph" w:styleId="BodyTextIndent3">
    <w:name w:val="Body Text Indent 3"/>
    <w:basedOn w:val="Normal"/>
    <w:link w:val="BodyTextIndent3Char"/>
    <w:uiPriority w:val="99"/>
    <w:semiHidden/>
    <w:unhideWhenUsed/>
    <w:rsid w:val="0061260A"/>
    <w:pPr>
      <w:spacing w:after="120" w:line="276" w:lineRule="auto"/>
      <w:ind w:left="283"/>
    </w:pPr>
    <w:rPr>
      <w:rFonts w:asciiTheme="minorHAnsi" w:eastAsiaTheme="minorHAnsi" w:hAnsiTheme="minorHAnsi" w:cstheme="minorBidi"/>
      <w:sz w:val="16"/>
      <w:szCs w:val="16"/>
    </w:rPr>
  </w:style>
  <w:style w:type="character" w:customStyle="1" w:styleId="BodyTextIndent3Char">
    <w:name w:val="Body Text Indent 3 Char"/>
    <w:basedOn w:val="DefaultParagraphFont"/>
    <w:link w:val="BodyTextIndent3"/>
    <w:uiPriority w:val="99"/>
    <w:semiHidden/>
    <w:rsid w:val="0061260A"/>
    <w:rPr>
      <w:rFonts w:asciiTheme="minorHAnsi" w:eastAsiaTheme="minorHAnsi" w:hAnsiTheme="minorHAnsi" w:cstheme="minorBidi"/>
      <w:sz w:val="16"/>
      <w:szCs w:val="16"/>
      <w:lang w:eastAsia="en-US"/>
    </w:rPr>
  </w:style>
  <w:style w:type="paragraph" w:customStyle="1" w:styleId="Default">
    <w:name w:val="Default"/>
    <w:rsid w:val="0061260A"/>
    <w:pPr>
      <w:autoSpaceDE w:val="0"/>
      <w:autoSpaceDN w:val="0"/>
      <w:adjustRightInd w:val="0"/>
    </w:pPr>
    <w:rPr>
      <w:rFonts w:ascii="HelveticaNeue LT 55 Roman" w:eastAsiaTheme="minorHAnsi" w:hAnsi="HelveticaNeue LT 55 Roman" w:cs="HelveticaNeue LT 55 Roman"/>
      <w:color w:val="000000"/>
      <w:sz w:val="24"/>
      <w:szCs w:val="24"/>
      <w:lang w:eastAsia="en-US"/>
    </w:rPr>
  </w:style>
  <w:style w:type="character" w:customStyle="1" w:styleId="st1">
    <w:name w:val="st1"/>
    <w:basedOn w:val="DefaultParagraphFont"/>
    <w:rsid w:val="0061260A"/>
  </w:style>
  <w:style w:type="paragraph" w:styleId="BodyTextIndent2">
    <w:name w:val="Body Text Indent 2"/>
    <w:basedOn w:val="Normal"/>
    <w:link w:val="BodyTextIndent2Char"/>
    <w:semiHidden/>
    <w:unhideWhenUsed/>
    <w:rsid w:val="0061260A"/>
    <w:pPr>
      <w:spacing w:after="120" w:line="480" w:lineRule="auto"/>
      <w:ind w:left="283"/>
    </w:pPr>
    <w:rPr>
      <w:rFonts w:asciiTheme="minorHAnsi" w:eastAsiaTheme="minorHAnsi" w:hAnsiTheme="minorHAnsi" w:cstheme="minorBidi"/>
      <w:sz w:val="21"/>
      <w:szCs w:val="22"/>
    </w:rPr>
  </w:style>
  <w:style w:type="character" w:customStyle="1" w:styleId="BodyTextIndent2Char">
    <w:name w:val="Body Text Indent 2 Char"/>
    <w:basedOn w:val="DefaultParagraphFont"/>
    <w:link w:val="BodyTextIndent2"/>
    <w:semiHidden/>
    <w:rsid w:val="0061260A"/>
    <w:rPr>
      <w:rFonts w:asciiTheme="minorHAnsi" w:eastAsiaTheme="minorHAnsi" w:hAnsiTheme="minorHAnsi" w:cstheme="minorBidi"/>
      <w:sz w:val="21"/>
      <w:szCs w:val="22"/>
      <w:lang w:eastAsia="en-US"/>
    </w:rPr>
  </w:style>
  <w:style w:type="paragraph" w:styleId="TOCHeading">
    <w:name w:val="TOC Heading"/>
    <w:basedOn w:val="Heading1"/>
    <w:next w:val="Normal"/>
    <w:uiPriority w:val="39"/>
    <w:unhideWhenUsed/>
    <w:qFormat/>
    <w:rsid w:val="0061260A"/>
    <w:pPr>
      <w:keepNext/>
      <w:keepLines/>
      <w:tabs>
        <w:tab w:val="clear" w:pos="2400"/>
        <w:tab w:val="clear" w:pos="2880"/>
      </w:tabs>
      <w:spacing w:before="0" w:after="0" w:line="276" w:lineRule="auto"/>
      <w:outlineLvl w:val="9"/>
    </w:pPr>
    <w:rPr>
      <w:rFonts w:asciiTheme="majorHAnsi" w:eastAsiaTheme="majorEastAsia" w:hAnsiTheme="majorHAnsi" w:cs="Arial"/>
      <w:bCs/>
      <w:color w:val="009999"/>
      <w:sz w:val="56"/>
      <w:szCs w:val="56"/>
      <w:lang w:val="en-US"/>
    </w:rPr>
  </w:style>
  <w:style w:type="character" w:customStyle="1" w:styleId="fieldbody">
    <w:name w:val="fieldbody"/>
    <w:basedOn w:val="DefaultParagraphFont"/>
    <w:rsid w:val="0061260A"/>
  </w:style>
  <w:style w:type="paragraph" w:styleId="NoSpacing">
    <w:name w:val="No Spacing"/>
    <w:aliases w:val="Table_text"/>
    <w:basedOn w:val="Normal"/>
    <w:link w:val="NoSpacingChar"/>
    <w:uiPriority w:val="1"/>
    <w:qFormat/>
    <w:rsid w:val="0061260A"/>
    <w:pPr>
      <w:spacing w:before="60" w:after="60"/>
    </w:pPr>
    <w:rPr>
      <w:rFonts w:asciiTheme="minorHAnsi" w:eastAsiaTheme="minorHAnsi" w:hAnsiTheme="minorHAnsi" w:cstheme="minorBidi"/>
      <w:sz w:val="21"/>
      <w:szCs w:val="21"/>
    </w:rPr>
  </w:style>
  <w:style w:type="paragraph" w:styleId="Caption">
    <w:name w:val="caption"/>
    <w:basedOn w:val="Normal"/>
    <w:next w:val="Normal"/>
    <w:uiPriority w:val="35"/>
    <w:unhideWhenUsed/>
    <w:qFormat/>
    <w:rsid w:val="0061260A"/>
    <w:pPr>
      <w:spacing w:after="200"/>
    </w:pPr>
    <w:rPr>
      <w:rFonts w:asciiTheme="minorHAnsi" w:eastAsiaTheme="minorHAnsi" w:hAnsiTheme="minorHAnsi" w:cstheme="minorBidi"/>
      <w:b/>
      <w:bCs/>
      <w:color w:val="4F81BD" w:themeColor="accent1"/>
      <w:sz w:val="18"/>
      <w:szCs w:val="18"/>
    </w:rPr>
  </w:style>
  <w:style w:type="paragraph" w:customStyle="1" w:styleId="EndNoteBibliographyTitle">
    <w:name w:val="EndNote Bibliography Title"/>
    <w:basedOn w:val="Normal"/>
    <w:link w:val="EndNoteBibliographyTitleChar"/>
    <w:rsid w:val="0061260A"/>
    <w:pPr>
      <w:spacing w:line="276" w:lineRule="auto"/>
      <w:jc w:val="center"/>
    </w:pPr>
    <w:rPr>
      <w:rFonts w:ascii="Calibri" w:eastAsiaTheme="minorHAnsi" w:hAnsi="Calibri" w:cs="Arial"/>
      <w:noProof/>
      <w:sz w:val="20"/>
      <w:szCs w:val="21"/>
      <w:lang w:val="en-US"/>
    </w:rPr>
  </w:style>
  <w:style w:type="character" w:customStyle="1" w:styleId="EndNoteBibliographyTitleChar">
    <w:name w:val="EndNote Bibliography Title Char"/>
    <w:basedOn w:val="DefaultParagraphFont"/>
    <w:link w:val="EndNoteBibliographyTitle"/>
    <w:rsid w:val="0061260A"/>
    <w:rPr>
      <w:rFonts w:ascii="Calibri" w:eastAsiaTheme="minorHAnsi" w:hAnsi="Calibri" w:cs="Arial"/>
      <w:noProof/>
      <w:szCs w:val="21"/>
      <w:lang w:val="en-US" w:eastAsia="en-US"/>
    </w:rPr>
  </w:style>
  <w:style w:type="paragraph" w:customStyle="1" w:styleId="EndNoteBibliography">
    <w:name w:val="EndNote Bibliography"/>
    <w:basedOn w:val="Normal"/>
    <w:link w:val="EndNoteBibliographyChar"/>
    <w:rsid w:val="0061260A"/>
    <w:pPr>
      <w:spacing w:after="200"/>
    </w:pPr>
    <w:rPr>
      <w:rFonts w:ascii="Calibri" w:eastAsiaTheme="minorHAnsi" w:hAnsi="Calibri" w:cs="Arial"/>
      <w:noProof/>
      <w:sz w:val="20"/>
      <w:szCs w:val="21"/>
      <w:lang w:val="en-US"/>
    </w:rPr>
  </w:style>
  <w:style w:type="character" w:customStyle="1" w:styleId="EndNoteBibliographyChar">
    <w:name w:val="EndNote Bibliography Char"/>
    <w:basedOn w:val="DefaultParagraphFont"/>
    <w:link w:val="EndNoteBibliography"/>
    <w:rsid w:val="0061260A"/>
    <w:rPr>
      <w:rFonts w:ascii="Calibri" w:eastAsiaTheme="minorHAnsi" w:hAnsi="Calibri" w:cs="Arial"/>
      <w:noProof/>
      <w:szCs w:val="21"/>
      <w:lang w:val="en-US" w:eastAsia="en-US"/>
    </w:rPr>
  </w:style>
  <w:style w:type="paragraph" w:customStyle="1" w:styleId="StrategyBody">
    <w:name w:val="StrategyBody"/>
    <w:basedOn w:val="Normal"/>
    <w:link w:val="StrategyBodyChar"/>
    <w:qFormat/>
    <w:rsid w:val="0061260A"/>
    <w:pPr>
      <w:spacing w:before="120"/>
    </w:pPr>
    <w:rPr>
      <w:rFonts w:ascii="Calibri" w:eastAsia="Calibri" w:hAnsi="Calibri"/>
      <w:sz w:val="21"/>
      <w:szCs w:val="21"/>
    </w:rPr>
  </w:style>
  <w:style w:type="character" w:customStyle="1" w:styleId="StrategyBodyChar">
    <w:name w:val="StrategyBody Char"/>
    <w:basedOn w:val="DefaultParagraphFont"/>
    <w:link w:val="StrategyBody"/>
    <w:rsid w:val="0061260A"/>
    <w:rPr>
      <w:rFonts w:ascii="Calibri" w:eastAsia="Calibri" w:hAnsi="Calibri"/>
      <w:sz w:val="21"/>
      <w:szCs w:val="21"/>
      <w:lang w:eastAsia="en-US"/>
    </w:rPr>
  </w:style>
  <w:style w:type="character" w:customStyle="1" w:styleId="TableheadingChar">
    <w:name w:val="Table heading Char"/>
    <w:basedOn w:val="DefaultParagraphFont"/>
    <w:rsid w:val="0061260A"/>
    <w:rPr>
      <w:bCs/>
      <w:sz w:val="21"/>
      <w:szCs w:val="21"/>
    </w:rPr>
  </w:style>
  <w:style w:type="paragraph" w:styleId="DocumentMap">
    <w:name w:val="Document Map"/>
    <w:basedOn w:val="Normal"/>
    <w:link w:val="DocumentMapChar"/>
    <w:uiPriority w:val="99"/>
    <w:semiHidden/>
    <w:unhideWhenUsed/>
    <w:rsid w:val="0061260A"/>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61260A"/>
    <w:rPr>
      <w:rFonts w:ascii="Tahoma" w:eastAsiaTheme="minorHAnsi" w:hAnsi="Tahoma" w:cs="Tahoma"/>
      <w:sz w:val="16"/>
      <w:szCs w:val="16"/>
      <w:lang w:eastAsia="en-US"/>
    </w:rPr>
  </w:style>
  <w:style w:type="paragraph" w:customStyle="1" w:styleId="Heading1-notindexed">
    <w:name w:val="Heading 1 - not indexed"/>
    <w:basedOn w:val="Heading1"/>
    <w:link w:val="Heading1-notindexedChar"/>
    <w:qFormat/>
    <w:rsid w:val="0061260A"/>
    <w:pPr>
      <w:keepNext/>
      <w:keepLines/>
      <w:tabs>
        <w:tab w:val="clear" w:pos="2400"/>
        <w:tab w:val="clear" w:pos="2880"/>
      </w:tabs>
      <w:spacing w:before="480" w:after="0" w:line="276" w:lineRule="auto"/>
    </w:pPr>
    <w:rPr>
      <w:rFonts w:eastAsiaTheme="majorEastAsia" w:cstheme="majorBidi"/>
      <w:bCs/>
      <w:caps/>
      <w:color w:val="009999"/>
      <w:sz w:val="56"/>
      <w:szCs w:val="56"/>
    </w:rPr>
  </w:style>
  <w:style w:type="character" w:customStyle="1" w:styleId="Heading1-notindexedChar">
    <w:name w:val="Heading 1 - not indexed Char"/>
    <w:basedOn w:val="Heading1Char"/>
    <w:link w:val="Heading1-notindexed"/>
    <w:rsid w:val="0061260A"/>
    <w:rPr>
      <w:rFonts w:ascii="Arial" w:eastAsiaTheme="majorEastAsia" w:hAnsi="Arial" w:cstheme="majorBidi"/>
      <w:b/>
      <w:bCs/>
      <w:caps/>
      <w:color w:val="009999"/>
      <w:sz w:val="56"/>
      <w:szCs w:val="56"/>
      <w:lang w:eastAsia="en-US"/>
    </w:rPr>
  </w:style>
  <w:style w:type="paragraph" w:customStyle="1" w:styleId="Heading2-notindexed">
    <w:name w:val="Heading 2 - not indexed"/>
    <w:basedOn w:val="Heading2"/>
    <w:link w:val="Heading2-notindexedChar"/>
    <w:qFormat/>
    <w:rsid w:val="0061260A"/>
    <w:pPr>
      <w:keepNext/>
      <w:keepLines/>
      <w:spacing w:before="200" w:after="0" w:line="276" w:lineRule="auto"/>
    </w:pPr>
    <w:rPr>
      <w:rFonts w:eastAsiaTheme="majorEastAsia" w:cstheme="majorBidi"/>
      <w:b w:val="0"/>
      <w:caps/>
      <w:color w:val="009999"/>
      <w:sz w:val="28"/>
      <w:szCs w:val="26"/>
    </w:rPr>
  </w:style>
  <w:style w:type="character" w:customStyle="1" w:styleId="Heading2-notindexedChar">
    <w:name w:val="Heading 2 - not indexed Char"/>
    <w:basedOn w:val="Heading2Char"/>
    <w:link w:val="Heading2-notindexed"/>
    <w:rsid w:val="0061260A"/>
    <w:rPr>
      <w:rFonts w:ascii="Arial" w:eastAsiaTheme="majorEastAsia" w:hAnsi="Arial" w:cstheme="majorBidi"/>
      <w:b w:val="0"/>
      <w:bCs/>
      <w:caps/>
      <w:color w:val="009999"/>
      <w:sz w:val="28"/>
      <w:szCs w:val="26"/>
      <w:lang w:eastAsia="en-US"/>
    </w:rPr>
  </w:style>
  <w:style w:type="paragraph" w:customStyle="1" w:styleId="CaptionARCS">
    <w:name w:val="Caption_ARCS"/>
    <w:basedOn w:val="NoSpacing"/>
    <w:link w:val="CaptionARCSChar"/>
    <w:qFormat/>
    <w:rsid w:val="0061260A"/>
  </w:style>
  <w:style w:type="paragraph" w:customStyle="1" w:styleId="Tableheading">
    <w:name w:val="Table_heading"/>
    <w:basedOn w:val="Normal"/>
    <w:link w:val="TableheadingChar0"/>
    <w:qFormat/>
    <w:rsid w:val="0061260A"/>
    <w:pPr>
      <w:spacing w:before="60" w:after="60"/>
    </w:pPr>
    <w:rPr>
      <w:rFonts w:asciiTheme="minorHAnsi" w:eastAsiaTheme="minorHAnsi" w:hAnsiTheme="minorHAnsi" w:cstheme="minorBidi"/>
      <w:b/>
      <w:color w:val="FFFFFF" w:themeColor="background1"/>
      <w:sz w:val="21"/>
      <w:szCs w:val="21"/>
      <w:lang w:val="en-US"/>
    </w:rPr>
  </w:style>
  <w:style w:type="character" w:customStyle="1" w:styleId="NoSpacingChar">
    <w:name w:val="No Spacing Char"/>
    <w:aliases w:val="Table_text Char"/>
    <w:basedOn w:val="DefaultParagraphFont"/>
    <w:link w:val="NoSpacing"/>
    <w:uiPriority w:val="1"/>
    <w:rsid w:val="0061260A"/>
    <w:rPr>
      <w:rFonts w:asciiTheme="minorHAnsi" w:eastAsiaTheme="minorHAnsi" w:hAnsiTheme="minorHAnsi" w:cstheme="minorBidi"/>
      <w:sz w:val="21"/>
      <w:szCs w:val="21"/>
      <w:lang w:eastAsia="en-US"/>
    </w:rPr>
  </w:style>
  <w:style w:type="character" w:customStyle="1" w:styleId="CaptionARCSChar">
    <w:name w:val="Caption_ARCS Char"/>
    <w:basedOn w:val="NoSpacingChar"/>
    <w:link w:val="CaptionARCS"/>
    <w:rsid w:val="0061260A"/>
    <w:rPr>
      <w:rFonts w:asciiTheme="minorHAnsi" w:eastAsiaTheme="minorHAnsi" w:hAnsiTheme="minorHAnsi" w:cstheme="minorBidi"/>
      <w:sz w:val="21"/>
      <w:szCs w:val="21"/>
      <w:lang w:eastAsia="en-US"/>
    </w:rPr>
  </w:style>
  <w:style w:type="character" w:customStyle="1" w:styleId="TableheadingChar0">
    <w:name w:val="Table_heading Char"/>
    <w:basedOn w:val="DefaultParagraphFont"/>
    <w:link w:val="Tableheading"/>
    <w:rsid w:val="0061260A"/>
    <w:rPr>
      <w:rFonts w:asciiTheme="minorHAnsi" w:eastAsiaTheme="minorHAnsi" w:hAnsiTheme="minorHAnsi" w:cstheme="minorBidi"/>
      <w:b/>
      <w:color w:val="FFFFFF" w:themeColor="background1"/>
      <w:sz w:val="21"/>
      <w:szCs w:val="21"/>
      <w:lang w:val="en-US" w:eastAsia="en-US"/>
    </w:rPr>
  </w:style>
  <w:style w:type="character" w:customStyle="1" w:styleId="bibarticle">
    <w:name w:val="bib_article"/>
    <w:basedOn w:val="DefaultParagraphFont"/>
    <w:rsid w:val="0061260A"/>
    <w:rPr>
      <w:sz w:val="20"/>
      <w:bdr w:val="none" w:sz="0" w:space="0" w:color="auto"/>
      <w:shd w:val="clear" w:color="auto" w:fill="00FFFF"/>
    </w:rPr>
  </w:style>
  <w:style w:type="character" w:customStyle="1" w:styleId="bibfname">
    <w:name w:val="bib_fname"/>
    <w:basedOn w:val="DefaultParagraphFont"/>
    <w:rsid w:val="0061260A"/>
    <w:rPr>
      <w:sz w:val="20"/>
      <w:bdr w:val="none" w:sz="0" w:space="0" w:color="auto"/>
      <w:shd w:val="clear" w:color="auto" w:fill="FFFF00"/>
    </w:rPr>
  </w:style>
  <w:style w:type="character" w:customStyle="1" w:styleId="bibfpage">
    <w:name w:val="bib_fpage"/>
    <w:basedOn w:val="DefaultParagraphFont"/>
    <w:rsid w:val="0061260A"/>
    <w:rPr>
      <w:sz w:val="20"/>
      <w:bdr w:val="none" w:sz="0" w:space="0" w:color="auto"/>
      <w:shd w:val="clear" w:color="auto" w:fill="808080"/>
    </w:rPr>
  </w:style>
  <w:style w:type="character" w:customStyle="1" w:styleId="bibjournal">
    <w:name w:val="bib_journal"/>
    <w:basedOn w:val="DefaultParagraphFont"/>
    <w:rsid w:val="0061260A"/>
    <w:rPr>
      <w:i/>
      <w:sz w:val="20"/>
      <w:bdr w:val="none" w:sz="0" w:space="0" w:color="auto"/>
      <w:shd w:val="clear" w:color="auto" w:fill="808000"/>
    </w:rPr>
  </w:style>
  <w:style w:type="character" w:customStyle="1" w:styleId="biblpage">
    <w:name w:val="bib_lpage"/>
    <w:basedOn w:val="DefaultParagraphFont"/>
    <w:rsid w:val="0061260A"/>
    <w:rPr>
      <w:sz w:val="20"/>
      <w:bdr w:val="none" w:sz="0" w:space="0" w:color="auto"/>
      <w:shd w:val="clear" w:color="auto" w:fill="808080"/>
    </w:rPr>
  </w:style>
  <w:style w:type="character" w:customStyle="1" w:styleId="bibsurname">
    <w:name w:val="bib_surname"/>
    <w:basedOn w:val="DefaultParagraphFont"/>
    <w:rsid w:val="0061260A"/>
    <w:rPr>
      <w:sz w:val="20"/>
      <w:bdr w:val="none" w:sz="0" w:space="0" w:color="auto"/>
      <w:shd w:val="clear" w:color="auto" w:fill="FFFF00"/>
    </w:rPr>
  </w:style>
  <w:style w:type="character" w:customStyle="1" w:styleId="bibvolume">
    <w:name w:val="bib_volume"/>
    <w:basedOn w:val="DefaultParagraphFont"/>
    <w:rsid w:val="0061260A"/>
    <w:rPr>
      <w:b/>
      <w:sz w:val="20"/>
      <w:bdr w:val="none" w:sz="0" w:space="0" w:color="auto"/>
      <w:shd w:val="clear" w:color="auto" w:fill="00FF00"/>
    </w:rPr>
  </w:style>
  <w:style w:type="character" w:customStyle="1" w:styleId="bibyear">
    <w:name w:val="bib_year"/>
    <w:basedOn w:val="DefaultParagraphFont"/>
    <w:rsid w:val="0061260A"/>
    <w:rPr>
      <w:sz w:val="20"/>
      <w:bdr w:val="none" w:sz="0" w:space="0" w:color="auto"/>
      <w:shd w:val="clear" w:color="auto" w:fill="FF00FF"/>
    </w:rPr>
  </w:style>
  <w:style w:type="paragraph" w:customStyle="1" w:styleId="Pa0">
    <w:name w:val="Pa0"/>
    <w:basedOn w:val="Default"/>
    <w:next w:val="Default"/>
    <w:uiPriority w:val="99"/>
    <w:rsid w:val="0061260A"/>
    <w:pPr>
      <w:spacing w:line="641" w:lineRule="atLeast"/>
    </w:pPr>
    <w:rPr>
      <w:rFonts w:cstheme="minorBidi"/>
      <w:color w:val="auto"/>
    </w:rPr>
  </w:style>
  <w:style w:type="character" w:customStyle="1" w:styleId="article-headermeta-info-label">
    <w:name w:val="article-header__meta-info-label"/>
    <w:basedOn w:val="DefaultParagraphFont"/>
    <w:rsid w:val="0061260A"/>
  </w:style>
  <w:style w:type="character" w:customStyle="1" w:styleId="ta">
    <w:name w:val="_ta"/>
    <w:basedOn w:val="DefaultParagraphFont"/>
    <w:rsid w:val="0061260A"/>
  </w:style>
  <w:style w:type="character" w:customStyle="1" w:styleId="apple-converted-space">
    <w:name w:val="apple-converted-space"/>
    <w:basedOn w:val="DefaultParagraphFont"/>
    <w:rsid w:val="0061260A"/>
  </w:style>
  <w:style w:type="character" w:styleId="Strong">
    <w:name w:val="Strong"/>
    <w:basedOn w:val="DefaultParagraphFont"/>
    <w:uiPriority w:val="22"/>
    <w:qFormat/>
    <w:rsid w:val="0061260A"/>
    <w:rPr>
      <w:b/>
      <w:bCs/>
    </w:rPr>
  </w:style>
  <w:style w:type="paragraph" w:customStyle="1" w:styleId="BodyText30">
    <w:name w:val="Body Text3"/>
    <w:rsid w:val="0061260A"/>
    <w:pPr>
      <w:widowControl w:val="0"/>
      <w:overflowPunct w:val="0"/>
      <w:autoSpaceDE w:val="0"/>
      <w:autoSpaceDN w:val="0"/>
      <w:adjustRightInd w:val="0"/>
      <w:spacing w:before="170"/>
      <w:textAlignment w:val="baseline"/>
    </w:pPr>
    <w:rPr>
      <w:rFonts w:ascii="Helvetica" w:hAnsi="Helvetica"/>
      <w:sz w:val="22"/>
      <w:lang w:val="en-GB" w:eastAsia="en-US"/>
    </w:rPr>
  </w:style>
  <w:style w:type="paragraph" w:customStyle="1" w:styleId="sub-headings">
    <w:name w:val="sub-headings"/>
    <w:basedOn w:val="Heading1"/>
    <w:link w:val="sub-headingsChar"/>
    <w:qFormat/>
    <w:rsid w:val="0061260A"/>
    <w:pPr>
      <w:keepNext/>
      <w:keepLines/>
      <w:tabs>
        <w:tab w:val="clear" w:pos="2400"/>
        <w:tab w:val="clear" w:pos="2880"/>
      </w:tabs>
      <w:spacing w:before="0" w:after="0" w:line="276" w:lineRule="auto"/>
    </w:pPr>
    <w:rPr>
      <w:rFonts w:eastAsiaTheme="majorEastAsia" w:cstheme="majorBidi"/>
      <w:bCs/>
      <w:i/>
      <w:caps/>
      <w:color w:val="009999"/>
      <w:sz w:val="32"/>
      <w:szCs w:val="32"/>
    </w:rPr>
  </w:style>
  <w:style w:type="character" w:customStyle="1" w:styleId="sub-headingsChar">
    <w:name w:val="sub-headings Char"/>
    <w:basedOn w:val="Heading1Char"/>
    <w:link w:val="sub-headings"/>
    <w:rsid w:val="0061260A"/>
    <w:rPr>
      <w:rFonts w:ascii="Arial" w:eastAsiaTheme="majorEastAsia" w:hAnsi="Arial" w:cstheme="majorBidi"/>
      <w:b/>
      <w:bCs/>
      <w:i/>
      <w:caps/>
      <w:color w:val="009999"/>
      <w:sz w:val="32"/>
      <w:szCs w:val="32"/>
      <w:lang w:eastAsia="en-US"/>
    </w:rPr>
  </w:style>
  <w:style w:type="character" w:customStyle="1" w:styleId="selectable">
    <w:name w:val="selectable"/>
    <w:basedOn w:val="DefaultParagraphFont"/>
    <w:rsid w:val="0061260A"/>
  </w:style>
  <w:style w:type="character" w:customStyle="1" w:styleId="FootnoteTextChar">
    <w:name w:val="Footnote Text Char"/>
    <w:basedOn w:val="DefaultParagraphFont"/>
    <w:link w:val="FootnoteText"/>
    <w:uiPriority w:val="99"/>
    <w:semiHidden/>
    <w:rsid w:val="0061260A"/>
    <w:rPr>
      <w:sz w:val="24"/>
      <w:szCs w:val="24"/>
      <w:lang w:eastAsia="en-US"/>
    </w:rPr>
  </w:style>
  <w:style w:type="character" w:styleId="UnresolvedMention">
    <w:name w:val="Unresolved Mention"/>
    <w:basedOn w:val="DefaultParagraphFont"/>
    <w:uiPriority w:val="99"/>
    <w:semiHidden/>
    <w:unhideWhenUsed/>
    <w:rsid w:val="0061260A"/>
    <w:rPr>
      <w:color w:val="605E5C"/>
      <w:shd w:val="clear" w:color="auto" w:fill="E1DFDD"/>
    </w:rPr>
  </w:style>
  <w:style w:type="paragraph" w:styleId="BodyText20">
    <w:name w:val="Body Text 2"/>
    <w:basedOn w:val="Normal"/>
    <w:link w:val="BodyText2Char"/>
    <w:uiPriority w:val="99"/>
    <w:semiHidden/>
    <w:unhideWhenUsed/>
    <w:rsid w:val="0061260A"/>
    <w:pPr>
      <w:spacing w:after="120" w:line="480" w:lineRule="auto"/>
    </w:pPr>
    <w:rPr>
      <w:rFonts w:asciiTheme="minorHAnsi" w:eastAsiaTheme="minorHAnsi" w:hAnsiTheme="minorHAnsi" w:cstheme="minorBidi"/>
      <w:sz w:val="21"/>
      <w:szCs w:val="21"/>
    </w:rPr>
  </w:style>
  <w:style w:type="character" w:customStyle="1" w:styleId="BodyText2Char">
    <w:name w:val="Body Text 2 Char"/>
    <w:basedOn w:val="DefaultParagraphFont"/>
    <w:link w:val="BodyText20"/>
    <w:uiPriority w:val="99"/>
    <w:semiHidden/>
    <w:rsid w:val="0061260A"/>
    <w:rPr>
      <w:rFonts w:asciiTheme="minorHAnsi" w:eastAsiaTheme="minorHAnsi" w:hAnsiTheme="minorHAnsi" w:cstheme="minorBidi"/>
      <w:sz w:val="21"/>
      <w:szCs w:val="21"/>
      <w:lang w:eastAsia="en-US"/>
    </w:rPr>
  </w:style>
  <w:style w:type="paragraph" w:customStyle="1" w:styleId="TableParagraph">
    <w:name w:val="Table Paragraph"/>
    <w:basedOn w:val="Normal"/>
    <w:uiPriority w:val="1"/>
    <w:qFormat/>
    <w:rsid w:val="0061260A"/>
    <w:pPr>
      <w:widowControl w:val="0"/>
      <w:autoSpaceDE w:val="0"/>
      <w:autoSpaceDN w:val="0"/>
    </w:pPr>
    <w:rPr>
      <w:rFonts w:ascii="Calibri" w:eastAsia="Calibri" w:hAnsi="Calibri" w:cs="Calibri"/>
      <w:sz w:val="22"/>
      <w:szCs w:val="22"/>
    </w:rPr>
  </w:style>
  <w:style w:type="character" w:styleId="HTMLCite">
    <w:name w:val="HTML Cite"/>
    <w:basedOn w:val="DefaultParagraphFont"/>
    <w:uiPriority w:val="99"/>
    <w:semiHidden/>
    <w:unhideWhenUsed/>
    <w:rsid w:val="006126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32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www.environment.act.gov.au/"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nvironment.act.gov.au/__data/assets/pdf_file/0007/1404808/identifying-biodiversity-refugia-in-the-act.pdf"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hyperlink" Target="http://www.bom.gov.au/jsp/ncc/cdio/weatherData/av?p_nccObsCode=122&amp;p_display_type=dailyDataFile&amp;p_startYear=&amp;p_c=&amp;p_stn_num=070351"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environment.act.gov.au/__data/assets/pdf_file/0009/1899396/2021-CNP-Plan_FA4.pdf" TargetMode="Externa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5629</Words>
  <Characters>32366</Characters>
  <Application>Microsoft Office Word</Application>
  <DocSecurity>0</DocSecurity>
  <Lines>777</Lines>
  <Paragraphs>411</Paragraphs>
  <ScaleCrop>false</ScaleCrop>
  <HeadingPairs>
    <vt:vector size="2" baseType="variant">
      <vt:variant>
        <vt:lpstr>Title</vt:lpstr>
      </vt:variant>
      <vt:variant>
        <vt:i4>1</vt:i4>
      </vt:variant>
    </vt:vector>
  </HeadingPairs>
  <TitlesOfParts>
    <vt:vector size="1" baseType="lpstr">
      <vt:lpstr>Notifiable Instrument</vt:lpstr>
    </vt:vector>
  </TitlesOfParts>
  <Company>InTACT</Company>
  <LinksUpToDate>false</LinksUpToDate>
  <CharactersWithSpaces>37626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Notifiable Instrument</dc:title>
  <dc:creator>ACT Government</dc:creator>
  <cp:lastModifiedBy>PCODCS</cp:lastModifiedBy>
  <cp:revision>4</cp:revision>
  <cp:lastPrinted>2004-04-05T00:37:00Z</cp:lastPrinted>
  <dcterms:created xsi:type="dcterms:W3CDTF">2023-04-28T00:28:00Z</dcterms:created>
  <dcterms:modified xsi:type="dcterms:W3CDTF">2023-04-28T00:28:00Z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A41203614</vt:lpwstr>
  </property>
  <property fmtid="{D5CDD505-2E9C-101B-9397-08002B2CF9AE}" pid="4" name="Objective-Title">
    <vt:lpwstr>NI2023-218 - Conservation Advice - Canberra Grassland Earless Dragon</vt:lpwstr>
  </property>
  <property fmtid="{D5CDD505-2E9C-101B-9397-08002B2CF9AE}" pid="5" name="Objective-Comment">
    <vt:lpwstr/>
  </property>
  <property fmtid="{D5CDD505-2E9C-101B-9397-08002B2CF9AE}" pid="6" name="Objective-CreationStamp">
    <vt:filetime>2023-03-03T07:14:38Z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2023-04-27T05:59:12Z</vt:filetime>
  </property>
  <property fmtid="{D5CDD505-2E9C-101B-9397-08002B2CF9AE}" pid="10" name="Objective-ModificationStamp">
    <vt:filetime>2023-04-27T05:59:29Z</vt:filetime>
  </property>
  <property fmtid="{D5CDD505-2E9C-101B-9397-08002B2CF9AE}" pid="11" name="Objective-Owner">
    <vt:lpwstr>Linden Chalmers</vt:lpwstr>
  </property>
  <property fmtid="{D5CDD505-2E9C-101B-9397-08002B2CF9AE}" pid="12" name="Objective-Path">
    <vt:lpwstr>Whole of ACT Government:EPSDD - Environment Planning and Sustainable Development Directorate:DIVISION - Environment, Heritage and Water:BRANCH - Conservation Planning and Policy:Biodiversity Planning &amp; Policy:08. Legislation, Regulations and Instruments:Nature Conservation Act:Listings - Threatened Native Species:Conservation Advice:01. NOTIFICATION of Conservation Advice:23/24882 - Conservation Advice Notification by Scientific Committee - 2023 revision:2. Notifiable Instruments:</vt:lpwstr>
  </property>
  <property fmtid="{D5CDD505-2E9C-101B-9397-08002B2CF9AE}" pid="13" name="Objective-Parent">
    <vt:lpwstr>2. Notifiable Instruments</vt:lpwstr>
  </property>
  <property fmtid="{D5CDD505-2E9C-101B-9397-08002B2CF9AE}" pid="14" name="Objective-State">
    <vt:lpwstr>Published</vt:lpwstr>
  </property>
  <property fmtid="{D5CDD505-2E9C-101B-9397-08002B2CF9AE}" pid="15" name="Objective-Version">
    <vt:lpwstr>10.0</vt:lpwstr>
  </property>
  <property fmtid="{D5CDD505-2E9C-101B-9397-08002B2CF9AE}" pid="16" name="Objective-VersionNumber">
    <vt:r8>11</vt:r8>
  </property>
  <property fmtid="{D5CDD505-2E9C-101B-9397-08002B2CF9AE}" pid="17" name="Objective-VersionComment">
    <vt:lpwstr/>
  </property>
  <property fmtid="{D5CDD505-2E9C-101B-9397-08002B2CF9AE}" pid="18" name="Objective-FileNumber">
    <vt:lpwstr>1-2023/24882</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GENTLEMAN MLA, Mick</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Linden Chalmers</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ies>
</file>