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AB3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2E09E5" w14:textId="77777777" w:rsidR="001440B3" w:rsidRDefault="007911BE">
      <w:pPr>
        <w:pStyle w:val="Billname"/>
        <w:spacing w:before="700"/>
      </w:pPr>
      <w:r>
        <w:t xml:space="preserve">Utilities </w:t>
      </w:r>
      <w:r w:rsidR="001440B3">
        <w:t>(</w:t>
      </w:r>
      <w:r>
        <w:t>Annual Licence Fees Determination 2023-24</w:t>
      </w:r>
      <w:r w:rsidR="001440B3">
        <w:t xml:space="preserve">) </w:t>
      </w:r>
      <w:r w:rsidR="00525963">
        <w:t xml:space="preserve">Notice </w:t>
      </w:r>
      <w:r>
        <w:t>2023</w:t>
      </w:r>
    </w:p>
    <w:p w14:paraId="073E5BA7" w14:textId="1E6B08A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911BE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A13B71">
        <w:rPr>
          <w:rFonts w:ascii="Arial" w:hAnsi="Arial" w:cs="Arial"/>
          <w:b/>
          <w:bCs/>
        </w:rPr>
        <w:t>644</w:t>
      </w:r>
    </w:p>
    <w:p w14:paraId="7E4ED7C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1B7E8E5" w14:textId="77777777" w:rsidR="001440B3" w:rsidRDefault="007911BE" w:rsidP="0042011A">
      <w:pPr>
        <w:pStyle w:val="CoverActName"/>
        <w:spacing w:before="320" w:after="0"/>
        <w:rPr>
          <w:rFonts w:cs="Arial"/>
          <w:sz w:val="20"/>
        </w:rPr>
      </w:pPr>
      <w:r w:rsidRPr="007911BE">
        <w:rPr>
          <w:rFonts w:cs="Arial"/>
          <w:i/>
          <w:iCs/>
          <w:sz w:val="20"/>
        </w:rPr>
        <w:t>Utilities Act 2000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52 (Public notice of licence decisions), section 45 (Determination of fee) and section 53 (Public access to licences etc)</w:t>
      </w:r>
    </w:p>
    <w:p w14:paraId="776E74AD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37F08B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B7EDFC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D5A9F37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495EF8" w:rsidRPr="00A40E69">
        <w:rPr>
          <w:i/>
          <w:iCs/>
        </w:rPr>
        <w:t>Utilities (Annual Licence Fees Determination 2023-24</w:t>
      </w:r>
      <w:r w:rsidR="00A40E69" w:rsidRPr="00A40E69">
        <w:rPr>
          <w:i/>
          <w:iCs/>
        </w:rPr>
        <w:t>) Notice 2023</w:t>
      </w:r>
      <w:r w:rsidRPr="0042011A">
        <w:t>.</w:t>
      </w:r>
    </w:p>
    <w:p w14:paraId="489AF25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B50136D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40E69">
        <w:t>the day after it is notified</w:t>
      </w:r>
      <w:r>
        <w:t xml:space="preserve">. </w:t>
      </w:r>
    </w:p>
    <w:p w14:paraId="4A06274C" w14:textId="39AEFAF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74296">
        <w:rPr>
          <w:rFonts w:ascii="Arial" w:hAnsi="Arial" w:cs="Arial"/>
          <w:b/>
          <w:bCs/>
        </w:rPr>
        <w:t>Findings on regulatory costs and derivation of</w:t>
      </w:r>
      <w:r w:rsidR="008E105C">
        <w:rPr>
          <w:rFonts w:ascii="Arial" w:hAnsi="Arial" w:cs="Arial"/>
          <w:b/>
          <w:bCs/>
        </w:rPr>
        <w:t xml:space="preserve"> </w:t>
      </w:r>
      <w:r w:rsidR="00D96CD9">
        <w:rPr>
          <w:rFonts w:ascii="Arial" w:hAnsi="Arial" w:cs="Arial"/>
          <w:b/>
          <w:bCs/>
        </w:rPr>
        <w:t>annual licence fees</w:t>
      </w:r>
    </w:p>
    <w:p w14:paraId="691E5B42" w14:textId="06C72A49" w:rsidR="001440B3" w:rsidRDefault="000036AC" w:rsidP="0042011A">
      <w:pPr>
        <w:spacing w:before="140"/>
        <w:ind w:left="720"/>
      </w:pPr>
      <w:r>
        <w:t>The Independent Competition and Regulatory Commission (</w:t>
      </w:r>
      <w:r w:rsidR="00403F25">
        <w:t>ICRC</w:t>
      </w:r>
      <w:r>
        <w:t xml:space="preserve">) gives notice that it has determined the annual licence fees payable by licensed utilities under the </w:t>
      </w:r>
      <w:r w:rsidR="008E105C" w:rsidRPr="008E105C">
        <w:rPr>
          <w:i/>
          <w:iCs/>
        </w:rPr>
        <w:t>Utilities Act 2000</w:t>
      </w:r>
      <w:r w:rsidR="008E105C">
        <w:t xml:space="preserve"> for the year ending 30 June 2024, as set out in</w:t>
      </w:r>
      <w:r w:rsidR="00425D0D">
        <w:t xml:space="preserve"> the</w:t>
      </w:r>
      <w:r w:rsidR="008E105C">
        <w:t xml:space="preserve"> schedule (tables 1 to 6) to this instrument.</w:t>
      </w:r>
    </w:p>
    <w:p w14:paraId="4C9FEC36" w14:textId="77777777" w:rsidR="008E105C" w:rsidRDefault="008E105C" w:rsidP="0042011A">
      <w:pPr>
        <w:spacing w:before="140"/>
        <w:ind w:left="720"/>
      </w:pPr>
      <w:r>
        <w:t>Table 1 sets out the licence fees for 2023-24 payable by:</w:t>
      </w:r>
    </w:p>
    <w:p w14:paraId="2E35A969" w14:textId="670E803C" w:rsidR="008E105C" w:rsidRDefault="008E105C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East Australian Pipeline Limited </w:t>
      </w:r>
      <w:r w:rsidR="00657661">
        <w:t xml:space="preserve">(‘EAPL’) (licensed to </w:t>
      </w:r>
      <w:r w:rsidR="004327F0">
        <w:t>provide</w:t>
      </w:r>
      <w:r w:rsidR="00657661">
        <w:t xml:space="preserve"> gas transmission services)</w:t>
      </w:r>
    </w:p>
    <w:p w14:paraId="5BB0FA28" w14:textId="3AF76055" w:rsidR="00657661" w:rsidRDefault="00657661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Icon Water Limited (‘Icon’) (licensed to </w:t>
      </w:r>
      <w:r w:rsidR="004327F0">
        <w:t>provide</w:t>
      </w:r>
      <w:r>
        <w:t xml:space="preserve"> water and sewerage services)</w:t>
      </w:r>
    </w:p>
    <w:p w14:paraId="2F79C8A5" w14:textId="03150933" w:rsidR="00657661" w:rsidRDefault="00657661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Transgrid (licensed to </w:t>
      </w:r>
      <w:r w:rsidR="007E418E">
        <w:t xml:space="preserve">provide electricity transmission </w:t>
      </w:r>
      <w:r w:rsidR="004327F0">
        <w:t xml:space="preserve">and connection </w:t>
      </w:r>
      <w:r w:rsidR="007E418E">
        <w:t>services)</w:t>
      </w:r>
    </w:p>
    <w:p w14:paraId="2D893DF8" w14:textId="4A70D0C7" w:rsidR="007E418E" w:rsidRDefault="007E418E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Lumea Pty Limited (‘Lumea’) (licensed to provide electricity transmission services).</w:t>
      </w:r>
    </w:p>
    <w:p w14:paraId="4F3B50AD" w14:textId="77777777" w:rsidR="00374700" w:rsidRDefault="004327F0" w:rsidP="004327F0">
      <w:pPr>
        <w:spacing w:before="140"/>
        <w:ind w:left="709"/>
      </w:pPr>
      <w:r>
        <w:t xml:space="preserve">Table 2 sets out the derivation of the licence fee payable, in full as a lump sum, including the adjustment for the difference between the total estimated </w:t>
      </w:r>
      <w:r w:rsidR="002D14BE">
        <w:t xml:space="preserve">and actual </w:t>
      </w:r>
      <w:r>
        <w:t>regulatory costs for 2022-23</w:t>
      </w:r>
      <w:r w:rsidR="002D14BE">
        <w:t>.</w:t>
      </w:r>
    </w:p>
    <w:p w14:paraId="4D720545" w14:textId="00089F62" w:rsidR="00374700" w:rsidRDefault="00374700" w:rsidP="004327F0">
      <w:pPr>
        <w:spacing w:before="140"/>
        <w:ind w:left="709"/>
      </w:pPr>
      <w:r>
        <w:t xml:space="preserve">In determining the licence fee payable by each utility, the </w:t>
      </w:r>
      <w:r w:rsidR="00403F25">
        <w:t>ICRC</w:t>
      </w:r>
      <w:r>
        <w:t xml:space="preserve"> had regard to:</w:t>
      </w:r>
    </w:p>
    <w:p w14:paraId="2344E309" w14:textId="67731C0A" w:rsidR="004327F0" w:rsidRDefault="00374700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what it considered the utilities should make as a reasonable contribution towards the costs incurred or expected to be incurred by the three ACT regulators</w:t>
      </w:r>
    </w:p>
    <w:p w14:paraId="23F66763" w14:textId="73ECA0DD" w:rsidR="00374700" w:rsidRDefault="00374700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lastRenderedPageBreak/>
        <w:t>the amount of the fee and the way it is worked out</w:t>
      </w:r>
    </w:p>
    <w:p w14:paraId="4D8534B3" w14:textId="759EE971" w:rsidR="00174296" w:rsidRDefault="00174296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the relative scope and nature of the services provided by all utilities. </w:t>
      </w:r>
    </w:p>
    <w:p w14:paraId="68A4DA15" w14:textId="24E3A9A5" w:rsidR="00174296" w:rsidRDefault="00174296" w:rsidP="00174296">
      <w:pPr>
        <w:spacing w:before="140"/>
        <w:ind w:left="709"/>
      </w:pPr>
      <w:r>
        <w:t>Tables 3-6 set out the total regulatory costs for these three regulators used in the derivation of the annual licence fees, namely:</w:t>
      </w:r>
    </w:p>
    <w:p w14:paraId="278AA2FE" w14:textId="61F93E6E" w:rsidR="00174296" w:rsidRDefault="00174296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 xml:space="preserve">the </w:t>
      </w:r>
      <w:r w:rsidR="00403F25">
        <w:t>Independent Competition and R</w:t>
      </w:r>
      <w:r w:rsidR="0051254C">
        <w:t>egulatory</w:t>
      </w:r>
      <w:r w:rsidR="00403F25">
        <w:t xml:space="preserve"> Commission</w:t>
      </w:r>
      <w:r w:rsidR="00E6691C">
        <w:t xml:space="preserve"> (‘ICRC’)</w:t>
      </w:r>
      <w:r>
        <w:t xml:space="preserve"> </w:t>
      </w:r>
    </w:p>
    <w:p w14:paraId="2CD76CCB" w14:textId="60812475" w:rsidR="00174296" w:rsidRDefault="00384C17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the ACT Civil and Administrative Tribunal</w:t>
      </w:r>
      <w:r w:rsidR="00E6691C">
        <w:t xml:space="preserve"> (‘ACAT’)</w:t>
      </w:r>
    </w:p>
    <w:p w14:paraId="4F84E779" w14:textId="3D982890" w:rsidR="00384C17" w:rsidRDefault="00384C17" w:rsidP="00D91E22">
      <w:pPr>
        <w:pStyle w:val="ListParagraph"/>
        <w:numPr>
          <w:ilvl w:val="0"/>
          <w:numId w:val="10"/>
        </w:numPr>
        <w:spacing w:before="140"/>
        <w:ind w:left="1287" w:hanging="567"/>
      </w:pPr>
      <w:r>
        <w:t>the Utility Technical Regulator</w:t>
      </w:r>
      <w:r w:rsidR="00E6691C">
        <w:t xml:space="preserve"> (‘UTR’)</w:t>
      </w:r>
      <w:r>
        <w:t>.</w:t>
      </w:r>
    </w:p>
    <w:p w14:paraId="674EBE90" w14:textId="606D2B62" w:rsidR="00E565A3" w:rsidRDefault="00D96CD9" w:rsidP="00E565A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E565A3">
        <w:rPr>
          <w:rFonts w:ascii="Arial" w:hAnsi="Arial" w:cs="Arial"/>
          <w:b/>
          <w:bCs/>
        </w:rPr>
        <w:t>Payment of annual licence fees</w:t>
      </w:r>
    </w:p>
    <w:p w14:paraId="52F177D2" w14:textId="3F35161C" w:rsidR="00E565A3" w:rsidRDefault="00E565A3" w:rsidP="00E565A3">
      <w:pPr>
        <w:spacing w:before="140"/>
        <w:ind w:left="720"/>
      </w:pPr>
      <w:r>
        <w:t xml:space="preserve">A fee listed in column 2 of </w:t>
      </w:r>
      <w:r w:rsidR="00CE78CF">
        <w:t>T</w:t>
      </w:r>
      <w:r>
        <w:t xml:space="preserve">able 1 of </w:t>
      </w:r>
      <w:r w:rsidR="00CE78CF">
        <w:t>the s</w:t>
      </w:r>
      <w:r>
        <w:t xml:space="preserve">chedule is payable to the </w:t>
      </w:r>
      <w:r w:rsidR="00403F25">
        <w:t>ICRC</w:t>
      </w:r>
      <w:r>
        <w:t xml:space="preserve"> by licensed utilities described in the corresponding entry in column 1.</w:t>
      </w:r>
    </w:p>
    <w:p w14:paraId="1FAEAD59" w14:textId="6A6D05EF" w:rsidR="00CE78CF" w:rsidRDefault="00CE78CF" w:rsidP="00CE78C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="0078669D">
        <w:rPr>
          <w:rFonts w:ascii="Arial" w:hAnsi="Arial" w:cs="Arial"/>
          <w:b/>
          <w:bCs/>
        </w:rPr>
        <w:t>Timing of payment of annual licence fees</w:t>
      </w:r>
    </w:p>
    <w:p w14:paraId="1AD8244F" w14:textId="0AD42926" w:rsidR="00FD50AA" w:rsidRPr="00FD50AA" w:rsidRDefault="00FD50AA" w:rsidP="00FD50AA">
      <w:pPr>
        <w:spacing w:before="140"/>
        <w:ind w:left="720"/>
      </w:pPr>
      <w:r w:rsidRPr="00FD50AA">
        <w:t xml:space="preserve">The </w:t>
      </w:r>
      <w:r w:rsidR="0078669D">
        <w:t>fees listed in column 2 of Table 1 of the schedule are payable on the date the matter is invoiced.</w:t>
      </w:r>
    </w:p>
    <w:p w14:paraId="55299A1C" w14:textId="72CA061A" w:rsidR="00FD50AA" w:rsidRDefault="00FD50AA" w:rsidP="00FD50A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Public access to determination of annual licence fees</w:t>
      </w:r>
    </w:p>
    <w:p w14:paraId="49F756E7" w14:textId="37A32F2A" w:rsidR="00384C17" w:rsidRPr="00E565A3" w:rsidRDefault="00E565A3" w:rsidP="00384C17">
      <w:pPr>
        <w:spacing w:before="140"/>
        <w:ind w:left="720"/>
      </w:pPr>
      <w:r w:rsidRPr="00E565A3">
        <w:t>Copi</w:t>
      </w:r>
      <w:r>
        <w:t xml:space="preserve">es of this determination of annual licence fees are available to members of the public by contacting the </w:t>
      </w:r>
      <w:r w:rsidR="00403F25">
        <w:t xml:space="preserve">ICRC </w:t>
      </w:r>
      <w:r>
        <w:t xml:space="preserve">on 02 6205 0799. Copies are also available on the </w:t>
      </w:r>
      <w:r w:rsidR="0051254C">
        <w:t>ICRC</w:t>
      </w:r>
      <w:r>
        <w:t>’s website (</w:t>
      </w:r>
      <w:hyperlink r:id="rId9" w:history="1">
        <w:r w:rsidRPr="009A7528">
          <w:rPr>
            <w:rStyle w:val="Hyperlink"/>
          </w:rPr>
          <w:t>https://www.icrc.act.gov.au/</w:t>
        </w:r>
      </w:hyperlink>
      <w:r>
        <w:t>) and on the ACT Legislation Register (</w:t>
      </w:r>
      <w:hyperlink r:id="rId10" w:history="1">
        <w:r w:rsidR="00584F71" w:rsidRPr="009A7528">
          <w:rPr>
            <w:rStyle w:val="Hyperlink"/>
          </w:rPr>
          <w:t>https://www.legislation.act.gov.au/</w:t>
        </w:r>
      </w:hyperlink>
      <w:r w:rsidR="00584F71">
        <w:t xml:space="preserve">). </w:t>
      </w:r>
    </w:p>
    <w:p w14:paraId="65635972" w14:textId="3405D109" w:rsidR="001440B3" w:rsidRDefault="00FD50A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36C7B4BA" w14:textId="4DD57607" w:rsidR="001E2226" w:rsidRDefault="0042011A" w:rsidP="00E13DEC">
      <w:pPr>
        <w:spacing w:before="140"/>
        <w:ind w:left="720"/>
      </w:pPr>
      <w:r>
        <w:t xml:space="preserve">This instrument revokes </w:t>
      </w:r>
      <w:r w:rsidR="00D96CD9">
        <w:t xml:space="preserve">the </w:t>
      </w:r>
      <w:r w:rsidR="00D96CD9">
        <w:rPr>
          <w:i/>
        </w:rPr>
        <w:t>Utilities (Annual Licence Fees Determination 2022-23) Notice 2022</w:t>
      </w:r>
      <w:r w:rsidR="000036AC">
        <w:rPr>
          <w:i/>
        </w:rPr>
        <w:t xml:space="preserve"> (No 2)</w:t>
      </w:r>
      <w:r>
        <w:t xml:space="preserve"> </w:t>
      </w:r>
      <w:r w:rsidR="0078669D">
        <w:t>(</w:t>
      </w:r>
      <w:r w:rsidR="00D96CD9">
        <w:t>NI</w:t>
      </w:r>
      <w:r w:rsidR="000036AC">
        <w:t>2022-572</w:t>
      </w:r>
      <w:r w:rsidR="0078669D">
        <w:t>)</w:t>
      </w:r>
      <w:r>
        <w:t>.</w:t>
      </w:r>
    </w:p>
    <w:p w14:paraId="455952EB" w14:textId="644B45F5" w:rsidR="0042011A" w:rsidRDefault="00584F71" w:rsidP="0042011A">
      <w:pPr>
        <w:tabs>
          <w:tab w:val="left" w:pos="4320"/>
        </w:tabs>
        <w:spacing w:before="720"/>
      </w:pPr>
      <w:r>
        <w:t>Joe Dimasi</w:t>
      </w:r>
    </w:p>
    <w:p w14:paraId="0ECED405" w14:textId="6E9C9BBA" w:rsidR="001440B3" w:rsidRDefault="00584F71" w:rsidP="0042011A">
      <w:pPr>
        <w:tabs>
          <w:tab w:val="left" w:pos="4320"/>
        </w:tabs>
      </w:pPr>
      <w:r>
        <w:t>Senior Commissioner</w:t>
      </w:r>
    </w:p>
    <w:bookmarkEnd w:id="0"/>
    <w:p w14:paraId="2FA884B5" w14:textId="52961FB5" w:rsidR="001440B3" w:rsidRDefault="001E2226">
      <w:pPr>
        <w:tabs>
          <w:tab w:val="left" w:pos="4320"/>
        </w:tabs>
      </w:pPr>
      <w:r>
        <w:t>18</w:t>
      </w:r>
      <w:r w:rsidR="00584F71">
        <w:t xml:space="preserve"> October 2023</w:t>
      </w:r>
    </w:p>
    <w:p w14:paraId="48B68C9A" w14:textId="77777777" w:rsidR="00584F71" w:rsidRDefault="00584F71">
      <w:pPr>
        <w:tabs>
          <w:tab w:val="left" w:pos="4320"/>
        </w:tabs>
      </w:pPr>
    </w:p>
    <w:p w14:paraId="1B63E939" w14:textId="77777777" w:rsidR="00584F71" w:rsidRDefault="00584F71">
      <w:pPr>
        <w:tabs>
          <w:tab w:val="left" w:pos="4320"/>
        </w:tabs>
      </w:pPr>
    </w:p>
    <w:p w14:paraId="35A9E5E9" w14:textId="77777777" w:rsidR="00584F71" w:rsidRDefault="00584F71">
      <w:pPr>
        <w:tabs>
          <w:tab w:val="left" w:pos="4320"/>
        </w:tabs>
      </w:pPr>
    </w:p>
    <w:p w14:paraId="7B1EE936" w14:textId="77777777" w:rsidR="00584F71" w:rsidRDefault="00584F71">
      <w:pPr>
        <w:tabs>
          <w:tab w:val="left" w:pos="4320"/>
        </w:tabs>
      </w:pPr>
    </w:p>
    <w:p w14:paraId="6672C2A7" w14:textId="77777777" w:rsidR="00584F71" w:rsidRDefault="00584F71">
      <w:pPr>
        <w:tabs>
          <w:tab w:val="left" w:pos="4320"/>
        </w:tabs>
      </w:pPr>
    </w:p>
    <w:p w14:paraId="02E94BB0" w14:textId="77777777" w:rsidR="00584F71" w:rsidRDefault="00584F71">
      <w:pPr>
        <w:tabs>
          <w:tab w:val="left" w:pos="4320"/>
        </w:tabs>
      </w:pPr>
    </w:p>
    <w:p w14:paraId="4240A070" w14:textId="77777777" w:rsidR="00584F71" w:rsidRDefault="00584F71">
      <w:pPr>
        <w:tabs>
          <w:tab w:val="left" w:pos="4320"/>
        </w:tabs>
      </w:pPr>
    </w:p>
    <w:p w14:paraId="7FC9661B" w14:textId="77777777" w:rsidR="0051254C" w:rsidRDefault="0051254C">
      <w:pPr>
        <w:tabs>
          <w:tab w:val="left" w:pos="4320"/>
        </w:tabs>
      </w:pPr>
    </w:p>
    <w:p w14:paraId="199ABE37" w14:textId="77777777" w:rsidR="0051254C" w:rsidRDefault="0051254C">
      <w:pPr>
        <w:tabs>
          <w:tab w:val="left" w:pos="4320"/>
        </w:tabs>
      </w:pPr>
    </w:p>
    <w:p w14:paraId="2753A00A" w14:textId="77777777" w:rsidR="0051254C" w:rsidRDefault="0051254C">
      <w:pPr>
        <w:tabs>
          <w:tab w:val="left" w:pos="4320"/>
        </w:tabs>
      </w:pPr>
    </w:p>
    <w:p w14:paraId="0E6527DB" w14:textId="77777777" w:rsidR="0051254C" w:rsidRDefault="0051254C">
      <w:pPr>
        <w:tabs>
          <w:tab w:val="left" w:pos="4320"/>
        </w:tabs>
      </w:pPr>
    </w:p>
    <w:p w14:paraId="751F2E9A" w14:textId="77777777" w:rsidR="00584F71" w:rsidRDefault="00584F71">
      <w:pPr>
        <w:tabs>
          <w:tab w:val="left" w:pos="4320"/>
        </w:tabs>
      </w:pPr>
    </w:p>
    <w:p w14:paraId="1BF363DF" w14:textId="77777777" w:rsidR="00584F71" w:rsidRDefault="00584F71">
      <w:pPr>
        <w:tabs>
          <w:tab w:val="left" w:pos="4320"/>
        </w:tabs>
      </w:pPr>
    </w:p>
    <w:p w14:paraId="53DA3EB1" w14:textId="77777777" w:rsidR="00584F71" w:rsidRDefault="00584F71">
      <w:pPr>
        <w:tabs>
          <w:tab w:val="left" w:pos="4320"/>
        </w:tabs>
      </w:pPr>
    </w:p>
    <w:p w14:paraId="09EE972D" w14:textId="77777777" w:rsidR="00584F71" w:rsidRDefault="00584F71">
      <w:pPr>
        <w:tabs>
          <w:tab w:val="left" w:pos="4320"/>
        </w:tabs>
      </w:pPr>
    </w:p>
    <w:p w14:paraId="54E758FA" w14:textId="10144C8C" w:rsidR="00584F71" w:rsidRPr="0018193E" w:rsidRDefault="00584F71">
      <w:pPr>
        <w:tabs>
          <w:tab w:val="left" w:pos="4320"/>
        </w:tabs>
        <w:rPr>
          <w:b/>
          <w:bCs/>
          <w:sz w:val="28"/>
          <w:szCs w:val="28"/>
        </w:rPr>
      </w:pPr>
      <w:r w:rsidRPr="0018193E">
        <w:rPr>
          <w:b/>
          <w:bCs/>
          <w:sz w:val="28"/>
          <w:szCs w:val="28"/>
        </w:rPr>
        <w:lastRenderedPageBreak/>
        <w:t>Schedule</w:t>
      </w:r>
    </w:p>
    <w:p w14:paraId="48C2198F" w14:textId="77777777" w:rsidR="00584F71" w:rsidRDefault="00584F71">
      <w:pPr>
        <w:tabs>
          <w:tab w:val="left" w:pos="4320"/>
        </w:tabs>
      </w:pPr>
    </w:p>
    <w:p w14:paraId="2357CD50" w14:textId="323D94A8" w:rsidR="009E56DD" w:rsidRPr="00001EBD" w:rsidRDefault="009E56DD" w:rsidP="00001EBD">
      <w:pPr>
        <w:tabs>
          <w:tab w:val="left" w:pos="4320"/>
        </w:tabs>
        <w:spacing w:before="240" w:after="240"/>
        <w:rPr>
          <w:b/>
          <w:bCs/>
        </w:rPr>
      </w:pPr>
      <w:r w:rsidRPr="0018193E">
        <w:rPr>
          <w:b/>
          <w:bCs/>
        </w:rPr>
        <w:t>Table 1: Licence fees payable for 2023-24</w:t>
      </w:r>
      <w:r w:rsidR="001827EC">
        <w:rPr>
          <w:b/>
          <w:bCs/>
        </w:rPr>
        <w:t xml:space="preserve"> ($)</w:t>
      </w:r>
      <w:r w:rsidR="00395165">
        <w:rPr>
          <w:b/>
          <w:bCs/>
          <w:vertAlign w:val="superscript"/>
        </w:rPr>
        <w:t>1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256"/>
        <w:gridCol w:w="5103"/>
      </w:tblGrid>
      <w:tr w:rsidR="007E5E95" w:rsidRPr="0080764F" w14:paraId="531F6D9A" w14:textId="1B1F37D2" w:rsidTr="007E5E95">
        <w:trPr>
          <w:trHeight w:val="278"/>
        </w:trPr>
        <w:tc>
          <w:tcPr>
            <w:tcW w:w="3256" w:type="dxa"/>
            <w:shd w:val="clear" w:color="auto" w:fill="D9D9D9" w:themeFill="background1" w:themeFillShade="D9"/>
          </w:tcPr>
          <w:p w14:paraId="4DF356F3" w14:textId="11F8DC26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i/>
                <w:iCs/>
                <w:sz w:val="20"/>
              </w:rPr>
            </w:pPr>
            <w:bookmarkStart w:id="1" w:name="_Hlk147754745"/>
            <w:r w:rsidRPr="0080764F">
              <w:rPr>
                <w:b/>
                <w:bCs/>
                <w:i/>
                <w:iCs/>
                <w:sz w:val="20"/>
              </w:rPr>
              <w:t>Column 1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B5B92E7" w14:textId="6CF07A5A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0"/>
              </w:rPr>
            </w:pPr>
            <w:r w:rsidRPr="0080764F">
              <w:rPr>
                <w:b/>
                <w:bCs/>
                <w:i/>
                <w:iCs/>
                <w:sz w:val="20"/>
              </w:rPr>
              <w:t>Column 2</w:t>
            </w:r>
          </w:p>
        </w:tc>
      </w:tr>
      <w:tr w:rsidR="007E5E95" w:rsidRPr="0080764F" w14:paraId="639E7C0D" w14:textId="6AE585A7" w:rsidTr="007E5E95">
        <w:trPr>
          <w:trHeight w:val="277"/>
        </w:trPr>
        <w:tc>
          <w:tcPr>
            <w:tcW w:w="3256" w:type="dxa"/>
            <w:shd w:val="clear" w:color="auto" w:fill="D9D9D9" w:themeFill="background1" w:themeFillShade="D9"/>
          </w:tcPr>
          <w:p w14:paraId="2138E748" w14:textId="15484E84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i/>
                <w:iCs/>
                <w:sz w:val="20"/>
              </w:rPr>
            </w:pPr>
            <w:r w:rsidRPr="0080764F">
              <w:rPr>
                <w:b/>
                <w:bCs/>
                <w:sz w:val="20"/>
              </w:rPr>
              <w:t>Licensee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F0D7DC4" w14:textId="3B050270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i/>
                <w:iCs/>
                <w:sz w:val="20"/>
              </w:rPr>
            </w:pPr>
            <w:r w:rsidRPr="0080764F">
              <w:rPr>
                <w:b/>
                <w:bCs/>
                <w:sz w:val="20"/>
              </w:rPr>
              <w:t>Licence fees payable 2023-24 (GST exempt)</w:t>
            </w:r>
          </w:p>
        </w:tc>
      </w:tr>
      <w:tr w:rsidR="007E5E95" w:rsidRPr="0080764F" w14:paraId="10506AB8" w14:textId="398534F8" w:rsidTr="007E5E95">
        <w:tc>
          <w:tcPr>
            <w:tcW w:w="3256" w:type="dxa"/>
          </w:tcPr>
          <w:p w14:paraId="7C7FFDD1" w14:textId="0E74CADD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EAPL</w:t>
            </w:r>
          </w:p>
        </w:tc>
        <w:tc>
          <w:tcPr>
            <w:tcW w:w="5103" w:type="dxa"/>
            <w:vAlign w:val="center"/>
          </w:tcPr>
          <w:p w14:paraId="55393FC6" w14:textId="16BA24ED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80764F">
              <w:rPr>
                <w:rFonts w:cstheme="minorHAnsi"/>
                <w:sz w:val="20"/>
                <w:lang w:eastAsia="en-AU"/>
              </w:rPr>
              <w:t>-52,752.36</w:t>
            </w:r>
          </w:p>
        </w:tc>
      </w:tr>
      <w:tr w:rsidR="007E5E95" w:rsidRPr="0080764F" w14:paraId="65B854CB" w14:textId="343DD638" w:rsidTr="007E5E95">
        <w:tc>
          <w:tcPr>
            <w:tcW w:w="3256" w:type="dxa"/>
          </w:tcPr>
          <w:p w14:paraId="781ADBDF" w14:textId="2C6D3D4E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Icon</w:t>
            </w:r>
          </w:p>
        </w:tc>
        <w:tc>
          <w:tcPr>
            <w:tcW w:w="5103" w:type="dxa"/>
            <w:vAlign w:val="center"/>
          </w:tcPr>
          <w:p w14:paraId="397201B5" w14:textId="6DC80906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80764F">
              <w:rPr>
                <w:rFonts w:cstheme="minorHAnsi"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sz w:val="20"/>
                <w:lang w:eastAsia="en-AU"/>
              </w:rPr>
              <w:t>2</w:t>
            </w:r>
            <w:r w:rsidRPr="0080764F">
              <w:rPr>
                <w:rFonts w:cstheme="minorHAnsi"/>
                <w:sz w:val="20"/>
                <w:lang w:eastAsia="en-AU"/>
              </w:rPr>
              <w:t>12,532.02</w:t>
            </w:r>
          </w:p>
        </w:tc>
      </w:tr>
      <w:tr w:rsidR="007E5E95" w:rsidRPr="0080764F" w14:paraId="068E27C8" w14:textId="6B7C8BEC" w:rsidTr="007E5E95">
        <w:tc>
          <w:tcPr>
            <w:tcW w:w="3256" w:type="dxa"/>
          </w:tcPr>
          <w:p w14:paraId="6B99D9FE" w14:textId="72712E0A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80764F">
              <w:rPr>
                <w:sz w:val="20"/>
              </w:rPr>
              <w:t>Transgrid</w:t>
            </w:r>
          </w:p>
        </w:tc>
        <w:tc>
          <w:tcPr>
            <w:tcW w:w="5103" w:type="dxa"/>
            <w:vAlign w:val="center"/>
          </w:tcPr>
          <w:p w14:paraId="084CD4D8" w14:textId="47A1AB83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80764F">
              <w:rPr>
                <w:rFonts w:cstheme="minorHAnsi"/>
                <w:sz w:val="20"/>
                <w:lang w:eastAsia="en-AU"/>
              </w:rPr>
              <w:t>35,669.43</w:t>
            </w:r>
          </w:p>
        </w:tc>
      </w:tr>
      <w:tr w:rsidR="007E5E95" w:rsidRPr="0080764F" w14:paraId="77814995" w14:textId="3169A971" w:rsidTr="007E5E95">
        <w:tc>
          <w:tcPr>
            <w:tcW w:w="3256" w:type="dxa"/>
          </w:tcPr>
          <w:p w14:paraId="1698D7CF" w14:textId="6DB3AC00" w:rsidR="007E5E95" w:rsidRPr="00F26877" w:rsidRDefault="007E5E95" w:rsidP="0080764F">
            <w:pPr>
              <w:tabs>
                <w:tab w:val="left" w:pos="4320"/>
              </w:tabs>
              <w:spacing w:line="276" w:lineRule="auto"/>
              <w:rPr>
                <w:sz w:val="20"/>
                <w:vertAlign w:val="superscript"/>
              </w:rPr>
            </w:pPr>
            <w:r w:rsidRPr="0080764F">
              <w:rPr>
                <w:sz w:val="20"/>
              </w:rPr>
              <w:t>Lumea</w:t>
            </w:r>
            <w:r w:rsidR="00F26877">
              <w:rPr>
                <w:sz w:val="20"/>
                <w:vertAlign w:val="superscript"/>
              </w:rPr>
              <w:t>2</w:t>
            </w:r>
          </w:p>
        </w:tc>
        <w:tc>
          <w:tcPr>
            <w:tcW w:w="5103" w:type="dxa"/>
            <w:vAlign w:val="center"/>
          </w:tcPr>
          <w:p w14:paraId="009BE3DD" w14:textId="203DA286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80764F">
              <w:rPr>
                <w:rFonts w:cstheme="minorHAnsi"/>
                <w:sz w:val="20"/>
              </w:rPr>
              <w:t>3,239.52</w:t>
            </w:r>
          </w:p>
        </w:tc>
      </w:tr>
      <w:tr w:rsidR="007E5E95" w:rsidRPr="0080764F" w14:paraId="2C31D359" w14:textId="442C43DB" w:rsidTr="007E5E95">
        <w:tc>
          <w:tcPr>
            <w:tcW w:w="3256" w:type="dxa"/>
          </w:tcPr>
          <w:p w14:paraId="69658154" w14:textId="79CD5460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80764F">
              <w:rPr>
                <w:b/>
                <w:bCs/>
                <w:sz w:val="20"/>
              </w:rPr>
              <w:t>Total</w:t>
            </w:r>
          </w:p>
        </w:tc>
        <w:tc>
          <w:tcPr>
            <w:tcW w:w="5103" w:type="dxa"/>
            <w:vAlign w:val="center"/>
          </w:tcPr>
          <w:p w14:paraId="761F5CA3" w14:textId="17731B2E" w:rsidR="007E5E95" w:rsidRPr="0080764F" w:rsidRDefault="007E5E9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80764F">
              <w:rPr>
                <w:rFonts w:cstheme="minorHAnsi"/>
                <w:b/>
                <w:bCs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b/>
                <w:bCs/>
                <w:sz w:val="20"/>
                <w:lang w:eastAsia="en-AU"/>
              </w:rPr>
              <w:t>1</w:t>
            </w:r>
            <w:r w:rsidRPr="0080764F">
              <w:rPr>
                <w:rFonts w:cstheme="minorHAnsi"/>
                <w:b/>
                <w:bCs/>
                <w:sz w:val="20"/>
                <w:lang w:eastAsia="en-AU"/>
              </w:rPr>
              <w:t>98,688.62</w:t>
            </w:r>
          </w:p>
        </w:tc>
      </w:tr>
    </w:tbl>
    <w:bookmarkEnd w:id="1"/>
    <w:p w14:paraId="6DF4F9BD" w14:textId="4607A5D7" w:rsidR="00395165" w:rsidRDefault="00395165" w:rsidP="00395165">
      <w:pPr>
        <w:rPr>
          <w:sz w:val="18"/>
          <w:szCs w:val="18"/>
        </w:rPr>
      </w:pPr>
      <w:r w:rsidRPr="00D65295">
        <w:rPr>
          <w:sz w:val="18"/>
          <w:szCs w:val="18"/>
          <w:vertAlign w:val="superscript"/>
        </w:rPr>
        <w:t>1</w:t>
      </w:r>
      <w:r>
        <w:t xml:space="preserve"> </w:t>
      </w:r>
      <w:r w:rsidRPr="00395165">
        <w:rPr>
          <w:sz w:val="18"/>
          <w:szCs w:val="18"/>
        </w:rPr>
        <w:t>Licence fees determined for 2023–24 are based on estimated regulatory costs to be incurred during 2023–24 by the three regulators. The fees also take account of any under- or over-recovery resulting from the difference in costs between those estimated for 2022–23 and the actual costs incurred by the regulators for that year.</w:t>
      </w:r>
    </w:p>
    <w:p w14:paraId="6FBB89F5" w14:textId="1E5DE5B6" w:rsidR="00D65295" w:rsidRPr="00D65295" w:rsidRDefault="00D65295" w:rsidP="00395165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Lumea</w:t>
      </w:r>
      <w:r w:rsidR="0051254C">
        <w:rPr>
          <w:sz w:val="18"/>
          <w:szCs w:val="18"/>
        </w:rPr>
        <w:t xml:space="preserve"> was granted a utility licence</w:t>
      </w:r>
      <w:r>
        <w:rPr>
          <w:sz w:val="18"/>
          <w:szCs w:val="18"/>
        </w:rPr>
        <w:t xml:space="preserve"> in October 2022. </w:t>
      </w:r>
      <w:r w:rsidR="0051254C">
        <w:rPr>
          <w:sz w:val="18"/>
          <w:szCs w:val="18"/>
        </w:rPr>
        <w:t>Therefore, it</w:t>
      </w:r>
      <w:r w:rsidR="0080764F">
        <w:rPr>
          <w:sz w:val="18"/>
          <w:szCs w:val="18"/>
        </w:rPr>
        <w:t xml:space="preserve"> will pay the annual licence fee </w:t>
      </w:r>
      <w:r w:rsidR="0051254C">
        <w:rPr>
          <w:sz w:val="18"/>
          <w:szCs w:val="18"/>
        </w:rPr>
        <w:t xml:space="preserve">in 2023-24 </w:t>
      </w:r>
      <w:r w:rsidR="0080764F">
        <w:rPr>
          <w:sz w:val="18"/>
          <w:szCs w:val="18"/>
        </w:rPr>
        <w:t>for the first time.</w:t>
      </w:r>
    </w:p>
    <w:p w14:paraId="17CD74E4" w14:textId="77777777" w:rsidR="0024006C" w:rsidRDefault="0024006C" w:rsidP="00395165">
      <w:pPr>
        <w:rPr>
          <w:rFonts w:ascii="Arial Narrow" w:hAnsi="Arial Narrow" w:cs="Arial"/>
          <w:bCs/>
          <w:sz w:val="18"/>
          <w:szCs w:val="18"/>
        </w:rPr>
      </w:pPr>
    </w:p>
    <w:p w14:paraId="6AAED783" w14:textId="3FCAAE8A" w:rsidR="00732CFC" w:rsidRDefault="00A70096">
      <w:pPr>
        <w:tabs>
          <w:tab w:val="left" w:pos="4320"/>
        </w:tabs>
        <w:rPr>
          <w:sz w:val="18"/>
          <w:szCs w:val="18"/>
        </w:rPr>
      </w:pPr>
      <w:r w:rsidRPr="00A70096">
        <w:rPr>
          <w:sz w:val="18"/>
          <w:szCs w:val="18"/>
        </w:rPr>
        <w:t>Note:</w:t>
      </w:r>
      <w:r w:rsidR="0015655F">
        <w:rPr>
          <w:sz w:val="18"/>
          <w:szCs w:val="18"/>
        </w:rPr>
        <w:t xml:space="preserve"> </w:t>
      </w:r>
      <w:r w:rsidRPr="00A70096">
        <w:rPr>
          <w:sz w:val="18"/>
          <w:szCs w:val="18"/>
        </w:rPr>
        <w:t>Totals may not add due to rounding.</w:t>
      </w:r>
    </w:p>
    <w:p w14:paraId="2443193F" w14:textId="77777777" w:rsidR="00A70096" w:rsidRDefault="00A70096">
      <w:pPr>
        <w:tabs>
          <w:tab w:val="left" w:pos="4320"/>
        </w:tabs>
        <w:rPr>
          <w:sz w:val="18"/>
          <w:szCs w:val="18"/>
        </w:rPr>
      </w:pPr>
    </w:p>
    <w:p w14:paraId="66959FF4" w14:textId="48279CB4" w:rsidR="00A70096" w:rsidRPr="00EF4C0F" w:rsidRDefault="00A70096" w:rsidP="00EF4C0F">
      <w:pPr>
        <w:tabs>
          <w:tab w:val="left" w:pos="4320"/>
        </w:tabs>
        <w:spacing w:before="240" w:after="240"/>
        <w:rPr>
          <w:b/>
          <w:bCs/>
        </w:rPr>
      </w:pPr>
      <w:r w:rsidRPr="00A70096">
        <w:rPr>
          <w:b/>
          <w:bCs/>
        </w:rPr>
        <w:t xml:space="preserve">Table 2: </w:t>
      </w:r>
      <w:r>
        <w:rPr>
          <w:b/>
          <w:bCs/>
        </w:rPr>
        <w:t>Derivation of licence fees payable for 2023-24</w:t>
      </w:r>
      <w:r w:rsidR="001827EC">
        <w:rPr>
          <w:b/>
          <w:bCs/>
        </w:rPr>
        <w:t xml:space="preserve"> ($)</w:t>
      </w:r>
      <w:r w:rsidR="00D65295">
        <w:rPr>
          <w:b/>
          <w:bCs/>
          <w:vertAlign w:val="superscript"/>
        </w:rPr>
        <w:t>3</w:t>
      </w:r>
    </w:p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996"/>
        <w:gridCol w:w="1273"/>
        <w:gridCol w:w="1418"/>
        <w:gridCol w:w="1134"/>
        <w:gridCol w:w="1273"/>
        <w:gridCol w:w="1186"/>
        <w:gridCol w:w="1219"/>
      </w:tblGrid>
      <w:tr w:rsidR="00A70096" w:rsidRPr="005C3A0F" w14:paraId="3D25E8FA" w14:textId="77777777" w:rsidTr="0024006C">
        <w:trPr>
          <w:trHeight w:val="941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F6891F" w14:textId="77777777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Licensee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F73305" w14:textId="77777777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 xml:space="preserve">Total estimated regulatory costs </w:t>
            </w:r>
          </w:p>
          <w:p w14:paraId="316D089B" w14:textId="7DE41860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for 202</w:t>
            </w:r>
            <w:r w:rsidR="005C3A0F" w:rsidRPr="005C3A0F">
              <w:rPr>
                <w:b/>
                <w:bCs/>
                <w:sz w:val="20"/>
              </w:rPr>
              <w:t>2</w:t>
            </w:r>
            <w:r w:rsidRPr="005C3A0F">
              <w:rPr>
                <w:b/>
                <w:bCs/>
                <w:sz w:val="20"/>
              </w:rPr>
              <w:t>–2</w:t>
            </w:r>
            <w:r w:rsidR="005C3A0F" w:rsidRPr="005C3A0F">
              <w:rPr>
                <w:b/>
                <w:bCs/>
                <w:sz w:val="20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EFE838" w14:textId="77777777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 xml:space="preserve">Total actual regulatory costs </w:t>
            </w:r>
          </w:p>
          <w:p w14:paraId="14AC71E1" w14:textId="4E7B142E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for 202</w:t>
            </w:r>
            <w:r w:rsidR="005C3A0F" w:rsidRPr="005C3A0F">
              <w:rPr>
                <w:b/>
                <w:bCs/>
                <w:sz w:val="20"/>
              </w:rPr>
              <w:t>2</w:t>
            </w:r>
            <w:r w:rsidRPr="005C3A0F">
              <w:rPr>
                <w:b/>
                <w:bCs/>
                <w:sz w:val="20"/>
              </w:rPr>
              <w:t>-2</w:t>
            </w:r>
            <w:r w:rsidR="005C3A0F" w:rsidRPr="005C3A0F">
              <w:rPr>
                <w:b/>
                <w:bCs/>
                <w:sz w:val="20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998DCB" w14:textId="46BEA36F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ind w:right="-80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Over (+) or under (-) recovery for 202</w:t>
            </w:r>
            <w:r w:rsidR="005C3A0F" w:rsidRPr="005C3A0F">
              <w:rPr>
                <w:b/>
                <w:bCs/>
                <w:sz w:val="20"/>
              </w:rPr>
              <w:t>2</w:t>
            </w:r>
            <w:r w:rsidRPr="005C3A0F">
              <w:rPr>
                <w:b/>
                <w:bCs/>
                <w:sz w:val="20"/>
              </w:rPr>
              <w:t>–2</w:t>
            </w:r>
            <w:r w:rsidR="005C3A0F" w:rsidRPr="005C3A0F">
              <w:rPr>
                <w:b/>
                <w:bCs/>
                <w:sz w:val="20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E18268" w14:textId="77777777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 xml:space="preserve">Total estimated regulatory costs </w:t>
            </w:r>
          </w:p>
          <w:p w14:paraId="5554AB91" w14:textId="67BBC1AB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for 202</w:t>
            </w:r>
            <w:r w:rsidR="005C3A0F" w:rsidRPr="005C3A0F">
              <w:rPr>
                <w:b/>
                <w:bCs/>
                <w:sz w:val="20"/>
              </w:rPr>
              <w:t>3</w:t>
            </w:r>
            <w:r w:rsidRPr="005C3A0F">
              <w:rPr>
                <w:b/>
                <w:bCs/>
                <w:sz w:val="20"/>
              </w:rPr>
              <w:t>–2</w:t>
            </w:r>
            <w:r w:rsidR="005C3A0F" w:rsidRPr="005C3A0F">
              <w:rPr>
                <w:b/>
                <w:bCs/>
                <w:sz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46C713" w14:textId="41520C9E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ind w:right="-30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Non-regulatory adjustment for 202</w:t>
            </w:r>
            <w:r w:rsidR="005C3A0F" w:rsidRPr="005C3A0F">
              <w:rPr>
                <w:b/>
                <w:bCs/>
                <w:sz w:val="20"/>
              </w:rPr>
              <w:t>2</w:t>
            </w:r>
            <w:r w:rsidRPr="005C3A0F">
              <w:rPr>
                <w:b/>
                <w:bCs/>
                <w:sz w:val="20"/>
              </w:rPr>
              <w:t>–2</w:t>
            </w:r>
            <w:r w:rsidR="005C3A0F" w:rsidRPr="005C3A0F">
              <w:rPr>
                <w:b/>
                <w:bCs/>
                <w:sz w:val="20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4FDEDF" w14:textId="45C71F21" w:rsidR="00A70096" w:rsidRPr="005C3A0F" w:rsidRDefault="00A70096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Licence fees determined for 202</w:t>
            </w:r>
            <w:r w:rsidR="005C3A0F" w:rsidRPr="005C3A0F">
              <w:rPr>
                <w:b/>
                <w:bCs/>
                <w:sz w:val="20"/>
              </w:rPr>
              <w:t>3</w:t>
            </w:r>
            <w:r w:rsidRPr="005C3A0F">
              <w:rPr>
                <w:b/>
                <w:bCs/>
                <w:sz w:val="20"/>
              </w:rPr>
              <w:t>–2</w:t>
            </w:r>
            <w:r w:rsidR="005C3A0F" w:rsidRPr="005C3A0F">
              <w:rPr>
                <w:b/>
                <w:bCs/>
                <w:sz w:val="20"/>
              </w:rPr>
              <w:t>4</w:t>
            </w:r>
          </w:p>
        </w:tc>
      </w:tr>
      <w:tr w:rsidR="0024006C" w:rsidRPr="005C3A0F" w14:paraId="0BC2F695" w14:textId="77777777" w:rsidTr="0024006C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A219" w14:textId="77777777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5C3A0F">
              <w:rPr>
                <w:sz w:val="20"/>
              </w:rPr>
              <w:t>EAPL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8CC6" w14:textId="32218B29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85,132.70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4CCB" w14:textId="5664B443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12,409.92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B873" w14:textId="1B2D0D40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72,722.78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F02A" w14:textId="3ECC6A10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19,989.52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3AD" w14:textId="2EF937DE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19.10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D437" w14:textId="52C4EABB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-52,752.36</w:t>
            </w:r>
          </w:p>
        </w:tc>
      </w:tr>
      <w:tr w:rsidR="0024006C" w:rsidRPr="005C3A0F" w14:paraId="2F26BBDE" w14:textId="77777777" w:rsidTr="0024006C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793C" w14:textId="77777777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5C3A0F">
              <w:rPr>
                <w:sz w:val="20"/>
              </w:rPr>
              <w:t>Icon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18" w14:textId="4BE474D2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828,527.60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21ED" w14:textId="70644614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820,353.97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64C0" w14:textId="2A620839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8,173.63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09EB" w14:textId="62569684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sz w:val="20"/>
                <w:lang w:eastAsia="en-AU"/>
              </w:rPr>
              <w:t>2</w:t>
            </w:r>
            <w:r w:rsidRPr="007F30C2">
              <w:rPr>
                <w:rFonts w:cstheme="minorHAnsi"/>
                <w:sz w:val="20"/>
                <w:lang w:eastAsia="en-AU"/>
              </w:rPr>
              <w:t>21,696.64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5310" w14:textId="29E10BB4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990.99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6CB8" w14:textId="5A7A625B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sz w:val="20"/>
                <w:lang w:eastAsia="en-AU"/>
              </w:rPr>
              <w:t>2</w:t>
            </w:r>
            <w:r w:rsidRPr="007F30C2">
              <w:rPr>
                <w:rFonts w:cstheme="minorHAnsi"/>
                <w:sz w:val="20"/>
                <w:lang w:eastAsia="en-AU"/>
              </w:rPr>
              <w:t>12,532.02</w:t>
            </w:r>
          </w:p>
        </w:tc>
      </w:tr>
      <w:tr w:rsidR="0024006C" w:rsidRPr="005C3A0F" w14:paraId="38BEB935" w14:textId="77777777" w:rsidTr="0024006C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F223" w14:textId="533EE6BB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1549" w14:textId="16626D5D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107,346.55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72FF" w14:textId="51E16201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57,989.92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ACFB" w14:textId="0DE2407C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49,356.63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D4E7" w14:textId="7FA75E03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85,084.52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72D7" w14:textId="398AB9E1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58.46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828B" w14:textId="00CE1453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  <w:lang w:eastAsia="en-AU"/>
              </w:rPr>
              <w:t>35,669.43</w:t>
            </w:r>
          </w:p>
        </w:tc>
      </w:tr>
      <w:tr w:rsidR="0024006C" w:rsidRPr="005C3A0F" w14:paraId="04FB8FF9" w14:textId="77777777" w:rsidTr="0024006C">
        <w:trPr>
          <w:trHeight w:val="254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AE76" w14:textId="37C78A02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74" w14:textId="590A50CA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8A9" w14:textId="4E799A34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9C16" w14:textId="3BD09D5A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905" w14:textId="52CE87C2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</w:rPr>
              <w:t>3,239.52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DA3" w14:textId="1A09BD24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3C3" w14:textId="7CEE6EF8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7F30C2">
              <w:rPr>
                <w:rFonts w:cstheme="minorHAnsi"/>
                <w:sz w:val="20"/>
              </w:rPr>
              <w:t>3,239.52</w:t>
            </w:r>
          </w:p>
        </w:tc>
      </w:tr>
      <w:tr w:rsidR="0024006C" w:rsidRPr="005C3A0F" w14:paraId="05C8D3AE" w14:textId="77777777" w:rsidTr="0024006C">
        <w:trPr>
          <w:trHeight w:val="279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EE44" w14:textId="77777777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5C3A0F">
              <w:rPr>
                <w:b/>
                <w:bCs/>
                <w:sz w:val="20"/>
              </w:rPr>
              <w:t>Total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92B" w14:textId="7BCA4493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1,021,006.86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E5BE" w14:textId="2A1D8E90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890,753.82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6BD0" w14:textId="4D316A66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130,253.04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D078" w14:textId="6819BF85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b/>
                <w:bCs/>
                <w:sz w:val="20"/>
                <w:lang w:eastAsia="en-AU"/>
              </w:rPr>
              <w:t>3</w:t>
            </w: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30,010.20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77E" w14:textId="02A9BDBD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1,068.54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5D3" w14:textId="36B33AF7" w:rsidR="0024006C" w:rsidRPr="005C3A0F" w:rsidRDefault="0024006C" w:rsidP="0080764F">
            <w:pPr>
              <w:tabs>
                <w:tab w:val="left" w:pos="4320"/>
              </w:tabs>
              <w:spacing w:line="276" w:lineRule="auto"/>
              <w:ind w:left="-114"/>
              <w:jc w:val="right"/>
              <w:rPr>
                <w:b/>
                <w:bCs/>
                <w:sz w:val="20"/>
              </w:rPr>
            </w:pP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b/>
                <w:bCs/>
                <w:sz w:val="20"/>
                <w:lang w:eastAsia="en-AU"/>
              </w:rPr>
              <w:t>1</w:t>
            </w:r>
            <w:r w:rsidRPr="007F30C2">
              <w:rPr>
                <w:rFonts w:cstheme="minorHAnsi"/>
                <w:b/>
                <w:bCs/>
                <w:sz w:val="20"/>
                <w:lang w:eastAsia="en-AU"/>
              </w:rPr>
              <w:t>98,688.62</w:t>
            </w:r>
          </w:p>
        </w:tc>
      </w:tr>
    </w:tbl>
    <w:p w14:paraId="1DD2E107" w14:textId="02A96EF2" w:rsidR="005C3A0F" w:rsidRPr="0024006C" w:rsidRDefault="00D65295" w:rsidP="005C3A0F">
      <w:pPr>
        <w:rPr>
          <w:sz w:val="18"/>
          <w:szCs w:val="18"/>
        </w:rPr>
      </w:pPr>
      <w:r w:rsidRPr="00D65295">
        <w:rPr>
          <w:sz w:val="18"/>
          <w:szCs w:val="18"/>
          <w:vertAlign w:val="superscript"/>
        </w:rPr>
        <w:t>3</w:t>
      </w:r>
      <w:r w:rsidR="005C3A0F" w:rsidRPr="00D65295">
        <w:rPr>
          <w:sz w:val="18"/>
          <w:szCs w:val="18"/>
          <w:vertAlign w:val="superscript"/>
        </w:rPr>
        <w:t xml:space="preserve"> </w:t>
      </w:r>
      <w:r w:rsidR="005C3A0F" w:rsidRPr="00D65295">
        <w:rPr>
          <w:sz w:val="18"/>
          <w:szCs w:val="18"/>
        </w:rPr>
        <w:t>A non</w:t>
      </w:r>
      <w:r w:rsidR="005C3A0F" w:rsidRPr="0024006C">
        <w:rPr>
          <w:sz w:val="18"/>
          <w:szCs w:val="18"/>
        </w:rPr>
        <w:t xml:space="preserve">-regulatory adjustment is an adjustment to the final determined licence fee paid by a utility for an amount of money that is unrelated to a regulator's costs. For example, interest accrued on fee monies collected by the </w:t>
      </w:r>
      <w:r w:rsidR="0051254C">
        <w:rPr>
          <w:sz w:val="18"/>
          <w:szCs w:val="18"/>
        </w:rPr>
        <w:t>ICRC</w:t>
      </w:r>
      <w:r w:rsidR="005C3A0F" w:rsidRPr="0024006C">
        <w:rPr>
          <w:sz w:val="18"/>
          <w:szCs w:val="18"/>
        </w:rPr>
        <w:t xml:space="preserve"> prior to the funds being passed on to the regulator.</w:t>
      </w:r>
    </w:p>
    <w:p w14:paraId="3E0F9A77" w14:textId="77777777" w:rsidR="005C3A0F" w:rsidRPr="0024006C" w:rsidRDefault="005C3A0F" w:rsidP="005C3A0F">
      <w:pPr>
        <w:rPr>
          <w:sz w:val="18"/>
          <w:szCs w:val="18"/>
        </w:rPr>
      </w:pPr>
    </w:p>
    <w:p w14:paraId="77A5A7A9" w14:textId="77777777" w:rsidR="005C3A0F" w:rsidRPr="0024006C" w:rsidRDefault="005C3A0F" w:rsidP="005C3A0F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6233BD23" w14:textId="291DF5D5" w:rsidR="00A70096" w:rsidRDefault="00A70096">
      <w:pPr>
        <w:tabs>
          <w:tab w:val="left" w:pos="4320"/>
        </w:tabs>
      </w:pPr>
    </w:p>
    <w:p w14:paraId="5AB6BFA1" w14:textId="50FA3772" w:rsidR="0024006C" w:rsidRPr="00B5137F" w:rsidRDefault="00136B45" w:rsidP="00EF4C0F">
      <w:pPr>
        <w:tabs>
          <w:tab w:val="left" w:pos="4320"/>
        </w:tabs>
        <w:spacing w:before="240" w:after="240"/>
        <w:rPr>
          <w:b/>
          <w:bCs/>
        </w:rPr>
      </w:pPr>
      <w:r w:rsidRPr="00B5137F">
        <w:rPr>
          <w:b/>
          <w:bCs/>
        </w:rPr>
        <w:t>Table 3: Total estimated regulatory costs for each regulator for 202</w:t>
      </w:r>
      <w:r w:rsidR="00B5137F" w:rsidRPr="00B5137F">
        <w:rPr>
          <w:b/>
          <w:bCs/>
        </w:rPr>
        <w:t>2</w:t>
      </w:r>
      <w:r w:rsidRPr="00B5137F">
        <w:rPr>
          <w:b/>
          <w:bCs/>
        </w:rPr>
        <w:t>-2</w:t>
      </w:r>
      <w:r w:rsidR="00B5137F" w:rsidRPr="00B5137F">
        <w:rPr>
          <w:b/>
          <w:bCs/>
        </w:rPr>
        <w:t xml:space="preserve">3 </w:t>
      </w:r>
      <w:r w:rsidRPr="00B5137F">
        <w:rPr>
          <w:b/>
          <w:bCs/>
        </w:rPr>
        <w:t>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136B45" w:rsidRPr="0058719A" w14:paraId="3620F738" w14:textId="77777777" w:rsidTr="00B5137F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211125B9" w14:textId="77777777" w:rsidR="00136B45" w:rsidRPr="00136B45" w:rsidRDefault="00136B45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29E0E28F" w14:textId="77777777" w:rsidR="00136B45" w:rsidRPr="00136B45" w:rsidRDefault="00136B45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336042D8" w14:textId="1E03728E" w:rsidR="00136B45" w:rsidRPr="00136B45" w:rsidRDefault="00136B4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0EF12978" w14:textId="1CB19514" w:rsidR="00136B45" w:rsidRPr="00136B45" w:rsidRDefault="00136B4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54D0A1A1" w14:textId="13250D26" w:rsidR="00136B45" w:rsidRPr="00136B45" w:rsidRDefault="00136B4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62D590CD" w14:textId="6680E8C0" w:rsidR="00136B45" w:rsidRPr="00136B45" w:rsidRDefault="00136B45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B5137F" w:rsidRPr="0058719A" w14:paraId="131BB74C" w14:textId="77777777" w:rsidTr="002B4CB0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29B8E4A7" w14:textId="77777777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528B52F" w14:textId="77777777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75BB8FBB" w14:textId="1CF38155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82,087.20</w:t>
            </w:r>
          </w:p>
        </w:tc>
        <w:tc>
          <w:tcPr>
            <w:tcW w:w="713" w:type="pct"/>
            <w:vAlign w:val="center"/>
            <w:hideMark/>
          </w:tcPr>
          <w:p w14:paraId="3785F9F6" w14:textId="78DE0B8A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29D3241E" w14:textId="5F167030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3,045.50</w:t>
            </w:r>
          </w:p>
        </w:tc>
        <w:tc>
          <w:tcPr>
            <w:tcW w:w="775" w:type="pct"/>
            <w:vAlign w:val="center"/>
            <w:hideMark/>
          </w:tcPr>
          <w:p w14:paraId="241D4CE5" w14:textId="0845FCF5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85,132.70</w:t>
            </w:r>
          </w:p>
        </w:tc>
      </w:tr>
      <w:tr w:rsidR="00B5137F" w:rsidRPr="0058719A" w14:paraId="36C71F36" w14:textId="77777777" w:rsidTr="002B4CB0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2953AABD" w14:textId="77777777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09C9DD1F" w14:textId="77777777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2034942D" w14:textId="7AD5942F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455,095.93</w:t>
            </w:r>
          </w:p>
        </w:tc>
        <w:tc>
          <w:tcPr>
            <w:tcW w:w="713" w:type="pct"/>
            <w:vAlign w:val="center"/>
            <w:hideMark/>
          </w:tcPr>
          <w:p w14:paraId="1C2558BE" w14:textId="7FE1AB16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141,447.00</w:t>
            </w:r>
          </w:p>
        </w:tc>
        <w:tc>
          <w:tcPr>
            <w:tcW w:w="686" w:type="pct"/>
            <w:vAlign w:val="center"/>
            <w:hideMark/>
          </w:tcPr>
          <w:p w14:paraId="5FCA350F" w14:textId="35ED51D8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231,984.67</w:t>
            </w:r>
          </w:p>
        </w:tc>
        <w:tc>
          <w:tcPr>
            <w:tcW w:w="775" w:type="pct"/>
            <w:vAlign w:val="center"/>
            <w:hideMark/>
          </w:tcPr>
          <w:p w14:paraId="6B625797" w14:textId="7DF073D2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828,527.60</w:t>
            </w:r>
          </w:p>
        </w:tc>
      </w:tr>
      <w:tr w:rsidR="00B5137F" w:rsidRPr="0058719A" w14:paraId="55E7438D" w14:textId="77777777" w:rsidTr="002B4CB0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10052F11" w14:textId="2F9D1F7C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1EB477D" w14:textId="77777777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2A22559C" w14:textId="7801FC6F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282EB7">
              <w:rPr>
                <w:rFonts w:cstheme="minorHAnsi"/>
                <w:sz w:val="20"/>
                <w:lang w:eastAsia="en-AU"/>
              </w:rPr>
              <w:t>104,301.05</w:t>
            </w:r>
          </w:p>
        </w:tc>
        <w:tc>
          <w:tcPr>
            <w:tcW w:w="713" w:type="pct"/>
            <w:vAlign w:val="center"/>
            <w:hideMark/>
          </w:tcPr>
          <w:p w14:paraId="023B1B4A" w14:textId="7309B6AB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282EB7">
              <w:rPr>
                <w:rFonts w:cstheme="minorHAnsi"/>
                <w:sz w:val="20"/>
                <w:lang w:eastAsia="en-AU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3092A2A7" w14:textId="293A38EE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282EB7">
              <w:rPr>
                <w:rFonts w:cstheme="minorHAnsi"/>
                <w:sz w:val="20"/>
                <w:lang w:eastAsia="en-AU"/>
              </w:rPr>
              <w:t>3,045.50</w:t>
            </w:r>
          </w:p>
        </w:tc>
        <w:tc>
          <w:tcPr>
            <w:tcW w:w="775" w:type="pct"/>
            <w:vAlign w:val="center"/>
            <w:hideMark/>
          </w:tcPr>
          <w:p w14:paraId="0476A010" w14:textId="46C03034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282EB7">
              <w:rPr>
                <w:rFonts w:cstheme="minorHAnsi"/>
                <w:sz w:val="20"/>
                <w:lang w:eastAsia="en-AU"/>
              </w:rPr>
              <w:t>107,346.55</w:t>
            </w:r>
          </w:p>
        </w:tc>
      </w:tr>
      <w:tr w:rsidR="00B5137F" w:rsidRPr="0058719A" w14:paraId="05C5FC6D" w14:textId="77777777" w:rsidTr="002B4CB0">
        <w:trPr>
          <w:trHeight w:val="309"/>
        </w:trPr>
        <w:tc>
          <w:tcPr>
            <w:tcW w:w="720" w:type="pct"/>
            <w:shd w:val="clear" w:color="auto" w:fill="auto"/>
            <w:vAlign w:val="bottom"/>
          </w:tcPr>
          <w:p w14:paraId="44B0637C" w14:textId="1A81D452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shd w:val="clear" w:color="auto" w:fill="auto"/>
            <w:vAlign w:val="bottom"/>
          </w:tcPr>
          <w:p w14:paraId="3DE5570D" w14:textId="3D5FF0EC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</w:tcPr>
          <w:p w14:paraId="224960BF" w14:textId="7F3E2E86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-</w:t>
            </w:r>
          </w:p>
        </w:tc>
        <w:tc>
          <w:tcPr>
            <w:tcW w:w="713" w:type="pct"/>
            <w:vAlign w:val="center"/>
          </w:tcPr>
          <w:p w14:paraId="74113CC0" w14:textId="56B1AF90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-</w:t>
            </w:r>
          </w:p>
        </w:tc>
        <w:tc>
          <w:tcPr>
            <w:tcW w:w="686" w:type="pct"/>
            <w:vAlign w:val="center"/>
          </w:tcPr>
          <w:p w14:paraId="545488E3" w14:textId="39A6BDBB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-</w:t>
            </w:r>
          </w:p>
        </w:tc>
        <w:tc>
          <w:tcPr>
            <w:tcW w:w="775" w:type="pct"/>
            <w:vAlign w:val="center"/>
          </w:tcPr>
          <w:p w14:paraId="4A143F1C" w14:textId="560626F0" w:rsidR="00B5137F" w:rsidRPr="00136B45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CC3CA8">
              <w:rPr>
                <w:rFonts w:cstheme="minorHAnsi"/>
                <w:sz w:val="20"/>
                <w:lang w:eastAsia="en-AU"/>
              </w:rPr>
              <w:t>-</w:t>
            </w:r>
          </w:p>
        </w:tc>
      </w:tr>
      <w:tr w:rsidR="00B5137F" w:rsidRPr="00B5137F" w14:paraId="6AF940F0" w14:textId="77777777" w:rsidTr="002B4CB0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24176BD7" w14:textId="77777777" w:rsidR="00B5137F" w:rsidRPr="00B5137F" w:rsidRDefault="00B5137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3190D4FF" w14:textId="77777777" w:rsidR="00B5137F" w:rsidRPr="00B5137F" w:rsidRDefault="00B5137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1C4815D4" w14:textId="7FBC9FD0" w:rsidR="00B5137F" w:rsidRPr="00B5137F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17908">
              <w:rPr>
                <w:b/>
                <w:bCs/>
                <w:sz w:val="20"/>
              </w:rPr>
              <w:t>641,484.18</w:t>
            </w:r>
          </w:p>
        </w:tc>
        <w:tc>
          <w:tcPr>
            <w:tcW w:w="713" w:type="pct"/>
            <w:vAlign w:val="center"/>
            <w:hideMark/>
          </w:tcPr>
          <w:p w14:paraId="147A1BAB" w14:textId="63A98652" w:rsidR="00B5137F" w:rsidRPr="00B5137F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17908">
              <w:rPr>
                <w:b/>
                <w:bCs/>
                <w:sz w:val="20"/>
              </w:rPr>
              <w:t>141,447.00</w:t>
            </w:r>
          </w:p>
        </w:tc>
        <w:tc>
          <w:tcPr>
            <w:tcW w:w="686" w:type="pct"/>
            <w:vAlign w:val="center"/>
            <w:hideMark/>
          </w:tcPr>
          <w:p w14:paraId="2B8424B2" w14:textId="68B69AF0" w:rsidR="00B5137F" w:rsidRPr="00B5137F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17908">
              <w:rPr>
                <w:b/>
                <w:bCs/>
                <w:sz w:val="20"/>
              </w:rPr>
              <w:t>238,075.68</w:t>
            </w:r>
          </w:p>
        </w:tc>
        <w:tc>
          <w:tcPr>
            <w:tcW w:w="775" w:type="pct"/>
            <w:vAlign w:val="center"/>
            <w:hideMark/>
          </w:tcPr>
          <w:p w14:paraId="078095A3" w14:textId="29446622" w:rsidR="00B5137F" w:rsidRPr="00B5137F" w:rsidRDefault="00B5137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517908">
              <w:rPr>
                <w:b/>
                <w:bCs/>
                <w:sz w:val="20"/>
              </w:rPr>
              <w:t>1,021,006.86</w:t>
            </w:r>
          </w:p>
        </w:tc>
      </w:tr>
    </w:tbl>
    <w:p w14:paraId="152EE709" w14:textId="77777777" w:rsidR="00B5137F" w:rsidRPr="0024006C" w:rsidRDefault="00B5137F" w:rsidP="00B5137F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70FF03E5" w14:textId="77777777" w:rsidR="00136B45" w:rsidRDefault="00136B45">
      <w:pPr>
        <w:tabs>
          <w:tab w:val="left" w:pos="4320"/>
        </w:tabs>
      </w:pPr>
    </w:p>
    <w:p w14:paraId="3F89F0A0" w14:textId="77777777" w:rsidR="00001EBD" w:rsidRDefault="00001EBD">
      <w:pPr>
        <w:tabs>
          <w:tab w:val="left" w:pos="4320"/>
        </w:tabs>
      </w:pPr>
    </w:p>
    <w:p w14:paraId="498A2FA6" w14:textId="4300798E" w:rsidR="00C23B49" w:rsidRPr="00B5137F" w:rsidRDefault="00C23B49" w:rsidP="00EF4C0F">
      <w:pPr>
        <w:tabs>
          <w:tab w:val="left" w:pos="4320"/>
        </w:tabs>
        <w:spacing w:before="240" w:after="240"/>
        <w:rPr>
          <w:b/>
          <w:bCs/>
        </w:rPr>
      </w:pPr>
      <w:r w:rsidRPr="00B5137F">
        <w:rPr>
          <w:b/>
          <w:bCs/>
        </w:rPr>
        <w:lastRenderedPageBreak/>
        <w:t xml:space="preserve">Table </w:t>
      </w:r>
      <w:r>
        <w:rPr>
          <w:b/>
          <w:bCs/>
        </w:rPr>
        <w:t>4</w:t>
      </w:r>
      <w:r w:rsidRPr="00B5137F">
        <w:rPr>
          <w:b/>
          <w:bCs/>
        </w:rPr>
        <w:t xml:space="preserve">: Total </w:t>
      </w:r>
      <w:r>
        <w:rPr>
          <w:b/>
          <w:bCs/>
        </w:rPr>
        <w:t>actual</w:t>
      </w:r>
      <w:r w:rsidRPr="00B5137F">
        <w:rPr>
          <w:b/>
          <w:bCs/>
        </w:rPr>
        <w:t xml:space="preserve"> regulatory costs for each regulator for 2022-23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C23B49" w:rsidRPr="0058719A" w14:paraId="30AD2A21" w14:textId="77777777" w:rsidTr="00F12374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5552D1A3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bookmarkStart w:id="2" w:name="_Hlk147748560"/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65414E5A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1567C15E" w14:textId="1ECF9A9B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4871F17D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564A270B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75C8BAA4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C23B49" w:rsidRPr="0058719A" w14:paraId="32BB3CC9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7E35F3E6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76DABC6E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407BCE28" w14:textId="4D5D7AB1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9,761.00</w:t>
            </w:r>
          </w:p>
        </w:tc>
        <w:tc>
          <w:tcPr>
            <w:tcW w:w="713" w:type="pct"/>
            <w:vAlign w:val="center"/>
            <w:hideMark/>
          </w:tcPr>
          <w:p w14:paraId="68A0BAA8" w14:textId="3A5044C9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7925AEF9" w14:textId="7F2BF752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2,648.92</w:t>
            </w:r>
          </w:p>
        </w:tc>
        <w:tc>
          <w:tcPr>
            <w:tcW w:w="775" w:type="pct"/>
            <w:vAlign w:val="center"/>
            <w:hideMark/>
          </w:tcPr>
          <w:p w14:paraId="35B66E89" w14:textId="5DF33F80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12,406.92</w:t>
            </w:r>
          </w:p>
        </w:tc>
      </w:tr>
      <w:tr w:rsidR="00C23B49" w:rsidRPr="0058719A" w14:paraId="256BAEBC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5417BBA4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2D866D81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1923A90F" w14:textId="18C918BC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602,476.00</w:t>
            </w:r>
          </w:p>
        </w:tc>
        <w:tc>
          <w:tcPr>
            <w:tcW w:w="713" w:type="pct"/>
            <w:vAlign w:val="center"/>
            <w:hideMark/>
          </w:tcPr>
          <w:p w14:paraId="08196AF6" w14:textId="2290FD0F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94,906.00</w:t>
            </w:r>
          </w:p>
        </w:tc>
        <w:tc>
          <w:tcPr>
            <w:tcW w:w="686" w:type="pct"/>
            <w:vAlign w:val="center"/>
            <w:hideMark/>
          </w:tcPr>
          <w:p w14:paraId="52290FEC" w14:textId="499752C9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122,971.97</w:t>
            </w:r>
          </w:p>
        </w:tc>
        <w:tc>
          <w:tcPr>
            <w:tcW w:w="775" w:type="pct"/>
            <w:vAlign w:val="center"/>
            <w:hideMark/>
          </w:tcPr>
          <w:p w14:paraId="0C549F30" w14:textId="1321269F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820,353.97</w:t>
            </w:r>
          </w:p>
        </w:tc>
      </w:tr>
      <w:tr w:rsidR="00C23B49" w:rsidRPr="0058719A" w14:paraId="4228A19B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2F1B21EA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EF0C9A7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3674D5A0" w14:textId="609C42E0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55,341.00</w:t>
            </w:r>
          </w:p>
        </w:tc>
        <w:tc>
          <w:tcPr>
            <w:tcW w:w="713" w:type="pct"/>
            <w:vAlign w:val="center"/>
            <w:hideMark/>
          </w:tcPr>
          <w:p w14:paraId="3B341951" w14:textId="1E542948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58BC091F" w14:textId="079FE759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2,648.92</w:t>
            </w:r>
          </w:p>
        </w:tc>
        <w:tc>
          <w:tcPr>
            <w:tcW w:w="775" w:type="pct"/>
            <w:vAlign w:val="center"/>
            <w:hideMark/>
          </w:tcPr>
          <w:p w14:paraId="40B6DC27" w14:textId="3F456B1F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57,989.92</w:t>
            </w:r>
          </w:p>
        </w:tc>
      </w:tr>
      <w:tr w:rsidR="00C23B49" w:rsidRPr="0058719A" w14:paraId="35F82DF4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</w:tcPr>
          <w:p w14:paraId="2BCC7E31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shd w:val="clear" w:color="auto" w:fill="auto"/>
            <w:vAlign w:val="bottom"/>
          </w:tcPr>
          <w:p w14:paraId="5F11F132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</w:tcPr>
          <w:p w14:paraId="4E5EEB5F" w14:textId="53ED4446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-</w:t>
            </w:r>
          </w:p>
        </w:tc>
        <w:tc>
          <w:tcPr>
            <w:tcW w:w="713" w:type="pct"/>
            <w:vAlign w:val="center"/>
          </w:tcPr>
          <w:p w14:paraId="2A787E0B" w14:textId="7BE1CC80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</w:rPr>
              <w:t>-</w:t>
            </w:r>
          </w:p>
        </w:tc>
        <w:tc>
          <w:tcPr>
            <w:tcW w:w="686" w:type="pct"/>
            <w:vAlign w:val="center"/>
          </w:tcPr>
          <w:p w14:paraId="6B88405D" w14:textId="34A6D405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-</w:t>
            </w:r>
          </w:p>
        </w:tc>
        <w:tc>
          <w:tcPr>
            <w:tcW w:w="775" w:type="pct"/>
            <w:vAlign w:val="center"/>
          </w:tcPr>
          <w:p w14:paraId="651A1DDA" w14:textId="49EE7254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D60914">
              <w:rPr>
                <w:rFonts w:cstheme="minorHAnsi"/>
                <w:sz w:val="20"/>
                <w:lang w:eastAsia="en-AU"/>
              </w:rPr>
              <w:t>-</w:t>
            </w:r>
          </w:p>
        </w:tc>
      </w:tr>
      <w:tr w:rsidR="00C23B49" w:rsidRPr="00B5137F" w14:paraId="37CC7CCB" w14:textId="77777777" w:rsidTr="00F12374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0D07C9DA" w14:textId="77777777" w:rsidR="00C23B49" w:rsidRPr="00B5137F" w:rsidRDefault="00C23B49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7ED76C5C" w14:textId="77777777" w:rsidR="00C23B49" w:rsidRPr="00B5137F" w:rsidRDefault="00C23B49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29650028" w14:textId="35F467FF" w:rsidR="00C23B49" w:rsidRPr="00B5137F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D60914">
              <w:rPr>
                <w:rFonts w:cstheme="minorHAnsi"/>
                <w:b/>
                <w:bCs/>
                <w:sz w:val="20"/>
                <w:lang w:eastAsia="en-AU"/>
              </w:rPr>
              <w:t>667,578.00</w:t>
            </w:r>
          </w:p>
        </w:tc>
        <w:tc>
          <w:tcPr>
            <w:tcW w:w="713" w:type="pct"/>
            <w:vAlign w:val="center"/>
            <w:hideMark/>
          </w:tcPr>
          <w:p w14:paraId="22C3C664" w14:textId="6527D473" w:rsidR="00C23B49" w:rsidRPr="00B5137F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D60914">
              <w:rPr>
                <w:rFonts w:cstheme="minorHAnsi"/>
                <w:b/>
                <w:bCs/>
                <w:sz w:val="20"/>
                <w:lang w:eastAsia="en-AU"/>
              </w:rPr>
              <w:t>94,906.00</w:t>
            </w:r>
          </w:p>
        </w:tc>
        <w:tc>
          <w:tcPr>
            <w:tcW w:w="686" w:type="pct"/>
            <w:vAlign w:val="center"/>
            <w:hideMark/>
          </w:tcPr>
          <w:p w14:paraId="4B9EA539" w14:textId="1D3F5664" w:rsidR="00C23B49" w:rsidRPr="00B5137F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D60914">
              <w:rPr>
                <w:rFonts w:cstheme="minorHAnsi"/>
                <w:b/>
                <w:bCs/>
                <w:sz w:val="20"/>
                <w:lang w:eastAsia="en-AU"/>
              </w:rPr>
              <w:t>128,269.82</w:t>
            </w:r>
          </w:p>
        </w:tc>
        <w:tc>
          <w:tcPr>
            <w:tcW w:w="775" w:type="pct"/>
            <w:vAlign w:val="center"/>
            <w:hideMark/>
          </w:tcPr>
          <w:p w14:paraId="20354CB5" w14:textId="5C1500DA" w:rsidR="00C23B49" w:rsidRPr="00B5137F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D60914">
              <w:rPr>
                <w:rFonts w:cstheme="minorHAnsi"/>
                <w:b/>
                <w:bCs/>
                <w:sz w:val="20"/>
                <w:lang w:eastAsia="en-AU"/>
              </w:rPr>
              <w:t>890,753.82</w:t>
            </w:r>
          </w:p>
        </w:tc>
      </w:tr>
    </w:tbl>
    <w:bookmarkEnd w:id="2"/>
    <w:p w14:paraId="3ADC44B3" w14:textId="77777777" w:rsidR="00C23B49" w:rsidRPr="0024006C" w:rsidRDefault="00C23B49" w:rsidP="00C23B49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211C640B" w14:textId="77777777" w:rsidR="00B5137F" w:rsidRDefault="00B5137F">
      <w:pPr>
        <w:tabs>
          <w:tab w:val="left" w:pos="4320"/>
        </w:tabs>
      </w:pPr>
    </w:p>
    <w:p w14:paraId="0DC64E6C" w14:textId="48F5A89C" w:rsidR="00C23B49" w:rsidRDefault="00C23B49" w:rsidP="00EF4C0F">
      <w:pPr>
        <w:tabs>
          <w:tab w:val="left" w:pos="4320"/>
        </w:tabs>
        <w:spacing w:before="240" w:after="240"/>
        <w:rPr>
          <w:b/>
          <w:bCs/>
        </w:rPr>
      </w:pPr>
      <w:r w:rsidRPr="00C23B49">
        <w:rPr>
          <w:b/>
          <w:bCs/>
        </w:rPr>
        <w:t>Table 5: Over (+) or under (-) recovery for each regulator for 2022-23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C23B49" w:rsidRPr="0058719A" w14:paraId="4CE85ED5" w14:textId="77777777" w:rsidTr="00F12374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42A1E7A4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584047C8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350EAF41" w14:textId="1D6AE8EE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0F662429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5C8600AD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1BD4C724" w14:textId="77777777" w:rsidR="00C23B49" w:rsidRPr="00136B45" w:rsidRDefault="00C23B49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EF4C0F" w:rsidRPr="0058719A" w14:paraId="6BDD9BE5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098AF869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3687E41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4AC06099" w14:textId="57B7285F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72,326.20</w:t>
            </w:r>
          </w:p>
        </w:tc>
        <w:tc>
          <w:tcPr>
            <w:tcW w:w="713" w:type="pct"/>
            <w:vAlign w:val="center"/>
            <w:hideMark/>
          </w:tcPr>
          <w:p w14:paraId="5146B761" w14:textId="6C9685CF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20F5F05D" w14:textId="1C496C6E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396.58</w:t>
            </w:r>
          </w:p>
        </w:tc>
        <w:tc>
          <w:tcPr>
            <w:tcW w:w="775" w:type="pct"/>
            <w:vAlign w:val="center"/>
            <w:hideMark/>
          </w:tcPr>
          <w:p w14:paraId="1612D763" w14:textId="4C7D2689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72,722.78</w:t>
            </w:r>
          </w:p>
        </w:tc>
      </w:tr>
      <w:tr w:rsidR="00EF4C0F" w:rsidRPr="0058719A" w14:paraId="724192BC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2FB2A378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7335EF0F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772102B0" w14:textId="36AAF47A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-147,380.07</w:t>
            </w:r>
          </w:p>
        </w:tc>
        <w:tc>
          <w:tcPr>
            <w:tcW w:w="713" w:type="pct"/>
            <w:vAlign w:val="center"/>
            <w:hideMark/>
          </w:tcPr>
          <w:p w14:paraId="48711E09" w14:textId="404241CB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46,541.00</w:t>
            </w:r>
          </w:p>
        </w:tc>
        <w:tc>
          <w:tcPr>
            <w:tcW w:w="686" w:type="pct"/>
            <w:vAlign w:val="center"/>
            <w:hideMark/>
          </w:tcPr>
          <w:p w14:paraId="369A221A" w14:textId="44A25493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109,012.70</w:t>
            </w:r>
          </w:p>
        </w:tc>
        <w:tc>
          <w:tcPr>
            <w:tcW w:w="775" w:type="pct"/>
            <w:vAlign w:val="center"/>
            <w:hideMark/>
          </w:tcPr>
          <w:p w14:paraId="521B0953" w14:textId="0DCD741C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8,173.63</w:t>
            </w:r>
          </w:p>
        </w:tc>
      </w:tr>
      <w:tr w:rsidR="00EF4C0F" w:rsidRPr="0058719A" w14:paraId="4A811066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58A7317A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212206D7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316D20B3" w14:textId="04156D2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48,960.05</w:t>
            </w:r>
          </w:p>
        </w:tc>
        <w:tc>
          <w:tcPr>
            <w:tcW w:w="713" w:type="pct"/>
            <w:vAlign w:val="center"/>
            <w:hideMark/>
          </w:tcPr>
          <w:p w14:paraId="428C4E84" w14:textId="09CCEB42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1BACEF7A" w14:textId="1B26A894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396.58</w:t>
            </w:r>
          </w:p>
        </w:tc>
        <w:tc>
          <w:tcPr>
            <w:tcW w:w="775" w:type="pct"/>
            <w:vAlign w:val="center"/>
            <w:hideMark/>
          </w:tcPr>
          <w:p w14:paraId="546BE6C6" w14:textId="56EE882E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eastAsiaTheme="majorEastAsia" w:cstheme="minorHAnsi"/>
                <w:sz w:val="20"/>
                <w:lang w:eastAsia="en-AU"/>
              </w:rPr>
              <w:t>49,356.63</w:t>
            </w:r>
          </w:p>
        </w:tc>
      </w:tr>
      <w:tr w:rsidR="00EF4C0F" w:rsidRPr="0058719A" w14:paraId="095F3208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</w:tcPr>
          <w:p w14:paraId="545EE40F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shd w:val="clear" w:color="auto" w:fill="auto"/>
            <w:vAlign w:val="bottom"/>
          </w:tcPr>
          <w:p w14:paraId="575FE678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</w:tcPr>
          <w:p w14:paraId="15196D54" w14:textId="31FC4EDD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eastAsiaTheme="majorEastAsia" w:cstheme="minorHAnsi"/>
                <w:sz w:val="20"/>
                <w:lang w:eastAsia="en-AU"/>
              </w:rPr>
              <w:t>-</w:t>
            </w:r>
          </w:p>
        </w:tc>
        <w:tc>
          <w:tcPr>
            <w:tcW w:w="713" w:type="pct"/>
            <w:vAlign w:val="center"/>
          </w:tcPr>
          <w:p w14:paraId="0B83D9EE" w14:textId="01E84E76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eastAsiaTheme="majorEastAsia" w:cstheme="minorHAnsi"/>
                <w:sz w:val="20"/>
              </w:rPr>
              <w:t>-</w:t>
            </w:r>
          </w:p>
        </w:tc>
        <w:tc>
          <w:tcPr>
            <w:tcW w:w="686" w:type="pct"/>
            <w:vAlign w:val="center"/>
          </w:tcPr>
          <w:p w14:paraId="5C4C2B98" w14:textId="280FF7A6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eastAsiaTheme="majorEastAsia" w:cstheme="minorHAnsi"/>
                <w:sz w:val="20"/>
                <w:lang w:eastAsia="en-AU"/>
              </w:rPr>
              <w:t>-</w:t>
            </w:r>
          </w:p>
        </w:tc>
        <w:tc>
          <w:tcPr>
            <w:tcW w:w="775" w:type="pct"/>
            <w:vAlign w:val="center"/>
          </w:tcPr>
          <w:p w14:paraId="71313F88" w14:textId="15755E94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eastAsiaTheme="majorEastAsia" w:cstheme="minorHAnsi"/>
                <w:sz w:val="20"/>
                <w:lang w:eastAsia="en-AU"/>
              </w:rPr>
              <w:t>-</w:t>
            </w:r>
          </w:p>
        </w:tc>
      </w:tr>
      <w:tr w:rsidR="00EF4C0F" w:rsidRPr="00B5137F" w14:paraId="161E7DA2" w14:textId="77777777" w:rsidTr="00F12374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240F067E" w14:textId="77777777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6F78E258" w14:textId="77777777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0B902A41" w14:textId="456CCA6E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eastAsiaTheme="majorEastAsia" w:cstheme="minorHAnsi"/>
                <w:b/>
                <w:bCs/>
                <w:sz w:val="20"/>
                <w:lang w:eastAsia="en-AU"/>
              </w:rPr>
              <w:t>-26,093.82</w:t>
            </w:r>
          </w:p>
        </w:tc>
        <w:tc>
          <w:tcPr>
            <w:tcW w:w="713" w:type="pct"/>
            <w:vAlign w:val="center"/>
            <w:hideMark/>
          </w:tcPr>
          <w:p w14:paraId="34B1C2D3" w14:textId="571DFABE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eastAsiaTheme="majorEastAsia" w:cstheme="minorHAnsi"/>
                <w:b/>
                <w:bCs/>
                <w:sz w:val="20"/>
                <w:lang w:eastAsia="en-AU"/>
              </w:rPr>
              <w:t>46,541.00</w:t>
            </w:r>
          </w:p>
        </w:tc>
        <w:tc>
          <w:tcPr>
            <w:tcW w:w="686" w:type="pct"/>
            <w:vAlign w:val="center"/>
            <w:hideMark/>
          </w:tcPr>
          <w:p w14:paraId="228BEFDF" w14:textId="2910889D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eastAsiaTheme="majorEastAsia" w:cstheme="minorHAnsi"/>
                <w:b/>
                <w:bCs/>
                <w:sz w:val="20"/>
                <w:lang w:eastAsia="en-AU"/>
              </w:rPr>
              <w:t>109,805.86</w:t>
            </w:r>
          </w:p>
        </w:tc>
        <w:tc>
          <w:tcPr>
            <w:tcW w:w="775" w:type="pct"/>
            <w:vAlign w:val="center"/>
            <w:hideMark/>
          </w:tcPr>
          <w:p w14:paraId="6D7E01F8" w14:textId="4733549E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eastAsiaTheme="majorEastAsia" w:cstheme="minorHAnsi"/>
                <w:b/>
                <w:bCs/>
                <w:sz w:val="20"/>
                <w:lang w:eastAsia="en-AU"/>
              </w:rPr>
              <w:t>130,253.04</w:t>
            </w:r>
          </w:p>
        </w:tc>
      </w:tr>
    </w:tbl>
    <w:p w14:paraId="5B59F8F8" w14:textId="77777777" w:rsidR="00EF4C0F" w:rsidRPr="0024006C" w:rsidRDefault="00EF4C0F" w:rsidP="00EF4C0F">
      <w:pPr>
        <w:rPr>
          <w:sz w:val="18"/>
          <w:szCs w:val="18"/>
        </w:rPr>
      </w:pPr>
      <w:r w:rsidRPr="0024006C">
        <w:rPr>
          <w:sz w:val="18"/>
          <w:szCs w:val="18"/>
        </w:rPr>
        <w:t>Note: Totals may not add due to rounding.</w:t>
      </w:r>
    </w:p>
    <w:p w14:paraId="53F9E257" w14:textId="77777777" w:rsidR="00C23B49" w:rsidRDefault="00C23B49">
      <w:pPr>
        <w:tabs>
          <w:tab w:val="left" w:pos="4320"/>
        </w:tabs>
        <w:rPr>
          <w:b/>
          <w:bCs/>
        </w:rPr>
      </w:pPr>
    </w:p>
    <w:p w14:paraId="18FC154E" w14:textId="3E1A752F" w:rsidR="00EF4C0F" w:rsidRDefault="00EF4C0F" w:rsidP="00EF4C0F">
      <w:pPr>
        <w:tabs>
          <w:tab w:val="left" w:pos="4320"/>
        </w:tabs>
        <w:spacing w:before="240" w:after="240"/>
        <w:rPr>
          <w:b/>
          <w:bCs/>
        </w:rPr>
      </w:pPr>
      <w:r>
        <w:rPr>
          <w:b/>
          <w:bCs/>
        </w:rPr>
        <w:t xml:space="preserve">Table 6: </w:t>
      </w:r>
      <w:r w:rsidRPr="00B5137F">
        <w:rPr>
          <w:b/>
          <w:bCs/>
        </w:rPr>
        <w:t>Total estimated regulatory costs for each regulator for 202</w:t>
      </w:r>
      <w:r>
        <w:rPr>
          <w:b/>
          <w:bCs/>
        </w:rPr>
        <w:t>3</w:t>
      </w:r>
      <w:r w:rsidRPr="00B5137F">
        <w:rPr>
          <w:b/>
          <w:bCs/>
        </w:rPr>
        <w:t>-2</w:t>
      </w:r>
      <w:r>
        <w:rPr>
          <w:b/>
          <w:bCs/>
        </w:rPr>
        <w:t>4</w:t>
      </w:r>
      <w:r w:rsidRPr="00B5137F">
        <w:rPr>
          <w:b/>
          <w:bCs/>
        </w:rPr>
        <w:t xml:space="preserve"> ($)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EF4C0F" w:rsidRPr="0058719A" w14:paraId="2B7C6CF0" w14:textId="77777777" w:rsidTr="00F12374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25908CC4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35751472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679E19B3" w14:textId="2976A3EA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UTR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374CE263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ACAT 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1B95BB32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ICRC 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bottom"/>
            <w:hideMark/>
          </w:tcPr>
          <w:p w14:paraId="5A3B2EBA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136B45">
              <w:rPr>
                <w:b/>
                <w:bCs/>
                <w:sz w:val="20"/>
              </w:rPr>
              <w:t xml:space="preserve">Total </w:t>
            </w:r>
          </w:p>
        </w:tc>
      </w:tr>
      <w:tr w:rsidR="00EF4C0F" w:rsidRPr="0058719A" w14:paraId="2A016D8F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5F6C0515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4E0BE4EC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Gas Transmission</w:t>
            </w:r>
          </w:p>
        </w:tc>
        <w:tc>
          <w:tcPr>
            <w:tcW w:w="713" w:type="pct"/>
            <w:vAlign w:val="center"/>
            <w:hideMark/>
          </w:tcPr>
          <w:p w14:paraId="395A19F6" w14:textId="4C6A8292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16,750.00</w:t>
            </w:r>
          </w:p>
        </w:tc>
        <w:tc>
          <w:tcPr>
            <w:tcW w:w="713" w:type="pct"/>
            <w:vAlign w:val="center"/>
            <w:hideMark/>
          </w:tcPr>
          <w:p w14:paraId="50A2BF3E" w14:textId="41048AC0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0E8F954D" w14:textId="0473C25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3,239.52</w:t>
            </w:r>
          </w:p>
        </w:tc>
        <w:tc>
          <w:tcPr>
            <w:tcW w:w="775" w:type="pct"/>
            <w:vAlign w:val="center"/>
            <w:hideMark/>
          </w:tcPr>
          <w:p w14:paraId="355F7467" w14:textId="78C2F03A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19,989.52</w:t>
            </w:r>
          </w:p>
        </w:tc>
      </w:tr>
      <w:tr w:rsidR="00EF4C0F" w:rsidRPr="0058719A" w14:paraId="0A4A9F8E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13D4CE22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65F4B741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 xml:space="preserve">Water and Sewerage </w:t>
            </w:r>
          </w:p>
        </w:tc>
        <w:tc>
          <w:tcPr>
            <w:tcW w:w="713" w:type="pct"/>
            <w:vAlign w:val="center"/>
            <w:hideMark/>
          </w:tcPr>
          <w:p w14:paraId="78272EB2" w14:textId="7809BA54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535,268.00</w:t>
            </w:r>
          </w:p>
        </w:tc>
        <w:tc>
          <w:tcPr>
            <w:tcW w:w="713" w:type="pct"/>
            <w:vAlign w:val="center"/>
            <w:hideMark/>
          </w:tcPr>
          <w:p w14:paraId="12376D0F" w14:textId="6FE9F7D6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136,020.00</w:t>
            </w:r>
          </w:p>
        </w:tc>
        <w:tc>
          <w:tcPr>
            <w:tcW w:w="686" w:type="pct"/>
            <w:vAlign w:val="center"/>
            <w:hideMark/>
          </w:tcPr>
          <w:p w14:paraId="735F9ECE" w14:textId="50804337" w:rsidR="00EF4C0F" w:rsidRPr="00136B45" w:rsidRDefault="0006736A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rFonts w:cstheme="minorHAnsi"/>
                <w:sz w:val="20"/>
                <w:lang w:eastAsia="en-AU"/>
              </w:rPr>
              <w:t>5</w:t>
            </w:r>
            <w:r w:rsidR="00EF4C0F" w:rsidRPr="003776E9">
              <w:rPr>
                <w:rFonts w:cstheme="minorHAnsi"/>
                <w:sz w:val="20"/>
                <w:lang w:eastAsia="en-AU"/>
              </w:rPr>
              <w:t>50,408.64</w:t>
            </w:r>
          </w:p>
        </w:tc>
        <w:tc>
          <w:tcPr>
            <w:tcW w:w="775" w:type="pct"/>
            <w:vAlign w:val="center"/>
            <w:hideMark/>
          </w:tcPr>
          <w:p w14:paraId="365C342E" w14:textId="7CAFBD13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sz w:val="20"/>
                <w:lang w:eastAsia="en-AU"/>
              </w:rPr>
              <w:t>2</w:t>
            </w:r>
            <w:r w:rsidRPr="003776E9">
              <w:rPr>
                <w:rFonts w:cstheme="minorHAnsi"/>
                <w:sz w:val="20"/>
                <w:lang w:eastAsia="en-AU"/>
              </w:rPr>
              <w:t>21,696.64</w:t>
            </w:r>
          </w:p>
        </w:tc>
      </w:tr>
      <w:tr w:rsidR="00EF4C0F" w:rsidRPr="0058719A" w14:paraId="61E6D86A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6BD7D211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Transgrid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51A2BAF4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  <w:hideMark/>
          </w:tcPr>
          <w:p w14:paraId="6AEB0851" w14:textId="00A50234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81,845.00</w:t>
            </w:r>
          </w:p>
        </w:tc>
        <w:tc>
          <w:tcPr>
            <w:tcW w:w="713" w:type="pct"/>
            <w:vAlign w:val="center"/>
            <w:hideMark/>
          </w:tcPr>
          <w:p w14:paraId="55AAF7EC" w14:textId="507CA679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  <w:hideMark/>
          </w:tcPr>
          <w:p w14:paraId="1AF5F32D" w14:textId="2270F965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3,239.52</w:t>
            </w:r>
          </w:p>
        </w:tc>
        <w:tc>
          <w:tcPr>
            <w:tcW w:w="775" w:type="pct"/>
            <w:vAlign w:val="center"/>
            <w:hideMark/>
          </w:tcPr>
          <w:p w14:paraId="687EC20A" w14:textId="50AA54B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  <w:lang w:eastAsia="en-AU"/>
              </w:rPr>
              <w:t>85,084.52</w:t>
            </w:r>
          </w:p>
        </w:tc>
      </w:tr>
      <w:tr w:rsidR="00EF4C0F" w:rsidRPr="0058719A" w14:paraId="1B4D49A1" w14:textId="77777777" w:rsidTr="00F12374">
        <w:trPr>
          <w:trHeight w:val="309"/>
        </w:trPr>
        <w:tc>
          <w:tcPr>
            <w:tcW w:w="720" w:type="pct"/>
            <w:shd w:val="clear" w:color="auto" w:fill="auto"/>
            <w:vAlign w:val="bottom"/>
          </w:tcPr>
          <w:p w14:paraId="70095217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Lumea</w:t>
            </w:r>
          </w:p>
        </w:tc>
        <w:tc>
          <w:tcPr>
            <w:tcW w:w="1393" w:type="pct"/>
            <w:shd w:val="clear" w:color="auto" w:fill="auto"/>
            <w:vAlign w:val="bottom"/>
          </w:tcPr>
          <w:p w14:paraId="309F38AA" w14:textId="7777777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rPr>
                <w:sz w:val="20"/>
              </w:rPr>
            </w:pPr>
            <w:r w:rsidRPr="00136B45">
              <w:rPr>
                <w:sz w:val="20"/>
              </w:rPr>
              <w:t>Electricity Transmission</w:t>
            </w:r>
          </w:p>
        </w:tc>
        <w:tc>
          <w:tcPr>
            <w:tcW w:w="713" w:type="pct"/>
            <w:vAlign w:val="center"/>
          </w:tcPr>
          <w:p w14:paraId="674D926B" w14:textId="333230BB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0.00</w:t>
            </w:r>
          </w:p>
        </w:tc>
        <w:tc>
          <w:tcPr>
            <w:tcW w:w="713" w:type="pct"/>
            <w:vAlign w:val="center"/>
          </w:tcPr>
          <w:p w14:paraId="25F709B6" w14:textId="19EC90FE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0.00</w:t>
            </w:r>
          </w:p>
        </w:tc>
        <w:tc>
          <w:tcPr>
            <w:tcW w:w="686" w:type="pct"/>
            <w:vAlign w:val="center"/>
          </w:tcPr>
          <w:p w14:paraId="113C41BE" w14:textId="786289DB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3,239.52</w:t>
            </w:r>
          </w:p>
        </w:tc>
        <w:tc>
          <w:tcPr>
            <w:tcW w:w="775" w:type="pct"/>
            <w:vAlign w:val="center"/>
          </w:tcPr>
          <w:p w14:paraId="4FB2D975" w14:textId="42D06E97" w:rsidR="00EF4C0F" w:rsidRPr="00136B45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sz w:val="20"/>
              </w:rPr>
            </w:pPr>
            <w:r w:rsidRPr="003776E9">
              <w:rPr>
                <w:rFonts w:cstheme="minorHAnsi"/>
                <w:sz w:val="20"/>
              </w:rPr>
              <w:t>3,239.52</w:t>
            </w:r>
          </w:p>
        </w:tc>
      </w:tr>
      <w:tr w:rsidR="00EF4C0F" w:rsidRPr="00B5137F" w14:paraId="40EB883B" w14:textId="77777777" w:rsidTr="00F12374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7F0E5D15" w14:textId="77777777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6515E64A" w14:textId="77777777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rPr>
                <w:b/>
                <w:bCs/>
                <w:sz w:val="20"/>
              </w:rPr>
            </w:pPr>
            <w:r w:rsidRPr="00B5137F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pct"/>
            <w:vAlign w:val="center"/>
            <w:hideMark/>
          </w:tcPr>
          <w:p w14:paraId="143081DF" w14:textId="243CABC0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cstheme="minorHAnsi"/>
                <w:b/>
                <w:bCs/>
                <w:sz w:val="20"/>
                <w:lang w:eastAsia="en-AU"/>
              </w:rPr>
              <w:t>633,863.00</w:t>
            </w:r>
          </w:p>
        </w:tc>
        <w:tc>
          <w:tcPr>
            <w:tcW w:w="713" w:type="pct"/>
            <w:vAlign w:val="center"/>
            <w:hideMark/>
          </w:tcPr>
          <w:p w14:paraId="23F30B73" w14:textId="78D1C321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cstheme="minorHAnsi"/>
                <w:b/>
                <w:bCs/>
                <w:sz w:val="20"/>
                <w:lang w:eastAsia="en-AU"/>
              </w:rPr>
              <w:t>136,020.00</w:t>
            </w:r>
          </w:p>
        </w:tc>
        <w:tc>
          <w:tcPr>
            <w:tcW w:w="686" w:type="pct"/>
            <w:vAlign w:val="center"/>
            <w:hideMark/>
          </w:tcPr>
          <w:p w14:paraId="3E0B0089" w14:textId="76D2BB4D" w:rsidR="00EF4C0F" w:rsidRPr="00B5137F" w:rsidRDefault="0006736A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  <w:lang w:eastAsia="en-AU"/>
              </w:rPr>
              <w:t>5</w:t>
            </w:r>
            <w:r w:rsidR="00EF4C0F" w:rsidRPr="003776E9">
              <w:rPr>
                <w:rFonts w:cstheme="minorHAnsi"/>
                <w:b/>
                <w:bCs/>
                <w:sz w:val="20"/>
                <w:lang w:eastAsia="en-AU"/>
              </w:rPr>
              <w:t>60,127.20</w:t>
            </w:r>
          </w:p>
        </w:tc>
        <w:tc>
          <w:tcPr>
            <w:tcW w:w="775" w:type="pct"/>
            <w:vAlign w:val="center"/>
            <w:hideMark/>
          </w:tcPr>
          <w:p w14:paraId="472065BB" w14:textId="6EBB97F0" w:rsidR="00EF4C0F" w:rsidRPr="00B5137F" w:rsidRDefault="00EF4C0F" w:rsidP="0080764F">
            <w:pPr>
              <w:tabs>
                <w:tab w:val="left" w:pos="4320"/>
              </w:tabs>
              <w:spacing w:line="276" w:lineRule="auto"/>
              <w:jc w:val="right"/>
              <w:rPr>
                <w:b/>
                <w:bCs/>
                <w:sz w:val="20"/>
              </w:rPr>
            </w:pPr>
            <w:r w:rsidRPr="003776E9">
              <w:rPr>
                <w:rFonts w:cstheme="minorHAnsi"/>
                <w:b/>
                <w:bCs/>
                <w:sz w:val="20"/>
                <w:lang w:eastAsia="en-AU"/>
              </w:rPr>
              <w:t>1,</w:t>
            </w:r>
            <w:r w:rsidR="0006736A">
              <w:rPr>
                <w:rFonts w:cstheme="minorHAnsi"/>
                <w:b/>
                <w:bCs/>
                <w:sz w:val="20"/>
                <w:lang w:eastAsia="en-AU"/>
              </w:rPr>
              <w:t>3</w:t>
            </w:r>
            <w:r w:rsidRPr="003776E9">
              <w:rPr>
                <w:rFonts w:cstheme="minorHAnsi"/>
                <w:b/>
                <w:bCs/>
                <w:sz w:val="20"/>
                <w:lang w:eastAsia="en-AU"/>
              </w:rPr>
              <w:t>30,010.20</w:t>
            </w:r>
          </w:p>
        </w:tc>
      </w:tr>
    </w:tbl>
    <w:p w14:paraId="3A59E41A" w14:textId="77777777" w:rsidR="00EF4C0F" w:rsidRPr="00C23B49" w:rsidRDefault="00EF4C0F">
      <w:pPr>
        <w:tabs>
          <w:tab w:val="left" w:pos="4320"/>
        </w:tabs>
        <w:rPr>
          <w:b/>
          <w:bCs/>
        </w:rPr>
      </w:pPr>
    </w:p>
    <w:sectPr w:rsidR="00EF4C0F" w:rsidRPr="00C23B49" w:rsidSect="00AA3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2900" w14:textId="77777777" w:rsidR="00F05D4A" w:rsidRDefault="00F05D4A" w:rsidP="001440B3">
      <w:r>
        <w:separator/>
      </w:r>
    </w:p>
  </w:endnote>
  <w:endnote w:type="continuationSeparator" w:id="0">
    <w:p w14:paraId="6F9D1916" w14:textId="77777777" w:rsidR="00F05D4A" w:rsidRDefault="00F05D4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12E7" w14:textId="77777777" w:rsidR="00DD2685" w:rsidRDefault="00DD2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87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3684A" w14:textId="4CD12C1E" w:rsidR="00257864" w:rsidRDefault="002578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1AF74" w14:textId="70F628E4" w:rsidR="0042011A" w:rsidRPr="00DD2685" w:rsidRDefault="00DD2685" w:rsidP="00DD2685">
    <w:pPr>
      <w:pStyle w:val="Footer"/>
      <w:jc w:val="center"/>
      <w:rPr>
        <w:rFonts w:cs="Arial"/>
        <w:sz w:val="14"/>
      </w:rPr>
    </w:pPr>
    <w:r w:rsidRPr="00DD268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DEE0" w14:textId="77777777" w:rsidR="00DD2685" w:rsidRDefault="00DD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6129" w14:textId="77777777" w:rsidR="00F05D4A" w:rsidRDefault="00F05D4A" w:rsidP="001440B3">
      <w:r>
        <w:separator/>
      </w:r>
    </w:p>
  </w:footnote>
  <w:footnote w:type="continuationSeparator" w:id="0">
    <w:p w14:paraId="31BA2876" w14:textId="77777777" w:rsidR="00F05D4A" w:rsidRDefault="00F05D4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1104" w14:textId="77777777" w:rsidR="00DD2685" w:rsidRDefault="00DD2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3974" w14:textId="77777777" w:rsidR="00DD2685" w:rsidRDefault="00DD2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7913" w14:textId="77777777" w:rsidR="00DD2685" w:rsidRDefault="00DD2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454C70"/>
    <w:multiLevelType w:val="hybridMultilevel"/>
    <w:tmpl w:val="5C46470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941FEC"/>
    <w:multiLevelType w:val="hybridMultilevel"/>
    <w:tmpl w:val="A7AC0D40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BF24D60"/>
    <w:multiLevelType w:val="hybridMultilevel"/>
    <w:tmpl w:val="26F02E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6915336">
    <w:abstractNumId w:val="3"/>
  </w:num>
  <w:num w:numId="2" w16cid:durableId="1116824752">
    <w:abstractNumId w:val="0"/>
  </w:num>
  <w:num w:numId="3" w16cid:durableId="280764458">
    <w:abstractNumId w:val="4"/>
  </w:num>
  <w:num w:numId="4" w16cid:durableId="225117264">
    <w:abstractNumId w:val="8"/>
  </w:num>
  <w:num w:numId="5" w16cid:durableId="1737698751">
    <w:abstractNumId w:val="10"/>
  </w:num>
  <w:num w:numId="6" w16cid:durableId="709308757">
    <w:abstractNumId w:val="2"/>
  </w:num>
  <w:num w:numId="7" w16cid:durableId="1480734505">
    <w:abstractNumId w:val="6"/>
  </w:num>
  <w:num w:numId="8" w16cid:durableId="720137726">
    <w:abstractNumId w:val="7"/>
  </w:num>
  <w:num w:numId="9" w16cid:durableId="636300063">
    <w:abstractNumId w:val="11"/>
  </w:num>
  <w:num w:numId="10" w16cid:durableId="1425762629">
    <w:abstractNumId w:val="9"/>
  </w:num>
  <w:num w:numId="11" w16cid:durableId="407920953">
    <w:abstractNumId w:val="5"/>
  </w:num>
  <w:num w:numId="12" w16cid:durableId="172694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1EBD"/>
    <w:rsid w:val="000036AC"/>
    <w:rsid w:val="0006736A"/>
    <w:rsid w:val="00136B45"/>
    <w:rsid w:val="001440B3"/>
    <w:rsid w:val="0015655F"/>
    <w:rsid w:val="00174296"/>
    <w:rsid w:val="0018193E"/>
    <w:rsid w:val="001827EC"/>
    <w:rsid w:val="001E2226"/>
    <w:rsid w:val="00222933"/>
    <w:rsid w:val="0024006C"/>
    <w:rsid w:val="00257864"/>
    <w:rsid w:val="002620A7"/>
    <w:rsid w:val="00283719"/>
    <w:rsid w:val="002D14BE"/>
    <w:rsid w:val="003149C4"/>
    <w:rsid w:val="00374700"/>
    <w:rsid w:val="00384C17"/>
    <w:rsid w:val="00395165"/>
    <w:rsid w:val="003F3AE3"/>
    <w:rsid w:val="00403F25"/>
    <w:rsid w:val="0042011A"/>
    <w:rsid w:val="00425D0D"/>
    <w:rsid w:val="004327F0"/>
    <w:rsid w:val="00495EF8"/>
    <w:rsid w:val="0051254C"/>
    <w:rsid w:val="00517908"/>
    <w:rsid w:val="00525963"/>
    <w:rsid w:val="00584F71"/>
    <w:rsid w:val="0059313D"/>
    <w:rsid w:val="005C3A0F"/>
    <w:rsid w:val="00657661"/>
    <w:rsid w:val="00684655"/>
    <w:rsid w:val="00732CFC"/>
    <w:rsid w:val="00756C77"/>
    <w:rsid w:val="0078669D"/>
    <w:rsid w:val="007911BE"/>
    <w:rsid w:val="007D37EB"/>
    <w:rsid w:val="007E418E"/>
    <w:rsid w:val="007E5E95"/>
    <w:rsid w:val="0080764F"/>
    <w:rsid w:val="008E105C"/>
    <w:rsid w:val="009E56DD"/>
    <w:rsid w:val="00A13B71"/>
    <w:rsid w:val="00A40E69"/>
    <w:rsid w:val="00A70096"/>
    <w:rsid w:val="00AA35F7"/>
    <w:rsid w:val="00AC1E35"/>
    <w:rsid w:val="00AD64EA"/>
    <w:rsid w:val="00B50EDF"/>
    <w:rsid w:val="00B5137F"/>
    <w:rsid w:val="00C23B49"/>
    <w:rsid w:val="00C61F60"/>
    <w:rsid w:val="00CB442B"/>
    <w:rsid w:val="00CE0B3E"/>
    <w:rsid w:val="00CE78CF"/>
    <w:rsid w:val="00D65295"/>
    <w:rsid w:val="00D91E22"/>
    <w:rsid w:val="00D96CD9"/>
    <w:rsid w:val="00DD2685"/>
    <w:rsid w:val="00E13DEC"/>
    <w:rsid w:val="00E565A3"/>
    <w:rsid w:val="00E6691C"/>
    <w:rsid w:val="00EF4C0F"/>
    <w:rsid w:val="00F05D4A"/>
    <w:rsid w:val="00F26877"/>
    <w:rsid w:val="00F42B9D"/>
    <w:rsid w:val="00FC7B48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0759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8E10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1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1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18E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5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5786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legislation.act.gov.a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crc.act.gov.a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A43884446</value>
    </field>
    <field name="Objective-Title">
      <value order="0">NI - Annual licence fees 2023-24</value>
    </field>
    <field name="Objective-Description">
      <value order="0"/>
    </field>
    <field name="Objective-CreationStamp">
      <value order="0">2023-10-09T04:50:08Z</value>
    </field>
    <field name="Objective-IsApproved">
      <value order="0">false</value>
    </field>
    <field name="Objective-IsPublished">
      <value order="0">true</value>
    </field>
    <field name="Objective-DatePublished">
      <value order="0">2023-10-18T02:54:16Z</value>
    </field>
    <field name="Objective-ModificationStamp">
      <value order="0">2023-10-18T02:54:16Z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Levies:2023-24 Fees and Levies:05 Instruments:Fee</value>
    </field>
    <field name="Objective-Parent">
      <value order="0">Fee</value>
    </field>
    <field name="Objective-State">
      <value order="0">Published</value>
    </field>
    <field name="Objective-VersionId">
      <value order="0">vA54946726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1-2023/67386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FF51F3E-F813-43E4-A668-2F79DB152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5462</Characters>
  <Application>Microsoft Office Word</Application>
  <DocSecurity>0</DocSecurity>
  <Lines>330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2023-10-18T02:45:00Z</cp:lastPrinted>
  <dcterms:created xsi:type="dcterms:W3CDTF">2023-10-19T00:29:00Z</dcterms:created>
  <dcterms:modified xsi:type="dcterms:W3CDTF">2023-10-19T00:29:00Z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A43884446</vt:lpwstr>
  </property>
  <property fmtid="{D5CDD505-2E9C-101B-9397-08002B2CF9AE}" pid="4" name="Objective-Title">
    <vt:lpwstr>NI - Annual licence fees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2023-10-09T04:50:08Z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2023-10-18T02:54:16Z</vt:filetime>
  </property>
  <property fmtid="{D5CDD505-2E9C-101B-9397-08002B2CF9AE}" pid="10" name="Objective-ModificationStamp">
    <vt:filetime>2023-10-18T02:54:16Z</vt:filetime>
  </property>
  <property fmtid="{D5CDD505-2E9C-101B-9397-08002B2CF9AE}" pid="11" name="Objective-Owner">
    <vt:lpwstr>Angela Liu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Levies:2023-24 Fees and Levies:05 Instruments:Fee:</vt:lpwstr>
  </property>
  <property fmtid="{D5CDD505-2E9C-101B-9397-08002B2CF9AE}" pid="13" name="Objective-Parent">
    <vt:lpwstr>Fee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vA54946726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1-2023/67386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ICRC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