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F0A37" w14:textId="77777777" w:rsidR="001440B3" w:rsidRDefault="001440B3">
      <w:pPr>
        <w:spacing w:before="120"/>
        <w:rPr>
          <w:rFonts w:ascii="Arial" w:hAnsi="Arial" w:cs="Arial"/>
        </w:rPr>
      </w:pPr>
      <w:bookmarkStart w:id="0" w:name="_Toc44738651"/>
      <w:r>
        <w:rPr>
          <w:rFonts w:ascii="Arial" w:hAnsi="Arial" w:cs="Arial"/>
        </w:rPr>
        <w:t>Australian Capital Territory</w:t>
      </w:r>
    </w:p>
    <w:p w14:paraId="21B7A72A" w14:textId="55F7F3D0" w:rsidR="001440B3" w:rsidRDefault="00E73E3D">
      <w:pPr>
        <w:pStyle w:val="Billname"/>
        <w:spacing w:before="700"/>
      </w:pPr>
      <w:r>
        <w:t>Work Health and Safety (Office of the Work Health and Safety Commissioner) Statement of Expectations 2023</w:t>
      </w:r>
    </w:p>
    <w:p w14:paraId="1D94BF2A" w14:textId="1E5D5208" w:rsidR="001440B3" w:rsidRDefault="001440B3" w:rsidP="0042011A">
      <w:pPr>
        <w:spacing w:before="340"/>
        <w:rPr>
          <w:rFonts w:ascii="Arial" w:hAnsi="Arial" w:cs="Arial"/>
          <w:b/>
          <w:bCs/>
        </w:rPr>
      </w:pPr>
      <w:r>
        <w:rPr>
          <w:rFonts w:ascii="Arial" w:hAnsi="Arial" w:cs="Arial"/>
          <w:b/>
          <w:bCs/>
        </w:rPr>
        <w:t>Notifiable instrument NI</w:t>
      </w:r>
      <w:r w:rsidR="00E73E3D">
        <w:rPr>
          <w:rFonts w:ascii="Arial" w:hAnsi="Arial" w:cs="Arial"/>
          <w:b/>
          <w:bCs/>
        </w:rPr>
        <w:t>2023</w:t>
      </w:r>
      <w:r>
        <w:rPr>
          <w:rFonts w:ascii="Arial" w:hAnsi="Arial" w:cs="Arial"/>
          <w:b/>
          <w:bCs/>
        </w:rPr>
        <w:t>–</w:t>
      </w:r>
      <w:r w:rsidR="00851A4E">
        <w:rPr>
          <w:rFonts w:ascii="Arial" w:hAnsi="Arial" w:cs="Arial"/>
          <w:b/>
          <w:bCs/>
        </w:rPr>
        <w:t>676</w:t>
      </w:r>
    </w:p>
    <w:p w14:paraId="6E767DFB" w14:textId="77777777" w:rsidR="001440B3" w:rsidRDefault="001440B3" w:rsidP="0042011A">
      <w:pPr>
        <w:pStyle w:val="madeunder"/>
        <w:spacing w:before="300" w:after="0"/>
      </w:pPr>
      <w:r>
        <w:t xml:space="preserve">made under the  </w:t>
      </w:r>
    </w:p>
    <w:p w14:paraId="52CBEA36" w14:textId="045249B3" w:rsidR="001440B3" w:rsidRDefault="00E73E3D" w:rsidP="0042011A">
      <w:pPr>
        <w:pStyle w:val="CoverActName"/>
        <w:spacing w:before="320" w:after="0"/>
        <w:rPr>
          <w:rFonts w:cs="Arial"/>
          <w:sz w:val="20"/>
        </w:rPr>
      </w:pPr>
      <w:r w:rsidRPr="00E73E3D">
        <w:rPr>
          <w:rFonts w:cs="Arial"/>
          <w:i/>
          <w:iCs/>
          <w:sz w:val="20"/>
        </w:rPr>
        <w:t>Work Health and Safety Act 2011</w:t>
      </w:r>
      <w:r>
        <w:rPr>
          <w:rFonts w:cs="Arial"/>
          <w:sz w:val="20"/>
        </w:rPr>
        <w:t>, Schedule 2, Division 2.2.5, Section 2.39 (Ministerial statement of expectations)</w:t>
      </w:r>
    </w:p>
    <w:p w14:paraId="73E50656" w14:textId="77777777" w:rsidR="001440B3" w:rsidRDefault="001440B3" w:rsidP="0042011A">
      <w:pPr>
        <w:pStyle w:val="N-line3"/>
        <w:pBdr>
          <w:bottom w:val="none" w:sz="0" w:space="0" w:color="auto"/>
        </w:pBdr>
        <w:spacing w:before="60"/>
      </w:pPr>
    </w:p>
    <w:p w14:paraId="34310096" w14:textId="77777777" w:rsidR="001440B3" w:rsidRDefault="001440B3">
      <w:pPr>
        <w:pStyle w:val="N-line3"/>
        <w:pBdr>
          <w:top w:val="single" w:sz="12" w:space="1" w:color="auto"/>
          <w:bottom w:val="none" w:sz="0" w:space="0" w:color="auto"/>
        </w:pBdr>
      </w:pPr>
    </w:p>
    <w:p w14:paraId="56F05155" w14:textId="77777777" w:rsidR="001440B3" w:rsidRDefault="001440B3">
      <w:pPr>
        <w:spacing w:before="60" w:after="60"/>
        <w:ind w:left="720" w:hanging="720"/>
        <w:rPr>
          <w:rFonts w:ascii="Arial" w:hAnsi="Arial" w:cs="Arial"/>
          <w:b/>
          <w:bCs/>
        </w:rPr>
      </w:pPr>
      <w:r>
        <w:rPr>
          <w:rFonts w:ascii="Arial" w:hAnsi="Arial" w:cs="Arial"/>
          <w:b/>
          <w:bCs/>
        </w:rPr>
        <w:t>1</w:t>
      </w:r>
      <w:r>
        <w:rPr>
          <w:rFonts w:ascii="Arial" w:hAnsi="Arial" w:cs="Arial"/>
          <w:b/>
          <w:bCs/>
        </w:rPr>
        <w:tab/>
        <w:t>Name of instrument</w:t>
      </w:r>
    </w:p>
    <w:p w14:paraId="5C6D17B9" w14:textId="5D79ECB7" w:rsidR="001440B3" w:rsidRDefault="001440B3" w:rsidP="0042011A">
      <w:pPr>
        <w:spacing w:before="140"/>
        <w:ind w:left="720"/>
      </w:pPr>
      <w:r>
        <w:t>This instrument is the</w:t>
      </w:r>
      <w:r w:rsidR="00E73E3D">
        <w:t xml:space="preserve"> </w:t>
      </w:r>
      <w:r w:rsidR="00E73E3D" w:rsidRPr="00120321">
        <w:rPr>
          <w:i/>
          <w:iCs/>
        </w:rPr>
        <w:t>Work Health and Safety (Office of the Work Health and Safety Commissioner</w:t>
      </w:r>
      <w:r w:rsidR="00120321" w:rsidRPr="00120321">
        <w:rPr>
          <w:i/>
          <w:iCs/>
        </w:rPr>
        <w:t>) Statement of Expectations 2023</w:t>
      </w:r>
      <w:r w:rsidRPr="0042011A">
        <w:t>.</w:t>
      </w:r>
    </w:p>
    <w:p w14:paraId="6033F8FC" w14:textId="77777777" w:rsidR="001440B3" w:rsidRDefault="001440B3" w:rsidP="0042011A">
      <w:pPr>
        <w:spacing w:before="300"/>
        <w:ind w:left="720" w:hanging="720"/>
        <w:rPr>
          <w:rFonts w:ascii="Arial" w:hAnsi="Arial" w:cs="Arial"/>
          <w:b/>
          <w:bCs/>
        </w:rPr>
      </w:pPr>
      <w:r>
        <w:rPr>
          <w:rFonts w:ascii="Arial" w:hAnsi="Arial" w:cs="Arial"/>
          <w:b/>
          <w:bCs/>
        </w:rPr>
        <w:t>2</w:t>
      </w:r>
      <w:r>
        <w:rPr>
          <w:rFonts w:ascii="Arial" w:hAnsi="Arial" w:cs="Arial"/>
          <w:b/>
          <w:bCs/>
        </w:rPr>
        <w:tab/>
        <w:t xml:space="preserve">Commencement </w:t>
      </w:r>
    </w:p>
    <w:p w14:paraId="44E3C126" w14:textId="081C716F" w:rsidR="001440B3" w:rsidRDefault="001440B3" w:rsidP="0042011A">
      <w:pPr>
        <w:spacing w:before="140"/>
        <w:ind w:left="720"/>
      </w:pPr>
      <w:r>
        <w:t xml:space="preserve">This instrument commences on </w:t>
      </w:r>
      <w:r w:rsidR="00120321">
        <w:t>the day after notification</w:t>
      </w:r>
      <w:r>
        <w:t xml:space="preserve">. </w:t>
      </w:r>
    </w:p>
    <w:p w14:paraId="7075B454" w14:textId="06ACADA4" w:rsidR="001440B3" w:rsidRDefault="001440B3" w:rsidP="0042011A">
      <w:pPr>
        <w:spacing w:before="300"/>
        <w:ind w:left="720" w:hanging="720"/>
        <w:rPr>
          <w:rFonts w:ascii="Arial" w:hAnsi="Arial" w:cs="Arial"/>
          <w:b/>
          <w:bCs/>
        </w:rPr>
      </w:pPr>
      <w:r>
        <w:rPr>
          <w:rFonts w:ascii="Arial" w:hAnsi="Arial" w:cs="Arial"/>
          <w:b/>
          <w:bCs/>
        </w:rPr>
        <w:t>3</w:t>
      </w:r>
      <w:r>
        <w:rPr>
          <w:rFonts w:ascii="Arial" w:hAnsi="Arial" w:cs="Arial"/>
          <w:b/>
          <w:bCs/>
        </w:rPr>
        <w:tab/>
      </w:r>
      <w:r w:rsidR="00120321">
        <w:rPr>
          <w:rFonts w:ascii="Arial" w:hAnsi="Arial" w:cs="Arial"/>
          <w:b/>
          <w:bCs/>
        </w:rPr>
        <w:t>Statement of Expectations</w:t>
      </w:r>
    </w:p>
    <w:p w14:paraId="6E93FF70" w14:textId="0001044F" w:rsidR="001440B3" w:rsidRDefault="00120321" w:rsidP="0042011A">
      <w:pPr>
        <w:spacing w:before="140"/>
        <w:ind w:left="720"/>
      </w:pPr>
      <w:r>
        <w:t>I make the Statement of Expectations as provided in the Schedule.</w:t>
      </w:r>
    </w:p>
    <w:p w14:paraId="3EBB4E85" w14:textId="2F0FE6E3" w:rsidR="001440B3" w:rsidRDefault="00120321" w:rsidP="0042011A">
      <w:pPr>
        <w:spacing w:before="300"/>
        <w:ind w:left="720" w:hanging="720"/>
        <w:rPr>
          <w:rFonts w:ascii="Arial" w:hAnsi="Arial" w:cs="Arial"/>
          <w:b/>
          <w:bCs/>
        </w:rPr>
      </w:pPr>
      <w:r>
        <w:rPr>
          <w:rFonts w:ascii="Arial" w:hAnsi="Arial" w:cs="Arial"/>
          <w:b/>
          <w:bCs/>
        </w:rPr>
        <w:t>4</w:t>
      </w:r>
      <w:r w:rsidR="001440B3">
        <w:rPr>
          <w:rFonts w:ascii="Arial" w:hAnsi="Arial" w:cs="Arial"/>
          <w:b/>
          <w:bCs/>
        </w:rPr>
        <w:tab/>
      </w:r>
      <w:r>
        <w:rPr>
          <w:rFonts w:ascii="Arial" w:hAnsi="Arial" w:cs="Arial"/>
          <w:b/>
          <w:bCs/>
        </w:rPr>
        <w:t>Consultation</w:t>
      </w:r>
    </w:p>
    <w:p w14:paraId="32C00E46" w14:textId="2C6AA2D7" w:rsidR="001440B3" w:rsidRDefault="00120321" w:rsidP="0042011A">
      <w:pPr>
        <w:spacing w:before="140"/>
        <w:ind w:left="720"/>
      </w:pPr>
      <w:r>
        <w:t xml:space="preserve">I confirm that the Work Health and Safety Council has been consulted about the priorities and initiatives for the Office of the Work Health and Safety Commissioner in accordance with schedule 2, division 2.2.5, section 2.39 (2) of the </w:t>
      </w:r>
      <w:r w:rsidRPr="00120321">
        <w:rPr>
          <w:i/>
          <w:iCs/>
        </w:rPr>
        <w:t>Work Health and Safety Act 2011</w:t>
      </w:r>
      <w:r>
        <w:t>.</w:t>
      </w:r>
    </w:p>
    <w:p w14:paraId="0CF051A0" w14:textId="229492A6" w:rsidR="001440B3" w:rsidRDefault="00120321" w:rsidP="0042011A">
      <w:pPr>
        <w:spacing w:before="300"/>
        <w:ind w:left="720" w:hanging="720"/>
        <w:rPr>
          <w:rFonts w:ascii="Arial" w:hAnsi="Arial" w:cs="Arial"/>
          <w:b/>
          <w:bCs/>
        </w:rPr>
      </w:pPr>
      <w:r>
        <w:rPr>
          <w:rFonts w:ascii="Arial" w:hAnsi="Arial" w:cs="Arial"/>
          <w:b/>
          <w:bCs/>
        </w:rPr>
        <w:t>5</w:t>
      </w:r>
      <w:r w:rsidR="001440B3">
        <w:rPr>
          <w:rFonts w:ascii="Arial" w:hAnsi="Arial" w:cs="Arial"/>
          <w:b/>
          <w:bCs/>
        </w:rPr>
        <w:tab/>
      </w:r>
      <w:r w:rsidR="0042011A">
        <w:rPr>
          <w:rFonts w:ascii="Arial" w:hAnsi="Arial" w:cs="Arial"/>
          <w:b/>
          <w:bCs/>
        </w:rPr>
        <w:t>Revocation</w:t>
      </w:r>
    </w:p>
    <w:p w14:paraId="7A781175" w14:textId="420F05D1" w:rsidR="001440B3" w:rsidRDefault="0042011A" w:rsidP="0042011A">
      <w:pPr>
        <w:spacing w:before="140"/>
        <w:ind w:left="720"/>
      </w:pPr>
      <w:r>
        <w:t xml:space="preserve">This instrument revokes </w:t>
      </w:r>
      <w:r w:rsidR="00120321">
        <w:t xml:space="preserve">the </w:t>
      </w:r>
      <w:r w:rsidR="00120321" w:rsidRPr="00120321">
        <w:rPr>
          <w:i/>
          <w:iCs/>
        </w:rPr>
        <w:t>Work Health and Safety (Office of the Work Health and Safety Commissioner) Statement of Expectations 2022</w:t>
      </w:r>
      <w:r w:rsidR="00120321">
        <w:t xml:space="preserve"> </w:t>
      </w:r>
      <w:r>
        <w:t>[</w:t>
      </w:r>
      <w:r w:rsidR="00120321">
        <w:t>NI2022-504</w:t>
      </w:r>
      <w:r>
        <w:t>].</w:t>
      </w:r>
    </w:p>
    <w:p w14:paraId="39E295EA" w14:textId="77777777" w:rsidR="00024823" w:rsidRDefault="00024823" w:rsidP="0042011A">
      <w:pPr>
        <w:spacing w:before="140"/>
        <w:ind w:left="720"/>
      </w:pPr>
    </w:p>
    <w:p w14:paraId="6B42A765" w14:textId="6F4D27E2" w:rsidR="0042011A" w:rsidRDefault="00120321" w:rsidP="0042011A">
      <w:pPr>
        <w:tabs>
          <w:tab w:val="left" w:pos="4320"/>
        </w:tabs>
        <w:spacing w:before="720"/>
      </w:pPr>
      <w:r>
        <w:t>Mick Gentleman MLA</w:t>
      </w:r>
    </w:p>
    <w:p w14:paraId="771CAB20" w14:textId="0D622C7C" w:rsidR="001440B3" w:rsidRDefault="00120321" w:rsidP="0042011A">
      <w:pPr>
        <w:tabs>
          <w:tab w:val="left" w:pos="4320"/>
        </w:tabs>
      </w:pPr>
      <w:r>
        <w:t>Minister for Industrial Relations and Workplace Safety</w:t>
      </w:r>
    </w:p>
    <w:p w14:paraId="705AB666" w14:textId="77777777" w:rsidR="00851A4E" w:rsidRDefault="00851A4E" w:rsidP="0042011A">
      <w:pPr>
        <w:tabs>
          <w:tab w:val="left" w:pos="4320"/>
        </w:tabs>
      </w:pPr>
    </w:p>
    <w:p w14:paraId="2321CBD1" w14:textId="499F30CB" w:rsidR="00851A4E" w:rsidRDefault="00851A4E" w:rsidP="0042011A">
      <w:pPr>
        <w:tabs>
          <w:tab w:val="left" w:pos="4320"/>
        </w:tabs>
      </w:pPr>
      <w:r>
        <w:t>1 November 2023</w:t>
      </w:r>
    </w:p>
    <w:bookmarkEnd w:id="0"/>
    <w:p w14:paraId="4C123B63" w14:textId="77777777" w:rsidR="00F30672" w:rsidRDefault="00F30672">
      <w:r>
        <w:br w:type="page"/>
      </w:r>
    </w:p>
    <w:p w14:paraId="1F370BE8" w14:textId="5308BCF0" w:rsidR="00144F2B" w:rsidRDefault="009062D1">
      <w:pPr>
        <w:rPr>
          <w:rFonts w:ascii="Montserrat" w:hAnsi="Montserrat" w:cstheme="minorHAnsi"/>
          <w:b/>
          <w:bCs/>
          <w:sz w:val="40"/>
          <w:szCs w:val="40"/>
        </w:rPr>
      </w:pPr>
      <w:r>
        <w:rPr>
          <w:noProof/>
        </w:rPr>
        <w:lastRenderedPageBreak/>
        <w:drawing>
          <wp:anchor distT="0" distB="0" distL="114300" distR="114300" simplePos="0" relativeHeight="251659264" behindDoc="1" locked="0" layoutInCell="1" allowOverlap="1" wp14:anchorId="18D6E1BC" wp14:editId="7521954E">
            <wp:simplePos x="0" y="0"/>
            <wp:positionH relativeFrom="page">
              <wp:align>right</wp:align>
            </wp:positionH>
            <wp:positionV relativeFrom="paragraph">
              <wp:posOffset>-621030</wp:posOffset>
            </wp:positionV>
            <wp:extent cx="7553325" cy="10229850"/>
            <wp:effectExtent l="0" t="0" r="9525" b="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7" r:link="rId8">
                      <a:extLst>
                        <a:ext uri="{28A0092B-C50C-407E-A947-70E740481C1C}">
                          <a14:useLocalDpi xmlns:a14="http://schemas.microsoft.com/office/drawing/2010/main" val="0"/>
                        </a:ext>
                      </a:extLst>
                    </a:blip>
                    <a:stretch>
                      <a:fillRect/>
                    </a:stretch>
                  </pic:blipFill>
                  <pic:spPr>
                    <a:xfrm>
                      <a:off x="0" y="0"/>
                      <a:ext cx="7553325" cy="10229850"/>
                    </a:xfrm>
                    <a:prstGeom prst="rect">
                      <a:avLst/>
                    </a:prstGeom>
                  </pic:spPr>
                </pic:pic>
              </a:graphicData>
            </a:graphic>
            <wp14:sizeRelH relativeFrom="page">
              <wp14:pctWidth>0</wp14:pctWidth>
            </wp14:sizeRelH>
            <wp14:sizeRelV relativeFrom="page">
              <wp14:pctHeight>0</wp14:pctHeight>
            </wp14:sizeRelV>
          </wp:anchor>
        </w:drawing>
      </w:r>
      <w:r w:rsidR="00CE743C">
        <w:rPr>
          <w:b/>
          <w:caps/>
          <w:noProof/>
          <w:color w:val="000000" w:themeColor="text1"/>
          <w:sz w:val="44"/>
        </w:rPr>
        <mc:AlternateContent>
          <mc:Choice Requires="wps">
            <w:drawing>
              <wp:anchor distT="0" distB="0" distL="114300" distR="114300" simplePos="0" relativeHeight="251663360" behindDoc="0" locked="0" layoutInCell="1" allowOverlap="1" wp14:anchorId="765EED2C" wp14:editId="7CD5E824">
                <wp:simplePos x="0" y="0"/>
                <wp:positionH relativeFrom="margin">
                  <wp:align>right</wp:align>
                </wp:positionH>
                <wp:positionV relativeFrom="paragraph">
                  <wp:posOffset>1706832</wp:posOffset>
                </wp:positionV>
                <wp:extent cx="5162550" cy="2800350"/>
                <wp:effectExtent l="0" t="0" r="0" b="0"/>
                <wp:wrapNone/>
                <wp:docPr id="22" name="Text Box 22"/>
                <wp:cNvGraphicFramePr/>
                <a:graphic xmlns:a="http://schemas.openxmlformats.org/drawingml/2006/main">
                  <a:graphicData uri="http://schemas.microsoft.com/office/word/2010/wordprocessingShape">
                    <wps:wsp>
                      <wps:cNvSpPr txBox="1"/>
                      <wps:spPr>
                        <a:xfrm>
                          <a:off x="0" y="0"/>
                          <a:ext cx="5162550" cy="2800350"/>
                        </a:xfrm>
                        <a:prstGeom prst="rect">
                          <a:avLst/>
                        </a:prstGeom>
                        <a:noFill/>
                        <a:ln w="6350">
                          <a:noFill/>
                        </a:ln>
                      </wps:spPr>
                      <wps:txbx>
                        <w:txbxContent>
                          <w:p w14:paraId="098605B7" w14:textId="5BA01362" w:rsidR="00144F2B" w:rsidRPr="00144F2B" w:rsidRDefault="003C357C" w:rsidP="00144F2B">
                            <w:pPr>
                              <w:pStyle w:val="Title"/>
                              <w:keepLines/>
                              <w:pBdr>
                                <w:top w:val="none" w:sz="0" w:space="0" w:color="auto"/>
                                <w:bottom w:val="none" w:sz="0" w:space="0" w:color="auto"/>
                              </w:pBdr>
                              <w:spacing w:before="120" w:after="0" w:line="276" w:lineRule="auto"/>
                              <w:contextualSpacing/>
                              <w:outlineLvl w:val="0"/>
                              <w:rPr>
                                <w:rFonts w:eastAsiaTheme="majorEastAsia" w:cs="Arial"/>
                                <w:color w:val="FFFFFF" w:themeColor="background1"/>
                                <w:sz w:val="70"/>
                                <w:szCs w:val="70"/>
                              </w:rPr>
                            </w:pPr>
                            <w:r>
                              <w:rPr>
                                <w:rFonts w:eastAsiaTheme="majorEastAsia" w:cs="Arial"/>
                                <w:color w:val="FFFFFF" w:themeColor="background1"/>
                                <w:sz w:val="70"/>
                                <w:szCs w:val="70"/>
                              </w:rPr>
                              <w:t xml:space="preserve">Ministerial </w:t>
                            </w:r>
                            <w:r w:rsidR="00146D0E">
                              <w:rPr>
                                <w:rFonts w:eastAsiaTheme="majorEastAsia" w:cs="Arial"/>
                                <w:color w:val="FFFFFF" w:themeColor="background1"/>
                                <w:sz w:val="70"/>
                                <w:szCs w:val="70"/>
                              </w:rPr>
                              <w:t>Statement of Expectations 2023</w:t>
                            </w:r>
                          </w:p>
                          <w:p w14:paraId="54DCF4DF" w14:textId="77777777" w:rsidR="00CE743C" w:rsidRDefault="00CE743C" w:rsidP="00146D0E">
                            <w:pPr>
                              <w:pStyle w:val="Subtitle"/>
                              <w:spacing w:line="240" w:lineRule="auto"/>
                              <w:jc w:val="left"/>
                            </w:pPr>
                          </w:p>
                          <w:p w14:paraId="3A1DDE54" w14:textId="79AF4AFE" w:rsidR="00144F2B" w:rsidRPr="00222C35" w:rsidRDefault="00146D0E" w:rsidP="00146D0E">
                            <w:pPr>
                              <w:pStyle w:val="Subtitle"/>
                              <w:spacing w:line="240" w:lineRule="auto"/>
                              <w:jc w:val="left"/>
                            </w:pPr>
                            <w:r>
                              <w:t xml:space="preserve">Office of the Work Health and Safety </w:t>
                            </w:r>
                            <w:r>
                              <w:br/>
                              <w:t>Commissioner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5EED2C" id="_x0000_t202" coordsize="21600,21600" o:spt="202" path="m,l,21600r21600,l21600,xe">
                <v:stroke joinstyle="miter"/>
                <v:path gradientshapeok="t" o:connecttype="rect"/>
              </v:shapetype>
              <v:shape id="Text Box 22" o:spid="_x0000_s1026" type="#_x0000_t202" style="position:absolute;margin-left:355.3pt;margin-top:134.4pt;width:406.5pt;height:220.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" filled="f" stroked="f" strokeweight=".5pt">
                <v:textbox>
                  <w:txbxContent>
                    <w:p w14:paraId="098605B7" w14:textId="5BA01362" w:rsidR="00144F2B" w:rsidRPr="00144F2B" w:rsidRDefault="003C357C" w:rsidP="00144F2B">
                      <w:pPr>
                        <w:pStyle w:val="Title"/>
                        <w:keepLines/>
                        <w:pBdr>
                          <w:top w:val="none" w:sz="0" w:space="0" w:color="auto"/>
                          <w:bottom w:val="none" w:sz="0" w:space="0" w:color="auto"/>
                        </w:pBdr>
                        <w:spacing w:before="120" w:after="0" w:line="276" w:lineRule="auto"/>
                        <w:contextualSpacing/>
                        <w:outlineLvl w:val="0"/>
                        <w:rPr>
                          <w:rFonts w:eastAsiaTheme="majorEastAsia" w:cs="Arial"/>
                          <w:color w:val="FFFFFF" w:themeColor="background1"/>
                          <w:sz w:val="70"/>
                          <w:szCs w:val="70"/>
                        </w:rPr>
                      </w:pPr>
                      <w:r>
                        <w:rPr>
                          <w:rFonts w:eastAsiaTheme="majorEastAsia" w:cs="Arial"/>
                          <w:color w:val="FFFFFF" w:themeColor="background1"/>
                          <w:sz w:val="70"/>
                          <w:szCs w:val="70"/>
                        </w:rPr>
                        <w:t xml:space="preserve">Ministerial </w:t>
                      </w:r>
                      <w:r w:rsidR="00146D0E">
                        <w:rPr>
                          <w:rFonts w:eastAsiaTheme="majorEastAsia" w:cs="Arial"/>
                          <w:color w:val="FFFFFF" w:themeColor="background1"/>
                          <w:sz w:val="70"/>
                          <w:szCs w:val="70"/>
                        </w:rPr>
                        <w:t>Statement of Expectations 2023</w:t>
                      </w:r>
                    </w:p>
                    <w:p w14:paraId="54DCF4DF" w14:textId="77777777" w:rsidR="00CE743C" w:rsidRDefault="00CE743C" w:rsidP="00146D0E">
                      <w:pPr>
                        <w:pStyle w:val="Subtitle"/>
                        <w:spacing w:line="240" w:lineRule="auto"/>
                        <w:jc w:val="left"/>
                      </w:pPr>
                    </w:p>
                    <w:p w14:paraId="3A1DDE54" w14:textId="79AF4AFE" w:rsidR="00144F2B" w:rsidRPr="00222C35" w:rsidRDefault="00146D0E" w:rsidP="00146D0E">
                      <w:pPr>
                        <w:pStyle w:val="Subtitle"/>
                        <w:spacing w:line="240" w:lineRule="auto"/>
                        <w:jc w:val="left"/>
                      </w:pPr>
                      <w:r>
                        <w:t xml:space="preserve">Office of the Work Health and Safety </w:t>
                      </w:r>
                      <w:r>
                        <w:br/>
                        <w:t>Commissioner</w:t>
                      </w:r>
                    </w:p>
                  </w:txbxContent>
                </v:textbox>
                <w10:wrap anchorx="margin"/>
              </v:shape>
            </w:pict>
          </mc:Fallback>
        </mc:AlternateContent>
      </w:r>
      <w:r w:rsidR="002C0E8D">
        <w:rPr>
          <w:noProof/>
          <w:color w:val="000000" w:themeColor="text1"/>
        </w:rPr>
        <w:drawing>
          <wp:anchor distT="0" distB="0" distL="114300" distR="114300" simplePos="0" relativeHeight="251661312" behindDoc="0" locked="0" layoutInCell="1" allowOverlap="1" wp14:anchorId="4A7EAB90" wp14:editId="567CF9A1">
            <wp:simplePos x="0" y="0"/>
            <wp:positionH relativeFrom="margin">
              <wp:align>left</wp:align>
            </wp:positionH>
            <wp:positionV relativeFrom="paragraph">
              <wp:posOffset>-5177</wp:posOffset>
            </wp:positionV>
            <wp:extent cx="1753235" cy="890270"/>
            <wp:effectExtent l="0" t="0" r="0" b="5080"/>
            <wp:wrapNone/>
            <wp:docPr id="16" name="Picture 16" descr="ACT Government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CT Government crest"/>
                    <pic:cNvPicPr/>
                  </pic:nvPicPr>
                  <pic:blipFill>
                    <a:blip r:embed="rId9">
                      <a:extLst>
                        <a:ext uri="{28A0092B-C50C-407E-A947-70E740481C1C}">
                          <a14:useLocalDpi xmlns:a14="http://schemas.microsoft.com/office/drawing/2010/main" val="0"/>
                        </a:ext>
                      </a:extLst>
                    </a:blip>
                    <a:stretch>
                      <a:fillRect/>
                    </a:stretch>
                  </pic:blipFill>
                  <pic:spPr>
                    <a:xfrm>
                      <a:off x="0" y="0"/>
                      <a:ext cx="1753235" cy="890270"/>
                    </a:xfrm>
                    <a:prstGeom prst="rect">
                      <a:avLst/>
                    </a:prstGeom>
                  </pic:spPr>
                </pic:pic>
              </a:graphicData>
            </a:graphic>
            <wp14:sizeRelH relativeFrom="page">
              <wp14:pctWidth>0</wp14:pctWidth>
            </wp14:sizeRelH>
            <wp14:sizeRelV relativeFrom="page">
              <wp14:pctHeight>0</wp14:pctHeight>
            </wp14:sizeRelV>
          </wp:anchor>
        </w:drawing>
      </w:r>
      <w:r w:rsidR="00144F2B">
        <w:rPr>
          <w:rFonts w:ascii="Montserrat" w:hAnsi="Montserrat" w:cstheme="minorHAnsi"/>
          <w:b/>
          <w:bCs/>
          <w:sz w:val="40"/>
          <w:szCs w:val="40"/>
        </w:rPr>
        <w:br w:type="page"/>
      </w:r>
    </w:p>
    <w:p w14:paraId="0A806085" w14:textId="77777777" w:rsidR="00F30672" w:rsidRPr="002805EF" w:rsidRDefault="00F30672" w:rsidP="002805EF">
      <w:pPr>
        <w:keepNext/>
        <w:spacing w:before="240" w:after="60" w:line="276" w:lineRule="auto"/>
        <w:outlineLvl w:val="1"/>
        <w:rPr>
          <w:rFonts w:ascii="Arial" w:hAnsi="Arial"/>
          <w:b/>
          <w:snapToGrid w:val="0"/>
          <w:color w:val="7030A0"/>
          <w:sz w:val="30"/>
        </w:rPr>
      </w:pPr>
      <w:r w:rsidRPr="002805EF">
        <w:rPr>
          <w:rFonts w:ascii="Arial" w:hAnsi="Arial"/>
          <w:b/>
          <w:snapToGrid w:val="0"/>
          <w:color w:val="7030A0"/>
          <w:sz w:val="30"/>
        </w:rPr>
        <w:lastRenderedPageBreak/>
        <w:t>Introduction</w:t>
      </w:r>
    </w:p>
    <w:p w14:paraId="02263C09" w14:textId="3F20960A" w:rsidR="006D3EA0" w:rsidRDefault="006D3EA0" w:rsidP="006D3EA0">
      <w:pPr>
        <w:spacing w:beforeLines="60" w:before="144" w:afterLines="60" w:after="144" w:line="276" w:lineRule="auto"/>
        <w:rPr>
          <w:rFonts w:ascii="Calibri" w:hAnsi="Calibri"/>
          <w:sz w:val="22"/>
          <w:szCs w:val="22"/>
          <w:lang w:eastAsia="en-AU"/>
        </w:rPr>
      </w:pPr>
      <w:r>
        <w:rPr>
          <w:rFonts w:ascii="Calibri" w:hAnsi="Calibri"/>
          <w:sz w:val="22"/>
          <w:szCs w:val="22"/>
          <w:lang w:eastAsia="en-AU"/>
        </w:rPr>
        <w:t xml:space="preserve">The Office of the Work Health and Safety Commissioner (WorkSafe ACT) </w:t>
      </w:r>
      <w:r w:rsidR="003375FB">
        <w:rPr>
          <w:rFonts w:ascii="Calibri" w:hAnsi="Calibri"/>
          <w:sz w:val="22"/>
          <w:szCs w:val="22"/>
          <w:lang w:eastAsia="en-AU"/>
        </w:rPr>
        <w:t>is established</w:t>
      </w:r>
      <w:r>
        <w:rPr>
          <w:rFonts w:ascii="Calibri" w:hAnsi="Calibri"/>
          <w:sz w:val="22"/>
          <w:szCs w:val="22"/>
          <w:lang w:eastAsia="en-AU"/>
        </w:rPr>
        <w:t xml:space="preserve"> under the </w:t>
      </w:r>
      <w:r w:rsidRPr="006D3EA0">
        <w:rPr>
          <w:rFonts w:ascii="Calibri" w:hAnsi="Calibri"/>
          <w:i/>
          <w:iCs/>
          <w:sz w:val="22"/>
          <w:szCs w:val="22"/>
          <w:lang w:eastAsia="en-AU"/>
        </w:rPr>
        <w:t>Work Health and Safety Act 2011</w:t>
      </w:r>
      <w:r>
        <w:rPr>
          <w:rFonts w:ascii="Calibri" w:hAnsi="Calibri"/>
          <w:sz w:val="22"/>
          <w:szCs w:val="22"/>
          <w:lang w:eastAsia="en-AU"/>
        </w:rPr>
        <w:t xml:space="preserve"> (the WHS Act) as an independent, prescribed Territory authority headed by the Work Health and Safety Commissioner (WHS Commissioner) who is the Territory’s WHS Regulator.</w:t>
      </w:r>
      <w:r w:rsidRPr="006D3EA0">
        <w:rPr>
          <w:rFonts w:ascii="Calibri" w:hAnsi="Calibri"/>
          <w:sz w:val="22"/>
          <w:szCs w:val="22"/>
          <w:lang w:eastAsia="en-AU"/>
        </w:rPr>
        <w:t xml:space="preserve"> </w:t>
      </w:r>
    </w:p>
    <w:p w14:paraId="31FA395F" w14:textId="094AF118" w:rsidR="006D3EA0" w:rsidRDefault="006D3EA0" w:rsidP="006D3EA0">
      <w:pPr>
        <w:spacing w:beforeLines="60" w:before="144" w:afterLines="60" w:after="144" w:line="276" w:lineRule="auto"/>
        <w:rPr>
          <w:rFonts w:ascii="Calibri" w:hAnsi="Calibri"/>
          <w:sz w:val="22"/>
          <w:szCs w:val="22"/>
          <w:lang w:eastAsia="en-AU"/>
        </w:rPr>
      </w:pPr>
      <w:r>
        <w:rPr>
          <w:rFonts w:ascii="Calibri" w:hAnsi="Calibri"/>
          <w:sz w:val="22"/>
          <w:szCs w:val="22"/>
          <w:lang w:eastAsia="en-AU"/>
        </w:rPr>
        <w:t>WorkSafe ACT</w:t>
      </w:r>
      <w:r w:rsidRPr="006D3EA0">
        <w:rPr>
          <w:rFonts w:ascii="Calibri" w:hAnsi="Calibri"/>
          <w:sz w:val="22"/>
          <w:szCs w:val="22"/>
          <w:lang w:eastAsia="en-AU"/>
        </w:rPr>
        <w:t xml:space="preserve"> supports the </w:t>
      </w:r>
      <w:r>
        <w:rPr>
          <w:rFonts w:ascii="Calibri" w:hAnsi="Calibri"/>
          <w:sz w:val="22"/>
          <w:szCs w:val="22"/>
          <w:lang w:eastAsia="en-AU"/>
        </w:rPr>
        <w:t>WHS Commissioner</w:t>
      </w:r>
      <w:r w:rsidRPr="006D3EA0">
        <w:rPr>
          <w:rFonts w:ascii="Calibri" w:hAnsi="Calibri"/>
          <w:sz w:val="22"/>
          <w:szCs w:val="22"/>
          <w:lang w:eastAsia="en-AU"/>
        </w:rPr>
        <w:t xml:space="preserve"> </w:t>
      </w:r>
      <w:r w:rsidR="00024823">
        <w:rPr>
          <w:rFonts w:ascii="Calibri" w:hAnsi="Calibri"/>
          <w:sz w:val="22"/>
          <w:szCs w:val="22"/>
          <w:lang w:eastAsia="en-AU"/>
        </w:rPr>
        <w:t>in</w:t>
      </w:r>
      <w:r w:rsidRPr="006D3EA0">
        <w:rPr>
          <w:rFonts w:ascii="Calibri" w:hAnsi="Calibri"/>
          <w:sz w:val="22"/>
          <w:szCs w:val="22"/>
          <w:lang w:eastAsia="en-AU"/>
        </w:rPr>
        <w:t xml:space="preserve"> administer</w:t>
      </w:r>
      <w:r w:rsidR="00024823">
        <w:rPr>
          <w:rFonts w:ascii="Calibri" w:hAnsi="Calibri"/>
          <w:sz w:val="22"/>
          <w:szCs w:val="22"/>
          <w:lang w:eastAsia="en-AU"/>
        </w:rPr>
        <w:t>ing</w:t>
      </w:r>
      <w:r w:rsidRPr="006D3EA0">
        <w:rPr>
          <w:rFonts w:ascii="Calibri" w:hAnsi="Calibri"/>
          <w:sz w:val="22"/>
          <w:szCs w:val="22"/>
          <w:lang w:eastAsia="en-AU"/>
        </w:rPr>
        <w:t xml:space="preserve"> the Territory’s work, health</w:t>
      </w:r>
      <w:r w:rsidR="003375FB">
        <w:rPr>
          <w:rFonts w:ascii="Calibri" w:hAnsi="Calibri"/>
          <w:sz w:val="22"/>
          <w:szCs w:val="22"/>
          <w:lang w:eastAsia="en-AU"/>
        </w:rPr>
        <w:t>,</w:t>
      </w:r>
      <w:r w:rsidRPr="006D3EA0">
        <w:rPr>
          <w:rFonts w:ascii="Calibri" w:hAnsi="Calibri"/>
          <w:sz w:val="22"/>
          <w:szCs w:val="22"/>
          <w:lang w:eastAsia="en-AU"/>
        </w:rPr>
        <w:t xml:space="preserve"> and safety related legislation by providing information, advice</w:t>
      </w:r>
      <w:r w:rsidR="003375FB">
        <w:rPr>
          <w:rFonts w:ascii="Calibri" w:hAnsi="Calibri"/>
          <w:sz w:val="22"/>
          <w:szCs w:val="22"/>
          <w:lang w:eastAsia="en-AU"/>
        </w:rPr>
        <w:t>,</w:t>
      </w:r>
      <w:r w:rsidRPr="006D3EA0">
        <w:rPr>
          <w:rFonts w:ascii="Calibri" w:hAnsi="Calibri"/>
          <w:sz w:val="22"/>
          <w:szCs w:val="22"/>
          <w:lang w:eastAsia="en-AU"/>
        </w:rPr>
        <w:t xml:space="preserve"> and support as well as compliance and enforcement activities.</w:t>
      </w:r>
    </w:p>
    <w:p w14:paraId="173140DA" w14:textId="098E268A" w:rsidR="006D3EA0" w:rsidRDefault="006D3EA0" w:rsidP="002805EF">
      <w:pPr>
        <w:spacing w:beforeLines="60" w:before="144" w:afterLines="60" w:after="144" w:line="276" w:lineRule="auto"/>
        <w:rPr>
          <w:rFonts w:ascii="Calibri" w:hAnsi="Calibri"/>
          <w:sz w:val="22"/>
          <w:szCs w:val="22"/>
          <w:lang w:eastAsia="en-AU"/>
        </w:rPr>
      </w:pPr>
      <w:r>
        <w:rPr>
          <w:rFonts w:ascii="Calibri" w:hAnsi="Calibri"/>
          <w:sz w:val="22"/>
          <w:szCs w:val="22"/>
          <w:lang w:eastAsia="en-AU"/>
        </w:rPr>
        <w:t>I</w:t>
      </w:r>
      <w:r w:rsidR="00F30672" w:rsidRPr="002805EF">
        <w:rPr>
          <w:rFonts w:ascii="Calibri" w:hAnsi="Calibri"/>
          <w:sz w:val="22"/>
          <w:szCs w:val="22"/>
          <w:lang w:eastAsia="en-AU"/>
        </w:rPr>
        <w:t>n accordance with schedule 2, division 2.2.5, section 2.39 of the WHS Act</w:t>
      </w:r>
      <w:r>
        <w:rPr>
          <w:rFonts w:ascii="Calibri" w:hAnsi="Calibri"/>
          <w:sz w:val="22"/>
          <w:szCs w:val="22"/>
          <w:lang w:eastAsia="en-AU"/>
        </w:rPr>
        <w:t xml:space="preserve">, </w:t>
      </w:r>
      <w:r w:rsidR="00106564">
        <w:rPr>
          <w:rFonts w:ascii="Calibri" w:hAnsi="Calibri"/>
          <w:sz w:val="22"/>
          <w:szCs w:val="22"/>
          <w:lang w:eastAsia="en-AU"/>
        </w:rPr>
        <w:t>the Minister for Industrial Relations and Workplace Safety</w:t>
      </w:r>
      <w:r>
        <w:rPr>
          <w:rFonts w:ascii="Calibri" w:hAnsi="Calibri"/>
          <w:sz w:val="22"/>
          <w:szCs w:val="22"/>
          <w:lang w:eastAsia="en-AU"/>
        </w:rPr>
        <w:t xml:space="preserve"> (the Minister)</w:t>
      </w:r>
      <w:r w:rsidR="00106564">
        <w:rPr>
          <w:rFonts w:ascii="Calibri" w:hAnsi="Calibri"/>
          <w:sz w:val="22"/>
          <w:szCs w:val="22"/>
          <w:lang w:eastAsia="en-AU"/>
        </w:rPr>
        <w:t xml:space="preserve"> </w:t>
      </w:r>
      <w:r w:rsidR="00DD35C5">
        <w:rPr>
          <w:rFonts w:ascii="Calibri" w:hAnsi="Calibri"/>
          <w:sz w:val="22"/>
          <w:szCs w:val="22"/>
          <w:lang w:eastAsia="en-AU"/>
        </w:rPr>
        <w:t>must</w:t>
      </w:r>
      <w:r w:rsidR="00AC1C15">
        <w:rPr>
          <w:rFonts w:ascii="Calibri" w:hAnsi="Calibri"/>
          <w:sz w:val="22"/>
          <w:szCs w:val="22"/>
          <w:lang w:eastAsia="en-AU"/>
        </w:rPr>
        <w:t xml:space="preserve"> make a statement to the WHS Commissioner </w:t>
      </w:r>
      <w:r w:rsidR="00106564">
        <w:rPr>
          <w:rFonts w:ascii="Calibri" w:hAnsi="Calibri"/>
          <w:sz w:val="22"/>
          <w:szCs w:val="22"/>
          <w:lang w:eastAsia="en-AU"/>
        </w:rPr>
        <w:t>about the priority activities and initiatives</w:t>
      </w:r>
      <w:r w:rsidR="00AC1C15">
        <w:rPr>
          <w:rFonts w:ascii="Calibri" w:hAnsi="Calibri"/>
          <w:sz w:val="22"/>
          <w:szCs w:val="22"/>
          <w:lang w:eastAsia="en-AU"/>
        </w:rPr>
        <w:t xml:space="preserve"> for WorkSafe ACT at least once every 12-months. </w:t>
      </w:r>
    </w:p>
    <w:p w14:paraId="13482AA0" w14:textId="1E652575" w:rsidR="006D3EA0" w:rsidRDefault="006D3EA0" w:rsidP="002805EF">
      <w:pPr>
        <w:spacing w:beforeLines="60" w:before="144" w:afterLines="60" w:after="144" w:line="276" w:lineRule="auto"/>
        <w:rPr>
          <w:rFonts w:ascii="Calibri" w:hAnsi="Calibri"/>
          <w:sz w:val="22"/>
          <w:szCs w:val="22"/>
          <w:lang w:eastAsia="en-AU"/>
        </w:rPr>
      </w:pPr>
      <w:r>
        <w:rPr>
          <w:rFonts w:ascii="Calibri" w:hAnsi="Calibri"/>
          <w:sz w:val="22"/>
          <w:szCs w:val="22"/>
          <w:lang w:eastAsia="en-AU"/>
        </w:rPr>
        <w:t xml:space="preserve">This statement </w:t>
      </w:r>
      <w:r w:rsidR="003375FB">
        <w:rPr>
          <w:rFonts w:ascii="Calibri" w:hAnsi="Calibri"/>
          <w:sz w:val="22"/>
          <w:szCs w:val="22"/>
          <w:lang w:eastAsia="en-AU"/>
        </w:rPr>
        <w:t>does</w:t>
      </w:r>
      <w:r>
        <w:rPr>
          <w:rFonts w:ascii="Calibri" w:hAnsi="Calibri"/>
          <w:sz w:val="22"/>
          <w:szCs w:val="22"/>
          <w:lang w:eastAsia="en-AU"/>
        </w:rPr>
        <w:t xml:space="preserve"> not include specific direction about the exercise of a regulatory function under the Act but may include general directions about the priority activities and initiatives for WorkSafe ACT, and any information that the Minister believes will assist with the implementation of the statement.</w:t>
      </w:r>
    </w:p>
    <w:p w14:paraId="14843FBF" w14:textId="3DAC9B7A" w:rsidR="00106564" w:rsidRPr="002805EF" w:rsidRDefault="00A96981" w:rsidP="00A96981">
      <w:pPr>
        <w:spacing w:beforeLines="60" w:before="144" w:afterLines="60" w:after="144" w:line="276" w:lineRule="auto"/>
        <w:rPr>
          <w:rFonts w:ascii="Calibri" w:hAnsi="Calibri"/>
          <w:sz w:val="22"/>
          <w:szCs w:val="22"/>
          <w:lang w:eastAsia="en-AU"/>
        </w:rPr>
      </w:pPr>
      <w:r>
        <w:rPr>
          <w:rFonts w:ascii="Calibri" w:hAnsi="Calibri"/>
          <w:sz w:val="22"/>
          <w:szCs w:val="22"/>
          <w:lang w:eastAsia="en-AU"/>
        </w:rPr>
        <w:t>As required by the Act under section 2.39 (2), the ACT’s Work Health and Safety Council (WHS Council) w</w:t>
      </w:r>
      <w:r w:rsidR="00F42250">
        <w:rPr>
          <w:rFonts w:ascii="Calibri" w:hAnsi="Calibri"/>
          <w:sz w:val="22"/>
          <w:szCs w:val="22"/>
          <w:lang w:eastAsia="en-AU"/>
        </w:rPr>
        <w:t>as</w:t>
      </w:r>
      <w:r>
        <w:rPr>
          <w:rFonts w:ascii="Calibri" w:hAnsi="Calibri"/>
          <w:sz w:val="22"/>
          <w:szCs w:val="22"/>
          <w:lang w:eastAsia="en-AU"/>
        </w:rPr>
        <w:t xml:space="preserve"> consulted on the</w:t>
      </w:r>
      <w:r w:rsidRPr="002805EF">
        <w:rPr>
          <w:rFonts w:ascii="Calibri" w:hAnsi="Calibri"/>
          <w:sz w:val="22"/>
          <w:szCs w:val="22"/>
          <w:lang w:eastAsia="en-AU"/>
        </w:rPr>
        <w:t xml:space="preserve"> </w:t>
      </w:r>
      <w:r>
        <w:rPr>
          <w:rFonts w:ascii="Calibri" w:hAnsi="Calibri"/>
          <w:sz w:val="22"/>
          <w:szCs w:val="22"/>
          <w:lang w:eastAsia="en-AU"/>
        </w:rPr>
        <w:t xml:space="preserve">priority </w:t>
      </w:r>
      <w:r w:rsidRPr="002805EF">
        <w:rPr>
          <w:rFonts w:ascii="Calibri" w:hAnsi="Calibri"/>
          <w:sz w:val="22"/>
          <w:szCs w:val="22"/>
          <w:lang w:eastAsia="en-AU"/>
        </w:rPr>
        <w:t>activities and initiatives set out in th</w:t>
      </w:r>
      <w:r>
        <w:rPr>
          <w:rFonts w:ascii="Calibri" w:hAnsi="Calibri"/>
          <w:sz w:val="22"/>
          <w:szCs w:val="22"/>
          <w:lang w:eastAsia="en-AU"/>
        </w:rPr>
        <w:t>e</w:t>
      </w:r>
      <w:r w:rsidRPr="002805EF">
        <w:rPr>
          <w:rFonts w:ascii="Calibri" w:hAnsi="Calibri"/>
          <w:sz w:val="22"/>
          <w:szCs w:val="22"/>
          <w:lang w:eastAsia="en-AU"/>
        </w:rPr>
        <w:t xml:space="preserve"> </w:t>
      </w:r>
      <w:r>
        <w:rPr>
          <w:rFonts w:ascii="Calibri" w:hAnsi="Calibri"/>
          <w:sz w:val="22"/>
          <w:szCs w:val="22"/>
          <w:lang w:eastAsia="en-AU"/>
        </w:rPr>
        <w:t xml:space="preserve">following </w:t>
      </w:r>
      <w:r w:rsidRPr="00A96981">
        <w:rPr>
          <w:rFonts w:ascii="Calibri" w:hAnsi="Calibri"/>
          <w:i/>
          <w:iCs/>
          <w:sz w:val="22"/>
          <w:szCs w:val="22"/>
          <w:lang w:eastAsia="en-AU"/>
        </w:rPr>
        <w:t>Statement of Expectations 2023</w:t>
      </w:r>
      <w:r>
        <w:rPr>
          <w:rFonts w:ascii="Calibri" w:hAnsi="Calibri"/>
          <w:sz w:val="22"/>
          <w:szCs w:val="22"/>
          <w:lang w:eastAsia="en-AU"/>
        </w:rPr>
        <w:t xml:space="preserve"> (the Statement) – which repeals the previous </w:t>
      </w:r>
      <w:r w:rsidR="00AC1C15" w:rsidRPr="00AC1C15">
        <w:rPr>
          <w:rFonts w:ascii="Calibri" w:hAnsi="Calibri"/>
          <w:i/>
          <w:iCs/>
          <w:sz w:val="22"/>
          <w:szCs w:val="22"/>
          <w:lang w:eastAsia="en-AU"/>
        </w:rPr>
        <w:t>Statement of Expectations 2022</w:t>
      </w:r>
      <w:r w:rsidR="00AC1C15">
        <w:rPr>
          <w:rFonts w:ascii="Calibri" w:hAnsi="Calibri"/>
          <w:sz w:val="22"/>
          <w:szCs w:val="22"/>
          <w:lang w:eastAsia="en-AU"/>
        </w:rPr>
        <w:t xml:space="preserve"> [NI2022-</w:t>
      </w:r>
      <w:r w:rsidR="006C6B8E">
        <w:rPr>
          <w:rFonts w:ascii="Calibri" w:hAnsi="Calibri"/>
          <w:sz w:val="22"/>
          <w:szCs w:val="22"/>
          <w:lang w:eastAsia="en-AU"/>
        </w:rPr>
        <w:t>504</w:t>
      </w:r>
      <w:r w:rsidR="00AC1C15">
        <w:rPr>
          <w:rFonts w:ascii="Calibri" w:hAnsi="Calibri"/>
          <w:sz w:val="22"/>
          <w:szCs w:val="22"/>
          <w:lang w:eastAsia="en-AU"/>
        </w:rPr>
        <w:t>].</w:t>
      </w:r>
    </w:p>
    <w:p w14:paraId="56D43B73" w14:textId="77777777" w:rsidR="00F30672" w:rsidRPr="002805EF" w:rsidRDefault="00F30672" w:rsidP="002805EF">
      <w:pPr>
        <w:keepNext/>
        <w:spacing w:before="240" w:after="60" w:line="276" w:lineRule="auto"/>
        <w:outlineLvl w:val="1"/>
        <w:rPr>
          <w:rFonts w:ascii="Arial" w:hAnsi="Arial"/>
          <w:b/>
          <w:snapToGrid w:val="0"/>
          <w:color w:val="7030A0"/>
          <w:sz w:val="30"/>
        </w:rPr>
      </w:pPr>
      <w:r w:rsidRPr="002805EF">
        <w:rPr>
          <w:rFonts w:ascii="Arial" w:hAnsi="Arial"/>
          <w:b/>
          <w:snapToGrid w:val="0"/>
          <w:color w:val="7030A0"/>
          <w:sz w:val="30"/>
        </w:rPr>
        <w:t xml:space="preserve">Priority activities and initiatives </w:t>
      </w:r>
    </w:p>
    <w:p w14:paraId="4DB1EF73" w14:textId="33953E31" w:rsidR="00F30672" w:rsidRPr="002805EF" w:rsidRDefault="00F30672" w:rsidP="002805EF">
      <w:pPr>
        <w:spacing w:beforeLines="60" w:before="144" w:afterLines="60" w:after="144" w:line="276" w:lineRule="auto"/>
        <w:rPr>
          <w:rFonts w:ascii="Calibri" w:hAnsi="Calibri"/>
          <w:sz w:val="22"/>
          <w:szCs w:val="22"/>
          <w:lang w:eastAsia="en-AU"/>
        </w:rPr>
      </w:pPr>
      <w:r w:rsidRPr="002805EF">
        <w:rPr>
          <w:rFonts w:ascii="Calibri" w:hAnsi="Calibri"/>
          <w:sz w:val="22"/>
          <w:szCs w:val="22"/>
          <w:lang w:eastAsia="en-AU"/>
        </w:rPr>
        <w:t>Everyone has the right to a safe workplace with fair conditions. Safety is everyone’s responsibility and WorkSafe ACT has an integral role in driving a</w:t>
      </w:r>
      <w:r w:rsidR="00DA0273">
        <w:rPr>
          <w:rFonts w:ascii="Calibri" w:hAnsi="Calibri"/>
          <w:sz w:val="22"/>
          <w:szCs w:val="22"/>
          <w:lang w:eastAsia="en-AU"/>
        </w:rPr>
        <w:t xml:space="preserve">n outstanding </w:t>
      </w:r>
      <w:r w:rsidRPr="002805EF">
        <w:rPr>
          <w:rFonts w:ascii="Calibri" w:hAnsi="Calibri"/>
          <w:sz w:val="22"/>
          <w:szCs w:val="22"/>
          <w:lang w:eastAsia="en-AU"/>
        </w:rPr>
        <w:t>work safety culture in the ACT through its regulatory compliance and enforcement activities, and advice to government, workers</w:t>
      </w:r>
      <w:r w:rsidR="00560E47">
        <w:rPr>
          <w:rFonts w:ascii="Calibri" w:hAnsi="Calibri"/>
          <w:sz w:val="22"/>
          <w:szCs w:val="22"/>
          <w:lang w:eastAsia="en-AU"/>
        </w:rPr>
        <w:t>,</w:t>
      </w:r>
      <w:r w:rsidRPr="002805EF">
        <w:rPr>
          <w:rFonts w:ascii="Calibri" w:hAnsi="Calibri"/>
          <w:sz w:val="22"/>
          <w:szCs w:val="22"/>
          <w:lang w:eastAsia="en-AU"/>
        </w:rPr>
        <w:t xml:space="preserve"> and employers. </w:t>
      </w:r>
    </w:p>
    <w:p w14:paraId="1B3B085E" w14:textId="35CD1107" w:rsidR="00F30672" w:rsidRPr="002805EF" w:rsidRDefault="00F30672" w:rsidP="002805EF">
      <w:pPr>
        <w:spacing w:beforeLines="60" w:before="144" w:afterLines="60" w:after="144" w:line="276" w:lineRule="auto"/>
        <w:rPr>
          <w:rFonts w:ascii="Calibri" w:hAnsi="Calibri"/>
          <w:sz w:val="22"/>
          <w:szCs w:val="22"/>
          <w:lang w:eastAsia="en-AU"/>
        </w:rPr>
      </w:pPr>
      <w:r w:rsidRPr="002805EF">
        <w:rPr>
          <w:rFonts w:ascii="Calibri" w:hAnsi="Calibri"/>
          <w:sz w:val="22"/>
          <w:szCs w:val="22"/>
          <w:lang w:eastAsia="en-AU"/>
        </w:rPr>
        <w:t xml:space="preserve">In driving an outstanding safety culture across the ACT, WorkSafe ACT should focus on the expectations outlined in this </w:t>
      </w:r>
      <w:r w:rsidR="00560E47">
        <w:rPr>
          <w:rFonts w:ascii="Calibri" w:hAnsi="Calibri"/>
          <w:sz w:val="22"/>
          <w:szCs w:val="22"/>
          <w:lang w:eastAsia="en-AU"/>
        </w:rPr>
        <w:t>S</w:t>
      </w:r>
      <w:r w:rsidRPr="002805EF">
        <w:rPr>
          <w:rFonts w:ascii="Calibri" w:hAnsi="Calibri"/>
          <w:sz w:val="22"/>
          <w:szCs w:val="22"/>
          <w:lang w:eastAsia="en-AU"/>
        </w:rPr>
        <w:t>tatement over the next 12</w:t>
      </w:r>
      <w:r w:rsidR="00560E47">
        <w:rPr>
          <w:rFonts w:ascii="Calibri" w:hAnsi="Calibri"/>
          <w:sz w:val="22"/>
          <w:szCs w:val="22"/>
          <w:lang w:eastAsia="en-AU"/>
        </w:rPr>
        <w:t>-</w:t>
      </w:r>
      <w:r w:rsidRPr="002805EF">
        <w:rPr>
          <w:rFonts w:ascii="Calibri" w:hAnsi="Calibri"/>
          <w:sz w:val="22"/>
          <w:szCs w:val="22"/>
          <w:lang w:eastAsia="en-AU"/>
        </w:rPr>
        <w:t xml:space="preserve">months. This </w:t>
      </w:r>
      <w:r w:rsidR="00560E47">
        <w:rPr>
          <w:rFonts w:ascii="Calibri" w:hAnsi="Calibri"/>
          <w:sz w:val="22"/>
          <w:szCs w:val="22"/>
          <w:lang w:eastAsia="en-AU"/>
        </w:rPr>
        <w:t>S</w:t>
      </w:r>
      <w:r w:rsidRPr="002805EF">
        <w:rPr>
          <w:rFonts w:ascii="Calibri" w:hAnsi="Calibri"/>
          <w:sz w:val="22"/>
          <w:szCs w:val="22"/>
          <w:lang w:eastAsia="en-AU"/>
        </w:rPr>
        <w:t>tatement recognises the significant and ongoing nature of the priorities highlighted in the previous</w:t>
      </w:r>
      <w:r w:rsidR="00560E47">
        <w:rPr>
          <w:rFonts w:ascii="Calibri" w:hAnsi="Calibri"/>
          <w:sz w:val="22"/>
          <w:szCs w:val="22"/>
          <w:lang w:eastAsia="en-AU"/>
        </w:rPr>
        <w:t xml:space="preserve"> statement and </w:t>
      </w:r>
      <w:hyperlink r:id="rId10" w:history="1">
        <w:r w:rsidRPr="00560E47">
          <w:rPr>
            <w:rStyle w:val="Hyperlink"/>
            <w:rFonts w:ascii="Calibri" w:hAnsi="Calibri"/>
            <w:i/>
            <w:iCs/>
            <w:sz w:val="22"/>
            <w:szCs w:val="22"/>
            <w:lang w:eastAsia="en-AU"/>
          </w:rPr>
          <w:t>WorkSafe ACT’s 2020-2024 Strategic Plan</w:t>
        </w:r>
      </w:hyperlink>
      <w:r w:rsidRPr="002805EF">
        <w:rPr>
          <w:rFonts w:ascii="Calibri" w:hAnsi="Calibri"/>
          <w:sz w:val="22"/>
          <w:szCs w:val="22"/>
          <w:lang w:eastAsia="en-AU"/>
        </w:rPr>
        <w:t xml:space="preserve">. </w:t>
      </w:r>
    </w:p>
    <w:p w14:paraId="5C5314A8" w14:textId="642EBA9A" w:rsidR="00F30672" w:rsidRPr="0077043D" w:rsidRDefault="00F30672" w:rsidP="0077043D">
      <w:pPr>
        <w:spacing w:beforeLines="60" w:before="144" w:afterLines="60" w:after="144" w:line="276" w:lineRule="auto"/>
        <w:rPr>
          <w:rFonts w:ascii="Calibri" w:hAnsi="Calibri"/>
          <w:sz w:val="22"/>
          <w:szCs w:val="22"/>
          <w:lang w:eastAsia="en-AU"/>
        </w:rPr>
      </w:pPr>
      <w:r w:rsidRPr="002805EF">
        <w:rPr>
          <w:rFonts w:ascii="Calibri" w:hAnsi="Calibri"/>
          <w:sz w:val="22"/>
          <w:szCs w:val="22"/>
          <w:lang w:eastAsia="en-AU"/>
        </w:rPr>
        <w:t xml:space="preserve">Industry and community engagement is integral to improving cultural change. Priority initiatives and activities should be planned and implemented taking into consideration the views of ACT workers, trade unions, employers, their representative bodies and the WHS Council. </w:t>
      </w:r>
    </w:p>
    <w:p w14:paraId="7A4C5FFF" w14:textId="77777777" w:rsidR="00F30672" w:rsidRPr="0077043D" w:rsidRDefault="00F30672" w:rsidP="0077043D">
      <w:pPr>
        <w:keepNext/>
        <w:spacing w:before="240" w:after="60" w:line="276" w:lineRule="auto"/>
        <w:outlineLvl w:val="1"/>
        <w:rPr>
          <w:rFonts w:ascii="Arial" w:hAnsi="Arial"/>
          <w:b/>
          <w:snapToGrid w:val="0"/>
          <w:color w:val="7030A0"/>
          <w:sz w:val="30"/>
        </w:rPr>
      </w:pPr>
      <w:r w:rsidRPr="0077043D">
        <w:rPr>
          <w:rFonts w:ascii="Arial" w:hAnsi="Arial"/>
          <w:b/>
          <w:snapToGrid w:val="0"/>
          <w:color w:val="7030A0"/>
          <w:sz w:val="30"/>
        </w:rPr>
        <w:t>Present and Emerging Work Health and Safety Risks</w:t>
      </w:r>
    </w:p>
    <w:p w14:paraId="526841F0" w14:textId="508C7183" w:rsidR="00560E47" w:rsidRDefault="00DC00B7" w:rsidP="00560E47">
      <w:pPr>
        <w:spacing w:beforeLines="60" w:before="144" w:afterLines="60" w:after="144" w:line="276" w:lineRule="auto"/>
        <w:rPr>
          <w:rFonts w:ascii="Calibri" w:hAnsi="Calibri"/>
          <w:sz w:val="22"/>
          <w:szCs w:val="22"/>
          <w:lang w:eastAsia="en-AU"/>
        </w:rPr>
      </w:pPr>
      <w:r>
        <w:rPr>
          <w:rFonts w:ascii="Calibri" w:hAnsi="Calibri"/>
          <w:sz w:val="22"/>
          <w:szCs w:val="22"/>
          <w:lang w:eastAsia="en-AU"/>
        </w:rPr>
        <w:t xml:space="preserve">Safe Work Australia’s </w:t>
      </w:r>
      <w:hyperlink r:id="rId11" w:history="1">
        <w:r w:rsidRPr="00DC00B7">
          <w:rPr>
            <w:rStyle w:val="Hyperlink"/>
            <w:rFonts w:ascii="Calibri" w:hAnsi="Calibri"/>
            <w:i/>
            <w:iCs/>
            <w:sz w:val="22"/>
            <w:szCs w:val="22"/>
            <w:lang w:eastAsia="en-AU"/>
          </w:rPr>
          <w:t>Australian Work Health and Safety (WHS Strategy</w:t>
        </w:r>
        <w:r>
          <w:rPr>
            <w:rStyle w:val="Hyperlink"/>
            <w:rFonts w:ascii="Calibri" w:hAnsi="Calibri"/>
            <w:i/>
            <w:iCs/>
            <w:sz w:val="22"/>
            <w:szCs w:val="22"/>
            <w:lang w:eastAsia="en-AU"/>
          </w:rPr>
          <w:t>)</w:t>
        </w:r>
        <w:r w:rsidRPr="00DC00B7">
          <w:rPr>
            <w:rStyle w:val="Hyperlink"/>
            <w:rFonts w:ascii="Calibri" w:hAnsi="Calibri"/>
            <w:i/>
            <w:iCs/>
            <w:sz w:val="22"/>
            <w:szCs w:val="22"/>
            <w:lang w:eastAsia="en-AU"/>
          </w:rPr>
          <w:t xml:space="preserve"> 2023-2033</w:t>
        </w:r>
      </w:hyperlink>
      <w:r>
        <w:rPr>
          <w:rFonts w:ascii="Calibri" w:hAnsi="Calibri"/>
          <w:sz w:val="22"/>
          <w:szCs w:val="22"/>
          <w:lang w:eastAsia="en-AU"/>
        </w:rPr>
        <w:t xml:space="preserve"> </w:t>
      </w:r>
      <w:r w:rsidR="00DA0273">
        <w:rPr>
          <w:rFonts w:ascii="Calibri" w:hAnsi="Calibri"/>
          <w:sz w:val="22"/>
          <w:szCs w:val="22"/>
          <w:lang w:eastAsia="en-AU"/>
        </w:rPr>
        <w:t xml:space="preserve">(the Strategy) </w:t>
      </w:r>
      <w:r>
        <w:rPr>
          <w:rFonts w:ascii="Calibri" w:hAnsi="Calibri"/>
          <w:sz w:val="22"/>
          <w:szCs w:val="22"/>
          <w:lang w:eastAsia="en-AU"/>
        </w:rPr>
        <w:t xml:space="preserve">aims to respond to key WHS challenges and risks </w:t>
      </w:r>
      <w:r w:rsidR="00DA0273">
        <w:rPr>
          <w:rFonts w:ascii="Calibri" w:hAnsi="Calibri"/>
          <w:sz w:val="22"/>
          <w:szCs w:val="22"/>
          <w:lang w:eastAsia="en-AU"/>
        </w:rPr>
        <w:t xml:space="preserve">across Australia </w:t>
      </w:r>
      <w:r>
        <w:rPr>
          <w:rFonts w:ascii="Calibri" w:hAnsi="Calibri"/>
          <w:sz w:val="22"/>
          <w:szCs w:val="22"/>
          <w:lang w:eastAsia="en-AU"/>
        </w:rPr>
        <w:t xml:space="preserve">over the next ten-years and sets a unifying national goal to reduce worker fatalities, injuries and illness. </w:t>
      </w:r>
    </w:p>
    <w:p w14:paraId="3BE236DA" w14:textId="737F3D8E" w:rsidR="00DC00B7" w:rsidRDefault="001258BD" w:rsidP="00560E47">
      <w:pPr>
        <w:spacing w:beforeLines="60" w:before="144" w:afterLines="60" w:after="144" w:line="276" w:lineRule="auto"/>
        <w:rPr>
          <w:rFonts w:ascii="Calibri" w:hAnsi="Calibri"/>
          <w:sz w:val="22"/>
          <w:szCs w:val="22"/>
          <w:lang w:eastAsia="en-AU"/>
        </w:rPr>
      </w:pPr>
      <w:r>
        <w:rPr>
          <w:rFonts w:ascii="Calibri" w:hAnsi="Calibri"/>
          <w:sz w:val="22"/>
          <w:szCs w:val="22"/>
          <w:lang w:eastAsia="en-AU"/>
        </w:rPr>
        <w:t>The Territory contributes to outcomes under the national WHS Strategy through the</w:t>
      </w:r>
      <w:r w:rsidR="00A759B1">
        <w:rPr>
          <w:rFonts w:ascii="Calibri" w:hAnsi="Calibri"/>
          <w:sz w:val="22"/>
          <w:szCs w:val="22"/>
          <w:lang w:eastAsia="en-AU"/>
        </w:rPr>
        <w:t xml:space="preserve"> identified</w:t>
      </w:r>
      <w:r>
        <w:rPr>
          <w:rFonts w:ascii="Calibri" w:hAnsi="Calibri"/>
          <w:sz w:val="22"/>
          <w:szCs w:val="22"/>
          <w:lang w:eastAsia="en-AU"/>
        </w:rPr>
        <w:t xml:space="preserve"> </w:t>
      </w:r>
      <w:r w:rsidR="00DC00B7">
        <w:rPr>
          <w:rFonts w:ascii="Calibri" w:hAnsi="Calibri"/>
          <w:sz w:val="22"/>
          <w:szCs w:val="22"/>
          <w:lang w:eastAsia="en-AU"/>
        </w:rPr>
        <w:t xml:space="preserve">National priorities </w:t>
      </w:r>
      <w:r>
        <w:rPr>
          <w:rFonts w:ascii="Calibri" w:hAnsi="Calibri"/>
          <w:sz w:val="22"/>
          <w:szCs w:val="22"/>
          <w:lang w:eastAsia="en-AU"/>
        </w:rPr>
        <w:t>and challenges</w:t>
      </w:r>
      <w:r w:rsidR="00A759B1">
        <w:rPr>
          <w:rFonts w:ascii="Calibri" w:hAnsi="Calibri"/>
          <w:sz w:val="22"/>
          <w:szCs w:val="22"/>
          <w:lang w:eastAsia="en-AU"/>
        </w:rPr>
        <w:t>, those being:</w:t>
      </w:r>
    </w:p>
    <w:p w14:paraId="443ABAED" w14:textId="1108FA36" w:rsidR="008714B6" w:rsidRPr="00A5542B" w:rsidRDefault="005A7ADD" w:rsidP="00A5542B">
      <w:pPr>
        <w:pStyle w:val="bullet1"/>
        <w:numPr>
          <w:ilvl w:val="0"/>
          <w:numId w:val="12"/>
        </w:numPr>
        <w:spacing w:before="30" w:after="30" w:line="240" w:lineRule="auto"/>
        <w:rPr>
          <w:sz w:val="21"/>
          <w:szCs w:val="21"/>
          <w:lang w:eastAsia="en-AU"/>
        </w:rPr>
      </w:pPr>
      <w:r w:rsidRPr="00A5542B">
        <w:rPr>
          <w:sz w:val="21"/>
          <w:szCs w:val="21"/>
          <w:lang w:eastAsia="en-AU"/>
        </w:rPr>
        <w:t>worker fatalities</w:t>
      </w:r>
    </w:p>
    <w:p w14:paraId="443CBE00" w14:textId="69F88666" w:rsidR="00DC00B7" w:rsidRPr="00A5542B" w:rsidRDefault="00DA0273" w:rsidP="00A5542B">
      <w:pPr>
        <w:pStyle w:val="bullet1"/>
        <w:numPr>
          <w:ilvl w:val="0"/>
          <w:numId w:val="12"/>
        </w:numPr>
        <w:spacing w:before="30" w:after="30" w:line="240" w:lineRule="auto"/>
        <w:rPr>
          <w:sz w:val="21"/>
          <w:szCs w:val="21"/>
          <w:lang w:eastAsia="en-AU"/>
        </w:rPr>
      </w:pPr>
      <w:r>
        <w:rPr>
          <w:sz w:val="21"/>
          <w:szCs w:val="21"/>
        </w:rPr>
        <w:t>p</w:t>
      </w:r>
      <w:r w:rsidR="00DC00B7" w:rsidRPr="00A5542B">
        <w:rPr>
          <w:sz w:val="21"/>
          <w:szCs w:val="21"/>
        </w:rPr>
        <w:t xml:space="preserve">sychosocial </w:t>
      </w:r>
      <w:r w:rsidR="001258BD" w:rsidRPr="00A5542B">
        <w:rPr>
          <w:sz w:val="21"/>
          <w:szCs w:val="21"/>
        </w:rPr>
        <w:t>hazards in the workplace</w:t>
      </w:r>
    </w:p>
    <w:p w14:paraId="0ADD7B4E" w14:textId="4C5FDD65" w:rsidR="001258BD" w:rsidRPr="00A5542B" w:rsidRDefault="00DA0273" w:rsidP="00A5542B">
      <w:pPr>
        <w:pStyle w:val="bullet1"/>
        <w:numPr>
          <w:ilvl w:val="0"/>
          <w:numId w:val="12"/>
        </w:numPr>
        <w:spacing w:before="30" w:after="30" w:line="240" w:lineRule="auto"/>
        <w:rPr>
          <w:sz w:val="21"/>
          <w:szCs w:val="21"/>
          <w:lang w:eastAsia="en-AU"/>
        </w:rPr>
      </w:pPr>
      <w:r>
        <w:rPr>
          <w:sz w:val="21"/>
          <w:szCs w:val="21"/>
          <w:lang w:eastAsia="en-AU"/>
        </w:rPr>
        <w:t>t</w:t>
      </w:r>
      <w:r w:rsidR="00A759B1" w:rsidRPr="00A5542B">
        <w:rPr>
          <w:sz w:val="21"/>
          <w:szCs w:val="21"/>
          <w:lang w:eastAsia="en-AU"/>
        </w:rPr>
        <w:t>he existence of m</w:t>
      </w:r>
      <w:r w:rsidR="001258BD" w:rsidRPr="00A5542B">
        <w:rPr>
          <w:sz w:val="21"/>
          <w:szCs w:val="21"/>
          <w:lang w:eastAsia="en-AU"/>
        </w:rPr>
        <w:t xml:space="preserve">ore complex supply chains </w:t>
      </w:r>
    </w:p>
    <w:p w14:paraId="021C5CC6" w14:textId="3D0739BC" w:rsidR="001258BD" w:rsidRPr="00A5542B" w:rsidRDefault="00DA0273" w:rsidP="00A5542B">
      <w:pPr>
        <w:pStyle w:val="bullet1"/>
        <w:numPr>
          <w:ilvl w:val="0"/>
          <w:numId w:val="12"/>
        </w:numPr>
        <w:spacing w:before="30" w:after="30" w:line="240" w:lineRule="auto"/>
        <w:rPr>
          <w:sz w:val="21"/>
          <w:szCs w:val="21"/>
          <w:lang w:eastAsia="en-AU"/>
        </w:rPr>
      </w:pPr>
      <w:r>
        <w:rPr>
          <w:sz w:val="21"/>
          <w:szCs w:val="21"/>
          <w:lang w:eastAsia="en-AU"/>
        </w:rPr>
        <w:t>e</w:t>
      </w:r>
      <w:r w:rsidR="00A759B1" w:rsidRPr="00A5542B">
        <w:rPr>
          <w:sz w:val="21"/>
          <w:szCs w:val="21"/>
          <w:lang w:eastAsia="en-AU"/>
        </w:rPr>
        <w:t>volving c</w:t>
      </w:r>
      <w:r w:rsidR="001258BD" w:rsidRPr="00A5542B">
        <w:rPr>
          <w:sz w:val="21"/>
          <w:szCs w:val="21"/>
          <w:lang w:eastAsia="en-AU"/>
        </w:rPr>
        <w:t>limate related risks</w:t>
      </w:r>
    </w:p>
    <w:p w14:paraId="48ADEDC9" w14:textId="5322E77A" w:rsidR="00320399" w:rsidRPr="00A5542B" w:rsidRDefault="00DA0273" w:rsidP="00A5542B">
      <w:pPr>
        <w:pStyle w:val="bullet1"/>
        <w:numPr>
          <w:ilvl w:val="0"/>
          <w:numId w:val="12"/>
        </w:numPr>
        <w:spacing w:before="30" w:after="30" w:line="240" w:lineRule="auto"/>
        <w:rPr>
          <w:sz w:val="21"/>
          <w:szCs w:val="21"/>
          <w:lang w:eastAsia="en-AU"/>
        </w:rPr>
      </w:pPr>
      <w:r>
        <w:rPr>
          <w:sz w:val="21"/>
          <w:szCs w:val="21"/>
          <w:lang w:eastAsia="en-AU"/>
        </w:rPr>
        <w:t>h</w:t>
      </w:r>
      <w:r w:rsidR="00320399" w:rsidRPr="00A5542B">
        <w:rPr>
          <w:sz w:val="21"/>
          <w:szCs w:val="21"/>
          <w:lang w:eastAsia="en-AU"/>
        </w:rPr>
        <w:t>ealth and safety vulnerable populations</w:t>
      </w:r>
    </w:p>
    <w:p w14:paraId="638FF95F" w14:textId="77777777" w:rsidR="00C165D7" w:rsidRDefault="00DA0273" w:rsidP="00A5542B">
      <w:pPr>
        <w:pStyle w:val="bullet1"/>
        <w:numPr>
          <w:ilvl w:val="0"/>
          <w:numId w:val="12"/>
        </w:numPr>
        <w:spacing w:before="30" w:after="30" w:line="240" w:lineRule="auto"/>
        <w:rPr>
          <w:sz w:val="21"/>
          <w:szCs w:val="21"/>
          <w:lang w:eastAsia="en-AU"/>
        </w:rPr>
      </w:pPr>
      <w:r>
        <w:rPr>
          <w:sz w:val="21"/>
          <w:szCs w:val="21"/>
          <w:lang w:eastAsia="en-AU"/>
        </w:rPr>
        <w:t>h</w:t>
      </w:r>
      <w:r w:rsidR="00C640A1" w:rsidRPr="00A5542B">
        <w:rPr>
          <w:sz w:val="21"/>
          <w:szCs w:val="21"/>
          <w:lang w:eastAsia="en-AU"/>
        </w:rPr>
        <w:t>ybrid work arrangements</w:t>
      </w:r>
    </w:p>
    <w:p w14:paraId="390018AD" w14:textId="40B5B488" w:rsidR="00A43CA8" w:rsidRDefault="00C165D7" w:rsidP="00A5542B">
      <w:pPr>
        <w:pStyle w:val="bullet1"/>
        <w:numPr>
          <w:ilvl w:val="0"/>
          <w:numId w:val="12"/>
        </w:numPr>
        <w:spacing w:before="30" w:after="30" w:line="240" w:lineRule="auto"/>
        <w:rPr>
          <w:sz w:val="21"/>
          <w:szCs w:val="21"/>
          <w:lang w:eastAsia="en-AU"/>
        </w:rPr>
      </w:pPr>
      <w:r>
        <w:rPr>
          <w:sz w:val="21"/>
          <w:szCs w:val="21"/>
          <w:lang w:eastAsia="en-AU"/>
        </w:rPr>
        <w:t>health and safety impacted by workforce size</w:t>
      </w:r>
      <w:r w:rsidR="004D1FA2">
        <w:rPr>
          <w:sz w:val="21"/>
          <w:szCs w:val="21"/>
          <w:lang w:eastAsia="en-AU"/>
        </w:rPr>
        <w:t xml:space="preserve"> changes</w:t>
      </w:r>
    </w:p>
    <w:p w14:paraId="60D04BAC" w14:textId="21D55ACC" w:rsidR="00C640A1" w:rsidRPr="00A5542B" w:rsidRDefault="00A43CA8" w:rsidP="00A5542B">
      <w:pPr>
        <w:pStyle w:val="bullet1"/>
        <w:numPr>
          <w:ilvl w:val="0"/>
          <w:numId w:val="12"/>
        </w:numPr>
        <w:spacing w:before="30" w:after="30" w:line="240" w:lineRule="auto"/>
        <w:rPr>
          <w:sz w:val="21"/>
          <w:szCs w:val="21"/>
          <w:lang w:eastAsia="en-AU"/>
        </w:rPr>
      </w:pPr>
      <w:r>
        <w:rPr>
          <w:sz w:val="21"/>
          <w:szCs w:val="21"/>
          <w:lang w:eastAsia="en-AU"/>
        </w:rPr>
        <w:t>small business</w:t>
      </w:r>
      <w:r w:rsidR="00DA0273">
        <w:rPr>
          <w:sz w:val="21"/>
          <w:szCs w:val="21"/>
          <w:lang w:eastAsia="en-AU"/>
        </w:rPr>
        <w:t>.</w:t>
      </w:r>
    </w:p>
    <w:p w14:paraId="266A69B3" w14:textId="7A11A75B" w:rsidR="008714B6" w:rsidRPr="008714B6" w:rsidRDefault="005A7ADD" w:rsidP="008714B6">
      <w:pPr>
        <w:keepNext/>
        <w:keepLines/>
        <w:spacing w:before="144" w:after="144" w:line="276" w:lineRule="auto"/>
        <w:outlineLvl w:val="2"/>
        <w:rPr>
          <w:rFonts w:ascii="Arial Bold" w:hAnsi="Arial Bold"/>
          <w:bCs/>
          <w:color w:val="808080"/>
          <w:szCs w:val="26"/>
        </w:rPr>
      </w:pPr>
      <w:r>
        <w:rPr>
          <w:rFonts w:ascii="Arial Bold" w:hAnsi="Arial Bold"/>
          <w:bCs/>
          <w:color w:val="808080"/>
          <w:szCs w:val="26"/>
        </w:rPr>
        <w:lastRenderedPageBreak/>
        <w:t>Reducing worker fatalities</w:t>
      </w:r>
    </w:p>
    <w:p w14:paraId="5B65AD3A" w14:textId="151888E5" w:rsidR="008714B6" w:rsidRDefault="008714B6" w:rsidP="008714B6">
      <w:pPr>
        <w:spacing w:beforeLines="60" w:before="144" w:afterLines="60" w:after="144" w:line="276" w:lineRule="auto"/>
        <w:rPr>
          <w:rFonts w:ascii="Calibri" w:hAnsi="Calibri"/>
          <w:sz w:val="22"/>
          <w:szCs w:val="22"/>
          <w:lang w:eastAsia="en-AU"/>
        </w:rPr>
      </w:pPr>
      <w:r w:rsidRPr="008714B6">
        <w:rPr>
          <w:rFonts w:ascii="Calibri" w:hAnsi="Calibri"/>
          <w:sz w:val="22"/>
          <w:szCs w:val="22"/>
          <w:lang w:eastAsia="en-AU"/>
        </w:rPr>
        <w:t>The ACT Government is committed to achieving a target of zero workplace fatalities and WorkSafe ACT is integral to preventing work related serious injury, disease and fatality.</w:t>
      </w:r>
    </w:p>
    <w:p w14:paraId="694869AB" w14:textId="0F2061E0" w:rsidR="00690CBD" w:rsidRPr="008714B6" w:rsidRDefault="00690CBD" w:rsidP="008714B6">
      <w:pPr>
        <w:spacing w:beforeLines="60" w:before="144" w:afterLines="60" w:after="144" w:line="276" w:lineRule="auto"/>
        <w:rPr>
          <w:rFonts w:ascii="Calibri" w:hAnsi="Calibri"/>
          <w:sz w:val="22"/>
          <w:szCs w:val="22"/>
          <w:lang w:eastAsia="en-AU"/>
        </w:rPr>
      </w:pPr>
      <w:r>
        <w:rPr>
          <w:rFonts w:ascii="Calibri" w:hAnsi="Calibri"/>
          <w:sz w:val="22"/>
          <w:szCs w:val="22"/>
          <w:lang w:eastAsia="en-AU"/>
        </w:rPr>
        <w:t>Targeting attention and activities to those industries with the highest rates of injur</w:t>
      </w:r>
      <w:r w:rsidR="00F42250">
        <w:rPr>
          <w:rFonts w:ascii="Calibri" w:hAnsi="Calibri"/>
          <w:sz w:val="22"/>
          <w:szCs w:val="22"/>
          <w:lang w:eastAsia="en-AU"/>
        </w:rPr>
        <w:t>y and</w:t>
      </w:r>
      <w:r>
        <w:rPr>
          <w:rFonts w:ascii="Calibri" w:hAnsi="Calibri"/>
          <w:sz w:val="22"/>
          <w:szCs w:val="22"/>
          <w:lang w:eastAsia="en-AU"/>
        </w:rPr>
        <w:t xml:space="preserve"> illness</w:t>
      </w:r>
      <w:r w:rsidR="00F42250">
        <w:rPr>
          <w:rFonts w:ascii="Calibri" w:hAnsi="Calibri"/>
          <w:sz w:val="22"/>
          <w:szCs w:val="22"/>
          <w:lang w:eastAsia="en-AU"/>
        </w:rPr>
        <w:t xml:space="preserve">, particularly where there is a history of fatality </w:t>
      </w:r>
      <w:r>
        <w:rPr>
          <w:rFonts w:ascii="Calibri" w:hAnsi="Calibri"/>
          <w:sz w:val="22"/>
          <w:szCs w:val="22"/>
          <w:lang w:eastAsia="en-AU"/>
        </w:rPr>
        <w:t>w</w:t>
      </w:r>
      <w:r w:rsidR="00F42250">
        <w:rPr>
          <w:rFonts w:ascii="Calibri" w:hAnsi="Calibri"/>
          <w:sz w:val="22"/>
          <w:szCs w:val="22"/>
          <w:lang w:eastAsia="en-AU"/>
        </w:rPr>
        <w:t xml:space="preserve">ould assist in </w:t>
      </w:r>
      <w:r>
        <w:rPr>
          <w:rFonts w:ascii="Calibri" w:hAnsi="Calibri"/>
          <w:sz w:val="22"/>
          <w:szCs w:val="22"/>
          <w:lang w:eastAsia="en-AU"/>
        </w:rPr>
        <w:t xml:space="preserve">reducing </w:t>
      </w:r>
      <w:r w:rsidR="00F42250">
        <w:rPr>
          <w:rFonts w:ascii="Calibri" w:hAnsi="Calibri"/>
          <w:sz w:val="22"/>
          <w:szCs w:val="22"/>
          <w:lang w:eastAsia="en-AU"/>
        </w:rPr>
        <w:t xml:space="preserve">work related </w:t>
      </w:r>
      <w:r>
        <w:rPr>
          <w:rFonts w:ascii="Calibri" w:hAnsi="Calibri"/>
          <w:sz w:val="22"/>
          <w:szCs w:val="22"/>
          <w:lang w:eastAsia="en-AU"/>
        </w:rPr>
        <w:t>fatalit</w:t>
      </w:r>
      <w:r w:rsidR="00F42250">
        <w:rPr>
          <w:rFonts w:ascii="Calibri" w:hAnsi="Calibri"/>
          <w:sz w:val="22"/>
          <w:szCs w:val="22"/>
          <w:lang w:eastAsia="en-AU"/>
        </w:rPr>
        <w:t>y</w:t>
      </w:r>
      <w:r>
        <w:rPr>
          <w:rFonts w:ascii="Calibri" w:hAnsi="Calibri"/>
          <w:sz w:val="22"/>
          <w:szCs w:val="22"/>
          <w:lang w:eastAsia="en-AU"/>
        </w:rPr>
        <w:t xml:space="preserve">. </w:t>
      </w:r>
    </w:p>
    <w:p w14:paraId="3F6D64C3" w14:textId="7AD0C9E7" w:rsidR="00C12AC5" w:rsidRDefault="008714B6" w:rsidP="00C640A1">
      <w:pPr>
        <w:spacing w:beforeLines="60" w:before="144" w:afterLines="60" w:after="144" w:line="276" w:lineRule="auto"/>
        <w:rPr>
          <w:rFonts w:ascii="Calibri" w:hAnsi="Calibri"/>
          <w:sz w:val="22"/>
          <w:szCs w:val="22"/>
          <w:lang w:eastAsia="en-AU"/>
        </w:rPr>
      </w:pPr>
      <w:r w:rsidRPr="008714B6">
        <w:rPr>
          <w:rFonts w:ascii="Calibri" w:hAnsi="Calibri"/>
          <w:sz w:val="22"/>
          <w:szCs w:val="22"/>
          <w:lang w:eastAsia="en-AU"/>
        </w:rPr>
        <w:t>WorkSafe ACT should also ensure that the supports available to families in the event of a workplace death or serious injury continue to meet community expectations and deliver better outcomes for families impacted by workplace deaths or serious workplace injuries.</w:t>
      </w:r>
      <w:r w:rsidR="00F659DD">
        <w:rPr>
          <w:rFonts w:ascii="Calibri" w:hAnsi="Calibri"/>
          <w:sz w:val="22"/>
          <w:szCs w:val="22"/>
          <w:lang w:eastAsia="en-AU"/>
        </w:rPr>
        <w:br/>
      </w:r>
    </w:p>
    <w:p w14:paraId="5F0BBA36" w14:textId="7E3A9EA6" w:rsidR="00F30672" w:rsidRPr="00C640A1" w:rsidRDefault="00F30672" w:rsidP="00C640A1">
      <w:pPr>
        <w:spacing w:beforeLines="60" w:before="144" w:afterLines="60" w:after="144" w:line="276" w:lineRule="auto"/>
        <w:rPr>
          <w:rFonts w:ascii="Calibri" w:hAnsi="Calibri"/>
          <w:sz w:val="22"/>
          <w:szCs w:val="22"/>
          <w:lang w:eastAsia="en-AU"/>
        </w:rPr>
      </w:pPr>
      <w:r w:rsidRPr="0077043D">
        <w:rPr>
          <w:rFonts w:ascii="Arial Bold" w:hAnsi="Arial Bold"/>
          <w:bCs/>
          <w:color w:val="808080"/>
          <w:szCs w:val="26"/>
        </w:rPr>
        <w:t>Psychosocial hazards in the workplace</w:t>
      </w:r>
    </w:p>
    <w:p w14:paraId="689F03AC" w14:textId="6857788F" w:rsidR="008714B6" w:rsidRDefault="00560E47" w:rsidP="002805EF">
      <w:pPr>
        <w:spacing w:beforeLines="60" w:before="144" w:afterLines="60" w:after="144" w:line="276" w:lineRule="auto"/>
        <w:rPr>
          <w:rFonts w:ascii="Calibri" w:hAnsi="Calibri"/>
          <w:sz w:val="22"/>
          <w:szCs w:val="22"/>
          <w:lang w:eastAsia="en-AU"/>
        </w:rPr>
      </w:pPr>
      <w:bookmarkStart w:id="1" w:name="_Hlk113173634"/>
      <w:r>
        <w:rPr>
          <w:rFonts w:ascii="Calibri" w:hAnsi="Calibri"/>
          <w:sz w:val="22"/>
          <w:szCs w:val="22"/>
          <w:lang w:eastAsia="en-AU"/>
        </w:rPr>
        <w:t xml:space="preserve">In September 2023, the ACT Government strengthened the Territory’s work health and safety laws to better protect workers from workplace psychosocial hazards by releasing a new </w:t>
      </w:r>
      <w:r w:rsidRPr="00560E47">
        <w:rPr>
          <w:rFonts w:ascii="Calibri" w:hAnsi="Calibri"/>
          <w:i/>
          <w:iCs/>
          <w:sz w:val="22"/>
          <w:szCs w:val="22"/>
          <w:lang w:eastAsia="en-AU"/>
        </w:rPr>
        <w:t>ACT Managing Psychosocial Hazards at Work Code of Practice</w:t>
      </w:r>
      <w:r>
        <w:rPr>
          <w:rFonts w:ascii="Calibri" w:hAnsi="Calibri"/>
          <w:sz w:val="22"/>
          <w:szCs w:val="22"/>
          <w:lang w:eastAsia="en-AU"/>
        </w:rPr>
        <w:t xml:space="preserve"> and associated Regulation amendments, which commence on 27 November 2023.</w:t>
      </w:r>
    </w:p>
    <w:p w14:paraId="5FF39E21" w14:textId="7E127203" w:rsidR="00F30672" w:rsidRPr="002805EF" w:rsidRDefault="00F30672" w:rsidP="002805EF">
      <w:pPr>
        <w:spacing w:beforeLines="60" w:before="144" w:afterLines="60" w:after="144" w:line="276" w:lineRule="auto"/>
        <w:rPr>
          <w:rFonts w:ascii="Calibri" w:hAnsi="Calibri"/>
          <w:sz w:val="22"/>
          <w:szCs w:val="22"/>
          <w:lang w:eastAsia="en-AU"/>
        </w:rPr>
      </w:pPr>
      <w:r w:rsidRPr="002805EF">
        <w:rPr>
          <w:rFonts w:ascii="Calibri" w:hAnsi="Calibri"/>
          <w:sz w:val="22"/>
          <w:szCs w:val="22"/>
          <w:lang w:eastAsia="en-AU"/>
        </w:rPr>
        <w:t>WorkSafe ACT should continue its work in this important area and continue to influence improvements in the mental health of Canberrans through education, and compliance and enforcement.</w:t>
      </w:r>
      <w:bookmarkEnd w:id="1"/>
    </w:p>
    <w:p w14:paraId="3C4040F8" w14:textId="080930E8" w:rsidR="00F659DD" w:rsidRDefault="00F30672" w:rsidP="00F659DD">
      <w:pPr>
        <w:spacing w:beforeLines="60" w:before="144" w:afterLines="60" w:after="144" w:line="276" w:lineRule="auto"/>
        <w:rPr>
          <w:rFonts w:ascii="Calibri" w:hAnsi="Calibri"/>
          <w:sz w:val="22"/>
          <w:szCs w:val="22"/>
          <w:lang w:eastAsia="en-AU"/>
        </w:rPr>
      </w:pPr>
      <w:r w:rsidRPr="002805EF">
        <w:rPr>
          <w:rFonts w:ascii="Calibri" w:hAnsi="Calibri"/>
          <w:sz w:val="22"/>
          <w:szCs w:val="22"/>
          <w:lang w:eastAsia="en-AU"/>
        </w:rPr>
        <w:t xml:space="preserve">Work related violence, sexual harassment and sexual assault are hazards which should be appropriately risk managed to ensure the health and safety of working people. </w:t>
      </w:r>
      <w:bookmarkStart w:id="2" w:name="_Hlk113173640"/>
      <w:r w:rsidRPr="002805EF">
        <w:rPr>
          <w:rFonts w:ascii="Calibri" w:hAnsi="Calibri"/>
          <w:sz w:val="22"/>
          <w:szCs w:val="22"/>
          <w:lang w:eastAsia="en-AU"/>
        </w:rPr>
        <w:t>The recommendations of the Work Health and Safety Council’s Preventing and Managing Work-Related Violence Report, through its Work</w:t>
      </w:r>
      <w:r w:rsidRPr="002805EF">
        <w:rPr>
          <w:rFonts w:ascii="Calibri" w:hAnsi="Calibri"/>
          <w:sz w:val="22"/>
          <w:szCs w:val="22"/>
          <w:lang w:eastAsia="en-AU"/>
        </w:rPr>
        <w:noBreakHyphen/>
        <w:t>Related Violence Advisory Committee, is acknowledged as is the ongoing national focus on these issues. WorkSafe ACT should prioritise educating workplace participants of their obligations and ensuring compliance with these obligations.</w:t>
      </w:r>
      <w:bookmarkEnd w:id="2"/>
      <w:r w:rsidR="00F659DD">
        <w:rPr>
          <w:rFonts w:ascii="Calibri" w:hAnsi="Calibri"/>
          <w:sz w:val="22"/>
          <w:szCs w:val="22"/>
          <w:lang w:eastAsia="en-AU"/>
        </w:rPr>
        <w:br/>
      </w:r>
    </w:p>
    <w:p w14:paraId="43119F04" w14:textId="1278B83A" w:rsidR="00F30672" w:rsidRPr="0077043D" w:rsidRDefault="00C640A1" w:rsidP="00F659DD">
      <w:pPr>
        <w:spacing w:beforeLines="60" w:before="144" w:afterLines="60" w:after="144" w:line="276" w:lineRule="auto"/>
        <w:rPr>
          <w:rFonts w:ascii="Arial Bold" w:hAnsi="Arial Bold"/>
          <w:bCs/>
          <w:color w:val="808080"/>
          <w:szCs w:val="26"/>
        </w:rPr>
      </w:pPr>
      <w:r>
        <w:rPr>
          <w:rFonts w:ascii="Arial Bold" w:hAnsi="Arial Bold"/>
          <w:bCs/>
          <w:color w:val="808080"/>
          <w:szCs w:val="26"/>
        </w:rPr>
        <w:t>The existence of more complex</w:t>
      </w:r>
      <w:r w:rsidR="00F30672" w:rsidRPr="0077043D">
        <w:rPr>
          <w:rFonts w:ascii="Arial Bold" w:hAnsi="Arial Bold"/>
          <w:bCs/>
          <w:color w:val="808080"/>
          <w:szCs w:val="26"/>
        </w:rPr>
        <w:t xml:space="preserve"> supply chains</w:t>
      </w:r>
    </w:p>
    <w:p w14:paraId="160E25A9" w14:textId="61617C6B" w:rsidR="00F30672" w:rsidRDefault="00F30672" w:rsidP="002805EF">
      <w:pPr>
        <w:spacing w:beforeLines="60" w:before="144" w:afterLines="60" w:after="144" w:line="276" w:lineRule="auto"/>
        <w:rPr>
          <w:rFonts w:ascii="Calibri" w:hAnsi="Calibri"/>
          <w:sz w:val="22"/>
          <w:szCs w:val="22"/>
          <w:lang w:eastAsia="en-AU"/>
        </w:rPr>
      </w:pPr>
      <w:r w:rsidRPr="002805EF">
        <w:rPr>
          <w:rFonts w:ascii="Calibri" w:hAnsi="Calibri"/>
          <w:sz w:val="22"/>
          <w:szCs w:val="22"/>
          <w:lang w:eastAsia="en-AU"/>
        </w:rPr>
        <w:t>P</w:t>
      </w:r>
      <w:r w:rsidR="00F42250">
        <w:rPr>
          <w:rFonts w:ascii="Calibri" w:hAnsi="Calibri"/>
          <w:sz w:val="22"/>
          <w:szCs w:val="22"/>
          <w:lang w:eastAsia="en-AU"/>
        </w:rPr>
        <w:t>ersons Conducting a Business or Undertaking (P</w:t>
      </w:r>
      <w:r w:rsidRPr="002805EF">
        <w:rPr>
          <w:rFonts w:ascii="Calibri" w:hAnsi="Calibri"/>
          <w:sz w:val="22"/>
          <w:szCs w:val="22"/>
          <w:lang w:eastAsia="en-AU"/>
        </w:rPr>
        <w:t>CBUs</w:t>
      </w:r>
      <w:r w:rsidR="00F42250">
        <w:rPr>
          <w:rFonts w:ascii="Calibri" w:hAnsi="Calibri"/>
          <w:sz w:val="22"/>
          <w:szCs w:val="22"/>
          <w:lang w:eastAsia="en-AU"/>
        </w:rPr>
        <w:t>)</w:t>
      </w:r>
      <w:r w:rsidRPr="002805EF">
        <w:rPr>
          <w:rFonts w:ascii="Calibri" w:hAnsi="Calibri"/>
          <w:sz w:val="22"/>
          <w:szCs w:val="22"/>
          <w:lang w:eastAsia="en-AU"/>
        </w:rPr>
        <w:t xml:space="preserve"> have an important role in ensuring workplaces are safe, particularly within a supply chain in an organisation. The WHS Act imposes health and safety duties on all PCBUs in the Territory, as well as duties to their officers and workers. All PCBUs are required to be aware of their health and safety duties under the WHS Act, and are responsible for the elimination of risks and hazards that might contribute to unsafe workplaces. </w:t>
      </w:r>
    </w:p>
    <w:p w14:paraId="133172D6" w14:textId="730724BC" w:rsidR="00695E9F" w:rsidRPr="002805EF" w:rsidRDefault="00695E9F" w:rsidP="002805EF">
      <w:pPr>
        <w:spacing w:beforeLines="60" w:before="144" w:afterLines="60" w:after="144" w:line="276" w:lineRule="auto"/>
        <w:rPr>
          <w:rFonts w:ascii="Calibri" w:hAnsi="Calibri"/>
          <w:sz w:val="22"/>
          <w:szCs w:val="22"/>
          <w:lang w:eastAsia="en-AU"/>
        </w:rPr>
      </w:pPr>
      <w:r>
        <w:rPr>
          <w:rFonts w:ascii="Calibri" w:hAnsi="Calibri"/>
          <w:sz w:val="22"/>
          <w:szCs w:val="22"/>
          <w:lang w:eastAsia="en-AU"/>
        </w:rPr>
        <w:t xml:space="preserve">The scope of global supply chains is increasing. This is associated with increasing consumer demand for a wider array of goods and influenced by </w:t>
      </w:r>
      <w:r w:rsidR="00CC560D">
        <w:rPr>
          <w:rFonts w:ascii="Calibri" w:hAnsi="Calibri"/>
          <w:sz w:val="22"/>
          <w:szCs w:val="22"/>
          <w:lang w:eastAsia="en-AU"/>
        </w:rPr>
        <w:t xml:space="preserve">recovery from </w:t>
      </w:r>
      <w:r>
        <w:rPr>
          <w:rFonts w:ascii="Calibri" w:hAnsi="Calibri"/>
          <w:sz w:val="22"/>
          <w:szCs w:val="22"/>
          <w:lang w:eastAsia="en-AU"/>
        </w:rPr>
        <w:t xml:space="preserve">unprecedented pressures </w:t>
      </w:r>
      <w:r w:rsidR="00CC560D">
        <w:rPr>
          <w:rFonts w:ascii="Calibri" w:hAnsi="Calibri"/>
          <w:sz w:val="22"/>
          <w:szCs w:val="22"/>
          <w:lang w:eastAsia="en-AU"/>
        </w:rPr>
        <w:t>from</w:t>
      </w:r>
      <w:r>
        <w:rPr>
          <w:rFonts w:ascii="Calibri" w:hAnsi="Calibri"/>
          <w:sz w:val="22"/>
          <w:szCs w:val="22"/>
          <w:lang w:eastAsia="en-AU"/>
        </w:rPr>
        <w:t xml:space="preserve"> COVID-19 on supply chains. With broadening scope and more participants within global supply chains, PCBUs must consider WHS risks more systematically and ensure there is clarity in relation to their WHS duties and responsibility.</w:t>
      </w:r>
    </w:p>
    <w:p w14:paraId="7CF7B908" w14:textId="5502126B" w:rsidR="00F30672" w:rsidRPr="0077043D" w:rsidRDefault="00F30672" w:rsidP="00DB51FB">
      <w:pPr>
        <w:spacing w:beforeLines="60" w:before="144" w:afterLines="60" w:after="144" w:line="276" w:lineRule="auto"/>
        <w:rPr>
          <w:rFonts w:ascii="Arial Bold" w:hAnsi="Arial Bold"/>
          <w:bCs/>
          <w:color w:val="808080"/>
          <w:szCs w:val="26"/>
        </w:rPr>
      </w:pPr>
      <w:r w:rsidRPr="002805EF">
        <w:rPr>
          <w:rFonts w:ascii="Calibri" w:hAnsi="Calibri"/>
          <w:sz w:val="22"/>
          <w:szCs w:val="22"/>
          <w:lang w:eastAsia="en-AU"/>
        </w:rPr>
        <w:t xml:space="preserve">WorkSafe ACT should prioritise raising awareness of PCBUs of their duties under the WHS Act in these respects. </w:t>
      </w:r>
      <w:r w:rsidR="00F659DD">
        <w:rPr>
          <w:rFonts w:ascii="Calibri" w:hAnsi="Calibri"/>
          <w:sz w:val="22"/>
          <w:szCs w:val="22"/>
          <w:lang w:eastAsia="en-AU"/>
        </w:rPr>
        <w:br/>
      </w:r>
      <w:r w:rsidR="00F659DD">
        <w:rPr>
          <w:rFonts w:ascii="Calibri" w:hAnsi="Calibri"/>
          <w:sz w:val="22"/>
          <w:szCs w:val="22"/>
          <w:lang w:eastAsia="en-AU"/>
        </w:rPr>
        <w:br/>
      </w:r>
      <w:r w:rsidRPr="0077043D">
        <w:rPr>
          <w:rFonts w:ascii="Arial Bold" w:hAnsi="Arial Bold"/>
          <w:bCs/>
          <w:color w:val="808080"/>
          <w:szCs w:val="26"/>
        </w:rPr>
        <w:t>Impacts of climate change in the workplace</w:t>
      </w:r>
    </w:p>
    <w:p w14:paraId="4682560D" w14:textId="0D13DE31" w:rsidR="00F30672" w:rsidRDefault="00EF280A" w:rsidP="002805EF">
      <w:pPr>
        <w:spacing w:beforeLines="60" w:before="144" w:afterLines="60" w:after="144" w:line="276" w:lineRule="auto"/>
        <w:rPr>
          <w:rFonts w:ascii="Calibri" w:hAnsi="Calibri"/>
          <w:sz w:val="22"/>
          <w:szCs w:val="22"/>
          <w:lang w:eastAsia="en-AU"/>
        </w:rPr>
      </w:pPr>
      <w:r>
        <w:rPr>
          <w:rFonts w:ascii="Calibri" w:hAnsi="Calibri"/>
          <w:sz w:val="22"/>
          <w:szCs w:val="22"/>
          <w:lang w:eastAsia="en-AU"/>
        </w:rPr>
        <w:t xml:space="preserve">A warming planet and changing environment </w:t>
      </w:r>
      <w:r w:rsidR="00D61D64">
        <w:rPr>
          <w:rFonts w:ascii="Calibri" w:hAnsi="Calibri"/>
          <w:sz w:val="22"/>
          <w:szCs w:val="22"/>
          <w:lang w:eastAsia="en-AU"/>
        </w:rPr>
        <w:t>means that our physical worksites are also changing</w:t>
      </w:r>
      <w:r w:rsidR="00F30672" w:rsidRPr="002805EF">
        <w:rPr>
          <w:rFonts w:ascii="Calibri" w:hAnsi="Calibri"/>
          <w:sz w:val="22"/>
          <w:szCs w:val="22"/>
          <w:lang w:eastAsia="en-AU"/>
        </w:rPr>
        <w:t xml:space="preserve">. Extreme </w:t>
      </w:r>
      <w:r>
        <w:rPr>
          <w:rFonts w:ascii="Calibri" w:hAnsi="Calibri"/>
          <w:sz w:val="22"/>
          <w:szCs w:val="22"/>
          <w:lang w:eastAsia="en-AU"/>
        </w:rPr>
        <w:t>temperatures</w:t>
      </w:r>
      <w:r w:rsidR="00F30672" w:rsidRPr="002805EF">
        <w:rPr>
          <w:rFonts w:ascii="Calibri" w:hAnsi="Calibri"/>
          <w:sz w:val="22"/>
          <w:szCs w:val="22"/>
          <w:lang w:eastAsia="en-AU"/>
        </w:rPr>
        <w:t>, unpredictable weather and natural disasters are all having an impact on working conditions. Changing work environments in turn bring new risks to the health and safety of workers across the ACT requiring a regulatory response.</w:t>
      </w:r>
    </w:p>
    <w:p w14:paraId="36B29B66" w14:textId="73EEEF88" w:rsidR="001C3EE6" w:rsidRDefault="001C3EE6" w:rsidP="002805EF">
      <w:pPr>
        <w:spacing w:beforeLines="60" w:before="144" w:afterLines="60" w:after="144" w:line="276" w:lineRule="auto"/>
        <w:rPr>
          <w:rFonts w:ascii="Calibri" w:hAnsi="Calibri"/>
          <w:sz w:val="22"/>
          <w:szCs w:val="22"/>
          <w:lang w:eastAsia="en-AU"/>
        </w:rPr>
      </w:pPr>
      <w:r>
        <w:rPr>
          <w:rFonts w:ascii="Calibri" w:hAnsi="Calibri"/>
          <w:sz w:val="22"/>
          <w:szCs w:val="22"/>
          <w:lang w:eastAsia="en-AU"/>
        </w:rPr>
        <w:lastRenderedPageBreak/>
        <w:t>The recent updates to guidance materials by WorkSafe ACT on the impacts of climate change in the workplace is acknowledged.</w:t>
      </w:r>
    </w:p>
    <w:p w14:paraId="48EC3F4B" w14:textId="30682C5E" w:rsidR="0077082A" w:rsidRDefault="0077082A" w:rsidP="002805EF">
      <w:pPr>
        <w:spacing w:beforeLines="60" w:before="144" w:afterLines="60" w:after="144" w:line="276" w:lineRule="auto"/>
        <w:rPr>
          <w:rFonts w:ascii="Calibri" w:hAnsi="Calibri"/>
          <w:sz w:val="22"/>
          <w:szCs w:val="22"/>
          <w:lang w:eastAsia="en-AU"/>
        </w:rPr>
      </w:pPr>
      <w:r>
        <w:rPr>
          <w:rFonts w:ascii="Calibri" w:hAnsi="Calibri"/>
          <w:sz w:val="22"/>
          <w:szCs w:val="22"/>
          <w:lang w:eastAsia="en-AU"/>
        </w:rPr>
        <w:t xml:space="preserve">WorkSafe ACT should continue its work in this area, including </w:t>
      </w:r>
      <w:r w:rsidR="00354A75">
        <w:rPr>
          <w:rFonts w:ascii="Calibri" w:hAnsi="Calibri"/>
          <w:sz w:val="22"/>
          <w:szCs w:val="22"/>
          <w:lang w:eastAsia="en-AU"/>
        </w:rPr>
        <w:t>promoting awareness of climate change impacts on the workplace and maintaining guidance materials to improve industry capability to manage these issues in the workplace.</w:t>
      </w:r>
      <w:r w:rsidR="00F659DD">
        <w:rPr>
          <w:rFonts w:ascii="Calibri" w:hAnsi="Calibri"/>
          <w:sz w:val="22"/>
          <w:szCs w:val="22"/>
          <w:lang w:eastAsia="en-AU"/>
        </w:rPr>
        <w:br/>
      </w:r>
    </w:p>
    <w:p w14:paraId="01196B7F" w14:textId="385725EF" w:rsidR="00320399" w:rsidRPr="0077043D" w:rsidRDefault="00320399" w:rsidP="00320399">
      <w:pPr>
        <w:keepNext/>
        <w:keepLines/>
        <w:spacing w:before="144" w:after="144" w:line="276" w:lineRule="auto"/>
        <w:outlineLvl w:val="2"/>
        <w:rPr>
          <w:rFonts w:ascii="Arial Bold" w:hAnsi="Arial Bold"/>
          <w:bCs/>
          <w:color w:val="808080"/>
          <w:szCs w:val="26"/>
        </w:rPr>
      </w:pPr>
      <w:r>
        <w:rPr>
          <w:rFonts w:ascii="Arial Bold" w:hAnsi="Arial Bold"/>
          <w:bCs/>
          <w:color w:val="808080"/>
          <w:szCs w:val="26"/>
        </w:rPr>
        <w:t xml:space="preserve">Health and safety </w:t>
      </w:r>
      <w:r w:rsidR="00C165D7">
        <w:rPr>
          <w:rFonts w:ascii="Arial Bold" w:hAnsi="Arial Bold"/>
          <w:bCs/>
          <w:color w:val="808080"/>
          <w:szCs w:val="26"/>
        </w:rPr>
        <w:t xml:space="preserve">of workers in </w:t>
      </w:r>
      <w:r>
        <w:rPr>
          <w:rFonts w:ascii="Arial Bold" w:hAnsi="Arial Bold"/>
          <w:bCs/>
          <w:color w:val="808080"/>
          <w:szCs w:val="26"/>
        </w:rPr>
        <w:t>vulnerable populations</w:t>
      </w:r>
    </w:p>
    <w:p w14:paraId="3C8B96EA" w14:textId="7454EBB0" w:rsidR="00A41850" w:rsidRDefault="00320399" w:rsidP="00320399">
      <w:pPr>
        <w:spacing w:beforeLines="60" w:before="144" w:afterLines="60" w:after="144" w:line="276" w:lineRule="auto"/>
        <w:rPr>
          <w:rFonts w:ascii="Calibri" w:hAnsi="Calibri"/>
          <w:sz w:val="22"/>
          <w:szCs w:val="22"/>
          <w:lang w:eastAsia="en-AU"/>
        </w:rPr>
      </w:pPr>
      <w:r>
        <w:rPr>
          <w:rFonts w:ascii="Calibri" w:hAnsi="Calibri"/>
          <w:sz w:val="22"/>
          <w:szCs w:val="22"/>
          <w:lang w:eastAsia="en-AU"/>
        </w:rPr>
        <w:t>PCBUs must consider the needs of all workers in designing safe work systems. Some factors known to</w:t>
      </w:r>
      <w:r w:rsidR="00F42250">
        <w:rPr>
          <w:rFonts w:ascii="Calibri" w:hAnsi="Calibri"/>
          <w:sz w:val="22"/>
          <w:szCs w:val="22"/>
          <w:lang w:eastAsia="en-AU"/>
        </w:rPr>
        <w:t xml:space="preserve"> impact</w:t>
      </w:r>
      <w:r>
        <w:rPr>
          <w:rFonts w:ascii="Calibri" w:hAnsi="Calibri"/>
          <w:sz w:val="22"/>
          <w:szCs w:val="22"/>
          <w:lang w:eastAsia="en-AU"/>
        </w:rPr>
        <w:t xml:space="preserve"> workers’ WHS vulnerability include being younger, being from a culturally and linguistically diverse (CALD) background </w:t>
      </w:r>
      <w:r w:rsidR="00BF5766">
        <w:rPr>
          <w:rFonts w:ascii="Calibri" w:hAnsi="Calibri"/>
          <w:sz w:val="22"/>
          <w:szCs w:val="22"/>
          <w:lang w:eastAsia="en-AU"/>
        </w:rPr>
        <w:t xml:space="preserve">and working alone or in isolation. One size fits all communication approaches </w:t>
      </w:r>
      <w:r w:rsidR="00342E45">
        <w:rPr>
          <w:rFonts w:ascii="Calibri" w:hAnsi="Calibri"/>
          <w:sz w:val="22"/>
          <w:szCs w:val="22"/>
          <w:lang w:eastAsia="en-AU"/>
        </w:rPr>
        <w:t>and generic WHS practices can expose workers</w:t>
      </w:r>
      <w:r w:rsidR="00A41850">
        <w:rPr>
          <w:rFonts w:ascii="Calibri" w:hAnsi="Calibri"/>
          <w:sz w:val="22"/>
          <w:szCs w:val="22"/>
          <w:lang w:eastAsia="en-AU"/>
        </w:rPr>
        <w:t xml:space="preserve"> to</w:t>
      </w:r>
      <w:r w:rsidR="00342E45">
        <w:rPr>
          <w:rFonts w:ascii="Calibri" w:hAnsi="Calibri"/>
          <w:sz w:val="22"/>
          <w:szCs w:val="22"/>
          <w:lang w:eastAsia="en-AU"/>
        </w:rPr>
        <w:t xml:space="preserve"> </w:t>
      </w:r>
      <w:r w:rsidR="00A41850">
        <w:rPr>
          <w:rFonts w:ascii="Calibri" w:hAnsi="Calibri"/>
          <w:sz w:val="22"/>
          <w:szCs w:val="22"/>
          <w:lang w:eastAsia="en-AU"/>
        </w:rPr>
        <w:t>limited</w:t>
      </w:r>
      <w:r w:rsidR="00342E45">
        <w:rPr>
          <w:rFonts w:ascii="Calibri" w:hAnsi="Calibri"/>
          <w:sz w:val="22"/>
          <w:szCs w:val="22"/>
          <w:lang w:eastAsia="en-AU"/>
        </w:rPr>
        <w:t xml:space="preserve"> WHS capability development and greater </w:t>
      </w:r>
      <w:r w:rsidR="00A41850">
        <w:rPr>
          <w:rFonts w:ascii="Calibri" w:hAnsi="Calibri"/>
          <w:sz w:val="22"/>
          <w:szCs w:val="22"/>
          <w:lang w:eastAsia="en-AU"/>
        </w:rPr>
        <w:t>workplace</w:t>
      </w:r>
      <w:r w:rsidR="00342E45">
        <w:rPr>
          <w:rFonts w:ascii="Calibri" w:hAnsi="Calibri"/>
          <w:sz w:val="22"/>
          <w:szCs w:val="22"/>
          <w:lang w:eastAsia="en-AU"/>
        </w:rPr>
        <w:t xml:space="preserve"> risks.</w:t>
      </w:r>
    </w:p>
    <w:p w14:paraId="4BEC1EFC" w14:textId="67FD676B" w:rsidR="00A7197B" w:rsidRDefault="00342E45" w:rsidP="00A7197B">
      <w:pPr>
        <w:spacing w:beforeLines="60" w:before="144" w:afterLines="60" w:after="144" w:line="276" w:lineRule="auto"/>
        <w:rPr>
          <w:rFonts w:ascii="Calibri" w:hAnsi="Calibri"/>
          <w:sz w:val="22"/>
          <w:szCs w:val="22"/>
          <w:lang w:eastAsia="en-AU"/>
        </w:rPr>
      </w:pPr>
      <w:r>
        <w:rPr>
          <w:rFonts w:ascii="Calibri" w:hAnsi="Calibri"/>
          <w:sz w:val="22"/>
          <w:szCs w:val="22"/>
          <w:lang w:eastAsia="en-AU"/>
        </w:rPr>
        <w:t>WorkSafe ACT should</w:t>
      </w:r>
      <w:r w:rsidR="00A41850">
        <w:rPr>
          <w:rFonts w:ascii="Calibri" w:hAnsi="Calibri"/>
          <w:sz w:val="22"/>
          <w:szCs w:val="22"/>
          <w:lang w:eastAsia="en-AU"/>
        </w:rPr>
        <w:t xml:space="preserve"> continue to</w:t>
      </w:r>
      <w:r>
        <w:rPr>
          <w:rFonts w:ascii="Calibri" w:hAnsi="Calibri"/>
          <w:sz w:val="22"/>
          <w:szCs w:val="22"/>
          <w:lang w:eastAsia="en-AU"/>
        </w:rPr>
        <w:t xml:space="preserve"> </w:t>
      </w:r>
      <w:r w:rsidR="00A41850">
        <w:rPr>
          <w:rFonts w:ascii="Calibri" w:hAnsi="Calibri"/>
          <w:sz w:val="22"/>
          <w:szCs w:val="22"/>
          <w:lang w:eastAsia="en-AU"/>
        </w:rPr>
        <w:t>support stakeholders and PCBUs to engage</w:t>
      </w:r>
      <w:r w:rsidR="00A7197B">
        <w:rPr>
          <w:rFonts w:ascii="Calibri" w:hAnsi="Calibri"/>
          <w:sz w:val="22"/>
          <w:szCs w:val="22"/>
          <w:lang w:eastAsia="en-AU"/>
        </w:rPr>
        <w:t xml:space="preserve"> in</w:t>
      </w:r>
      <w:r w:rsidR="00A41850">
        <w:rPr>
          <w:rFonts w:ascii="Calibri" w:hAnsi="Calibri"/>
          <w:sz w:val="22"/>
          <w:szCs w:val="22"/>
          <w:lang w:eastAsia="en-AU"/>
        </w:rPr>
        <w:t xml:space="preserve"> WHS communication and practices</w:t>
      </w:r>
      <w:r w:rsidR="00214336">
        <w:rPr>
          <w:rFonts w:ascii="Calibri" w:hAnsi="Calibri"/>
          <w:sz w:val="22"/>
          <w:szCs w:val="22"/>
          <w:lang w:eastAsia="en-AU"/>
        </w:rPr>
        <w:t xml:space="preserve"> that</w:t>
      </w:r>
      <w:r w:rsidR="00A7197B">
        <w:rPr>
          <w:rFonts w:ascii="Calibri" w:hAnsi="Calibri"/>
          <w:sz w:val="22"/>
          <w:szCs w:val="22"/>
          <w:lang w:eastAsia="en-AU"/>
        </w:rPr>
        <w:t xml:space="preserve"> </w:t>
      </w:r>
      <w:r w:rsidR="00C640A1">
        <w:rPr>
          <w:rFonts w:ascii="Calibri" w:hAnsi="Calibri"/>
          <w:sz w:val="22"/>
          <w:szCs w:val="22"/>
          <w:lang w:eastAsia="en-AU"/>
        </w:rPr>
        <w:t>promote</w:t>
      </w:r>
      <w:r w:rsidR="00A7197B">
        <w:rPr>
          <w:rFonts w:ascii="Calibri" w:hAnsi="Calibri"/>
          <w:sz w:val="22"/>
          <w:szCs w:val="22"/>
          <w:lang w:eastAsia="en-AU"/>
        </w:rPr>
        <w:t xml:space="preserve"> WHS knowledge and understanding </w:t>
      </w:r>
      <w:r w:rsidR="00F42250">
        <w:rPr>
          <w:rFonts w:ascii="Calibri" w:hAnsi="Calibri"/>
          <w:sz w:val="22"/>
          <w:szCs w:val="22"/>
          <w:lang w:eastAsia="en-AU"/>
        </w:rPr>
        <w:t>in and of</w:t>
      </w:r>
      <w:r w:rsidR="00A7197B">
        <w:rPr>
          <w:rFonts w:ascii="Calibri" w:hAnsi="Calibri"/>
          <w:sz w:val="22"/>
          <w:szCs w:val="22"/>
          <w:lang w:eastAsia="en-AU"/>
        </w:rPr>
        <w:t xml:space="preserve"> all worker populations.</w:t>
      </w:r>
      <w:r w:rsidR="00F659DD">
        <w:rPr>
          <w:rFonts w:ascii="Calibri" w:hAnsi="Calibri"/>
          <w:sz w:val="22"/>
          <w:szCs w:val="22"/>
          <w:lang w:eastAsia="en-AU"/>
        </w:rPr>
        <w:br/>
      </w:r>
    </w:p>
    <w:p w14:paraId="7DC803D2" w14:textId="677B97EF" w:rsidR="00A7197B" w:rsidRPr="00A7197B" w:rsidRDefault="00A7197B" w:rsidP="00A7197B">
      <w:pPr>
        <w:spacing w:beforeLines="60" w:before="144" w:afterLines="60" w:after="144" w:line="276" w:lineRule="auto"/>
        <w:rPr>
          <w:rFonts w:ascii="Calibri" w:hAnsi="Calibri"/>
          <w:sz w:val="22"/>
          <w:szCs w:val="22"/>
          <w:lang w:eastAsia="en-AU"/>
        </w:rPr>
      </w:pPr>
      <w:r>
        <w:rPr>
          <w:rFonts w:ascii="Arial Bold" w:hAnsi="Arial Bold"/>
          <w:bCs/>
          <w:color w:val="808080"/>
          <w:szCs w:val="26"/>
        </w:rPr>
        <w:t>H</w:t>
      </w:r>
      <w:r w:rsidR="00C640A1">
        <w:rPr>
          <w:rFonts w:ascii="Arial Bold" w:hAnsi="Arial Bold"/>
          <w:bCs/>
          <w:color w:val="808080"/>
          <w:szCs w:val="26"/>
        </w:rPr>
        <w:t>ybrid work arrangements</w:t>
      </w:r>
    </w:p>
    <w:p w14:paraId="07F871BB" w14:textId="75C1D481" w:rsidR="00A7197B" w:rsidRDefault="00C640A1" w:rsidP="00A7197B">
      <w:pPr>
        <w:spacing w:beforeLines="60" w:before="144" w:afterLines="60" w:after="144" w:line="276" w:lineRule="auto"/>
        <w:rPr>
          <w:rFonts w:ascii="Calibri" w:hAnsi="Calibri"/>
          <w:sz w:val="22"/>
          <w:szCs w:val="22"/>
          <w:lang w:eastAsia="en-AU"/>
        </w:rPr>
      </w:pPr>
      <w:r>
        <w:rPr>
          <w:rFonts w:ascii="Calibri" w:hAnsi="Calibri"/>
          <w:sz w:val="22"/>
          <w:szCs w:val="22"/>
          <w:lang w:eastAsia="en-AU"/>
        </w:rPr>
        <w:t xml:space="preserve">The COVID-19 pandemic sparked a shift to working from home and more flexible working arrangements across a </w:t>
      </w:r>
      <w:r w:rsidR="00F42250">
        <w:rPr>
          <w:rFonts w:ascii="Calibri" w:hAnsi="Calibri"/>
          <w:sz w:val="22"/>
          <w:szCs w:val="22"/>
          <w:lang w:eastAsia="en-AU"/>
        </w:rPr>
        <w:t xml:space="preserve">range </w:t>
      </w:r>
      <w:r>
        <w:rPr>
          <w:rFonts w:ascii="Calibri" w:hAnsi="Calibri"/>
          <w:sz w:val="22"/>
          <w:szCs w:val="22"/>
          <w:lang w:eastAsia="en-AU"/>
        </w:rPr>
        <w:t>of occupations. Hybrid work models may change or create new WHS risks, including psychosocial risks, that PCBUs need to manage.</w:t>
      </w:r>
    </w:p>
    <w:p w14:paraId="75ECF174" w14:textId="73DDE74F" w:rsidR="00C640A1" w:rsidRDefault="00C640A1" w:rsidP="00A7197B">
      <w:pPr>
        <w:spacing w:beforeLines="60" w:before="144" w:afterLines="60" w:after="144" w:line="276" w:lineRule="auto"/>
        <w:rPr>
          <w:rFonts w:ascii="Calibri" w:hAnsi="Calibri"/>
          <w:sz w:val="22"/>
          <w:szCs w:val="22"/>
          <w:lang w:eastAsia="en-AU"/>
        </w:rPr>
      </w:pPr>
      <w:r>
        <w:rPr>
          <w:rFonts w:ascii="Calibri" w:hAnsi="Calibri"/>
          <w:sz w:val="22"/>
          <w:szCs w:val="22"/>
          <w:lang w:eastAsia="en-AU"/>
        </w:rPr>
        <w:t xml:space="preserve">WorkSafe </w:t>
      </w:r>
      <w:r w:rsidR="00DE0584">
        <w:rPr>
          <w:rFonts w:ascii="Calibri" w:hAnsi="Calibri"/>
          <w:sz w:val="22"/>
          <w:szCs w:val="22"/>
          <w:lang w:eastAsia="en-AU"/>
        </w:rPr>
        <w:t xml:space="preserve">ACT </w:t>
      </w:r>
      <w:r>
        <w:rPr>
          <w:rFonts w:ascii="Calibri" w:hAnsi="Calibri"/>
          <w:sz w:val="22"/>
          <w:szCs w:val="22"/>
          <w:lang w:eastAsia="en-AU"/>
        </w:rPr>
        <w:t>should continue it</w:t>
      </w:r>
      <w:r w:rsidR="00C62236">
        <w:rPr>
          <w:rFonts w:ascii="Calibri" w:hAnsi="Calibri"/>
          <w:sz w:val="22"/>
          <w:szCs w:val="22"/>
          <w:lang w:eastAsia="en-AU"/>
        </w:rPr>
        <w:t>s</w:t>
      </w:r>
      <w:r>
        <w:rPr>
          <w:rFonts w:ascii="Calibri" w:hAnsi="Calibri"/>
          <w:sz w:val="22"/>
          <w:szCs w:val="22"/>
          <w:lang w:eastAsia="en-AU"/>
        </w:rPr>
        <w:t xml:space="preserve"> work in this area, including promoting awareness of</w:t>
      </w:r>
      <w:r w:rsidR="00F42250">
        <w:rPr>
          <w:rFonts w:ascii="Calibri" w:hAnsi="Calibri"/>
          <w:sz w:val="22"/>
          <w:szCs w:val="22"/>
          <w:lang w:eastAsia="en-AU"/>
        </w:rPr>
        <w:t xml:space="preserve"> safe</w:t>
      </w:r>
      <w:r>
        <w:rPr>
          <w:rFonts w:ascii="Calibri" w:hAnsi="Calibri"/>
          <w:sz w:val="22"/>
          <w:szCs w:val="22"/>
          <w:lang w:eastAsia="en-AU"/>
        </w:rPr>
        <w:t xml:space="preserve"> hybrid work </w:t>
      </w:r>
      <w:r w:rsidR="00C12AC5">
        <w:rPr>
          <w:rFonts w:ascii="Calibri" w:hAnsi="Calibri"/>
          <w:sz w:val="22"/>
          <w:szCs w:val="22"/>
          <w:lang w:eastAsia="en-AU"/>
        </w:rPr>
        <w:t>practices and potential risks and impacts on workers.</w:t>
      </w:r>
      <w:r w:rsidR="00F659DD">
        <w:rPr>
          <w:rFonts w:ascii="Calibri" w:hAnsi="Calibri"/>
          <w:sz w:val="22"/>
          <w:szCs w:val="22"/>
          <w:lang w:eastAsia="en-AU"/>
        </w:rPr>
        <w:br/>
      </w:r>
    </w:p>
    <w:p w14:paraId="713F32D5" w14:textId="51AFE2EB" w:rsidR="00C165D7" w:rsidRPr="00A7197B" w:rsidRDefault="00C165D7" w:rsidP="00C165D7">
      <w:pPr>
        <w:spacing w:beforeLines="60" w:before="144" w:afterLines="60" w:after="144" w:line="276" w:lineRule="auto"/>
        <w:rPr>
          <w:rFonts w:ascii="Calibri" w:hAnsi="Calibri"/>
          <w:sz w:val="22"/>
          <w:szCs w:val="22"/>
          <w:lang w:eastAsia="en-AU"/>
        </w:rPr>
      </w:pPr>
      <w:r>
        <w:rPr>
          <w:rFonts w:ascii="Arial Bold" w:hAnsi="Arial Bold"/>
          <w:bCs/>
          <w:color w:val="808080"/>
          <w:szCs w:val="26"/>
        </w:rPr>
        <w:t xml:space="preserve">Health and safety impacted by workforce </w:t>
      </w:r>
      <w:r w:rsidR="00DE0584">
        <w:rPr>
          <w:rFonts w:ascii="Arial Bold" w:hAnsi="Arial Bold"/>
          <w:bCs/>
          <w:color w:val="808080"/>
          <w:szCs w:val="26"/>
        </w:rPr>
        <w:t xml:space="preserve">demographic and </w:t>
      </w:r>
      <w:r>
        <w:rPr>
          <w:rFonts w:ascii="Arial Bold" w:hAnsi="Arial Bold"/>
          <w:bCs/>
          <w:color w:val="808080"/>
          <w:szCs w:val="26"/>
        </w:rPr>
        <w:t>size</w:t>
      </w:r>
      <w:r w:rsidR="00B976A6">
        <w:rPr>
          <w:rFonts w:ascii="Arial Bold" w:hAnsi="Arial Bold"/>
          <w:bCs/>
          <w:color w:val="808080"/>
          <w:szCs w:val="26"/>
        </w:rPr>
        <w:t xml:space="preserve"> changes</w:t>
      </w:r>
    </w:p>
    <w:p w14:paraId="1EE88FA5" w14:textId="687060A2" w:rsidR="00C165D7" w:rsidRDefault="00C165D7" w:rsidP="00C165D7">
      <w:pPr>
        <w:spacing w:beforeLines="60" w:before="144" w:afterLines="60" w:after="144" w:line="276" w:lineRule="auto"/>
        <w:rPr>
          <w:rFonts w:ascii="Calibri" w:hAnsi="Calibri"/>
          <w:sz w:val="22"/>
          <w:szCs w:val="22"/>
          <w:lang w:eastAsia="en-AU"/>
        </w:rPr>
      </w:pPr>
      <w:r>
        <w:rPr>
          <w:rFonts w:ascii="Calibri" w:hAnsi="Calibri"/>
          <w:sz w:val="22"/>
          <w:szCs w:val="22"/>
          <w:lang w:eastAsia="en-AU"/>
        </w:rPr>
        <w:t xml:space="preserve">It is recognised that </w:t>
      </w:r>
      <w:r w:rsidR="0040420B">
        <w:rPr>
          <w:rFonts w:ascii="Calibri" w:hAnsi="Calibri"/>
          <w:sz w:val="22"/>
          <w:szCs w:val="22"/>
          <w:lang w:eastAsia="en-AU"/>
        </w:rPr>
        <w:t xml:space="preserve">workplaces may be </w:t>
      </w:r>
      <w:r>
        <w:rPr>
          <w:rFonts w:ascii="Calibri" w:hAnsi="Calibri"/>
          <w:sz w:val="22"/>
          <w:szCs w:val="22"/>
          <w:lang w:eastAsia="en-AU"/>
        </w:rPr>
        <w:t xml:space="preserve">affected by </w:t>
      </w:r>
      <w:r w:rsidR="0040420B">
        <w:rPr>
          <w:rFonts w:ascii="Calibri" w:hAnsi="Calibri"/>
          <w:sz w:val="22"/>
          <w:szCs w:val="22"/>
          <w:lang w:eastAsia="en-AU"/>
        </w:rPr>
        <w:t xml:space="preserve">changes in </w:t>
      </w:r>
      <w:r>
        <w:rPr>
          <w:rFonts w:ascii="Calibri" w:hAnsi="Calibri"/>
          <w:sz w:val="22"/>
          <w:szCs w:val="22"/>
          <w:lang w:eastAsia="en-AU"/>
        </w:rPr>
        <w:t xml:space="preserve">workforce </w:t>
      </w:r>
      <w:r w:rsidR="0040420B">
        <w:rPr>
          <w:rFonts w:ascii="Calibri" w:hAnsi="Calibri"/>
          <w:sz w:val="22"/>
          <w:szCs w:val="22"/>
          <w:lang w:eastAsia="en-AU"/>
        </w:rPr>
        <w:t xml:space="preserve">demographics, </w:t>
      </w:r>
      <w:r>
        <w:rPr>
          <w:rFonts w:ascii="Calibri" w:hAnsi="Calibri"/>
          <w:sz w:val="22"/>
          <w:szCs w:val="22"/>
          <w:lang w:eastAsia="en-AU"/>
        </w:rPr>
        <w:t xml:space="preserve">size and </w:t>
      </w:r>
      <w:r w:rsidR="0040420B">
        <w:rPr>
          <w:rFonts w:ascii="Calibri" w:hAnsi="Calibri"/>
          <w:sz w:val="22"/>
          <w:szCs w:val="22"/>
          <w:lang w:eastAsia="en-AU"/>
        </w:rPr>
        <w:t xml:space="preserve">staffing </w:t>
      </w:r>
      <w:r>
        <w:rPr>
          <w:rFonts w:ascii="Calibri" w:hAnsi="Calibri"/>
          <w:sz w:val="22"/>
          <w:szCs w:val="22"/>
          <w:lang w:eastAsia="en-AU"/>
        </w:rPr>
        <w:t>shortages</w:t>
      </w:r>
      <w:r w:rsidR="0040420B">
        <w:rPr>
          <w:rFonts w:ascii="Calibri" w:hAnsi="Calibri"/>
          <w:sz w:val="22"/>
          <w:szCs w:val="22"/>
          <w:lang w:eastAsia="en-AU"/>
        </w:rPr>
        <w:t xml:space="preserve"> that </w:t>
      </w:r>
      <w:r>
        <w:rPr>
          <w:rFonts w:ascii="Calibri" w:hAnsi="Calibri"/>
          <w:sz w:val="22"/>
          <w:szCs w:val="22"/>
          <w:lang w:eastAsia="en-AU"/>
        </w:rPr>
        <w:t xml:space="preserve">can adversely impact </w:t>
      </w:r>
      <w:r w:rsidR="00F42250">
        <w:rPr>
          <w:rFonts w:ascii="Calibri" w:hAnsi="Calibri"/>
          <w:sz w:val="22"/>
          <w:szCs w:val="22"/>
          <w:lang w:eastAsia="en-AU"/>
        </w:rPr>
        <w:t xml:space="preserve">worker </w:t>
      </w:r>
      <w:r>
        <w:rPr>
          <w:rFonts w:ascii="Calibri" w:hAnsi="Calibri"/>
          <w:sz w:val="22"/>
          <w:szCs w:val="22"/>
          <w:lang w:eastAsia="en-AU"/>
        </w:rPr>
        <w:t xml:space="preserve">health and safety. In particular, psychosocial hazards </w:t>
      </w:r>
      <w:r w:rsidR="0040420B">
        <w:rPr>
          <w:rFonts w:ascii="Calibri" w:hAnsi="Calibri"/>
          <w:sz w:val="22"/>
          <w:szCs w:val="22"/>
          <w:lang w:eastAsia="en-AU"/>
        </w:rPr>
        <w:t>such as</w:t>
      </w:r>
      <w:r>
        <w:rPr>
          <w:rFonts w:ascii="Calibri" w:hAnsi="Calibri"/>
          <w:sz w:val="22"/>
          <w:szCs w:val="22"/>
          <w:lang w:eastAsia="en-AU"/>
        </w:rPr>
        <w:t xml:space="preserve"> low staffing levels contribut</w:t>
      </w:r>
      <w:r w:rsidR="001364B8">
        <w:rPr>
          <w:rFonts w:ascii="Calibri" w:hAnsi="Calibri"/>
          <w:sz w:val="22"/>
          <w:szCs w:val="22"/>
          <w:lang w:eastAsia="en-AU"/>
        </w:rPr>
        <w:t>e</w:t>
      </w:r>
      <w:r>
        <w:rPr>
          <w:rFonts w:ascii="Calibri" w:hAnsi="Calibri"/>
          <w:sz w:val="22"/>
          <w:szCs w:val="22"/>
          <w:lang w:eastAsia="en-AU"/>
        </w:rPr>
        <w:t xml:space="preserve"> to hazards such as poor workplace support</w:t>
      </w:r>
      <w:r w:rsidR="00DB51FB">
        <w:rPr>
          <w:rFonts w:ascii="Calibri" w:hAnsi="Calibri"/>
          <w:sz w:val="22"/>
          <w:szCs w:val="22"/>
          <w:lang w:eastAsia="en-AU"/>
        </w:rPr>
        <w:t xml:space="preserve"> and </w:t>
      </w:r>
      <w:r>
        <w:rPr>
          <w:rFonts w:ascii="Calibri" w:hAnsi="Calibri"/>
          <w:sz w:val="22"/>
          <w:szCs w:val="22"/>
          <w:lang w:eastAsia="en-AU"/>
        </w:rPr>
        <w:t>violence and aggression in the workplace</w:t>
      </w:r>
      <w:r w:rsidR="00DB51FB">
        <w:rPr>
          <w:rFonts w:ascii="Calibri" w:hAnsi="Calibri"/>
          <w:sz w:val="22"/>
          <w:szCs w:val="22"/>
          <w:lang w:eastAsia="en-AU"/>
        </w:rPr>
        <w:t xml:space="preserve">. </w:t>
      </w:r>
      <w:r w:rsidR="00DE0584">
        <w:rPr>
          <w:rFonts w:ascii="Calibri" w:hAnsi="Calibri"/>
          <w:sz w:val="22"/>
          <w:szCs w:val="22"/>
          <w:lang w:eastAsia="en-AU"/>
        </w:rPr>
        <w:t xml:space="preserve">Workforce size/shortages </w:t>
      </w:r>
      <w:r w:rsidR="0040420B">
        <w:rPr>
          <w:rFonts w:ascii="Calibri" w:hAnsi="Calibri"/>
          <w:sz w:val="22"/>
          <w:szCs w:val="22"/>
          <w:lang w:eastAsia="en-AU"/>
        </w:rPr>
        <w:t xml:space="preserve">have an acute impact of safety particularly </w:t>
      </w:r>
      <w:r w:rsidR="00DB51FB">
        <w:rPr>
          <w:rFonts w:ascii="Calibri" w:hAnsi="Calibri"/>
          <w:sz w:val="22"/>
          <w:szCs w:val="22"/>
          <w:lang w:eastAsia="en-AU"/>
        </w:rPr>
        <w:t xml:space="preserve">in service areas that must continue operating, </w:t>
      </w:r>
      <w:r w:rsidR="0040420B">
        <w:rPr>
          <w:rFonts w:ascii="Calibri" w:hAnsi="Calibri"/>
          <w:sz w:val="22"/>
          <w:szCs w:val="22"/>
          <w:lang w:eastAsia="en-AU"/>
        </w:rPr>
        <w:t>which</w:t>
      </w:r>
      <w:r w:rsidR="00DB51FB">
        <w:rPr>
          <w:rFonts w:ascii="Calibri" w:hAnsi="Calibri"/>
          <w:sz w:val="22"/>
          <w:szCs w:val="22"/>
          <w:lang w:eastAsia="en-AU"/>
        </w:rPr>
        <w:t xml:space="preserve"> in turn </w:t>
      </w:r>
      <w:r>
        <w:rPr>
          <w:rFonts w:ascii="Calibri" w:hAnsi="Calibri"/>
          <w:sz w:val="22"/>
          <w:szCs w:val="22"/>
          <w:lang w:eastAsia="en-AU"/>
        </w:rPr>
        <w:t>place</w:t>
      </w:r>
      <w:r w:rsidR="00DB51FB">
        <w:rPr>
          <w:rFonts w:ascii="Calibri" w:hAnsi="Calibri"/>
          <w:sz w:val="22"/>
          <w:szCs w:val="22"/>
          <w:lang w:eastAsia="en-AU"/>
        </w:rPr>
        <w:t>s</w:t>
      </w:r>
      <w:r>
        <w:rPr>
          <w:rFonts w:ascii="Calibri" w:hAnsi="Calibri"/>
          <w:sz w:val="22"/>
          <w:szCs w:val="22"/>
          <w:lang w:eastAsia="en-AU"/>
        </w:rPr>
        <w:t xml:space="preserve"> a greater importance on upstream design of work and systems of work</w:t>
      </w:r>
      <w:r w:rsidR="00DB51FB">
        <w:rPr>
          <w:rFonts w:ascii="Calibri" w:hAnsi="Calibri"/>
          <w:sz w:val="22"/>
          <w:szCs w:val="22"/>
          <w:lang w:eastAsia="en-AU"/>
        </w:rPr>
        <w:t xml:space="preserve"> to manage these risks</w:t>
      </w:r>
      <w:r w:rsidR="0040420B">
        <w:rPr>
          <w:rFonts w:ascii="Calibri" w:hAnsi="Calibri"/>
          <w:sz w:val="22"/>
          <w:szCs w:val="22"/>
          <w:lang w:eastAsia="en-AU"/>
        </w:rPr>
        <w:t xml:space="preserve"> to effectively manage hazards in the workplace, not limited to psychosocial hazards</w:t>
      </w:r>
      <w:r>
        <w:rPr>
          <w:rFonts w:ascii="Calibri" w:hAnsi="Calibri"/>
          <w:sz w:val="22"/>
          <w:szCs w:val="22"/>
          <w:lang w:eastAsia="en-AU"/>
        </w:rPr>
        <w:t>.</w:t>
      </w:r>
    </w:p>
    <w:p w14:paraId="257AC0B2" w14:textId="3A3826E8" w:rsidR="00C165D7" w:rsidRDefault="00C165D7" w:rsidP="006441F5">
      <w:pPr>
        <w:spacing w:beforeLines="60" w:before="144" w:line="276" w:lineRule="auto"/>
        <w:rPr>
          <w:rFonts w:ascii="Calibri" w:hAnsi="Calibri"/>
          <w:sz w:val="22"/>
          <w:szCs w:val="22"/>
          <w:lang w:eastAsia="en-AU"/>
        </w:rPr>
      </w:pPr>
      <w:r>
        <w:rPr>
          <w:rFonts w:ascii="Calibri" w:hAnsi="Calibri"/>
          <w:sz w:val="22"/>
          <w:szCs w:val="22"/>
          <w:lang w:eastAsia="en-AU"/>
        </w:rPr>
        <w:t xml:space="preserve">WorkSafe </w:t>
      </w:r>
      <w:r w:rsidR="00DE0584">
        <w:rPr>
          <w:rFonts w:ascii="Calibri" w:hAnsi="Calibri"/>
          <w:sz w:val="22"/>
          <w:szCs w:val="22"/>
          <w:lang w:eastAsia="en-AU"/>
        </w:rPr>
        <w:t xml:space="preserve">ACT </w:t>
      </w:r>
      <w:r>
        <w:rPr>
          <w:rFonts w:ascii="Calibri" w:hAnsi="Calibri"/>
          <w:sz w:val="22"/>
          <w:szCs w:val="22"/>
          <w:lang w:eastAsia="en-AU"/>
        </w:rPr>
        <w:t xml:space="preserve">should </w:t>
      </w:r>
      <w:r w:rsidR="0040420B">
        <w:rPr>
          <w:rFonts w:ascii="Calibri" w:hAnsi="Calibri"/>
          <w:sz w:val="22"/>
          <w:szCs w:val="22"/>
          <w:lang w:eastAsia="en-AU"/>
        </w:rPr>
        <w:t>continue to support stakeholders and PCBUs to engage in WHS practices that address health and safety where there are ongoing workforce shortages, particularly in service sectors.</w:t>
      </w:r>
    </w:p>
    <w:p w14:paraId="2D18C634" w14:textId="77777777" w:rsidR="006441F5" w:rsidRDefault="006441F5" w:rsidP="006441F5">
      <w:pPr>
        <w:spacing w:afterLines="60" w:after="144" w:line="276" w:lineRule="auto"/>
        <w:rPr>
          <w:rFonts w:ascii="Calibri" w:hAnsi="Calibri"/>
          <w:sz w:val="22"/>
          <w:szCs w:val="22"/>
          <w:lang w:eastAsia="en-AU"/>
        </w:rPr>
      </w:pPr>
    </w:p>
    <w:p w14:paraId="36EEF705" w14:textId="471FA314" w:rsidR="00647209" w:rsidRPr="00A7197B" w:rsidRDefault="00647209" w:rsidP="00647209">
      <w:pPr>
        <w:spacing w:beforeLines="60" w:before="144" w:afterLines="60" w:after="144" w:line="276" w:lineRule="auto"/>
        <w:rPr>
          <w:rFonts w:ascii="Calibri" w:hAnsi="Calibri"/>
          <w:sz w:val="22"/>
          <w:szCs w:val="22"/>
          <w:lang w:eastAsia="en-AU"/>
        </w:rPr>
      </w:pPr>
      <w:r>
        <w:rPr>
          <w:rFonts w:ascii="Arial Bold" w:hAnsi="Arial Bold"/>
          <w:bCs/>
          <w:color w:val="808080"/>
          <w:szCs w:val="26"/>
        </w:rPr>
        <w:t xml:space="preserve">Small business </w:t>
      </w:r>
      <w:r w:rsidR="00017308">
        <w:rPr>
          <w:rFonts w:ascii="Arial Bold" w:hAnsi="Arial Bold"/>
          <w:bCs/>
          <w:color w:val="808080"/>
          <w:szCs w:val="26"/>
        </w:rPr>
        <w:t xml:space="preserve">– improving work health and safety </w:t>
      </w:r>
    </w:p>
    <w:p w14:paraId="0887546F" w14:textId="41F4BE37" w:rsidR="00647209" w:rsidRDefault="00BE14A7" w:rsidP="00647209">
      <w:pPr>
        <w:spacing w:beforeLines="60" w:before="144" w:afterLines="60" w:after="144" w:line="276" w:lineRule="auto"/>
        <w:rPr>
          <w:rFonts w:ascii="Calibri" w:hAnsi="Calibri"/>
          <w:sz w:val="22"/>
          <w:szCs w:val="22"/>
          <w:lang w:eastAsia="en-AU"/>
        </w:rPr>
      </w:pPr>
      <w:r>
        <w:rPr>
          <w:rFonts w:ascii="Calibri" w:hAnsi="Calibri"/>
          <w:sz w:val="22"/>
          <w:szCs w:val="22"/>
          <w:lang w:eastAsia="en-AU"/>
        </w:rPr>
        <w:t xml:space="preserve">Small businesses </w:t>
      </w:r>
      <w:r w:rsidR="001364B8">
        <w:rPr>
          <w:rFonts w:ascii="Calibri" w:hAnsi="Calibri"/>
          <w:sz w:val="22"/>
          <w:szCs w:val="22"/>
          <w:lang w:eastAsia="en-AU"/>
        </w:rPr>
        <w:t xml:space="preserve">frequently </w:t>
      </w:r>
      <w:r>
        <w:rPr>
          <w:rFonts w:ascii="Calibri" w:hAnsi="Calibri"/>
          <w:sz w:val="22"/>
          <w:szCs w:val="22"/>
          <w:lang w:eastAsia="en-AU"/>
        </w:rPr>
        <w:t>have</w:t>
      </w:r>
      <w:r w:rsidR="001364B8">
        <w:rPr>
          <w:rFonts w:ascii="Calibri" w:hAnsi="Calibri"/>
          <w:sz w:val="22"/>
          <w:szCs w:val="22"/>
          <w:lang w:eastAsia="en-AU"/>
        </w:rPr>
        <w:t xml:space="preserve"> fewer </w:t>
      </w:r>
      <w:r>
        <w:rPr>
          <w:rFonts w:ascii="Calibri" w:hAnsi="Calibri"/>
          <w:sz w:val="22"/>
          <w:szCs w:val="22"/>
          <w:lang w:eastAsia="en-AU"/>
        </w:rPr>
        <w:t>resources to dedicate to understanding WHS requirements and obligations</w:t>
      </w:r>
      <w:r w:rsidR="001364B8">
        <w:rPr>
          <w:rFonts w:ascii="Calibri" w:hAnsi="Calibri"/>
          <w:sz w:val="22"/>
          <w:szCs w:val="22"/>
          <w:lang w:eastAsia="en-AU"/>
        </w:rPr>
        <w:t xml:space="preserve"> than larger ones</w:t>
      </w:r>
      <w:r>
        <w:rPr>
          <w:rFonts w:ascii="Calibri" w:hAnsi="Calibri"/>
          <w:sz w:val="22"/>
          <w:szCs w:val="22"/>
          <w:lang w:eastAsia="en-AU"/>
        </w:rPr>
        <w:t xml:space="preserve">. </w:t>
      </w:r>
    </w:p>
    <w:p w14:paraId="016265FB" w14:textId="0372BFA4" w:rsidR="00647209" w:rsidRDefault="00DE0584" w:rsidP="00C165D7">
      <w:pPr>
        <w:spacing w:beforeLines="60" w:before="144" w:afterLines="60" w:after="144" w:line="276" w:lineRule="auto"/>
        <w:rPr>
          <w:rFonts w:ascii="Calibri" w:hAnsi="Calibri"/>
          <w:sz w:val="22"/>
          <w:szCs w:val="22"/>
          <w:lang w:eastAsia="en-AU"/>
        </w:rPr>
      </w:pPr>
      <w:r>
        <w:rPr>
          <w:rFonts w:ascii="Calibri" w:hAnsi="Calibri"/>
          <w:sz w:val="22"/>
          <w:szCs w:val="22"/>
          <w:lang w:eastAsia="en-AU"/>
        </w:rPr>
        <w:t>WorkSafe ACT should</w:t>
      </w:r>
      <w:r w:rsidR="004B00AE">
        <w:rPr>
          <w:rFonts w:ascii="Calibri" w:hAnsi="Calibri"/>
          <w:sz w:val="22"/>
          <w:szCs w:val="22"/>
          <w:lang w:eastAsia="en-AU"/>
        </w:rPr>
        <w:t xml:space="preserve"> </w:t>
      </w:r>
      <w:r w:rsidR="001364B8">
        <w:rPr>
          <w:rFonts w:ascii="Calibri" w:hAnsi="Calibri"/>
          <w:sz w:val="22"/>
          <w:szCs w:val="22"/>
          <w:lang w:eastAsia="en-AU"/>
        </w:rPr>
        <w:t>provide</w:t>
      </w:r>
      <w:r w:rsidR="004B00AE">
        <w:rPr>
          <w:rFonts w:ascii="Calibri" w:hAnsi="Calibri"/>
          <w:sz w:val="22"/>
          <w:szCs w:val="22"/>
          <w:lang w:eastAsia="en-AU"/>
        </w:rPr>
        <w:t xml:space="preserve"> </w:t>
      </w:r>
      <w:r w:rsidR="00BE14A7">
        <w:rPr>
          <w:rFonts w:ascii="Calibri" w:hAnsi="Calibri"/>
          <w:sz w:val="22"/>
          <w:szCs w:val="22"/>
          <w:lang w:eastAsia="en-AU"/>
        </w:rPr>
        <w:t xml:space="preserve">tailored </w:t>
      </w:r>
      <w:r w:rsidR="005E41FE">
        <w:rPr>
          <w:rFonts w:ascii="Calibri" w:hAnsi="Calibri"/>
          <w:sz w:val="22"/>
          <w:szCs w:val="22"/>
          <w:lang w:eastAsia="en-AU"/>
        </w:rPr>
        <w:t xml:space="preserve">and targeted </w:t>
      </w:r>
      <w:r w:rsidR="00BA4EE3">
        <w:rPr>
          <w:rFonts w:ascii="Calibri" w:hAnsi="Calibri"/>
          <w:sz w:val="22"/>
          <w:szCs w:val="22"/>
          <w:lang w:eastAsia="en-AU"/>
        </w:rPr>
        <w:t xml:space="preserve">materials and information </w:t>
      </w:r>
      <w:r w:rsidR="005E41FE">
        <w:rPr>
          <w:rFonts w:ascii="Calibri" w:hAnsi="Calibri"/>
          <w:sz w:val="22"/>
          <w:szCs w:val="22"/>
          <w:lang w:eastAsia="en-AU"/>
        </w:rPr>
        <w:t>that better support small business in achieving health and safety outcomes and building working environments with a positive safety culture.</w:t>
      </w:r>
      <w:r w:rsidR="004B00AE">
        <w:rPr>
          <w:rFonts w:ascii="Calibri" w:hAnsi="Calibri"/>
          <w:sz w:val="22"/>
          <w:szCs w:val="22"/>
          <w:lang w:eastAsia="en-AU"/>
        </w:rPr>
        <w:t xml:space="preserve"> </w:t>
      </w:r>
      <w:r w:rsidR="005E41FE">
        <w:rPr>
          <w:rFonts w:ascii="Calibri" w:hAnsi="Calibri"/>
          <w:sz w:val="22"/>
          <w:szCs w:val="22"/>
          <w:lang w:eastAsia="en-AU"/>
        </w:rPr>
        <w:t>This w</w:t>
      </w:r>
      <w:r w:rsidR="001364B8">
        <w:rPr>
          <w:rFonts w:ascii="Calibri" w:hAnsi="Calibri"/>
          <w:sz w:val="22"/>
          <w:szCs w:val="22"/>
          <w:lang w:eastAsia="en-AU"/>
        </w:rPr>
        <w:t>ould complement</w:t>
      </w:r>
      <w:r w:rsidR="005E41FE">
        <w:rPr>
          <w:rFonts w:ascii="Calibri" w:hAnsi="Calibri"/>
          <w:sz w:val="22"/>
          <w:szCs w:val="22"/>
          <w:lang w:eastAsia="en-AU"/>
        </w:rPr>
        <w:t xml:space="preserve"> work already done by the regulator in supporting small businesses </w:t>
      </w:r>
      <w:r w:rsidR="00BC20A0">
        <w:rPr>
          <w:rFonts w:ascii="Calibri" w:hAnsi="Calibri"/>
          <w:sz w:val="22"/>
          <w:szCs w:val="22"/>
          <w:lang w:eastAsia="en-AU"/>
        </w:rPr>
        <w:t xml:space="preserve">in understanding their health and safety duties </w:t>
      </w:r>
      <w:r w:rsidR="005E41FE">
        <w:rPr>
          <w:rFonts w:ascii="Calibri" w:hAnsi="Calibri"/>
          <w:sz w:val="22"/>
          <w:szCs w:val="22"/>
          <w:lang w:eastAsia="en-AU"/>
        </w:rPr>
        <w:t>when employing young workers.</w:t>
      </w:r>
    </w:p>
    <w:p w14:paraId="2C8F9937" w14:textId="739C7A1F" w:rsidR="00F30672" w:rsidRPr="0077043D" w:rsidRDefault="0077043D" w:rsidP="0077043D">
      <w:pPr>
        <w:keepNext/>
        <w:spacing w:before="240" w:after="60" w:line="276" w:lineRule="auto"/>
        <w:outlineLvl w:val="1"/>
        <w:rPr>
          <w:rFonts w:ascii="Arial" w:hAnsi="Arial"/>
          <w:b/>
          <w:snapToGrid w:val="0"/>
          <w:color w:val="7030A0"/>
          <w:sz w:val="30"/>
        </w:rPr>
      </w:pPr>
      <w:r w:rsidRPr="0077043D">
        <w:rPr>
          <w:rFonts w:ascii="Arial" w:hAnsi="Arial"/>
          <w:b/>
          <w:snapToGrid w:val="0"/>
          <w:color w:val="7030A0"/>
          <w:sz w:val="30"/>
        </w:rPr>
        <w:lastRenderedPageBreak/>
        <w:t>Pr</w:t>
      </w:r>
      <w:r>
        <w:rPr>
          <w:rFonts w:ascii="Arial" w:hAnsi="Arial"/>
          <w:b/>
          <w:snapToGrid w:val="0"/>
          <w:color w:val="7030A0"/>
          <w:sz w:val="30"/>
        </w:rPr>
        <w:t>iority industr</w:t>
      </w:r>
      <w:r w:rsidR="00624920">
        <w:rPr>
          <w:rFonts w:ascii="Arial" w:hAnsi="Arial"/>
          <w:b/>
          <w:snapToGrid w:val="0"/>
          <w:color w:val="7030A0"/>
          <w:sz w:val="30"/>
        </w:rPr>
        <w:t>ies</w:t>
      </w:r>
    </w:p>
    <w:p w14:paraId="746D2CC2" w14:textId="7507A71B" w:rsidR="00ED1EFF" w:rsidRDefault="00DC00B7" w:rsidP="00DC00B7">
      <w:pPr>
        <w:spacing w:beforeLines="60" w:before="144" w:afterLines="60" w:after="144" w:line="276" w:lineRule="auto"/>
        <w:rPr>
          <w:rFonts w:ascii="Calibri" w:hAnsi="Calibri"/>
          <w:sz w:val="22"/>
          <w:szCs w:val="22"/>
          <w:lang w:eastAsia="en-AU"/>
        </w:rPr>
      </w:pPr>
      <w:r w:rsidRPr="00DC00B7">
        <w:rPr>
          <w:rFonts w:ascii="Calibri" w:hAnsi="Calibri"/>
          <w:sz w:val="22"/>
          <w:szCs w:val="22"/>
          <w:lang w:eastAsia="en-AU"/>
        </w:rPr>
        <w:t>In the national WHS Strategy, the construction</w:t>
      </w:r>
      <w:r w:rsidR="00214050">
        <w:rPr>
          <w:rFonts w:ascii="Calibri" w:hAnsi="Calibri"/>
          <w:sz w:val="22"/>
          <w:szCs w:val="22"/>
          <w:lang w:eastAsia="en-AU"/>
        </w:rPr>
        <w:t xml:space="preserve"> industry</w:t>
      </w:r>
      <w:r w:rsidRPr="00DC00B7">
        <w:rPr>
          <w:rFonts w:ascii="Calibri" w:hAnsi="Calibri"/>
          <w:sz w:val="22"/>
          <w:szCs w:val="22"/>
          <w:lang w:eastAsia="en-AU"/>
        </w:rPr>
        <w:t xml:space="preserve"> </w:t>
      </w:r>
      <w:r w:rsidR="00624920">
        <w:rPr>
          <w:rFonts w:ascii="Calibri" w:hAnsi="Calibri"/>
          <w:sz w:val="22"/>
          <w:szCs w:val="22"/>
          <w:lang w:eastAsia="en-AU"/>
        </w:rPr>
        <w:t xml:space="preserve">and public administration </w:t>
      </w:r>
      <w:r w:rsidR="00B010C0">
        <w:rPr>
          <w:rFonts w:ascii="Calibri" w:hAnsi="Calibri"/>
          <w:sz w:val="22"/>
          <w:szCs w:val="22"/>
          <w:lang w:eastAsia="en-AU"/>
        </w:rPr>
        <w:t>industr</w:t>
      </w:r>
      <w:r w:rsidR="00214050">
        <w:rPr>
          <w:rFonts w:ascii="Calibri" w:hAnsi="Calibri"/>
          <w:sz w:val="22"/>
          <w:szCs w:val="22"/>
          <w:lang w:eastAsia="en-AU"/>
        </w:rPr>
        <w:t>y</w:t>
      </w:r>
      <w:r w:rsidR="00B010C0">
        <w:rPr>
          <w:rFonts w:ascii="Calibri" w:hAnsi="Calibri"/>
          <w:sz w:val="22"/>
          <w:szCs w:val="22"/>
          <w:lang w:eastAsia="en-AU"/>
        </w:rPr>
        <w:t xml:space="preserve"> </w:t>
      </w:r>
      <w:r w:rsidR="00624920">
        <w:rPr>
          <w:rFonts w:ascii="Calibri" w:hAnsi="Calibri"/>
          <w:sz w:val="22"/>
          <w:szCs w:val="22"/>
          <w:lang w:eastAsia="en-AU"/>
        </w:rPr>
        <w:t>are</w:t>
      </w:r>
      <w:r w:rsidR="00214050">
        <w:rPr>
          <w:rFonts w:ascii="Calibri" w:hAnsi="Calibri"/>
          <w:sz w:val="22"/>
          <w:szCs w:val="22"/>
          <w:lang w:eastAsia="en-AU"/>
        </w:rPr>
        <w:t xml:space="preserve"> both </w:t>
      </w:r>
      <w:r w:rsidRPr="00DC00B7">
        <w:rPr>
          <w:rFonts w:ascii="Calibri" w:hAnsi="Calibri"/>
          <w:sz w:val="22"/>
          <w:szCs w:val="22"/>
          <w:lang w:eastAsia="en-AU"/>
        </w:rPr>
        <w:t>highlighted</w:t>
      </w:r>
      <w:r w:rsidR="00B010C0">
        <w:rPr>
          <w:rFonts w:ascii="Calibri" w:hAnsi="Calibri"/>
          <w:sz w:val="22"/>
          <w:szCs w:val="22"/>
          <w:lang w:eastAsia="en-AU"/>
        </w:rPr>
        <w:t xml:space="preserve"> </w:t>
      </w:r>
      <w:r w:rsidRPr="00DC00B7">
        <w:rPr>
          <w:rFonts w:ascii="Calibri" w:hAnsi="Calibri"/>
          <w:sz w:val="22"/>
          <w:szCs w:val="22"/>
          <w:lang w:eastAsia="en-AU"/>
        </w:rPr>
        <w:t>as</w:t>
      </w:r>
      <w:r w:rsidR="00624920">
        <w:rPr>
          <w:rFonts w:ascii="Calibri" w:hAnsi="Calibri"/>
          <w:sz w:val="22"/>
          <w:szCs w:val="22"/>
          <w:lang w:eastAsia="en-AU"/>
        </w:rPr>
        <w:t xml:space="preserve"> high-risk industries. These industries are also priorities in the ACT</w:t>
      </w:r>
      <w:r w:rsidR="00ED1EFF">
        <w:rPr>
          <w:rFonts w:ascii="Calibri" w:hAnsi="Calibri"/>
          <w:sz w:val="22"/>
          <w:szCs w:val="22"/>
          <w:lang w:eastAsia="en-AU"/>
        </w:rPr>
        <w:t xml:space="preserve">. </w:t>
      </w:r>
    </w:p>
    <w:p w14:paraId="1C120200" w14:textId="79E9852A" w:rsidR="00DC00B7" w:rsidRDefault="00ED1EFF" w:rsidP="00DC00B7">
      <w:pPr>
        <w:spacing w:beforeLines="60" w:before="144" w:afterLines="60" w:after="144" w:line="276" w:lineRule="auto"/>
        <w:rPr>
          <w:rFonts w:ascii="Calibri" w:hAnsi="Calibri"/>
          <w:sz w:val="22"/>
          <w:szCs w:val="22"/>
          <w:lang w:eastAsia="en-AU"/>
        </w:rPr>
      </w:pPr>
      <w:r>
        <w:rPr>
          <w:rFonts w:ascii="Calibri" w:hAnsi="Calibri"/>
          <w:sz w:val="22"/>
          <w:szCs w:val="22"/>
          <w:lang w:eastAsia="en-AU"/>
        </w:rPr>
        <w:t>The ACT construction industry continues to experience a higher frequency rate of serious</w:t>
      </w:r>
      <w:r w:rsidR="00690CBD">
        <w:rPr>
          <w:rFonts w:ascii="Calibri" w:hAnsi="Calibri"/>
          <w:sz w:val="22"/>
          <w:szCs w:val="22"/>
          <w:lang w:eastAsia="en-AU"/>
        </w:rPr>
        <w:t xml:space="preserve"> injury</w:t>
      </w:r>
      <w:r>
        <w:rPr>
          <w:rFonts w:ascii="Calibri" w:hAnsi="Calibri"/>
          <w:sz w:val="22"/>
          <w:szCs w:val="22"/>
          <w:lang w:eastAsia="en-AU"/>
        </w:rPr>
        <w:t xml:space="preserve"> claims than the national average, an upward trend </w:t>
      </w:r>
      <w:r w:rsidR="00A75239">
        <w:rPr>
          <w:rFonts w:ascii="Calibri" w:hAnsi="Calibri"/>
          <w:sz w:val="22"/>
          <w:szCs w:val="22"/>
          <w:lang w:eastAsia="en-AU"/>
        </w:rPr>
        <w:t>comparative to previous year</w:t>
      </w:r>
      <w:r w:rsidR="00CA1BEE">
        <w:rPr>
          <w:rFonts w:ascii="Calibri" w:hAnsi="Calibri"/>
          <w:sz w:val="22"/>
          <w:szCs w:val="22"/>
          <w:lang w:eastAsia="en-AU"/>
        </w:rPr>
        <w:t>s which is</w:t>
      </w:r>
      <w:r w:rsidR="00A75239">
        <w:rPr>
          <w:rFonts w:ascii="Calibri" w:hAnsi="Calibri"/>
          <w:sz w:val="22"/>
          <w:szCs w:val="22"/>
          <w:lang w:eastAsia="en-AU"/>
        </w:rPr>
        <w:t xml:space="preserve"> consistent with the national trend.</w:t>
      </w:r>
    </w:p>
    <w:p w14:paraId="09A1CDB4" w14:textId="49F8A037" w:rsidR="00A75239" w:rsidRDefault="00A75239" w:rsidP="00DC00B7">
      <w:pPr>
        <w:spacing w:beforeLines="60" w:before="144" w:afterLines="60" w:after="144" w:line="276" w:lineRule="auto"/>
        <w:rPr>
          <w:rFonts w:ascii="Calibri" w:hAnsi="Calibri"/>
          <w:sz w:val="22"/>
          <w:szCs w:val="22"/>
          <w:lang w:eastAsia="en-AU"/>
        </w:rPr>
      </w:pPr>
      <w:r>
        <w:rPr>
          <w:rFonts w:ascii="Calibri" w:hAnsi="Calibri"/>
          <w:sz w:val="22"/>
          <w:szCs w:val="22"/>
          <w:lang w:eastAsia="en-AU"/>
        </w:rPr>
        <w:t>The ACT public administration industry continues to experience a frequency rate of serious claims marginally below the national average, however</w:t>
      </w:r>
      <w:r w:rsidR="00CA1BEE">
        <w:rPr>
          <w:rFonts w:ascii="Calibri" w:hAnsi="Calibri"/>
          <w:sz w:val="22"/>
          <w:szCs w:val="22"/>
          <w:lang w:eastAsia="en-AU"/>
        </w:rPr>
        <w:t xml:space="preserve"> </w:t>
      </w:r>
      <w:r w:rsidR="001364B8">
        <w:rPr>
          <w:rFonts w:ascii="Calibri" w:hAnsi="Calibri"/>
          <w:sz w:val="22"/>
          <w:szCs w:val="22"/>
          <w:lang w:eastAsia="en-AU"/>
        </w:rPr>
        <w:t>risk levels should be improved</w:t>
      </w:r>
      <w:r w:rsidR="00CA1BEE">
        <w:rPr>
          <w:rFonts w:ascii="Calibri" w:hAnsi="Calibri"/>
          <w:sz w:val="22"/>
          <w:szCs w:val="22"/>
          <w:lang w:eastAsia="en-AU"/>
        </w:rPr>
        <w:t>.</w:t>
      </w:r>
    </w:p>
    <w:p w14:paraId="5775C8E8" w14:textId="3AFD8D67" w:rsidR="00CA1BEE" w:rsidRDefault="00B010C0" w:rsidP="004B00AE">
      <w:pPr>
        <w:spacing w:beforeLines="60" w:before="144" w:line="276" w:lineRule="auto"/>
        <w:rPr>
          <w:rFonts w:ascii="Calibri" w:hAnsi="Calibri"/>
          <w:sz w:val="22"/>
          <w:szCs w:val="22"/>
          <w:lang w:eastAsia="en-AU"/>
        </w:rPr>
      </w:pPr>
      <w:r>
        <w:rPr>
          <w:rFonts w:ascii="Calibri" w:hAnsi="Calibri"/>
          <w:sz w:val="22"/>
          <w:szCs w:val="22"/>
          <w:lang w:eastAsia="en-AU"/>
        </w:rPr>
        <w:t xml:space="preserve">These frequency rates are </w:t>
      </w:r>
      <w:r w:rsidR="00D33FC5">
        <w:rPr>
          <w:rFonts w:ascii="Calibri" w:hAnsi="Calibri"/>
          <w:sz w:val="22"/>
          <w:szCs w:val="22"/>
          <w:lang w:eastAsia="en-AU"/>
        </w:rPr>
        <w:t xml:space="preserve">considered to be </w:t>
      </w:r>
      <w:r>
        <w:rPr>
          <w:rFonts w:ascii="Calibri" w:hAnsi="Calibri"/>
          <w:sz w:val="22"/>
          <w:szCs w:val="22"/>
          <w:lang w:eastAsia="en-AU"/>
        </w:rPr>
        <w:t>a good general indication of WHS trends</w:t>
      </w:r>
      <w:r w:rsidR="00214050">
        <w:rPr>
          <w:rFonts w:ascii="Calibri" w:hAnsi="Calibri"/>
          <w:sz w:val="22"/>
          <w:szCs w:val="22"/>
          <w:lang w:eastAsia="en-AU"/>
        </w:rPr>
        <w:t>.</w:t>
      </w:r>
    </w:p>
    <w:p w14:paraId="1E5989C6" w14:textId="77777777" w:rsidR="004B00AE" w:rsidRPr="00DC00B7" w:rsidRDefault="004B00AE" w:rsidP="004B00AE">
      <w:pPr>
        <w:spacing w:afterLines="60" w:after="144" w:line="276" w:lineRule="auto"/>
        <w:rPr>
          <w:rFonts w:ascii="Calibri" w:hAnsi="Calibri"/>
          <w:sz w:val="22"/>
          <w:szCs w:val="22"/>
          <w:lang w:eastAsia="en-AU"/>
        </w:rPr>
      </w:pPr>
    </w:p>
    <w:p w14:paraId="1BF59392" w14:textId="56447A3B" w:rsidR="00F30672" w:rsidRPr="002805EF" w:rsidRDefault="00F30672" w:rsidP="002805EF">
      <w:pPr>
        <w:keepNext/>
        <w:keepLines/>
        <w:spacing w:before="144" w:after="144" w:line="276" w:lineRule="auto"/>
        <w:outlineLvl w:val="2"/>
        <w:rPr>
          <w:rFonts w:ascii="Arial Bold" w:hAnsi="Arial Bold"/>
          <w:bCs/>
          <w:color w:val="808080"/>
          <w:szCs w:val="26"/>
        </w:rPr>
      </w:pPr>
      <w:r w:rsidRPr="002805EF">
        <w:rPr>
          <w:rFonts w:ascii="Arial Bold" w:hAnsi="Arial Bold"/>
          <w:bCs/>
          <w:color w:val="808080"/>
          <w:szCs w:val="26"/>
        </w:rPr>
        <w:t>Construction Industry</w:t>
      </w:r>
    </w:p>
    <w:p w14:paraId="2749228E" w14:textId="790E0722" w:rsidR="00624920" w:rsidRDefault="00F30672" w:rsidP="00624920">
      <w:pPr>
        <w:keepNext/>
        <w:keepLines/>
        <w:spacing w:before="144" w:after="144" w:line="276" w:lineRule="auto"/>
        <w:outlineLvl w:val="2"/>
        <w:rPr>
          <w:rFonts w:ascii="Calibri" w:hAnsi="Calibri"/>
          <w:sz w:val="22"/>
          <w:szCs w:val="22"/>
          <w:lang w:eastAsia="en-AU"/>
        </w:rPr>
      </w:pPr>
      <w:r w:rsidRPr="002805EF">
        <w:rPr>
          <w:rFonts w:ascii="Calibri" w:hAnsi="Calibri"/>
          <w:sz w:val="22"/>
          <w:szCs w:val="22"/>
          <w:lang w:eastAsia="en-AU"/>
        </w:rPr>
        <w:t>The construction industry is consistently one of the highest risk industries</w:t>
      </w:r>
      <w:r w:rsidR="00214050">
        <w:rPr>
          <w:rFonts w:ascii="Calibri" w:hAnsi="Calibri"/>
          <w:sz w:val="22"/>
          <w:szCs w:val="22"/>
          <w:lang w:eastAsia="en-AU"/>
        </w:rPr>
        <w:t xml:space="preserve"> nationally and</w:t>
      </w:r>
      <w:r w:rsidRPr="002805EF">
        <w:rPr>
          <w:rFonts w:ascii="Calibri" w:hAnsi="Calibri"/>
          <w:sz w:val="22"/>
          <w:szCs w:val="22"/>
          <w:lang w:eastAsia="en-AU"/>
        </w:rPr>
        <w:t xml:space="preserve"> in the ACT. WorkSafe ACT should maintain its strong and ongoing focus on construction industry safety standards and compliance </w:t>
      </w:r>
      <w:r w:rsidR="00BE591D">
        <w:rPr>
          <w:rFonts w:ascii="Calibri" w:hAnsi="Calibri"/>
          <w:sz w:val="22"/>
          <w:szCs w:val="22"/>
          <w:lang w:eastAsia="en-AU"/>
        </w:rPr>
        <w:t>across</w:t>
      </w:r>
      <w:r w:rsidRPr="002805EF">
        <w:rPr>
          <w:rFonts w:ascii="Calibri" w:hAnsi="Calibri"/>
          <w:sz w:val="22"/>
          <w:szCs w:val="22"/>
          <w:lang w:eastAsia="en-AU"/>
        </w:rPr>
        <w:t xml:space="preserve"> residential</w:t>
      </w:r>
      <w:r w:rsidR="00BE591D">
        <w:rPr>
          <w:rFonts w:ascii="Calibri" w:hAnsi="Calibri"/>
          <w:sz w:val="22"/>
          <w:szCs w:val="22"/>
          <w:lang w:eastAsia="en-AU"/>
        </w:rPr>
        <w:t>,</w:t>
      </w:r>
      <w:r w:rsidRPr="002805EF">
        <w:rPr>
          <w:rFonts w:ascii="Calibri" w:hAnsi="Calibri"/>
          <w:sz w:val="22"/>
          <w:szCs w:val="22"/>
          <w:lang w:eastAsia="en-AU"/>
        </w:rPr>
        <w:t xml:space="preserve"> commercial</w:t>
      </w:r>
      <w:r w:rsidR="00BE591D">
        <w:rPr>
          <w:rFonts w:ascii="Calibri" w:hAnsi="Calibri"/>
          <w:sz w:val="22"/>
          <w:szCs w:val="22"/>
          <w:lang w:eastAsia="en-AU"/>
        </w:rPr>
        <w:t xml:space="preserve"> and civil construction</w:t>
      </w:r>
      <w:r w:rsidRPr="002805EF">
        <w:rPr>
          <w:rFonts w:ascii="Calibri" w:hAnsi="Calibri"/>
          <w:sz w:val="22"/>
          <w:szCs w:val="22"/>
          <w:lang w:eastAsia="en-AU"/>
        </w:rPr>
        <w:t xml:space="preserve"> sectors</w:t>
      </w:r>
      <w:r w:rsidR="00E445B9">
        <w:rPr>
          <w:rFonts w:ascii="Calibri" w:hAnsi="Calibri"/>
          <w:sz w:val="22"/>
          <w:szCs w:val="22"/>
          <w:lang w:eastAsia="en-AU"/>
        </w:rPr>
        <w:t>.</w:t>
      </w:r>
      <w:r w:rsidR="00F659DD">
        <w:rPr>
          <w:rFonts w:ascii="Calibri" w:hAnsi="Calibri"/>
          <w:sz w:val="22"/>
          <w:szCs w:val="22"/>
          <w:lang w:eastAsia="en-AU"/>
        </w:rPr>
        <w:br/>
      </w:r>
    </w:p>
    <w:p w14:paraId="71C0C1A6" w14:textId="4D3938E9" w:rsidR="00624920" w:rsidRPr="0077043D" w:rsidRDefault="00624920" w:rsidP="00624920">
      <w:pPr>
        <w:keepNext/>
        <w:keepLines/>
        <w:spacing w:before="144" w:after="144" w:line="276" w:lineRule="auto"/>
        <w:outlineLvl w:val="2"/>
        <w:rPr>
          <w:rFonts w:ascii="Arial Bold" w:hAnsi="Arial Bold"/>
          <w:bCs/>
          <w:color w:val="808080"/>
          <w:szCs w:val="26"/>
        </w:rPr>
      </w:pPr>
      <w:r w:rsidRPr="0077043D">
        <w:rPr>
          <w:rFonts w:ascii="Arial Bold" w:hAnsi="Arial Bold"/>
          <w:bCs/>
          <w:color w:val="808080"/>
          <w:szCs w:val="26"/>
        </w:rPr>
        <w:t>WHS compliance within ACT Government</w:t>
      </w:r>
    </w:p>
    <w:p w14:paraId="0B692D58" w14:textId="77777777" w:rsidR="00F659DD" w:rsidRDefault="00624920" w:rsidP="002805EF">
      <w:pPr>
        <w:spacing w:beforeLines="60" w:before="144" w:afterLines="60" w:after="144" w:line="276" w:lineRule="auto"/>
        <w:rPr>
          <w:rFonts w:ascii="Calibri" w:hAnsi="Calibri"/>
          <w:sz w:val="22"/>
          <w:szCs w:val="22"/>
          <w:lang w:eastAsia="en-AU"/>
        </w:rPr>
      </w:pPr>
      <w:r w:rsidRPr="002805EF">
        <w:rPr>
          <w:rFonts w:ascii="Calibri" w:hAnsi="Calibri"/>
          <w:sz w:val="22"/>
          <w:szCs w:val="22"/>
          <w:lang w:eastAsia="en-AU"/>
        </w:rPr>
        <w:t xml:space="preserve">It is important that ACT Government directorates and agencies lead by example in meeting their duties and obligations under the WHS Act. </w:t>
      </w:r>
    </w:p>
    <w:p w14:paraId="372B118B" w14:textId="785D32C3" w:rsidR="00F30672" w:rsidRDefault="00624920" w:rsidP="002805EF">
      <w:pPr>
        <w:spacing w:beforeLines="60" w:before="144" w:afterLines="60" w:after="144" w:line="276" w:lineRule="auto"/>
        <w:rPr>
          <w:rFonts w:ascii="Calibri" w:hAnsi="Calibri"/>
          <w:sz w:val="22"/>
          <w:szCs w:val="22"/>
          <w:lang w:eastAsia="en-AU"/>
        </w:rPr>
      </w:pPr>
      <w:r w:rsidRPr="002805EF">
        <w:rPr>
          <w:rFonts w:ascii="Calibri" w:hAnsi="Calibri"/>
          <w:sz w:val="22"/>
          <w:szCs w:val="22"/>
          <w:lang w:eastAsia="en-AU"/>
        </w:rPr>
        <w:t xml:space="preserve">WorkSafe ACT should focus on </w:t>
      </w:r>
      <w:r w:rsidR="001364B8">
        <w:rPr>
          <w:rFonts w:ascii="Calibri" w:hAnsi="Calibri"/>
          <w:sz w:val="22"/>
          <w:szCs w:val="22"/>
          <w:lang w:eastAsia="en-AU"/>
        </w:rPr>
        <w:t xml:space="preserve">facilitating </w:t>
      </w:r>
      <w:r w:rsidRPr="002805EF">
        <w:rPr>
          <w:rFonts w:ascii="Calibri" w:hAnsi="Calibri"/>
          <w:sz w:val="22"/>
          <w:szCs w:val="22"/>
          <w:lang w:eastAsia="en-AU"/>
        </w:rPr>
        <w:t>WHS compliance within the ACT Government utilising appropriate and proportionate education, awareness, compliance and enforcement activities.</w:t>
      </w:r>
      <w:r w:rsidR="00F659DD">
        <w:rPr>
          <w:rFonts w:ascii="Calibri" w:hAnsi="Calibri"/>
          <w:sz w:val="22"/>
          <w:szCs w:val="22"/>
          <w:lang w:eastAsia="en-AU"/>
        </w:rPr>
        <w:br/>
      </w:r>
    </w:p>
    <w:p w14:paraId="193E6486" w14:textId="1A3F30FF" w:rsidR="0077043D" w:rsidRPr="0077043D" w:rsidRDefault="0077043D" w:rsidP="0077043D">
      <w:pPr>
        <w:keepNext/>
        <w:spacing w:before="240" w:after="60" w:line="276" w:lineRule="auto"/>
        <w:outlineLvl w:val="1"/>
        <w:rPr>
          <w:rFonts w:ascii="Arial" w:hAnsi="Arial"/>
          <w:b/>
          <w:snapToGrid w:val="0"/>
          <w:color w:val="7030A0"/>
          <w:sz w:val="30"/>
        </w:rPr>
      </w:pPr>
      <w:r w:rsidRPr="0077043D">
        <w:rPr>
          <w:rFonts w:ascii="Arial" w:hAnsi="Arial"/>
          <w:b/>
          <w:snapToGrid w:val="0"/>
          <w:color w:val="7030A0"/>
          <w:sz w:val="30"/>
        </w:rPr>
        <w:t xml:space="preserve">Operation </w:t>
      </w:r>
      <w:r>
        <w:rPr>
          <w:rFonts w:ascii="Arial" w:hAnsi="Arial"/>
          <w:b/>
          <w:snapToGrid w:val="0"/>
          <w:color w:val="7030A0"/>
          <w:sz w:val="30"/>
        </w:rPr>
        <w:t>and performance of WorkSafe ACT</w:t>
      </w:r>
    </w:p>
    <w:p w14:paraId="21E7E7B4" w14:textId="2917F03A" w:rsidR="0077043D" w:rsidRPr="0077043D" w:rsidRDefault="0077043D" w:rsidP="0077043D">
      <w:pPr>
        <w:keepNext/>
        <w:keepLines/>
        <w:spacing w:before="144" w:after="144" w:line="276" w:lineRule="auto"/>
        <w:outlineLvl w:val="2"/>
        <w:rPr>
          <w:rFonts w:ascii="Arial Bold" w:hAnsi="Arial Bold"/>
          <w:bCs/>
          <w:color w:val="808080"/>
          <w:szCs w:val="26"/>
        </w:rPr>
      </w:pPr>
      <w:r w:rsidRPr="0077043D">
        <w:rPr>
          <w:rFonts w:ascii="Arial Bold" w:hAnsi="Arial Bold"/>
          <w:bCs/>
          <w:color w:val="808080"/>
          <w:szCs w:val="26"/>
        </w:rPr>
        <w:t>Operation</w:t>
      </w:r>
    </w:p>
    <w:p w14:paraId="45F360CB" w14:textId="2909A301" w:rsidR="00F30672" w:rsidRPr="002805EF" w:rsidRDefault="00F30672" w:rsidP="002805EF">
      <w:pPr>
        <w:spacing w:beforeLines="60" w:before="144" w:afterLines="60" w:after="144" w:line="276" w:lineRule="auto"/>
        <w:rPr>
          <w:rFonts w:ascii="Calibri" w:hAnsi="Calibri"/>
          <w:sz w:val="22"/>
          <w:szCs w:val="22"/>
          <w:lang w:eastAsia="en-AU"/>
        </w:rPr>
      </w:pPr>
      <w:r w:rsidRPr="002805EF">
        <w:rPr>
          <w:rFonts w:ascii="Calibri" w:hAnsi="Calibri"/>
          <w:sz w:val="22"/>
          <w:szCs w:val="22"/>
          <w:lang w:eastAsia="en-AU"/>
        </w:rPr>
        <w:t xml:space="preserve">Effective compliance and enforcement </w:t>
      </w:r>
      <w:r w:rsidR="00214336" w:rsidRPr="002805EF">
        <w:rPr>
          <w:rFonts w:ascii="Calibri" w:hAnsi="Calibri"/>
          <w:sz w:val="22"/>
          <w:szCs w:val="22"/>
          <w:lang w:eastAsia="en-AU"/>
        </w:rPr>
        <w:t>play</w:t>
      </w:r>
      <w:r w:rsidRPr="002805EF">
        <w:rPr>
          <w:rFonts w:ascii="Calibri" w:hAnsi="Calibri"/>
          <w:sz w:val="22"/>
          <w:szCs w:val="22"/>
          <w:lang w:eastAsia="en-AU"/>
        </w:rPr>
        <w:t xml:space="preserve"> a critical role in promoting compliance with work</w:t>
      </w:r>
      <w:r w:rsidRPr="002857B4">
        <w:rPr>
          <w:rFonts w:asciiTheme="minorHAnsi" w:hAnsiTheme="minorHAnsi" w:cstheme="minorHAnsi"/>
          <w:szCs w:val="24"/>
        </w:rPr>
        <w:t xml:space="preserve"> </w:t>
      </w:r>
      <w:r w:rsidRPr="002805EF">
        <w:rPr>
          <w:rFonts w:ascii="Calibri" w:hAnsi="Calibri"/>
          <w:sz w:val="22"/>
          <w:szCs w:val="22"/>
          <w:lang w:eastAsia="en-AU"/>
        </w:rPr>
        <w:t>injury and safety laws</w:t>
      </w:r>
      <w:r w:rsidR="00E445B9">
        <w:rPr>
          <w:rFonts w:ascii="Calibri" w:hAnsi="Calibri"/>
          <w:sz w:val="22"/>
          <w:szCs w:val="22"/>
          <w:lang w:eastAsia="en-AU"/>
        </w:rPr>
        <w:t>, as well as embedding good WHS practices in all work across all industries.</w:t>
      </w:r>
    </w:p>
    <w:p w14:paraId="24D517F3" w14:textId="77777777" w:rsidR="00F30672" w:rsidRPr="002805EF" w:rsidRDefault="00F30672" w:rsidP="002805EF">
      <w:pPr>
        <w:spacing w:beforeLines="60" w:before="144" w:afterLines="60" w:after="144" w:line="276" w:lineRule="auto"/>
        <w:rPr>
          <w:rFonts w:ascii="Calibri" w:hAnsi="Calibri"/>
          <w:sz w:val="22"/>
          <w:szCs w:val="22"/>
          <w:lang w:eastAsia="en-AU"/>
        </w:rPr>
      </w:pPr>
      <w:r w:rsidRPr="002805EF">
        <w:rPr>
          <w:rFonts w:ascii="Calibri" w:hAnsi="Calibri"/>
          <w:sz w:val="22"/>
          <w:szCs w:val="22"/>
          <w:lang w:eastAsia="en-AU"/>
        </w:rPr>
        <w:t>WorkSafe ACT should remain focused on ensuring its governance and operations remain contemporary and are effective. WorkSafe ACT should continue to ensure that recent improvements to WorkSafe’s operations, particularly capability development, are fully realised and effective.</w:t>
      </w:r>
    </w:p>
    <w:p w14:paraId="1E0494B4" w14:textId="7BD24F1B" w:rsidR="00F30672" w:rsidRPr="002805EF" w:rsidRDefault="00F30672" w:rsidP="002805EF">
      <w:pPr>
        <w:spacing w:beforeLines="60" w:before="144" w:afterLines="60" w:after="144" w:line="276" w:lineRule="auto"/>
        <w:rPr>
          <w:rFonts w:ascii="Calibri" w:hAnsi="Calibri"/>
          <w:sz w:val="22"/>
          <w:szCs w:val="22"/>
          <w:lang w:eastAsia="en-AU"/>
        </w:rPr>
      </w:pPr>
      <w:r w:rsidRPr="002805EF">
        <w:rPr>
          <w:rFonts w:ascii="Calibri" w:hAnsi="Calibri"/>
          <w:sz w:val="22"/>
          <w:szCs w:val="22"/>
          <w:lang w:eastAsia="en-AU"/>
        </w:rPr>
        <w:t>WorkSafe ACT should be a source of trusted and expert information on compliance with WHS and workers’ compensation obligations.</w:t>
      </w:r>
    </w:p>
    <w:p w14:paraId="30C9858C" w14:textId="00273D99" w:rsidR="00F30672" w:rsidRPr="002805EF" w:rsidRDefault="00F30672" w:rsidP="002805EF">
      <w:pPr>
        <w:spacing w:beforeLines="60" w:before="144" w:afterLines="60" w:after="144" w:line="276" w:lineRule="auto"/>
        <w:rPr>
          <w:rFonts w:ascii="Calibri" w:hAnsi="Calibri"/>
          <w:sz w:val="22"/>
          <w:szCs w:val="22"/>
          <w:lang w:eastAsia="en-AU"/>
        </w:rPr>
      </w:pPr>
      <w:r w:rsidRPr="002805EF">
        <w:rPr>
          <w:rFonts w:ascii="Calibri" w:hAnsi="Calibri"/>
          <w:sz w:val="22"/>
          <w:szCs w:val="22"/>
          <w:lang w:eastAsia="en-AU"/>
        </w:rPr>
        <w:t xml:space="preserve">Importantly, stakeholders should be able to access information across all of the areas WorkSafe ACT regulates, including WHS, workers’ compensation, hazardous substances, dangerous goods, </w:t>
      </w:r>
      <w:r w:rsidR="001364B8">
        <w:rPr>
          <w:rFonts w:ascii="Calibri" w:hAnsi="Calibri"/>
          <w:sz w:val="22"/>
          <w:szCs w:val="22"/>
          <w:lang w:eastAsia="en-AU"/>
        </w:rPr>
        <w:t>l</w:t>
      </w:r>
      <w:r w:rsidRPr="002805EF">
        <w:rPr>
          <w:rFonts w:ascii="Calibri" w:hAnsi="Calibri"/>
          <w:sz w:val="22"/>
          <w:szCs w:val="22"/>
          <w:lang w:eastAsia="en-AU"/>
        </w:rPr>
        <w:t>icensing, and workplace privacy.</w:t>
      </w:r>
    </w:p>
    <w:p w14:paraId="4BDE3B00" w14:textId="3D5CD3D3" w:rsidR="00F30672" w:rsidRPr="0077043D" w:rsidRDefault="00F30672" w:rsidP="0077043D">
      <w:pPr>
        <w:spacing w:beforeLines="60" w:before="144" w:afterLines="60" w:after="144" w:line="276" w:lineRule="auto"/>
        <w:rPr>
          <w:rFonts w:ascii="Calibri" w:hAnsi="Calibri"/>
          <w:sz w:val="22"/>
          <w:szCs w:val="22"/>
          <w:lang w:eastAsia="en-AU"/>
        </w:rPr>
      </w:pPr>
      <w:r w:rsidRPr="002805EF">
        <w:rPr>
          <w:rFonts w:ascii="Calibri" w:hAnsi="Calibri"/>
          <w:sz w:val="22"/>
          <w:szCs w:val="22"/>
          <w:lang w:eastAsia="en-AU"/>
        </w:rPr>
        <w:t>Stakeholders expect to be able to engage with WorkSafe ACT using digital platforms that are accessible by all devices. WorkSafe ACT should also be in a position to capture and analyse data to inform compliance and enforcement activity.</w:t>
      </w:r>
      <w:r w:rsidR="00F659DD">
        <w:rPr>
          <w:rFonts w:ascii="Calibri" w:hAnsi="Calibri"/>
          <w:sz w:val="22"/>
          <w:szCs w:val="22"/>
          <w:lang w:eastAsia="en-AU"/>
        </w:rPr>
        <w:br/>
      </w:r>
    </w:p>
    <w:p w14:paraId="278A57E7" w14:textId="1F080938" w:rsidR="00F30672" w:rsidRPr="002805EF" w:rsidRDefault="00F30672" w:rsidP="002805EF">
      <w:pPr>
        <w:keepNext/>
        <w:keepLines/>
        <w:spacing w:before="144" w:after="144" w:line="276" w:lineRule="auto"/>
        <w:outlineLvl w:val="2"/>
        <w:rPr>
          <w:rFonts w:ascii="Arial Bold" w:hAnsi="Arial Bold"/>
          <w:bCs/>
          <w:color w:val="808080"/>
          <w:szCs w:val="26"/>
        </w:rPr>
      </w:pPr>
      <w:r w:rsidRPr="002805EF">
        <w:rPr>
          <w:rFonts w:ascii="Arial Bold" w:hAnsi="Arial Bold"/>
          <w:bCs/>
          <w:color w:val="808080"/>
          <w:szCs w:val="26"/>
        </w:rPr>
        <w:lastRenderedPageBreak/>
        <w:t xml:space="preserve">Performance </w:t>
      </w:r>
    </w:p>
    <w:p w14:paraId="79050C5A" w14:textId="572AC5D2" w:rsidR="00F30672" w:rsidRPr="0077043D" w:rsidRDefault="00F30672" w:rsidP="0077043D">
      <w:pPr>
        <w:spacing w:beforeLines="60" w:before="144" w:afterLines="60" w:after="144" w:line="276" w:lineRule="auto"/>
        <w:rPr>
          <w:rFonts w:ascii="Calibri" w:hAnsi="Calibri"/>
          <w:sz w:val="22"/>
          <w:szCs w:val="22"/>
          <w:lang w:eastAsia="en-AU"/>
        </w:rPr>
      </w:pPr>
      <w:r w:rsidRPr="002805EF">
        <w:rPr>
          <w:rFonts w:ascii="Calibri" w:hAnsi="Calibri"/>
          <w:sz w:val="22"/>
          <w:szCs w:val="22"/>
          <w:lang w:eastAsia="en-AU"/>
        </w:rPr>
        <w:t>WorkSafe ACT should ensure that its accountability indicators remain contemporary, are linked to outcomes and align with the strategic objectives of the regulator. In particular, the accountability indicators should align with a strong community and workplace presence of the regulator, an awareness of the regulator and demonstrate the regulator’s capability building investments.</w:t>
      </w:r>
      <w:r w:rsidR="00214336">
        <w:rPr>
          <w:rFonts w:ascii="Calibri" w:hAnsi="Calibri"/>
          <w:sz w:val="22"/>
          <w:szCs w:val="22"/>
          <w:lang w:eastAsia="en-AU"/>
        </w:rPr>
        <w:br/>
      </w:r>
    </w:p>
    <w:p w14:paraId="51B7C2B8" w14:textId="349591BE" w:rsidR="00F30672" w:rsidRPr="002805EF" w:rsidRDefault="0077043D" w:rsidP="002805EF">
      <w:pPr>
        <w:keepNext/>
        <w:spacing w:before="240" w:after="60" w:line="276" w:lineRule="auto"/>
        <w:outlineLvl w:val="1"/>
        <w:rPr>
          <w:rFonts w:ascii="Arial" w:hAnsi="Arial"/>
          <w:b/>
          <w:snapToGrid w:val="0"/>
          <w:color w:val="7030A0"/>
          <w:sz w:val="30"/>
        </w:rPr>
      </w:pPr>
      <w:r>
        <w:rPr>
          <w:rFonts w:ascii="Arial" w:hAnsi="Arial"/>
          <w:b/>
          <w:snapToGrid w:val="0"/>
          <w:color w:val="7030A0"/>
          <w:sz w:val="30"/>
        </w:rPr>
        <w:t>Engagement and reporting</w:t>
      </w:r>
    </w:p>
    <w:p w14:paraId="08CDFD63" w14:textId="77777777" w:rsidR="0077043D" w:rsidRPr="002805EF" w:rsidRDefault="0077043D" w:rsidP="0077043D">
      <w:pPr>
        <w:keepNext/>
        <w:keepLines/>
        <w:spacing w:before="144" w:after="144" w:line="276" w:lineRule="auto"/>
        <w:outlineLvl w:val="2"/>
        <w:rPr>
          <w:rFonts w:ascii="Arial Bold" w:hAnsi="Arial Bold"/>
          <w:bCs/>
          <w:color w:val="808080"/>
          <w:szCs w:val="26"/>
        </w:rPr>
      </w:pPr>
      <w:r w:rsidRPr="002805EF">
        <w:rPr>
          <w:rFonts w:ascii="Arial Bold" w:hAnsi="Arial Bold"/>
          <w:bCs/>
          <w:color w:val="808080"/>
          <w:szCs w:val="26"/>
        </w:rPr>
        <w:t>Engagement with the WHS Council</w:t>
      </w:r>
    </w:p>
    <w:p w14:paraId="617E7AC2" w14:textId="340B359D" w:rsidR="0077043D" w:rsidRPr="002805EF" w:rsidRDefault="0077043D" w:rsidP="0077043D">
      <w:pPr>
        <w:spacing w:beforeLines="60" w:before="144" w:afterLines="60" w:after="144" w:line="276" w:lineRule="auto"/>
        <w:rPr>
          <w:rFonts w:ascii="Calibri" w:hAnsi="Calibri"/>
          <w:sz w:val="22"/>
          <w:szCs w:val="22"/>
          <w:lang w:eastAsia="en-AU"/>
        </w:rPr>
      </w:pPr>
      <w:r w:rsidRPr="002805EF">
        <w:rPr>
          <w:rFonts w:ascii="Calibri" w:hAnsi="Calibri"/>
          <w:sz w:val="22"/>
          <w:szCs w:val="22"/>
          <w:lang w:eastAsia="en-AU"/>
        </w:rPr>
        <w:t>The WHS Council plays an important role in advising the Minister and Government on matters relating to WHS in the ACT. The Work Health and Safety Commissioner is an ex-officio member of the WHS Council and should ensure WorkSafe ACT’s activities are responsive to issues identified by employee and employer representatives in the Territory.</w:t>
      </w:r>
      <w:r w:rsidR="00F659DD">
        <w:rPr>
          <w:rFonts w:ascii="Calibri" w:hAnsi="Calibri"/>
          <w:sz w:val="22"/>
          <w:szCs w:val="22"/>
          <w:lang w:eastAsia="en-AU"/>
        </w:rPr>
        <w:br/>
      </w:r>
    </w:p>
    <w:p w14:paraId="2470BE76" w14:textId="0CA4C2CD" w:rsidR="0077043D" w:rsidRPr="0077043D" w:rsidRDefault="0077043D" w:rsidP="0077043D">
      <w:pPr>
        <w:keepNext/>
        <w:keepLines/>
        <w:spacing w:before="144" w:after="144" w:line="276" w:lineRule="auto"/>
        <w:outlineLvl w:val="2"/>
        <w:rPr>
          <w:rFonts w:ascii="Arial Bold" w:hAnsi="Arial Bold"/>
          <w:bCs/>
          <w:color w:val="808080"/>
          <w:szCs w:val="26"/>
        </w:rPr>
      </w:pPr>
      <w:r w:rsidRPr="0077043D">
        <w:rPr>
          <w:rFonts w:ascii="Arial Bold" w:hAnsi="Arial Bold"/>
          <w:bCs/>
          <w:color w:val="808080"/>
          <w:szCs w:val="26"/>
        </w:rPr>
        <w:t>Reporting against the Statement of Expectations 2023</w:t>
      </w:r>
    </w:p>
    <w:p w14:paraId="11B5E796" w14:textId="4C383C5E" w:rsidR="00F30672" w:rsidRPr="002805EF" w:rsidRDefault="00F30672" w:rsidP="002805EF">
      <w:pPr>
        <w:spacing w:beforeLines="60" w:before="144" w:afterLines="60" w:after="144" w:line="276" w:lineRule="auto"/>
        <w:rPr>
          <w:rFonts w:ascii="Calibri" w:hAnsi="Calibri"/>
          <w:sz w:val="22"/>
          <w:szCs w:val="22"/>
          <w:lang w:eastAsia="en-AU"/>
        </w:rPr>
      </w:pPr>
      <w:r w:rsidRPr="002805EF">
        <w:rPr>
          <w:rFonts w:ascii="Calibri" w:hAnsi="Calibri"/>
          <w:sz w:val="22"/>
          <w:szCs w:val="22"/>
          <w:lang w:eastAsia="en-AU"/>
        </w:rPr>
        <w:t>In line with schedule 2, section 2.41 (2) (c) of the WHS Act, WorkSafe ACT should report on its approach to implementing the priority activities and initiatives set out in this Statement within its Annual Report.</w:t>
      </w:r>
    </w:p>
    <w:p w14:paraId="4AF502D9" w14:textId="77777777" w:rsidR="001440B3" w:rsidRDefault="001440B3" w:rsidP="002805EF">
      <w:pPr>
        <w:spacing w:beforeLines="60" w:before="144" w:afterLines="60" w:after="144" w:line="276" w:lineRule="auto"/>
      </w:pPr>
    </w:p>
    <w:sectPr w:rsidR="001440B3" w:rsidSect="00A43CA8">
      <w:headerReference w:type="even" r:id="rId12"/>
      <w:headerReference w:type="default" r:id="rId13"/>
      <w:footerReference w:type="even" r:id="rId14"/>
      <w:footerReference w:type="default" r:id="rId15"/>
      <w:headerReference w:type="first" r:id="rId16"/>
      <w:footerReference w:type="first" r:id="rId17"/>
      <w:pgSz w:w="11907" w:h="16839" w:code="9"/>
      <w:pgMar w:top="993" w:right="1134" w:bottom="1276" w:left="1134" w:header="567" w:footer="255"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3FD93" w14:textId="77777777" w:rsidR="00172350" w:rsidRDefault="00172350" w:rsidP="001440B3">
      <w:r>
        <w:separator/>
      </w:r>
    </w:p>
  </w:endnote>
  <w:endnote w:type="continuationSeparator" w:id="0">
    <w:p w14:paraId="3F3D306E" w14:textId="77777777" w:rsidR="00172350" w:rsidRDefault="00172350" w:rsidP="00144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ontserrat">
    <w:panose1 w:val="00000500000000000000"/>
    <w:charset w:val="00"/>
    <w:family w:val="auto"/>
    <w:pitch w:val="variable"/>
    <w:sig w:usb0="2000020F" w:usb1="00000003" w:usb2="00000000" w:usb3="00000000" w:csb0="00000197" w:csb1="00000000"/>
  </w:font>
  <w:font w:name="Arial Bold">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62D5F" w14:textId="77777777" w:rsidR="009062D1" w:rsidRDefault="009062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0F1E7" w14:textId="31A307FA" w:rsidR="009062D1" w:rsidRPr="00FE6CF1" w:rsidRDefault="00FE6CF1" w:rsidP="00FE6CF1">
    <w:pPr>
      <w:pStyle w:val="Footer"/>
      <w:jc w:val="center"/>
      <w:rPr>
        <w:rFonts w:cs="Arial"/>
        <w:sz w:val="14"/>
      </w:rPr>
    </w:pPr>
    <w:r w:rsidRPr="00FE6CF1">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2DFF8" w14:textId="16E03020" w:rsidR="009062D1" w:rsidRPr="00FE6CF1" w:rsidRDefault="00FE6CF1" w:rsidP="00FE6CF1">
    <w:pPr>
      <w:pStyle w:val="Footer"/>
      <w:jc w:val="center"/>
      <w:rPr>
        <w:rFonts w:cs="Arial"/>
        <w:sz w:val="14"/>
      </w:rPr>
    </w:pPr>
    <w:r w:rsidRPr="00FE6CF1">
      <w:rPr>
        <w:rFonts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41B0EA" w14:textId="77777777" w:rsidR="00172350" w:rsidRDefault="00172350" w:rsidP="001440B3">
      <w:r>
        <w:separator/>
      </w:r>
    </w:p>
  </w:footnote>
  <w:footnote w:type="continuationSeparator" w:id="0">
    <w:p w14:paraId="21B10513" w14:textId="77777777" w:rsidR="00172350" w:rsidRDefault="00172350" w:rsidP="001440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ECCC4" w14:textId="77777777" w:rsidR="009062D1" w:rsidRDefault="009062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85FCB" w14:textId="77777777" w:rsidR="009062D1" w:rsidRDefault="009062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56F8A" w14:textId="77777777" w:rsidR="009062D1" w:rsidRDefault="009062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5"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6"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7" w15:restartNumberingAfterBreak="0">
    <w:nsid w:val="3F9025B7"/>
    <w:multiLevelType w:val="hybridMultilevel"/>
    <w:tmpl w:val="0FF236D6"/>
    <w:lvl w:ilvl="0" w:tplc="0C090017">
      <w:start w:val="1"/>
      <w:numFmt w:val="lowerLetter"/>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A362F34"/>
    <w:multiLevelType w:val="hybridMultilevel"/>
    <w:tmpl w:val="46082FE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61F24922"/>
    <w:multiLevelType w:val="hybridMultilevel"/>
    <w:tmpl w:val="97F889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6D8676B6"/>
    <w:multiLevelType w:val="hybridMultilevel"/>
    <w:tmpl w:val="D780F5DE"/>
    <w:lvl w:ilvl="0" w:tplc="0C090001">
      <w:start w:val="1"/>
      <w:numFmt w:val="bullet"/>
      <w:lvlText w:val=""/>
      <w:lvlJc w:val="left"/>
      <w:pPr>
        <w:ind w:left="644" w:hanging="360"/>
      </w:pPr>
      <w:rPr>
        <w:rFonts w:ascii="Symbol" w:hAnsi="Symbol" w:hint="default"/>
      </w:rPr>
    </w:lvl>
    <w:lvl w:ilvl="1" w:tplc="0C090003">
      <w:start w:val="1"/>
      <w:numFmt w:val="bullet"/>
      <w:lvlText w:val="o"/>
      <w:lvlJc w:val="left"/>
      <w:pPr>
        <w:ind w:left="643" w:hanging="360"/>
      </w:pPr>
      <w:rPr>
        <w:rFonts w:ascii="Courier New" w:hAnsi="Courier New" w:cs="Courier New" w:hint="default"/>
      </w:rPr>
    </w:lvl>
    <w:lvl w:ilvl="2" w:tplc="0C090005">
      <w:start w:val="1"/>
      <w:numFmt w:val="bullet"/>
      <w:lvlText w:val=""/>
      <w:lvlJc w:val="left"/>
      <w:pPr>
        <w:ind w:left="785"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2" w15:restartNumberingAfterBreak="0">
    <w:nsid w:val="72DD68D3"/>
    <w:multiLevelType w:val="multilevel"/>
    <w:tmpl w:val="59A813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13" w15:restartNumberingAfterBreak="0">
    <w:nsid w:val="7D9C1199"/>
    <w:multiLevelType w:val="multilevel"/>
    <w:tmpl w:val="903E40C8"/>
    <w:lvl w:ilvl="0">
      <w:start w:val="1"/>
      <w:numFmt w:val="bullet"/>
      <w:pStyle w:val="bullet2"/>
      <w:lvlText w:val="o"/>
      <w:lvlJc w:val="left"/>
      <w:pPr>
        <w:ind w:left="717" w:hanging="360"/>
      </w:pPr>
      <w:rPr>
        <w:rFonts w:ascii="Courier New" w:hAnsi="Courier New" w:hint="default"/>
      </w:rPr>
    </w:lvl>
    <w:lvl w:ilvl="1">
      <w:start w:val="1"/>
      <w:numFmt w:val="bullet"/>
      <w:lvlText w:val="o"/>
      <w:lvlJc w:val="left"/>
      <w:pPr>
        <w:ind w:left="1224" w:hanging="357"/>
      </w:pPr>
      <w:rPr>
        <w:rFonts w:ascii="Courier New" w:hAnsi="Courier New" w:hint="default"/>
      </w:rPr>
    </w:lvl>
    <w:lvl w:ilvl="2">
      <w:start w:val="1"/>
      <w:numFmt w:val="bullet"/>
      <w:lvlText w:val=""/>
      <w:lvlJc w:val="left"/>
      <w:pPr>
        <w:ind w:left="1734" w:hanging="357"/>
      </w:pPr>
      <w:rPr>
        <w:rFonts w:ascii="Wingdings" w:hAnsi="Wingdings" w:hint="default"/>
      </w:rPr>
    </w:lvl>
    <w:lvl w:ilvl="3">
      <w:start w:val="1"/>
      <w:numFmt w:val="bullet"/>
      <w:lvlText w:val=""/>
      <w:lvlJc w:val="left"/>
      <w:pPr>
        <w:ind w:left="2244" w:hanging="357"/>
      </w:pPr>
      <w:rPr>
        <w:rFonts w:ascii="Symbol" w:hAnsi="Symbol" w:hint="default"/>
      </w:rPr>
    </w:lvl>
    <w:lvl w:ilvl="4">
      <w:start w:val="1"/>
      <w:numFmt w:val="bullet"/>
      <w:lvlText w:val="o"/>
      <w:lvlJc w:val="left"/>
      <w:pPr>
        <w:ind w:left="2754" w:hanging="357"/>
      </w:pPr>
      <w:rPr>
        <w:rFonts w:ascii="Courier New" w:hAnsi="Courier New" w:cs="Courier New" w:hint="default"/>
      </w:rPr>
    </w:lvl>
    <w:lvl w:ilvl="5">
      <w:start w:val="1"/>
      <w:numFmt w:val="bullet"/>
      <w:lvlText w:val=""/>
      <w:lvlJc w:val="left"/>
      <w:pPr>
        <w:ind w:left="3264" w:hanging="357"/>
      </w:pPr>
      <w:rPr>
        <w:rFonts w:ascii="Wingdings" w:hAnsi="Wingdings" w:hint="default"/>
      </w:rPr>
    </w:lvl>
    <w:lvl w:ilvl="6">
      <w:start w:val="1"/>
      <w:numFmt w:val="bullet"/>
      <w:lvlText w:val=""/>
      <w:lvlJc w:val="left"/>
      <w:pPr>
        <w:ind w:left="3774" w:hanging="357"/>
      </w:pPr>
      <w:rPr>
        <w:rFonts w:ascii="Symbol" w:hAnsi="Symbol" w:hint="default"/>
      </w:rPr>
    </w:lvl>
    <w:lvl w:ilvl="7">
      <w:start w:val="1"/>
      <w:numFmt w:val="bullet"/>
      <w:lvlText w:val="o"/>
      <w:lvlJc w:val="left"/>
      <w:pPr>
        <w:ind w:left="4284" w:hanging="357"/>
      </w:pPr>
      <w:rPr>
        <w:rFonts w:ascii="Courier New" w:hAnsi="Courier New" w:cs="Courier New" w:hint="default"/>
      </w:rPr>
    </w:lvl>
    <w:lvl w:ilvl="8">
      <w:start w:val="1"/>
      <w:numFmt w:val="bullet"/>
      <w:lvlText w:val=""/>
      <w:lvlJc w:val="left"/>
      <w:pPr>
        <w:ind w:left="4794" w:hanging="357"/>
      </w:pPr>
      <w:rPr>
        <w:rFonts w:ascii="Wingdings" w:hAnsi="Wingdings" w:hint="default"/>
      </w:rPr>
    </w:lvl>
  </w:abstractNum>
  <w:num w:numId="1" w16cid:durableId="1173646007">
    <w:abstractNumId w:val="2"/>
  </w:num>
  <w:num w:numId="2" w16cid:durableId="606697154">
    <w:abstractNumId w:val="0"/>
  </w:num>
  <w:num w:numId="3" w16cid:durableId="709107088">
    <w:abstractNumId w:val="3"/>
  </w:num>
  <w:num w:numId="4" w16cid:durableId="251135389">
    <w:abstractNumId w:val="6"/>
  </w:num>
  <w:num w:numId="5" w16cid:durableId="846332486">
    <w:abstractNumId w:val="11"/>
  </w:num>
  <w:num w:numId="6" w16cid:durableId="274336595">
    <w:abstractNumId w:val="1"/>
  </w:num>
  <w:num w:numId="7" w16cid:durableId="101993685">
    <w:abstractNumId w:val="4"/>
  </w:num>
  <w:num w:numId="8" w16cid:durableId="1217735981">
    <w:abstractNumId w:val="5"/>
  </w:num>
  <w:num w:numId="9" w16cid:durableId="1501769912">
    <w:abstractNumId w:val="12"/>
  </w:num>
  <w:num w:numId="10" w16cid:durableId="1726487088">
    <w:abstractNumId w:val="9"/>
  </w:num>
  <w:num w:numId="11" w16cid:durableId="147718846">
    <w:abstractNumId w:val="13"/>
  </w:num>
  <w:num w:numId="12" w16cid:durableId="502091850">
    <w:abstractNumId w:val="10"/>
  </w:num>
  <w:num w:numId="13" w16cid:durableId="1826821626">
    <w:abstractNumId w:val="8"/>
  </w:num>
  <w:num w:numId="14" w16cid:durableId="197829255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719"/>
    <w:rsid w:val="00003423"/>
    <w:rsid w:val="00017308"/>
    <w:rsid w:val="00024823"/>
    <w:rsid w:val="00106564"/>
    <w:rsid w:val="00120321"/>
    <w:rsid w:val="001258BD"/>
    <w:rsid w:val="001364B8"/>
    <w:rsid w:val="001440B3"/>
    <w:rsid w:val="00144F2B"/>
    <w:rsid w:val="00146D0E"/>
    <w:rsid w:val="00172350"/>
    <w:rsid w:val="00174F74"/>
    <w:rsid w:val="001C3EE6"/>
    <w:rsid w:val="00214050"/>
    <w:rsid w:val="00214336"/>
    <w:rsid w:val="00222933"/>
    <w:rsid w:val="00264823"/>
    <w:rsid w:val="002805EF"/>
    <w:rsid w:val="00283719"/>
    <w:rsid w:val="002C0E8D"/>
    <w:rsid w:val="00320399"/>
    <w:rsid w:val="003375FB"/>
    <w:rsid w:val="00342E45"/>
    <w:rsid w:val="00354A75"/>
    <w:rsid w:val="00377A91"/>
    <w:rsid w:val="003800BB"/>
    <w:rsid w:val="00393BC6"/>
    <w:rsid w:val="003C357C"/>
    <w:rsid w:val="0040420B"/>
    <w:rsid w:val="0042011A"/>
    <w:rsid w:val="004B00AE"/>
    <w:rsid w:val="004D1FA2"/>
    <w:rsid w:val="0052003C"/>
    <w:rsid w:val="00525963"/>
    <w:rsid w:val="00560E47"/>
    <w:rsid w:val="005A7ADD"/>
    <w:rsid w:val="005E41FE"/>
    <w:rsid w:val="00624920"/>
    <w:rsid w:val="006441F5"/>
    <w:rsid w:val="00647209"/>
    <w:rsid w:val="0068287B"/>
    <w:rsid w:val="00690CBD"/>
    <w:rsid w:val="00695E9F"/>
    <w:rsid w:val="006C6B8E"/>
    <w:rsid w:val="006C7602"/>
    <w:rsid w:val="006D3EA0"/>
    <w:rsid w:val="00715D82"/>
    <w:rsid w:val="0077043D"/>
    <w:rsid w:val="0077082A"/>
    <w:rsid w:val="00820C00"/>
    <w:rsid w:val="00851A4E"/>
    <w:rsid w:val="008714B6"/>
    <w:rsid w:val="00882678"/>
    <w:rsid w:val="009062D1"/>
    <w:rsid w:val="009539C0"/>
    <w:rsid w:val="00970436"/>
    <w:rsid w:val="009823CB"/>
    <w:rsid w:val="00A41850"/>
    <w:rsid w:val="00A42808"/>
    <w:rsid w:val="00A43CA8"/>
    <w:rsid w:val="00A5542B"/>
    <w:rsid w:val="00A7197B"/>
    <w:rsid w:val="00A75239"/>
    <w:rsid w:val="00A759B1"/>
    <w:rsid w:val="00A96981"/>
    <w:rsid w:val="00A97AF2"/>
    <w:rsid w:val="00AA35F7"/>
    <w:rsid w:val="00AC1C15"/>
    <w:rsid w:val="00B010C0"/>
    <w:rsid w:val="00B976A6"/>
    <w:rsid w:val="00BA4EE3"/>
    <w:rsid w:val="00BC20A0"/>
    <w:rsid w:val="00BC42AB"/>
    <w:rsid w:val="00BE14A7"/>
    <w:rsid w:val="00BE591D"/>
    <w:rsid w:val="00BF5766"/>
    <w:rsid w:val="00C12AC5"/>
    <w:rsid w:val="00C165D7"/>
    <w:rsid w:val="00C62236"/>
    <w:rsid w:val="00C640A1"/>
    <w:rsid w:val="00CA1BEE"/>
    <w:rsid w:val="00CC560D"/>
    <w:rsid w:val="00CE743C"/>
    <w:rsid w:val="00D15876"/>
    <w:rsid w:val="00D33FC5"/>
    <w:rsid w:val="00D61D64"/>
    <w:rsid w:val="00DA0273"/>
    <w:rsid w:val="00DB3D20"/>
    <w:rsid w:val="00DB51FB"/>
    <w:rsid w:val="00DC00B7"/>
    <w:rsid w:val="00DC7BFA"/>
    <w:rsid w:val="00DD35C5"/>
    <w:rsid w:val="00DE0584"/>
    <w:rsid w:val="00DF0B9D"/>
    <w:rsid w:val="00E445B9"/>
    <w:rsid w:val="00E4748F"/>
    <w:rsid w:val="00E73E3D"/>
    <w:rsid w:val="00ED1EFF"/>
    <w:rsid w:val="00EF280A"/>
    <w:rsid w:val="00F217DB"/>
    <w:rsid w:val="00F30672"/>
    <w:rsid w:val="00F42250"/>
    <w:rsid w:val="00F659DD"/>
    <w:rsid w:val="00F8735C"/>
    <w:rsid w:val="00FC7B48"/>
    <w:rsid w:val="00FE6C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4D4E91"/>
  <w15:docId w15:val="{A3F90559-4C1D-4F0C-9091-0A48F864F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5F7"/>
    <w:rPr>
      <w:sz w:val="24"/>
      <w:lang w:eastAsia="en-US"/>
    </w:rPr>
  </w:style>
  <w:style w:type="paragraph" w:styleId="Heading1">
    <w:name w:val="heading 1"/>
    <w:basedOn w:val="Normal"/>
    <w:next w:val="Normal"/>
    <w:qFormat/>
    <w:rsid w:val="00AA35F7"/>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AA35F7"/>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AA35F7"/>
    <w:pPr>
      <w:keepNext/>
      <w:pBdr>
        <w:right w:val="single" w:sz="4" w:space="4" w:color="auto"/>
      </w:pBdr>
      <w:outlineLvl w:val="2"/>
    </w:pPr>
    <w:rPr>
      <w:i/>
      <w:iCs/>
      <w:sz w:val="22"/>
      <w:szCs w:val="22"/>
    </w:rPr>
  </w:style>
  <w:style w:type="paragraph" w:styleId="Heading4">
    <w:name w:val="heading 4"/>
    <w:basedOn w:val="Normal"/>
    <w:next w:val="Normal"/>
    <w:qFormat/>
    <w:rsid w:val="00AA35F7"/>
    <w:pPr>
      <w:keepNext/>
      <w:pBdr>
        <w:right w:val="single" w:sz="4" w:space="4" w:color="auto"/>
      </w:pBdr>
      <w:ind w:left="743" w:hanging="709"/>
      <w:outlineLvl w:val="3"/>
    </w:pPr>
    <w:rPr>
      <w:i/>
      <w:iCs/>
      <w:sz w:val="22"/>
      <w:szCs w:val="22"/>
    </w:rPr>
  </w:style>
  <w:style w:type="paragraph" w:styleId="Heading5">
    <w:name w:val="heading 5"/>
    <w:basedOn w:val="Normal"/>
    <w:next w:val="Normal"/>
    <w:link w:val="Heading5Char"/>
    <w:uiPriority w:val="9"/>
    <w:semiHidden/>
    <w:unhideWhenUsed/>
    <w:qFormat/>
    <w:rsid w:val="00144F2B"/>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22"/>
    <w:qFormat/>
    <w:rsid w:val="00AA35F7"/>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link w:val="FooterChar"/>
    <w:uiPriority w:val="99"/>
    <w:rsid w:val="00AA35F7"/>
    <w:pPr>
      <w:tabs>
        <w:tab w:val="left" w:pos="2880"/>
      </w:tabs>
      <w:spacing w:before="120" w:after="60" w:line="240" w:lineRule="exact"/>
    </w:pPr>
    <w:rPr>
      <w:rFonts w:ascii="Arial" w:hAnsi="Arial"/>
      <w:sz w:val="18"/>
    </w:rPr>
  </w:style>
  <w:style w:type="paragraph" w:customStyle="1" w:styleId="Billname">
    <w:name w:val="Billname"/>
    <w:basedOn w:val="Normal"/>
    <w:rsid w:val="00AA35F7"/>
    <w:pPr>
      <w:tabs>
        <w:tab w:val="left" w:pos="2400"/>
        <w:tab w:val="left" w:pos="2880"/>
      </w:tabs>
      <w:spacing w:before="1220" w:after="100"/>
    </w:pPr>
    <w:rPr>
      <w:rFonts w:ascii="Arial" w:hAnsi="Arial"/>
      <w:b/>
      <w:sz w:val="40"/>
    </w:rPr>
  </w:style>
  <w:style w:type="paragraph" w:customStyle="1" w:styleId="Amain">
    <w:name w:val="A main"/>
    <w:basedOn w:val="Normal"/>
    <w:rsid w:val="00AA35F7"/>
    <w:pPr>
      <w:tabs>
        <w:tab w:val="right" w:pos="500"/>
        <w:tab w:val="left" w:pos="700"/>
      </w:tabs>
      <w:spacing w:before="80" w:after="60"/>
      <w:ind w:left="700" w:hanging="700"/>
      <w:jc w:val="both"/>
      <w:outlineLvl w:val="5"/>
    </w:pPr>
  </w:style>
  <w:style w:type="paragraph" w:customStyle="1" w:styleId="N-line3">
    <w:name w:val="N-line3"/>
    <w:basedOn w:val="Normal"/>
    <w:next w:val="Normal"/>
    <w:rsid w:val="00AA35F7"/>
    <w:pPr>
      <w:pBdr>
        <w:bottom w:val="single" w:sz="12" w:space="1" w:color="auto"/>
      </w:pBdr>
      <w:jc w:val="both"/>
    </w:pPr>
  </w:style>
  <w:style w:type="paragraph" w:customStyle="1" w:styleId="madeunder">
    <w:name w:val="made under"/>
    <w:basedOn w:val="Normal"/>
    <w:rsid w:val="00AA35F7"/>
    <w:pPr>
      <w:spacing w:before="180" w:after="60"/>
      <w:jc w:val="both"/>
    </w:pPr>
  </w:style>
  <w:style w:type="paragraph" w:customStyle="1" w:styleId="CoverActName">
    <w:name w:val="CoverActName"/>
    <w:basedOn w:val="Normal"/>
    <w:rsid w:val="00AA35F7"/>
    <w:pPr>
      <w:tabs>
        <w:tab w:val="left" w:pos="2600"/>
      </w:tabs>
      <w:spacing w:before="200" w:after="60"/>
      <w:jc w:val="both"/>
    </w:pPr>
    <w:rPr>
      <w:rFonts w:ascii="Arial" w:hAnsi="Arial"/>
      <w:b/>
    </w:rPr>
  </w:style>
  <w:style w:type="paragraph" w:customStyle="1" w:styleId="06Copyright">
    <w:name w:val="06Copyright"/>
    <w:basedOn w:val="Normal"/>
    <w:rsid w:val="00AA35F7"/>
    <w:pPr>
      <w:tabs>
        <w:tab w:val="left" w:pos="2880"/>
      </w:tabs>
    </w:pPr>
  </w:style>
  <w:style w:type="paragraph" w:customStyle="1" w:styleId="Apara">
    <w:name w:val="A para"/>
    <w:basedOn w:val="Normal"/>
    <w:rsid w:val="00AA35F7"/>
    <w:pPr>
      <w:numPr>
        <w:ilvl w:val="6"/>
        <w:numId w:val="9"/>
      </w:numPr>
      <w:spacing w:before="80" w:after="60"/>
      <w:jc w:val="both"/>
      <w:outlineLvl w:val="6"/>
    </w:pPr>
  </w:style>
  <w:style w:type="paragraph" w:customStyle="1" w:styleId="Asubpara">
    <w:name w:val="A subpara"/>
    <w:basedOn w:val="Normal"/>
    <w:rsid w:val="00AA35F7"/>
    <w:pPr>
      <w:numPr>
        <w:ilvl w:val="7"/>
        <w:numId w:val="9"/>
      </w:numPr>
      <w:spacing w:before="80" w:after="60"/>
      <w:jc w:val="both"/>
      <w:outlineLvl w:val="7"/>
    </w:pPr>
  </w:style>
  <w:style w:type="paragraph" w:customStyle="1" w:styleId="Asubsubpara">
    <w:name w:val="A subsubpara"/>
    <w:basedOn w:val="Normal"/>
    <w:rsid w:val="00AA35F7"/>
    <w:pPr>
      <w:numPr>
        <w:ilvl w:val="8"/>
        <w:numId w:val="9"/>
      </w:numPr>
      <w:spacing w:before="80" w:after="60"/>
      <w:jc w:val="both"/>
      <w:outlineLvl w:val="8"/>
    </w:pPr>
  </w:style>
  <w:style w:type="paragraph" w:customStyle="1" w:styleId="AH5Sec">
    <w:name w:val="A H5 Sec"/>
    <w:basedOn w:val="Normal"/>
    <w:next w:val="Amain"/>
    <w:rsid w:val="00AA35F7"/>
    <w:pPr>
      <w:keepNext/>
      <w:numPr>
        <w:ilvl w:val="4"/>
        <w:numId w:val="1"/>
      </w:numPr>
      <w:spacing w:before="180" w:after="60"/>
      <w:outlineLvl w:val="4"/>
    </w:pPr>
    <w:rPr>
      <w:rFonts w:ascii="Arial" w:hAnsi="Arial"/>
      <w:b/>
    </w:rPr>
  </w:style>
  <w:style w:type="paragraph" w:styleId="Header">
    <w:name w:val="header"/>
    <w:basedOn w:val="Normal"/>
    <w:semiHidden/>
    <w:rsid w:val="00AA35F7"/>
    <w:pPr>
      <w:tabs>
        <w:tab w:val="left" w:pos="2880"/>
        <w:tab w:val="center" w:pos="4153"/>
        <w:tab w:val="right" w:pos="8306"/>
      </w:tabs>
    </w:pPr>
  </w:style>
  <w:style w:type="paragraph" w:customStyle="1" w:styleId="ref">
    <w:name w:val="ref"/>
    <w:basedOn w:val="Normal"/>
    <w:next w:val="Normal"/>
    <w:rsid w:val="00AA35F7"/>
    <w:pPr>
      <w:spacing w:after="60"/>
      <w:jc w:val="both"/>
    </w:pPr>
    <w:rPr>
      <w:sz w:val="18"/>
    </w:rPr>
  </w:style>
  <w:style w:type="character" w:customStyle="1" w:styleId="CharDivText">
    <w:name w:val="CharDivText"/>
    <w:basedOn w:val="DefaultParagraphFont"/>
    <w:rsid w:val="00AA35F7"/>
  </w:style>
  <w:style w:type="paragraph" w:customStyle="1" w:styleId="CoverInForce">
    <w:name w:val="CoverInForce"/>
    <w:basedOn w:val="Normal"/>
    <w:rsid w:val="00AA35F7"/>
    <w:pPr>
      <w:tabs>
        <w:tab w:val="left" w:pos="2600"/>
      </w:tabs>
      <w:spacing w:before="200" w:after="60"/>
      <w:jc w:val="both"/>
    </w:pPr>
    <w:rPr>
      <w:rFonts w:ascii="Arial" w:hAnsi="Arial"/>
    </w:rPr>
  </w:style>
  <w:style w:type="paragraph" w:customStyle="1" w:styleId="AFHdg">
    <w:name w:val="AFHdg"/>
    <w:basedOn w:val="Normal"/>
    <w:rsid w:val="00AA35F7"/>
    <w:pPr>
      <w:tabs>
        <w:tab w:val="left" w:pos="2600"/>
      </w:tabs>
      <w:spacing w:before="80" w:after="60"/>
      <w:jc w:val="both"/>
    </w:pPr>
    <w:rPr>
      <w:rFonts w:ascii="Arial" w:hAnsi="Arial"/>
      <w:b/>
      <w:sz w:val="32"/>
    </w:rPr>
  </w:style>
  <w:style w:type="paragraph" w:customStyle="1" w:styleId="ApprFormHd">
    <w:name w:val="ApprFormHd"/>
    <w:basedOn w:val="Normal"/>
    <w:rsid w:val="00AA35F7"/>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AA35F7"/>
  </w:style>
  <w:style w:type="paragraph" w:customStyle="1" w:styleId="Aparabullet">
    <w:name w:val="A para bullet"/>
    <w:basedOn w:val="Normal"/>
    <w:rsid w:val="00AA35F7"/>
    <w:pPr>
      <w:numPr>
        <w:numId w:val="4"/>
      </w:numPr>
    </w:pPr>
  </w:style>
  <w:style w:type="paragraph" w:styleId="TOC1">
    <w:name w:val="toc 1"/>
    <w:basedOn w:val="Normal"/>
    <w:next w:val="Normal"/>
    <w:autoRedefine/>
    <w:semiHidden/>
    <w:rsid w:val="00AA35F7"/>
  </w:style>
  <w:style w:type="paragraph" w:styleId="TOC2">
    <w:name w:val="toc 2"/>
    <w:basedOn w:val="Normal"/>
    <w:next w:val="Normal"/>
    <w:autoRedefine/>
    <w:semiHidden/>
    <w:rsid w:val="00AA35F7"/>
    <w:pPr>
      <w:ind w:left="240"/>
    </w:pPr>
  </w:style>
  <w:style w:type="paragraph" w:styleId="TOC3">
    <w:name w:val="toc 3"/>
    <w:basedOn w:val="Normal"/>
    <w:next w:val="Normal"/>
    <w:autoRedefine/>
    <w:semiHidden/>
    <w:rsid w:val="00AA35F7"/>
    <w:pPr>
      <w:ind w:left="480"/>
    </w:pPr>
  </w:style>
  <w:style w:type="paragraph" w:styleId="TOC4">
    <w:name w:val="toc 4"/>
    <w:basedOn w:val="Normal"/>
    <w:next w:val="Normal"/>
    <w:autoRedefine/>
    <w:semiHidden/>
    <w:rsid w:val="00AA35F7"/>
    <w:pPr>
      <w:ind w:left="720"/>
    </w:pPr>
  </w:style>
  <w:style w:type="paragraph" w:styleId="TOC5">
    <w:name w:val="toc 5"/>
    <w:basedOn w:val="Normal"/>
    <w:next w:val="Normal"/>
    <w:autoRedefine/>
    <w:semiHidden/>
    <w:rsid w:val="00AA35F7"/>
    <w:pPr>
      <w:ind w:left="960"/>
    </w:pPr>
  </w:style>
  <w:style w:type="paragraph" w:styleId="TOC6">
    <w:name w:val="toc 6"/>
    <w:basedOn w:val="Normal"/>
    <w:next w:val="Normal"/>
    <w:autoRedefine/>
    <w:semiHidden/>
    <w:rsid w:val="00AA35F7"/>
    <w:pPr>
      <w:ind w:left="1200"/>
    </w:pPr>
  </w:style>
  <w:style w:type="paragraph" w:styleId="TOC7">
    <w:name w:val="toc 7"/>
    <w:basedOn w:val="Normal"/>
    <w:next w:val="Normal"/>
    <w:autoRedefine/>
    <w:semiHidden/>
    <w:rsid w:val="00AA35F7"/>
    <w:pPr>
      <w:ind w:left="1440"/>
    </w:pPr>
  </w:style>
  <w:style w:type="paragraph" w:styleId="TOC8">
    <w:name w:val="toc 8"/>
    <w:basedOn w:val="Normal"/>
    <w:next w:val="Normal"/>
    <w:autoRedefine/>
    <w:semiHidden/>
    <w:rsid w:val="00AA35F7"/>
    <w:pPr>
      <w:ind w:left="1680"/>
    </w:pPr>
  </w:style>
  <w:style w:type="paragraph" w:styleId="TOC9">
    <w:name w:val="toc 9"/>
    <w:basedOn w:val="Normal"/>
    <w:next w:val="Normal"/>
    <w:autoRedefine/>
    <w:semiHidden/>
    <w:rsid w:val="00AA35F7"/>
    <w:pPr>
      <w:ind w:left="1920"/>
    </w:pPr>
  </w:style>
  <w:style w:type="character" w:styleId="Hyperlink">
    <w:name w:val="Hyperlink"/>
    <w:basedOn w:val="DefaultParagraphFont"/>
    <w:semiHidden/>
    <w:rsid w:val="00AA35F7"/>
    <w:rPr>
      <w:color w:val="0000FF"/>
      <w:u w:val="single"/>
    </w:rPr>
  </w:style>
  <w:style w:type="paragraph" w:styleId="BodyTextIndent">
    <w:name w:val="Body Text Indent"/>
    <w:basedOn w:val="Normal"/>
    <w:semiHidden/>
    <w:rsid w:val="00AA35F7"/>
    <w:pPr>
      <w:spacing w:before="120" w:after="60"/>
      <w:ind w:left="709"/>
    </w:pPr>
  </w:style>
  <w:style w:type="paragraph" w:customStyle="1" w:styleId="Minister">
    <w:name w:val="Minister"/>
    <w:basedOn w:val="Normal"/>
    <w:rsid w:val="00AA35F7"/>
    <w:pPr>
      <w:spacing w:before="880" w:after="60"/>
      <w:jc w:val="right"/>
    </w:pPr>
    <w:rPr>
      <w:caps/>
      <w:szCs w:val="24"/>
    </w:rPr>
  </w:style>
  <w:style w:type="paragraph" w:customStyle="1" w:styleId="DateLine">
    <w:name w:val="DateLine"/>
    <w:basedOn w:val="Normal"/>
    <w:rsid w:val="00AA35F7"/>
    <w:pPr>
      <w:tabs>
        <w:tab w:val="left" w:pos="4320"/>
      </w:tabs>
      <w:spacing w:before="80" w:after="60"/>
      <w:jc w:val="both"/>
    </w:pPr>
    <w:rPr>
      <w:szCs w:val="24"/>
    </w:rPr>
  </w:style>
  <w:style w:type="paragraph" w:customStyle="1" w:styleId="MinisterWord">
    <w:name w:val="MinisterWord"/>
    <w:basedOn w:val="Normal"/>
    <w:rsid w:val="00AA35F7"/>
    <w:pPr>
      <w:tabs>
        <w:tab w:val="left" w:pos="2880"/>
      </w:tabs>
      <w:jc w:val="right"/>
    </w:pPr>
    <w:rPr>
      <w:szCs w:val="24"/>
    </w:rPr>
  </w:style>
  <w:style w:type="character" w:styleId="FollowedHyperlink">
    <w:name w:val="FollowedHyperlink"/>
    <w:basedOn w:val="DefaultParagraphFont"/>
    <w:semiHidden/>
    <w:rsid w:val="00AA35F7"/>
    <w:rPr>
      <w:color w:val="800080"/>
      <w:u w:val="single"/>
    </w:rPr>
  </w:style>
  <w:style w:type="character" w:styleId="FootnoteReference">
    <w:name w:val="footnote reference"/>
    <w:basedOn w:val="DefaultParagraphFont"/>
    <w:semiHidden/>
    <w:rsid w:val="00AA35F7"/>
    <w:rPr>
      <w:rFonts w:ascii="Times New Roman" w:hAnsi="Times New Roman" w:cs="Times New Roman"/>
      <w:sz w:val="24"/>
      <w:szCs w:val="24"/>
      <w:vertAlign w:val="superscript"/>
    </w:rPr>
  </w:style>
  <w:style w:type="paragraph" w:styleId="FootnoteText">
    <w:name w:val="footnote text"/>
    <w:basedOn w:val="Normal"/>
    <w:semiHidden/>
    <w:rsid w:val="00AA35F7"/>
    <w:pPr>
      <w:spacing w:before="80" w:after="60"/>
      <w:jc w:val="both"/>
    </w:pPr>
    <w:rPr>
      <w:szCs w:val="24"/>
    </w:rPr>
  </w:style>
  <w:style w:type="paragraph" w:customStyle="1" w:styleId="ShadedSchClause">
    <w:name w:val="Shaded Sch Clause"/>
    <w:basedOn w:val="Normal"/>
    <w:next w:val="Normal"/>
    <w:rsid w:val="00AA35F7"/>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AA35F7"/>
  </w:style>
  <w:style w:type="paragraph" w:styleId="ListParagraph">
    <w:name w:val="List Paragraph"/>
    <w:basedOn w:val="Normal"/>
    <w:uiPriority w:val="34"/>
    <w:qFormat/>
    <w:rsid w:val="00F30672"/>
    <w:pPr>
      <w:ind w:left="720"/>
      <w:contextualSpacing/>
    </w:pPr>
  </w:style>
  <w:style w:type="paragraph" w:customStyle="1" w:styleId="IntroParagraph">
    <w:name w:val="Intro Paragraph"/>
    <w:basedOn w:val="Normal"/>
    <w:link w:val="IntroParagraphChar"/>
    <w:qFormat/>
    <w:rsid w:val="00144F2B"/>
    <w:pPr>
      <w:spacing w:before="300" w:after="300" w:line="276" w:lineRule="auto"/>
    </w:pPr>
    <w:rPr>
      <w:rFonts w:ascii="Calibri" w:hAnsi="Calibri"/>
      <w:color w:val="7030A0"/>
      <w:sz w:val="26"/>
    </w:rPr>
  </w:style>
  <w:style w:type="character" w:customStyle="1" w:styleId="IntroParagraphChar">
    <w:name w:val="Intro Paragraph Char"/>
    <w:basedOn w:val="DefaultParagraphFont"/>
    <w:link w:val="IntroParagraph"/>
    <w:rsid w:val="00144F2B"/>
    <w:rPr>
      <w:rFonts w:ascii="Calibri" w:hAnsi="Calibri"/>
      <w:color w:val="7030A0"/>
      <w:sz w:val="26"/>
      <w:lang w:eastAsia="en-US"/>
    </w:rPr>
  </w:style>
  <w:style w:type="character" w:customStyle="1" w:styleId="TitleChar">
    <w:name w:val="Title Char"/>
    <w:basedOn w:val="DefaultParagraphFont"/>
    <w:link w:val="Title"/>
    <w:uiPriority w:val="22"/>
    <w:rsid w:val="00144F2B"/>
    <w:rPr>
      <w:rFonts w:ascii="Arial" w:hAnsi="Arial"/>
      <w:b/>
      <w:kern w:val="28"/>
      <w:sz w:val="40"/>
      <w:lang w:eastAsia="en-US"/>
    </w:rPr>
  </w:style>
  <w:style w:type="paragraph" w:styleId="Subtitle">
    <w:name w:val="Subtitle"/>
    <w:basedOn w:val="Normal"/>
    <w:next w:val="Normal"/>
    <w:link w:val="SubtitleChar"/>
    <w:uiPriority w:val="23"/>
    <w:qFormat/>
    <w:rsid w:val="00144F2B"/>
    <w:pPr>
      <w:keepLines/>
      <w:numPr>
        <w:ilvl w:val="1"/>
      </w:numPr>
      <w:spacing w:before="120" w:after="480" w:line="360" w:lineRule="exact"/>
      <w:contextualSpacing/>
      <w:jc w:val="right"/>
    </w:pPr>
    <w:rPr>
      <w:rFonts w:asciiTheme="minorHAnsi" w:eastAsiaTheme="minorEastAsia" w:hAnsiTheme="minorHAnsi" w:cstheme="minorBidi"/>
      <w:bCs/>
      <w:color w:val="FFFFFF" w:themeColor="background1"/>
      <w:sz w:val="50"/>
      <w:szCs w:val="50"/>
    </w:rPr>
  </w:style>
  <w:style w:type="character" w:customStyle="1" w:styleId="SubtitleChar">
    <w:name w:val="Subtitle Char"/>
    <w:basedOn w:val="DefaultParagraphFont"/>
    <w:link w:val="Subtitle"/>
    <w:uiPriority w:val="23"/>
    <w:rsid w:val="00144F2B"/>
    <w:rPr>
      <w:rFonts w:asciiTheme="minorHAnsi" w:eastAsiaTheme="minorEastAsia" w:hAnsiTheme="minorHAnsi" w:cstheme="minorBidi"/>
      <w:bCs/>
      <w:color w:val="FFFFFF" w:themeColor="background1"/>
      <w:sz w:val="50"/>
      <w:szCs w:val="50"/>
      <w:lang w:eastAsia="en-US"/>
    </w:rPr>
  </w:style>
  <w:style w:type="character" w:customStyle="1" w:styleId="Heading5Char">
    <w:name w:val="Heading 5 Char"/>
    <w:basedOn w:val="DefaultParagraphFont"/>
    <w:link w:val="Heading5"/>
    <w:uiPriority w:val="9"/>
    <w:semiHidden/>
    <w:rsid w:val="00144F2B"/>
    <w:rPr>
      <w:rFonts w:asciiTheme="majorHAnsi" w:eastAsiaTheme="majorEastAsia" w:hAnsiTheme="majorHAnsi" w:cstheme="majorBidi"/>
      <w:color w:val="365F91" w:themeColor="accent1" w:themeShade="BF"/>
      <w:sz w:val="24"/>
      <w:lang w:eastAsia="en-US"/>
    </w:rPr>
  </w:style>
  <w:style w:type="paragraph" w:customStyle="1" w:styleId="bullet2">
    <w:name w:val="bullet 2"/>
    <w:basedOn w:val="Normal"/>
    <w:qFormat/>
    <w:rsid w:val="00144F2B"/>
    <w:pPr>
      <w:numPr>
        <w:numId w:val="11"/>
      </w:numPr>
      <w:spacing w:before="60" w:after="60" w:line="276" w:lineRule="auto"/>
    </w:pPr>
    <w:rPr>
      <w:rFonts w:ascii="Calibri" w:hAnsi="Calibri"/>
      <w:sz w:val="22"/>
    </w:rPr>
  </w:style>
  <w:style w:type="paragraph" w:customStyle="1" w:styleId="bullet1">
    <w:name w:val="bullet 1"/>
    <w:basedOn w:val="BodyText"/>
    <w:link w:val="bullet1Char"/>
    <w:qFormat/>
    <w:rsid w:val="002C0E8D"/>
    <w:pPr>
      <w:spacing w:before="60" w:after="60" w:line="276" w:lineRule="auto"/>
    </w:pPr>
    <w:rPr>
      <w:rFonts w:ascii="Calibri" w:hAnsi="Calibri"/>
      <w:sz w:val="22"/>
    </w:rPr>
  </w:style>
  <w:style w:type="character" w:customStyle="1" w:styleId="bullet1Char">
    <w:name w:val="bullet 1 Char"/>
    <w:basedOn w:val="DefaultParagraphFont"/>
    <w:link w:val="bullet1"/>
    <w:rsid w:val="002C0E8D"/>
    <w:rPr>
      <w:rFonts w:ascii="Calibri" w:hAnsi="Calibri"/>
      <w:sz w:val="22"/>
      <w:lang w:eastAsia="en-US"/>
    </w:rPr>
  </w:style>
  <w:style w:type="paragraph" w:styleId="BodyText">
    <w:name w:val="Body Text"/>
    <w:basedOn w:val="Normal"/>
    <w:link w:val="BodyTextChar"/>
    <w:uiPriority w:val="99"/>
    <w:semiHidden/>
    <w:unhideWhenUsed/>
    <w:rsid w:val="002C0E8D"/>
    <w:pPr>
      <w:spacing w:after="120"/>
    </w:pPr>
  </w:style>
  <w:style w:type="character" w:customStyle="1" w:styleId="BodyTextChar">
    <w:name w:val="Body Text Char"/>
    <w:basedOn w:val="DefaultParagraphFont"/>
    <w:link w:val="BodyText"/>
    <w:uiPriority w:val="99"/>
    <w:semiHidden/>
    <w:rsid w:val="002C0E8D"/>
    <w:rPr>
      <w:sz w:val="24"/>
      <w:lang w:eastAsia="en-US"/>
    </w:rPr>
  </w:style>
  <w:style w:type="character" w:customStyle="1" w:styleId="FooterChar">
    <w:name w:val="Footer Char"/>
    <w:basedOn w:val="DefaultParagraphFont"/>
    <w:link w:val="Footer"/>
    <w:uiPriority w:val="99"/>
    <w:rsid w:val="00146D0E"/>
    <w:rPr>
      <w:rFonts w:ascii="Arial" w:hAnsi="Arial"/>
      <w:sz w:val="18"/>
      <w:lang w:eastAsia="en-US"/>
    </w:rPr>
  </w:style>
  <w:style w:type="paragraph" w:styleId="Revision">
    <w:name w:val="Revision"/>
    <w:hidden/>
    <w:uiPriority w:val="99"/>
    <w:semiHidden/>
    <w:rsid w:val="00106564"/>
    <w:rPr>
      <w:sz w:val="24"/>
      <w:lang w:eastAsia="en-US"/>
    </w:rPr>
  </w:style>
  <w:style w:type="character" w:styleId="UnresolvedMention">
    <w:name w:val="Unresolved Mention"/>
    <w:basedOn w:val="DefaultParagraphFont"/>
    <w:uiPriority w:val="99"/>
    <w:semiHidden/>
    <w:unhideWhenUsed/>
    <w:rsid w:val="00560E47"/>
    <w:rPr>
      <w:color w:val="605E5C"/>
      <w:shd w:val="clear" w:color="auto" w:fill="E1DFDD"/>
    </w:rPr>
  </w:style>
  <w:style w:type="character" w:styleId="CommentReference">
    <w:name w:val="annotation reference"/>
    <w:basedOn w:val="DefaultParagraphFont"/>
    <w:uiPriority w:val="99"/>
    <w:semiHidden/>
    <w:unhideWhenUsed/>
    <w:rsid w:val="008714B6"/>
    <w:rPr>
      <w:sz w:val="16"/>
      <w:szCs w:val="16"/>
    </w:rPr>
  </w:style>
  <w:style w:type="paragraph" w:styleId="CommentText">
    <w:name w:val="annotation text"/>
    <w:basedOn w:val="Normal"/>
    <w:link w:val="CommentTextChar"/>
    <w:uiPriority w:val="99"/>
    <w:unhideWhenUsed/>
    <w:rsid w:val="008714B6"/>
    <w:rPr>
      <w:sz w:val="20"/>
    </w:rPr>
  </w:style>
  <w:style w:type="character" w:customStyle="1" w:styleId="CommentTextChar">
    <w:name w:val="Comment Text Char"/>
    <w:basedOn w:val="DefaultParagraphFont"/>
    <w:link w:val="CommentText"/>
    <w:uiPriority w:val="99"/>
    <w:rsid w:val="008714B6"/>
    <w:rPr>
      <w:lang w:eastAsia="en-US"/>
    </w:rPr>
  </w:style>
  <w:style w:type="paragraph" w:styleId="CommentSubject">
    <w:name w:val="annotation subject"/>
    <w:basedOn w:val="CommentText"/>
    <w:next w:val="CommentText"/>
    <w:link w:val="CommentSubjectChar"/>
    <w:uiPriority w:val="99"/>
    <w:semiHidden/>
    <w:unhideWhenUsed/>
    <w:rsid w:val="008714B6"/>
    <w:rPr>
      <w:b/>
      <w:bCs/>
    </w:rPr>
  </w:style>
  <w:style w:type="character" w:customStyle="1" w:styleId="CommentSubjectChar">
    <w:name w:val="Comment Subject Char"/>
    <w:basedOn w:val="CommentTextChar"/>
    <w:link w:val="CommentSubject"/>
    <w:uiPriority w:val="99"/>
    <w:semiHidden/>
    <w:rsid w:val="008714B6"/>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file:///\\nas327s1\PICC\CAMPAIGN%20and%20CREATIVE\Design_Hub\Branding\Post%20election%20options\Brand%20book%20update\Look%20&amp;%20feel%20development\Brand%20products%20various\AAA_Templates\Word%20templates\A4%20Reports\Content\Images\WHoG%20cover%20top\Cover%20WHoG%20long_.png"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afeworkaustralia.gov.au/sites/default/files/2023-02/Australian%20WHS%20Strategy%202023-33.pdf"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legislation.act.gov.au/ni/2020-68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2036</Words>
  <Characters>11808</Characters>
  <Application>Microsoft Office Word</Application>
  <DocSecurity>0</DocSecurity>
  <Lines>205</Lines>
  <Paragraphs>90</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13794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cp:lastPrinted>2004-04-05T00:37:00Z</cp:lastPrinted>
  <dcterms:created xsi:type="dcterms:W3CDTF">2023-11-06T00:14:00Z</dcterms:created>
  <dcterms:modified xsi:type="dcterms:W3CDTF">2023-11-06T00:14:00Z</dcterms:modified>
</cp:coreProperties>
</file>