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B229" w14:textId="77777777" w:rsidR="00F231FD" w:rsidRPr="00F231FD" w:rsidRDefault="00F231FD" w:rsidP="00F231FD">
      <w:pPr>
        <w:spacing w:before="120" w:after="0" w:line="240" w:lineRule="auto"/>
        <w:rPr>
          <w:rFonts w:ascii="Arial" w:eastAsia="Times New Roman" w:hAnsi="Arial" w:cs="Arial"/>
          <w:sz w:val="24"/>
          <w:szCs w:val="20"/>
        </w:rPr>
      </w:pPr>
      <w:bookmarkStart w:id="0" w:name="_Toc44738651"/>
      <w:r w:rsidRPr="00F231FD">
        <w:rPr>
          <w:rFonts w:ascii="Arial" w:eastAsia="Times New Roman" w:hAnsi="Arial" w:cs="Arial"/>
          <w:sz w:val="24"/>
          <w:szCs w:val="20"/>
        </w:rPr>
        <w:t>Australian Capital Territory</w:t>
      </w:r>
    </w:p>
    <w:p w14:paraId="6783C1D5" w14:textId="77777777" w:rsidR="00F231FD" w:rsidRPr="00F231FD" w:rsidRDefault="00F231FD" w:rsidP="00F231FD">
      <w:pPr>
        <w:tabs>
          <w:tab w:val="left" w:pos="2400"/>
          <w:tab w:val="left" w:pos="2880"/>
        </w:tabs>
        <w:spacing w:before="700" w:after="100" w:line="240" w:lineRule="auto"/>
        <w:rPr>
          <w:rFonts w:ascii="Arial" w:eastAsia="Times New Roman" w:hAnsi="Arial" w:cs="Times New Roman"/>
          <w:b/>
          <w:sz w:val="40"/>
          <w:szCs w:val="20"/>
        </w:rPr>
      </w:pPr>
      <w:r w:rsidRPr="00F231FD">
        <w:rPr>
          <w:rFonts w:ascii="Arial" w:eastAsia="Times New Roman" w:hAnsi="Arial" w:cs="Times New Roman"/>
          <w:b/>
          <w:sz w:val="40"/>
          <w:szCs w:val="20"/>
        </w:rPr>
        <w:t>Corrections Management (Transitional Release Centre Visits) Operating Procedure 2023</w:t>
      </w:r>
    </w:p>
    <w:p w14:paraId="44AFFAA5" w14:textId="77777777" w:rsidR="00F231FD" w:rsidRPr="00F231FD" w:rsidRDefault="00F231FD" w:rsidP="00F231FD">
      <w:pPr>
        <w:spacing w:before="340" w:after="0" w:line="240" w:lineRule="auto"/>
        <w:rPr>
          <w:rFonts w:ascii="Arial" w:eastAsia="Times New Roman" w:hAnsi="Arial" w:cs="Arial"/>
          <w:b/>
          <w:bCs/>
          <w:sz w:val="24"/>
          <w:szCs w:val="20"/>
        </w:rPr>
      </w:pPr>
      <w:r w:rsidRPr="00F231FD">
        <w:rPr>
          <w:rFonts w:ascii="Arial" w:eastAsia="Times New Roman" w:hAnsi="Arial" w:cs="Arial"/>
          <w:b/>
          <w:bCs/>
          <w:sz w:val="24"/>
          <w:szCs w:val="20"/>
        </w:rPr>
        <w:t>Notifiable instrument NI2023–83</w:t>
      </w:r>
    </w:p>
    <w:p w14:paraId="2E2F65DB" w14:textId="77777777" w:rsidR="00F231FD" w:rsidRPr="00F231FD" w:rsidRDefault="00F231FD" w:rsidP="00F231FD">
      <w:pPr>
        <w:spacing w:before="300" w:after="0" w:line="240" w:lineRule="auto"/>
        <w:jc w:val="both"/>
        <w:rPr>
          <w:rFonts w:ascii="Times New Roman" w:eastAsia="Times New Roman" w:hAnsi="Times New Roman" w:cs="Times New Roman"/>
          <w:sz w:val="24"/>
          <w:szCs w:val="20"/>
        </w:rPr>
      </w:pPr>
      <w:r w:rsidRPr="00F231FD">
        <w:rPr>
          <w:rFonts w:ascii="Times New Roman" w:eastAsia="Times New Roman" w:hAnsi="Times New Roman" w:cs="Times New Roman"/>
          <w:sz w:val="24"/>
          <w:szCs w:val="20"/>
        </w:rPr>
        <w:t xml:space="preserve">made under the  </w:t>
      </w:r>
    </w:p>
    <w:p w14:paraId="6B635B32" w14:textId="77777777" w:rsidR="00F231FD" w:rsidRPr="00F231FD" w:rsidRDefault="00F231FD" w:rsidP="00F231FD">
      <w:pPr>
        <w:tabs>
          <w:tab w:val="left" w:pos="2600"/>
        </w:tabs>
        <w:spacing w:before="320" w:after="0" w:line="240" w:lineRule="auto"/>
        <w:rPr>
          <w:rFonts w:ascii="Arial" w:eastAsia="Times New Roman" w:hAnsi="Arial" w:cs="Arial"/>
          <w:b/>
          <w:sz w:val="20"/>
          <w:szCs w:val="20"/>
        </w:rPr>
      </w:pPr>
      <w:r w:rsidRPr="00F231FD">
        <w:rPr>
          <w:rFonts w:ascii="Arial" w:eastAsia="Times New Roman" w:hAnsi="Arial" w:cs="Arial"/>
          <w:b/>
          <w:sz w:val="20"/>
          <w:szCs w:val="20"/>
        </w:rPr>
        <w:t xml:space="preserve">Corrections Management Act 2007, s14 (Corrections policies and operating procedures) </w:t>
      </w:r>
    </w:p>
    <w:p w14:paraId="5DAE88CB" w14:textId="77777777" w:rsidR="00F231FD" w:rsidRPr="00F231FD" w:rsidRDefault="00F231FD" w:rsidP="00F231FD">
      <w:pPr>
        <w:spacing w:before="60" w:after="0" w:line="240" w:lineRule="auto"/>
        <w:jc w:val="both"/>
        <w:rPr>
          <w:rFonts w:ascii="Times New Roman" w:eastAsia="Times New Roman" w:hAnsi="Times New Roman" w:cs="Times New Roman"/>
          <w:sz w:val="24"/>
          <w:szCs w:val="20"/>
        </w:rPr>
      </w:pPr>
    </w:p>
    <w:p w14:paraId="0BC2C8DD" w14:textId="77777777" w:rsidR="00F231FD" w:rsidRPr="00F231FD" w:rsidRDefault="00F231FD" w:rsidP="00F231FD">
      <w:pPr>
        <w:pBdr>
          <w:top w:val="single" w:sz="12" w:space="1" w:color="auto"/>
        </w:pBdr>
        <w:spacing w:after="0" w:line="240" w:lineRule="auto"/>
        <w:jc w:val="both"/>
        <w:rPr>
          <w:rFonts w:ascii="Times New Roman" w:eastAsia="Times New Roman" w:hAnsi="Times New Roman" w:cs="Times New Roman"/>
          <w:sz w:val="24"/>
          <w:szCs w:val="20"/>
        </w:rPr>
      </w:pPr>
    </w:p>
    <w:p w14:paraId="4AA07617" w14:textId="77777777" w:rsidR="00F231FD" w:rsidRPr="00F231FD" w:rsidRDefault="00F231FD" w:rsidP="00F231FD">
      <w:pPr>
        <w:spacing w:before="60" w:after="60" w:line="240" w:lineRule="auto"/>
        <w:ind w:left="720" w:hanging="720"/>
        <w:rPr>
          <w:rFonts w:ascii="Arial" w:eastAsia="Times New Roman" w:hAnsi="Arial" w:cs="Arial"/>
          <w:b/>
          <w:bCs/>
          <w:sz w:val="24"/>
          <w:szCs w:val="20"/>
        </w:rPr>
      </w:pPr>
      <w:r w:rsidRPr="00F231FD">
        <w:rPr>
          <w:rFonts w:ascii="Arial" w:eastAsia="Times New Roman" w:hAnsi="Arial" w:cs="Arial"/>
          <w:b/>
          <w:bCs/>
          <w:sz w:val="24"/>
          <w:szCs w:val="20"/>
        </w:rPr>
        <w:t>1</w:t>
      </w:r>
      <w:r w:rsidRPr="00F231FD">
        <w:rPr>
          <w:rFonts w:ascii="Arial" w:eastAsia="Times New Roman" w:hAnsi="Arial" w:cs="Arial"/>
          <w:b/>
          <w:bCs/>
          <w:sz w:val="24"/>
          <w:szCs w:val="20"/>
        </w:rPr>
        <w:tab/>
        <w:t>Name of instrument</w:t>
      </w:r>
    </w:p>
    <w:p w14:paraId="08DF25DA" w14:textId="77777777" w:rsidR="00F231FD" w:rsidRPr="00F231FD" w:rsidRDefault="00F231FD" w:rsidP="00F231FD">
      <w:pPr>
        <w:spacing w:before="140" w:after="0" w:line="240" w:lineRule="auto"/>
        <w:ind w:left="720"/>
        <w:rPr>
          <w:rFonts w:ascii="Times New Roman" w:eastAsia="Times New Roman" w:hAnsi="Times New Roman" w:cs="Times New Roman"/>
          <w:i/>
          <w:iCs/>
          <w:sz w:val="24"/>
          <w:szCs w:val="20"/>
        </w:rPr>
      </w:pPr>
      <w:r w:rsidRPr="00F231FD">
        <w:rPr>
          <w:rFonts w:ascii="Times New Roman" w:eastAsia="Times New Roman" w:hAnsi="Times New Roman" w:cs="Times New Roman"/>
          <w:sz w:val="24"/>
          <w:szCs w:val="20"/>
        </w:rPr>
        <w:t xml:space="preserve">This instrument is the </w:t>
      </w:r>
      <w:r w:rsidRPr="00F231FD">
        <w:rPr>
          <w:rFonts w:ascii="Times New Roman" w:eastAsia="Times New Roman" w:hAnsi="Times New Roman" w:cs="Times New Roman"/>
          <w:i/>
          <w:iCs/>
          <w:sz w:val="24"/>
          <w:szCs w:val="20"/>
        </w:rPr>
        <w:t>Corrections Management (Transitional Release Centre Visits) Operating Procedure 2023.</w:t>
      </w:r>
    </w:p>
    <w:p w14:paraId="73BBD955" w14:textId="77777777" w:rsidR="00F231FD" w:rsidRPr="00F231FD" w:rsidRDefault="00F231FD" w:rsidP="00F231FD">
      <w:pPr>
        <w:spacing w:before="300" w:after="0" w:line="240" w:lineRule="auto"/>
        <w:ind w:left="720" w:hanging="720"/>
        <w:rPr>
          <w:rFonts w:ascii="Arial" w:eastAsia="Times New Roman" w:hAnsi="Arial" w:cs="Arial"/>
          <w:b/>
          <w:bCs/>
          <w:sz w:val="24"/>
          <w:szCs w:val="20"/>
        </w:rPr>
      </w:pPr>
      <w:r w:rsidRPr="00F231FD">
        <w:rPr>
          <w:rFonts w:ascii="Arial" w:eastAsia="Times New Roman" w:hAnsi="Arial" w:cs="Arial"/>
          <w:b/>
          <w:bCs/>
          <w:sz w:val="24"/>
          <w:szCs w:val="20"/>
        </w:rPr>
        <w:t>2</w:t>
      </w:r>
      <w:r w:rsidRPr="00F231FD">
        <w:rPr>
          <w:rFonts w:ascii="Arial" w:eastAsia="Times New Roman" w:hAnsi="Arial" w:cs="Arial"/>
          <w:b/>
          <w:bCs/>
          <w:sz w:val="24"/>
          <w:szCs w:val="20"/>
        </w:rPr>
        <w:tab/>
        <w:t xml:space="preserve">Commencement </w:t>
      </w:r>
    </w:p>
    <w:p w14:paraId="088D9A7A" w14:textId="77777777" w:rsidR="00F231FD" w:rsidRPr="00F231FD" w:rsidRDefault="00F231FD" w:rsidP="00F231FD">
      <w:pPr>
        <w:spacing w:before="140" w:after="0" w:line="240" w:lineRule="auto"/>
        <w:ind w:left="720"/>
        <w:rPr>
          <w:rFonts w:ascii="Times New Roman" w:eastAsia="Times New Roman" w:hAnsi="Times New Roman" w:cs="Times New Roman"/>
          <w:sz w:val="24"/>
          <w:szCs w:val="20"/>
        </w:rPr>
      </w:pPr>
      <w:r w:rsidRPr="00F231FD">
        <w:rPr>
          <w:rFonts w:ascii="Times New Roman" w:eastAsia="Times New Roman" w:hAnsi="Times New Roman" w:cs="Times New Roman"/>
          <w:sz w:val="24"/>
          <w:szCs w:val="20"/>
        </w:rPr>
        <w:t xml:space="preserve">This instrument commences on the day after its notification day. </w:t>
      </w:r>
    </w:p>
    <w:p w14:paraId="3B6BF2E4" w14:textId="77777777" w:rsidR="00F231FD" w:rsidRPr="00F231FD" w:rsidRDefault="00F231FD" w:rsidP="00F231FD">
      <w:pPr>
        <w:spacing w:before="300" w:after="0" w:line="240" w:lineRule="auto"/>
        <w:ind w:left="720" w:hanging="720"/>
        <w:rPr>
          <w:rFonts w:ascii="Arial" w:eastAsia="Times New Roman" w:hAnsi="Arial" w:cs="Arial"/>
          <w:b/>
          <w:bCs/>
          <w:sz w:val="24"/>
          <w:szCs w:val="20"/>
        </w:rPr>
      </w:pPr>
      <w:r w:rsidRPr="00F231FD">
        <w:rPr>
          <w:rFonts w:ascii="Arial" w:eastAsia="Times New Roman" w:hAnsi="Arial" w:cs="Arial"/>
          <w:b/>
          <w:bCs/>
          <w:sz w:val="24"/>
          <w:szCs w:val="20"/>
        </w:rPr>
        <w:t>3</w:t>
      </w:r>
      <w:r w:rsidRPr="00F231FD">
        <w:rPr>
          <w:rFonts w:ascii="Arial" w:eastAsia="Times New Roman" w:hAnsi="Arial" w:cs="Arial"/>
          <w:b/>
          <w:bCs/>
          <w:sz w:val="24"/>
          <w:szCs w:val="20"/>
        </w:rPr>
        <w:tab/>
        <w:t xml:space="preserve">Operating Procedure </w:t>
      </w:r>
    </w:p>
    <w:p w14:paraId="3751F3FD" w14:textId="77777777" w:rsidR="00F231FD" w:rsidRPr="00F231FD" w:rsidRDefault="00F231FD" w:rsidP="00F231FD">
      <w:pPr>
        <w:spacing w:before="140" w:after="0" w:line="240" w:lineRule="auto"/>
        <w:ind w:left="720"/>
        <w:rPr>
          <w:rFonts w:ascii="Arial" w:eastAsia="Times New Roman" w:hAnsi="Arial" w:cs="Arial"/>
          <w:b/>
          <w:bCs/>
          <w:sz w:val="24"/>
          <w:szCs w:val="20"/>
        </w:rPr>
      </w:pPr>
      <w:r w:rsidRPr="00F231FD">
        <w:rPr>
          <w:rFonts w:ascii="Times New Roman" w:eastAsia="Times New Roman" w:hAnsi="Times New Roman" w:cs="Times New Roman"/>
          <w:sz w:val="24"/>
          <w:szCs w:val="20"/>
        </w:rPr>
        <w:t>I make this operating procedure to facilitate the effective and efficient management of corrections services.</w:t>
      </w:r>
      <w:r w:rsidRPr="00F231FD">
        <w:rPr>
          <w:rFonts w:ascii="Arial" w:eastAsia="Times New Roman" w:hAnsi="Arial" w:cs="Arial"/>
          <w:b/>
          <w:bCs/>
          <w:sz w:val="24"/>
          <w:szCs w:val="20"/>
        </w:rPr>
        <w:t xml:space="preserve"> </w:t>
      </w:r>
    </w:p>
    <w:p w14:paraId="5E09FE9C" w14:textId="77777777" w:rsidR="00F231FD" w:rsidRPr="00F231FD" w:rsidRDefault="00F231FD" w:rsidP="00F231FD">
      <w:pPr>
        <w:tabs>
          <w:tab w:val="left" w:pos="4320"/>
        </w:tabs>
        <w:spacing w:before="720" w:after="0" w:line="240" w:lineRule="auto"/>
        <w:rPr>
          <w:rFonts w:ascii="Times New Roman" w:eastAsia="Times New Roman" w:hAnsi="Times New Roman" w:cs="Times New Roman"/>
          <w:sz w:val="24"/>
          <w:szCs w:val="20"/>
        </w:rPr>
      </w:pPr>
    </w:p>
    <w:p w14:paraId="40798E5F" w14:textId="77777777" w:rsidR="00F231FD" w:rsidRPr="00F231FD" w:rsidRDefault="00F231FD" w:rsidP="00F231FD">
      <w:pPr>
        <w:tabs>
          <w:tab w:val="left" w:pos="4320"/>
        </w:tabs>
        <w:spacing w:before="720" w:after="0" w:line="240" w:lineRule="auto"/>
        <w:rPr>
          <w:rFonts w:ascii="Times New Roman" w:eastAsia="Times New Roman" w:hAnsi="Times New Roman" w:cs="Times New Roman"/>
          <w:sz w:val="24"/>
          <w:szCs w:val="20"/>
        </w:rPr>
      </w:pPr>
      <w:r w:rsidRPr="00F231FD">
        <w:rPr>
          <w:rFonts w:ascii="Times New Roman" w:eastAsia="Times New Roman" w:hAnsi="Times New Roman" w:cs="Times New Roman"/>
          <w:sz w:val="24"/>
          <w:szCs w:val="20"/>
        </w:rPr>
        <w:t xml:space="preserve">Ray Johnson </w:t>
      </w:r>
      <w:r w:rsidRPr="00F231FD">
        <w:rPr>
          <w:rFonts w:ascii="Times New Roman" w:eastAsia="Times New Roman" w:hAnsi="Times New Roman" w:cs="Times New Roman"/>
          <w:sz w:val="24"/>
          <w:szCs w:val="20"/>
          <w:vertAlign w:val="superscript"/>
        </w:rPr>
        <w:t>APM</w:t>
      </w:r>
      <w:r w:rsidRPr="00F231FD">
        <w:rPr>
          <w:rFonts w:ascii="Times New Roman" w:eastAsia="Times New Roman" w:hAnsi="Times New Roman" w:cs="Times New Roman"/>
          <w:sz w:val="24"/>
          <w:szCs w:val="20"/>
        </w:rPr>
        <w:br/>
        <w:t>Commissioner</w:t>
      </w:r>
      <w:r w:rsidRPr="00F231FD">
        <w:rPr>
          <w:rFonts w:ascii="Times New Roman" w:eastAsia="Times New Roman" w:hAnsi="Times New Roman" w:cs="Times New Roman"/>
          <w:sz w:val="24"/>
          <w:szCs w:val="20"/>
        </w:rPr>
        <w:br/>
        <w:t>ACT Corrective Services</w:t>
      </w:r>
      <w:r w:rsidRPr="00F231FD">
        <w:rPr>
          <w:rFonts w:ascii="Times New Roman" w:eastAsia="Times New Roman" w:hAnsi="Times New Roman" w:cs="Times New Roman"/>
          <w:sz w:val="24"/>
          <w:szCs w:val="20"/>
        </w:rPr>
        <w:br/>
      </w:r>
      <w:bookmarkEnd w:id="0"/>
      <w:r w:rsidRPr="00F231FD">
        <w:rPr>
          <w:rFonts w:ascii="Times New Roman" w:eastAsia="Times New Roman" w:hAnsi="Times New Roman" w:cs="Times New Roman"/>
          <w:sz w:val="24"/>
          <w:szCs w:val="20"/>
        </w:rPr>
        <w:t>15 February 2023</w:t>
      </w:r>
    </w:p>
    <w:p w14:paraId="456588D4" w14:textId="1E7FEAB8" w:rsidR="00F231FD" w:rsidRPr="00F231FD" w:rsidRDefault="00F231FD" w:rsidP="00F231FD">
      <w:pPr>
        <w:spacing w:after="0" w:line="240" w:lineRule="auto"/>
        <w:rPr>
          <w:rFonts w:ascii="Times New Roman" w:hAnsi="Times New Roman" w:cs="Times New Roman"/>
          <w:sz w:val="24"/>
          <w:szCs w:val="24"/>
        </w:rPr>
      </w:pPr>
    </w:p>
    <w:p w14:paraId="6C93937B" w14:textId="2A060E76" w:rsidR="00F231FD" w:rsidRDefault="00F231FD" w:rsidP="00F231FD">
      <w:pPr>
        <w:spacing w:after="0" w:line="240" w:lineRule="auto"/>
        <w:sectPr w:rsidR="00F231FD" w:rsidSect="00F231F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F231FD">
        <w:tc>
          <w:tcPr>
            <w:tcW w:w="302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4FE92B7D" w14:textId="6ED6F7EA" w:rsidR="007B3718" w:rsidRPr="00202B3A" w:rsidRDefault="00D54E80" w:rsidP="004740A6">
            <w:pPr>
              <w:spacing w:before="120" w:after="120"/>
              <w:rPr>
                <w:rFonts w:cs="Arial"/>
                <w:b/>
              </w:rPr>
            </w:pPr>
            <w:r>
              <w:rPr>
                <w:rFonts w:cs="Arial"/>
                <w:b/>
              </w:rPr>
              <w:t>Transitional Release Centre</w:t>
            </w:r>
            <w:r w:rsidR="0081071E">
              <w:rPr>
                <w:rFonts w:cs="Arial"/>
                <w:b/>
              </w:rPr>
              <w:t xml:space="preserve"> Visits</w:t>
            </w:r>
          </w:p>
        </w:tc>
      </w:tr>
      <w:tr w:rsidR="003A3CF7" w:rsidRPr="00586F66" w14:paraId="6738EF0F" w14:textId="77777777" w:rsidTr="00F231FD">
        <w:tc>
          <w:tcPr>
            <w:tcW w:w="302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66B274D5" w14:textId="0B72C1B6" w:rsidR="003A3CF7" w:rsidRPr="00586F66" w:rsidRDefault="0081071E" w:rsidP="00CF03FA">
            <w:pPr>
              <w:spacing w:before="120" w:after="120"/>
              <w:rPr>
                <w:rFonts w:cs="Arial"/>
                <w:b/>
              </w:rPr>
            </w:pPr>
            <w:r>
              <w:rPr>
                <w:rFonts w:cs="Arial"/>
                <w:b/>
              </w:rPr>
              <w:t>D26.</w:t>
            </w:r>
            <w:r w:rsidR="00D54E80">
              <w:rPr>
                <w:rFonts w:cs="Arial"/>
                <w:b/>
              </w:rPr>
              <w:t>14</w:t>
            </w:r>
          </w:p>
        </w:tc>
      </w:tr>
      <w:tr w:rsidR="00510017" w:rsidRPr="00586F66" w14:paraId="2AE5F983" w14:textId="77777777" w:rsidTr="00F231FD">
        <w:tc>
          <w:tcPr>
            <w:tcW w:w="3025" w:type="dxa"/>
          </w:tcPr>
          <w:p w14:paraId="0E3810EE" w14:textId="77777777" w:rsidR="00510017" w:rsidRPr="00586F66" w:rsidRDefault="00586F66" w:rsidP="00510017">
            <w:pPr>
              <w:spacing w:before="120" w:after="120"/>
              <w:rPr>
                <w:rFonts w:cs="Arial"/>
                <w:b/>
              </w:rPr>
            </w:pPr>
            <w:r>
              <w:rPr>
                <w:rFonts w:cs="Arial"/>
                <w:b/>
              </w:rPr>
              <w:t>SCOPE</w:t>
            </w:r>
          </w:p>
        </w:tc>
        <w:tc>
          <w:tcPr>
            <w:tcW w:w="5991" w:type="dxa"/>
            <w:shd w:val="clear" w:color="auto" w:fill="auto"/>
          </w:tcPr>
          <w:p w14:paraId="17EE4551" w14:textId="55F23EAD" w:rsidR="00510017" w:rsidRPr="00A4017C" w:rsidRDefault="0081071E" w:rsidP="00132DBB">
            <w:pPr>
              <w:spacing w:before="120" w:after="120"/>
              <w:rPr>
                <w:rFonts w:cs="Arial"/>
                <w:b/>
                <w:highlight w:val="lightGray"/>
              </w:rPr>
            </w:pPr>
            <w:r>
              <w:rPr>
                <w:rFonts w:cs="Arial"/>
                <w:b/>
              </w:rPr>
              <w:t>Transitional Release</w:t>
            </w:r>
          </w:p>
        </w:tc>
      </w:tr>
    </w:tbl>
    <w:p w14:paraId="53A1DC33" w14:textId="77777777" w:rsidR="008C1D7D" w:rsidRDefault="00E62FBC" w:rsidP="006268DA">
      <w:pPr>
        <w:pStyle w:val="Heading11"/>
      </w:pPr>
      <w:r w:rsidRPr="00586F66">
        <w:t>STATEMENT OF PURPOSE</w:t>
      </w:r>
    </w:p>
    <w:p w14:paraId="0389608E" w14:textId="6A579D0D" w:rsidR="00CA5293" w:rsidRPr="008C1D7D" w:rsidRDefault="00CA5293" w:rsidP="006268DA">
      <w:pPr>
        <w:pStyle w:val="Normaltext"/>
      </w:pPr>
      <w:r>
        <w:t>To provide instructions to</w:t>
      </w:r>
      <w:r w:rsidR="00522D99">
        <w:t xml:space="preserve"> </w:t>
      </w:r>
      <w:r w:rsidR="0081071E">
        <w:t>Transitional Release staff, namely Transitional Release Centre (TRC) Custodial Officers</w:t>
      </w:r>
      <w:r w:rsidR="0097263C">
        <w:t xml:space="preserve"> (CO)</w:t>
      </w:r>
      <w:r w:rsidR="0081071E">
        <w:t>, about access to visits for detainee’s engaged in Transitional Release</w:t>
      </w:r>
      <w:r w:rsidR="00522D99">
        <w:t>.</w:t>
      </w:r>
    </w:p>
    <w:p w14:paraId="4849DAC3" w14:textId="77777777" w:rsidR="00152D5E" w:rsidRPr="00586F66" w:rsidRDefault="004D1932" w:rsidP="006268DA">
      <w:pPr>
        <w:pStyle w:val="Heading11"/>
      </w:pPr>
      <w:r>
        <w:t>PROCEDURE</w:t>
      </w:r>
      <w:r w:rsidR="007B3718" w:rsidRPr="00586F66">
        <w:t>S</w:t>
      </w:r>
    </w:p>
    <w:p w14:paraId="531075DF" w14:textId="48B76794" w:rsidR="001230CE" w:rsidRDefault="0081071E" w:rsidP="006268DA">
      <w:pPr>
        <w:pStyle w:val="SectionHeading"/>
      </w:pPr>
      <w:r>
        <w:t>Visit Bookings</w:t>
      </w:r>
    </w:p>
    <w:p w14:paraId="7066F825" w14:textId="01A85274" w:rsidR="002B3CE1" w:rsidRDefault="0081071E" w:rsidP="0081071E">
      <w:pPr>
        <w:pStyle w:val="ListParagraph"/>
        <w:numPr>
          <w:ilvl w:val="1"/>
          <w:numId w:val="1"/>
        </w:numPr>
        <w:spacing w:before="60" w:after="0"/>
        <w:ind w:left="567" w:hanging="567"/>
        <w:contextualSpacing w:val="0"/>
        <w:rPr>
          <w:rFonts w:cs="Arial"/>
        </w:rPr>
      </w:pPr>
      <w:r>
        <w:rPr>
          <w:rFonts w:cs="Arial"/>
        </w:rPr>
        <w:t>TRC visit times are flexible and may occur any day of the week, subject to the operational requirements of the centre. Visits must end no later than 17:45.</w:t>
      </w:r>
    </w:p>
    <w:p w14:paraId="316FEC0E" w14:textId="0EFCC1E9" w:rsidR="0081071E" w:rsidRDefault="0081071E" w:rsidP="0081071E">
      <w:pPr>
        <w:pStyle w:val="ListParagraph"/>
        <w:numPr>
          <w:ilvl w:val="1"/>
          <w:numId w:val="1"/>
        </w:numPr>
        <w:spacing w:before="60" w:after="0"/>
        <w:ind w:left="567" w:hanging="567"/>
        <w:contextualSpacing w:val="0"/>
        <w:rPr>
          <w:rFonts w:cs="Arial"/>
        </w:rPr>
      </w:pPr>
      <w:r>
        <w:rPr>
          <w:rFonts w:cs="Arial"/>
        </w:rPr>
        <w:t>The majority of weekday visits must occur between 15:00 – 17:45 due to the employment commitments of detainees.</w:t>
      </w:r>
    </w:p>
    <w:p w14:paraId="11A7C158" w14:textId="06E7DFD2" w:rsidR="0081071E" w:rsidRDefault="0081071E" w:rsidP="0081071E">
      <w:pPr>
        <w:pStyle w:val="ListParagraph"/>
        <w:numPr>
          <w:ilvl w:val="1"/>
          <w:numId w:val="1"/>
        </w:numPr>
        <w:spacing w:before="60" w:after="0"/>
        <w:ind w:left="567" w:hanging="567"/>
        <w:contextualSpacing w:val="0"/>
        <w:rPr>
          <w:rFonts w:cs="Arial"/>
        </w:rPr>
      </w:pPr>
      <w:r>
        <w:rPr>
          <w:rFonts w:cs="Arial"/>
        </w:rPr>
        <w:t>All transitional release staff may take visitor bookings.</w:t>
      </w:r>
    </w:p>
    <w:p w14:paraId="0882300B" w14:textId="71F71CB7" w:rsidR="0081071E" w:rsidRDefault="0081071E" w:rsidP="0081071E">
      <w:pPr>
        <w:pStyle w:val="ListParagraph"/>
        <w:numPr>
          <w:ilvl w:val="1"/>
          <w:numId w:val="1"/>
        </w:numPr>
        <w:spacing w:before="60" w:after="0"/>
        <w:ind w:left="567" w:hanging="567"/>
        <w:contextualSpacing w:val="0"/>
        <w:rPr>
          <w:rFonts w:cs="Arial"/>
        </w:rPr>
      </w:pPr>
      <w:r>
        <w:rPr>
          <w:rFonts w:cs="Arial"/>
        </w:rPr>
        <w:t>All visits must be booked a minimum 72 hours (3 days) prior to the visit occurring.</w:t>
      </w:r>
    </w:p>
    <w:p w14:paraId="3015868D" w14:textId="68AC46FA" w:rsidR="0081071E" w:rsidRDefault="0081071E" w:rsidP="0081071E">
      <w:pPr>
        <w:pStyle w:val="ListParagraph"/>
        <w:numPr>
          <w:ilvl w:val="1"/>
          <w:numId w:val="1"/>
        </w:numPr>
        <w:spacing w:before="60" w:after="0"/>
        <w:ind w:left="567" w:hanging="567"/>
        <w:contextualSpacing w:val="0"/>
        <w:rPr>
          <w:rFonts w:cs="Arial"/>
        </w:rPr>
      </w:pPr>
      <w:r>
        <w:rPr>
          <w:rFonts w:cs="Arial"/>
        </w:rPr>
        <w:t>TRC visits are to be booked through the TRC mobile – 0481 163 838 – and recorded in the TRC paper diary located at the TRC Custodial Officer’s desk.</w:t>
      </w:r>
    </w:p>
    <w:p w14:paraId="342BD729" w14:textId="79C4CC55" w:rsidR="0081071E" w:rsidRDefault="0081071E" w:rsidP="0081071E">
      <w:pPr>
        <w:pStyle w:val="ListParagraph"/>
        <w:numPr>
          <w:ilvl w:val="1"/>
          <w:numId w:val="1"/>
        </w:numPr>
        <w:spacing w:before="60" w:after="0"/>
        <w:ind w:left="567" w:hanging="567"/>
        <w:contextualSpacing w:val="0"/>
        <w:rPr>
          <w:rFonts w:cs="Arial"/>
        </w:rPr>
      </w:pPr>
      <w:r>
        <w:rPr>
          <w:rFonts w:cs="Arial"/>
        </w:rPr>
        <w:t xml:space="preserve">The </w:t>
      </w:r>
      <w:r w:rsidR="0097263C">
        <w:rPr>
          <w:rFonts w:cs="Arial"/>
        </w:rPr>
        <w:t>CO</w:t>
      </w:r>
      <w:r>
        <w:rPr>
          <w:rFonts w:cs="Arial"/>
        </w:rPr>
        <w:t xml:space="preserve"> </w:t>
      </w:r>
      <w:r w:rsidR="00EB613A">
        <w:rPr>
          <w:rFonts w:cs="Arial"/>
        </w:rPr>
        <w:t xml:space="preserve">or staff member </w:t>
      </w:r>
      <w:r>
        <w:rPr>
          <w:rFonts w:cs="Arial"/>
        </w:rPr>
        <w:t>who made the visit booking must verbally advise the detainee of their scheduled visit.</w:t>
      </w:r>
      <w:r w:rsidR="000820A0">
        <w:rPr>
          <w:rFonts w:cs="Arial"/>
        </w:rPr>
        <w:t xml:space="preserve"> The</w:t>
      </w:r>
      <w:r w:rsidR="0097263C">
        <w:rPr>
          <w:rFonts w:cs="Arial"/>
        </w:rPr>
        <w:t xml:space="preserve"> CO</w:t>
      </w:r>
      <w:r w:rsidR="000820A0">
        <w:rPr>
          <w:rFonts w:cs="Arial"/>
        </w:rPr>
        <w:t xml:space="preserve"> </w:t>
      </w:r>
      <w:r w:rsidR="00EB613A">
        <w:rPr>
          <w:rFonts w:cs="Arial"/>
        </w:rPr>
        <w:t xml:space="preserve">or staff member </w:t>
      </w:r>
      <w:r w:rsidR="000820A0">
        <w:rPr>
          <w:rFonts w:cs="Arial"/>
        </w:rPr>
        <w:t>must also ensure that they explain to the visitor the information included in section 2 of this operating procedure.</w:t>
      </w:r>
    </w:p>
    <w:p w14:paraId="4A25F2FC" w14:textId="77777777" w:rsidR="0081071E" w:rsidRPr="0081071E" w:rsidRDefault="0081071E" w:rsidP="0081071E">
      <w:pPr>
        <w:pStyle w:val="SectionHeading"/>
        <w:numPr>
          <w:ilvl w:val="0"/>
          <w:numId w:val="0"/>
        </w:numPr>
        <w:ind w:left="567"/>
      </w:pPr>
    </w:p>
    <w:p w14:paraId="55573E6A" w14:textId="0F1BF0E4" w:rsidR="00D4683E" w:rsidRPr="00D4683E" w:rsidRDefault="002A17E9" w:rsidP="009E4E29">
      <w:pPr>
        <w:pStyle w:val="ListParagraph"/>
        <w:numPr>
          <w:ilvl w:val="0"/>
          <w:numId w:val="1"/>
        </w:numPr>
        <w:spacing w:before="60" w:after="0"/>
        <w:ind w:left="567" w:hanging="567"/>
        <w:contextualSpacing w:val="0"/>
        <w:rPr>
          <w:rFonts w:cs="Arial"/>
          <w:b/>
          <w:bCs/>
        </w:rPr>
      </w:pPr>
      <w:r>
        <w:rPr>
          <w:rFonts w:cs="Arial"/>
          <w:b/>
          <w:bCs/>
        </w:rPr>
        <w:t>Arrival at visits</w:t>
      </w:r>
    </w:p>
    <w:p w14:paraId="1D28BCEE" w14:textId="0F715498" w:rsidR="002A17E9" w:rsidRDefault="002A17E9" w:rsidP="002A17E9">
      <w:pPr>
        <w:pStyle w:val="Indenttext1"/>
      </w:pPr>
      <w:r>
        <w:t>Visitors must park in the designated AMC visitor’s car park. Parking out the front of the TRC is not permitted.</w:t>
      </w:r>
    </w:p>
    <w:p w14:paraId="64020CFA" w14:textId="756B2C78" w:rsidR="002A17E9" w:rsidRDefault="002A17E9" w:rsidP="002A17E9">
      <w:pPr>
        <w:pStyle w:val="Indenttext1"/>
      </w:pPr>
      <w:r>
        <w:t xml:space="preserve">Visitors must secure all personal belongings and valuables (such as mobile phones) in their car or </w:t>
      </w:r>
      <w:r w:rsidR="0097263C">
        <w:t>in</w:t>
      </w:r>
      <w:r>
        <w:t xml:space="preserve"> a locker located in AMC Visits Reception. Visitors must not be permitted to enter the TRC if they are in possession of items not approved prior to the visit occurring.</w:t>
      </w:r>
    </w:p>
    <w:p w14:paraId="09C70CA3" w14:textId="35E3A885" w:rsidR="002A17E9" w:rsidRDefault="00032A1E" w:rsidP="002A17E9">
      <w:pPr>
        <w:pStyle w:val="Indenttext1"/>
      </w:pPr>
      <w:r>
        <w:t>Visitors must report to the AMC Visits Reception Area 30 minutes prior to their scheduled visit time. This will allow sufficient time for processing, completing the Iris Scan and Rapid Antigen Test</w:t>
      </w:r>
      <w:r w:rsidR="0097263C">
        <w:t>ing</w:t>
      </w:r>
      <w:r>
        <w:t xml:space="preserve"> (RAT) if required. If attending as a visitor for the first time, the visitor must </w:t>
      </w:r>
      <w:r w:rsidR="0097263C">
        <w:t xml:space="preserve">also </w:t>
      </w:r>
      <w:r>
        <w:t>provide 100 points of identification.</w:t>
      </w:r>
    </w:p>
    <w:p w14:paraId="7B7C233C" w14:textId="5DB413D3" w:rsidR="00032A1E" w:rsidRDefault="00032A1E" w:rsidP="002A17E9">
      <w:pPr>
        <w:pStyle w:val="Indenttext1"/>
      </w:pPr>
      <w:r>
        <w:t>Detainees must not greet visitors at the TRC gates. Visitors must report to the TRC Staff Office.</w:t>
      </w:r>
    </w:p>
    <w:p w14:paraId="3F782F8F" w14:textId="5B8B0602" w:rsidR="00032A1E" w:rsidRPr="003D20F9" w:rsidRDefault="003D20F9" w:rsidP="002A17E9">
      <w:pPr>
        <w:pStyle w:val="Indenttext1"/>
      </w:pPr>
      <w:r>
        <w:t>Any item brought into the TRC for a visit must have been pre-approved by the Transitional Release Team Leader, CO3 or above. Detainees must seek this approval by submitt</w:t>
      </w:r>
      <w:r w:rsidR="0097263C">
        <w:t>ing</w:t>
      </w:r>
      <w:r>
        <w:t xml:space="preserve"> a </w:t>
      </w:r>
      <w:r>
        <w:rPr>
          <w:i/>
          <w:iCs/>
          <w:u w:val="single"/>
        </w:rPr>
        <w:t>Detainee Request Form</w:t>
      </w:r>
      <w:r>
        <w:t xml:space="preserve"> (Bluey). Any items brought into the visit must be searched in accordance with the </w:t>
      </w:r>
      <w:r>
        <w:rPr>
          <w:i/>
          <w:iCs/>
          <w:u w:val="single"/>
        </w:rPr>
        <w:t>Searching Policy.</w:t>
      </w:r>
    </w:p>
    <w:p w14:paraId="63ACC9DF" w14:textId="54B75EDF" w:rsidR="003D20F9" w:rsidRDefault="003D20F9" w:rsidP="002A17E9">
      <w:pPr>
        <w:pStyle w:val="Indenttext1"/>
      </w:pPr>
      <w:r>
        <w:lastRenderedPageBreak/>
        <w:t>If visitors wish to bring food or drink for their personal consumption during the scheduled visit, they must seek approval at the time of booking the visit. Drinks are limited to one per person up to 600ml and snacks should be individual size, not share-packs. All food and drink must arrive at the visit with the shop seal intact and be presented to the supervising staff member.</w:t>
      </w:r>
    </w:p>
    <w:p w14:paraId="21B8D3FA" w14:textId="77777777" w:rsidR="004404BE" w:rsidRDefault="004404BE" w:rsidP="004404BE">
      <w:pPr>
        <w:pStyle w:val="ListParagraph"/>
        <w:spacing w:before="60" w:after="0"/>
        <w:ind w:left="567"/>
        <w:contextualSpacing w:val="0"/>
        <w:rPr>
          <w:rFonts w:cs="Arial"/>
        </w:rPr>
      </w:pPr>
    </w:p>
    <w:p w14:paraId="2703E43F" w14:textId="0C8DCAFF" w:rsidR="004404BE" w:rsidRPr="003517F3" w:rsidRDefault="004F4151" w:rsidP="009E4E29">
      <w:pPr>
        <w:pStyle w:val="ListParagraph"/>
        <w:numPr>
          <w:ilvl w:val="0"/>
          <w:numId w:val="1"/>
        </w:numPr>
        <w:spacing w:before="60" w:after="0"/>
        <w:ind w:left="567" w:hanging="567"/>
        <w:contextualSpacing w:val="0"/>
        <w:rPr>
          <w:rFonts w:cs="Arial"/>
        </w:rPr>
      </w:pPr>
      <w:r>
        <w:rPr>
          <w:rFonts w:cs="Arial"/>
          <w:b/>
          <w:bCs/>
        </w:rPr>
        <w:t>During the Visit</w:t>
      </w:r>
    </w:p>
    <w:p w14:paraId="1FC8E12D" w14:textId="70D7E210" w:rsidR="004F4151" w:rsidRPr="004F4151" w:rsidRDefault="004F4151" w:rsidP="004F4151">
      <w:pPr>
        <w:pStyle w:val="Indenttext1"/>
      </w:pPr>
      <w:r w:rsidRPr="004F4151">
        <w:t xml:space="preserve">Standard visit rules apply </w:t>
      </w:r>
      <w:r>
        <w:t xml:space="preserve">in accordance with the </w:t>
      </w:r>
      <w:hyperlink r:id="rId14" w:history="1">
        <w:r w:rsidRPr="004F4151">
          <w:rPr>
            <w:rStyle w:val="Hyperlink"/>
            <w:i/>
            <w:iCs/>
          </w:rPr>
          <w:t>Interim Visits Guidelines for the AMC.</w:t>
        </w:r>
      </w:hyperlink>
      <w:r w:rsidRPr="004F4151">
        <w:t xml:space="preserve"> </w:t>
      </w:r>
    </w:p>
    <w:p w14:paraId="787348E5" w14:textId="333BCA3D" w:rsidR="004F4151" w:rsidRPr="004F4151" w:rsidRDefault="004F4151" w:rsidP="004F4151">
      <w:pPr>
        <w:pStyle w:val="Indenttext1"/>
      </w:pPr>
      <w:r>
        <w:t>Visitors must ensure that they display an acceptable standard of conduct, that does not risk the g</w:t>
      </w:r>
      <w:r w:rsidRPr="004F4151">
        <w:t>ood order, discipline</w:t>
      </w:r>
      <w:r>
        <w:t>,</w:t>
      </w:r>
      <w:r w:rsidRPr="004F4151">
        <w:t xml:space="preserve"> </w:t>
      </w:r>
      <w:r>
        <w:t>or safety of the TRC.</w:t>
      </w:r>
    </w:p>
    <w:p w14:paraId="79C07951" w14:textId="6E4579EC" w:rsidR="004F4151" w:rsidRPr="004F4151" w:rsidRDefault="004F4151" w:rsidP="004F4151">
      <w:pPr>
        <w:pStyle w:val="Indenttext1"/>
      </w:pPr>
      <w:r w:rsidRPr="004F4151">
        <w:t xml:space="preserve">Visits </w:t>
      </w:r>
      <w:r w:rsidR="0097263C">
        <w:t>may</w:t>
      </w:r>
      <w:r w:rsidRPr="004F4151">
        <w:t xml:space="preserve"> be undertaken on the grassed area/playground in the front area of TRC. In the event of bad weather, the external yard of </w:t>
      </w:r>
      <w:r w:rsidR="0097263C">
        <w:t xml:space="preserve">the TRC Staff Office </w:t>
      </w:r>
      <w:r w:rsidRPr="004F4151">
        <w:t>or the interview room may be accessed.</w:t>
      </w:r>
    </w:p>
    <w:p w14:paraId="67FB09A4" w14:textId="14CAC294" w:rsidR="004F4151" w:rsidRPr="004F4151" w:rsidRDefault="004F4151" w:rsidP="004F4151">
      <w:pPr>
        <w:pStyle w:val="Indenttext1"/>
      </w:pPr>
      <w:r>
        <w:t>Visitors must not, under any circumstances,</w:t>
      </w:r>
      <w:r w:rsidRPr="004F4151">
        <w:t xml:space="preserve"> enter the TRC accommodation areas, go to the rear of the building</w:t>
      </w:r>
      <w:r>
        <w:t>,</w:t>
      </w:r>
      <w:r w:rsidRPr="004F4151">
        <w:t xml:space="preserve"> or go outside of the TRC fence line during a visit. </w:t>
      </w:r>
    </w:p>
    <w:p w14:paraId="3948E606" w14:textId="6F56A706" w:rsidR="004F4151" w:rsidRPr="004F4151" w:rsidRDefault="004F4151" w:rsidP="004F4151">
      <w:pPr>
        <w:pStyle w:val="Indenttext1"/>
      </w:pPr>
      <w:r w:rsidRPr="004F4151">
        <w:t xml:space="preserve">Detainees </w:t>
      </w:r>
      <w:r>
        <w:t>must not</w:t>
      </w:r>
      <w:r w:rsidRPr="004F4151">
        <w:t xml:space="preserve"> access their accommodation area during a </w:t>
      </w:r>
      <w:r w:rsidR="007851C5" w:rsidRPr="004F4151">
        <w:t>visit</w:t>
      </w:r>
      <w:r w:rsidR="007851C5">
        <w:t xml:space="preserve"> unless</w:t>
      </w:r>
      <w:r w:rsidRPr="004F4151">
        <w:t xml:space="preserve"> they have advised the purpose of going back to their accommodation area and received approval to return to their accommodation area from a Transitional Release staff member (either custodial or non-custodial). </w:t>
      </w:r>
    </w:p>
    <w:p w14:paraId="3CAD4015" w14:textId="381ED52F" w:rsidR="004F4151" w:rsidRPr="004F4151" w:rsidRDefault="004F4151" w:rsidP="004F4151">
      <w:pPr>
        <w:pStyle w:val="Indenttext1"/>
      </w:pPr>
      <w:r w:rsidRPr="004F4151">
        <w:t xml:space="preserve">Visitors </w:t>
      </w:r>
      <w:r>
        <w:t>may</w:t>
      </w:r>
      <w:r w:rsidRPr="004F4151">
        <w:t xml:space="preserve"> use the visitor’s bathroom in the TRC staff</w:t>
      </w:r>
      <w:r w:rsidR="0097263C">
        <w:t xml:space="preserve"> office</w:t>
      </w:r>
      <w:r w:rsidRPr="004F4151">
        <w:t>.</w:t>
      </w:r>
    </w:p>
    <w:p w14:paraId="5D803F8B" w14:textId="258D75FD" w:rsidR="004F4151" w:rsidRPr="004F4151" w:rsidRDefault="004F4151" w:rsidP="004F4151">
      <w:pPr>
        <w:pStyle w:val="Indenttext1"/>
      </w:pPr>
      <w:r w:rsidRPr="004F4151">
        <w:t>Tea, coffee</w:t>
      </w:r>
      <w:r>
        <w:t>,</w:t>
      </w:r>
      <w:r w:rsidRPr="004F4151">
        <w:t xml:space="preserve"> sugar, milk and hot water will be supplied by staff in the TRC staff </w:t>
      </w:r>
      <w:r w:rsidR="0097263C">
        <w:t>office</w:t>
      </w:r>
      <w:r w:rsidRPr="004F4151">
        <w:t>.</w:t>
      </w:r>
      <w:r w:rsidR="007851C5">
        <w:t xml:space="preserve"> </w:t>
      </w:r>
      <w:r w:rsidR="0091079E">
        <w:t xml:space="preserve">Detainees are able to use the kitchen facilities in </w:t>
      </w:r>
      <w:r w:rsidR="0097263C" w:rsidRPr="004F4151">
        <w:t xml:space="preserve">TRC staff </w:t>
      </w:r>
      <w:r w:rsidR="0097263C">
        <w:t xml:space="preserve">office </w:t>
      </w:r>
      <w:r w:rsidR="0091079E">
        <w:t>to make their visitor a hot drink.</w:t>
      </w:r>
    </w:p>
    <w:p w14:paraId="1C129024" w14:textId="7654BBF2" w:rsidR="004F4151" w:rsidRPr="004F4151" w:rsidRDefault="004F4151" w:rsidP="004F4151">
      <w:pPr>
        <w:pStyle w:val="Indenttext1"/>
      </w:pPr>
      <w:r w:rsidRPr="004F4151">
        <w:t xml:space="preserve">The TRC </w:t>
      </w:r>
      <w:r w:rsidR="0097263C">
        <w:t>CO</w:t>
      </w:r>
      <w:r w:rsidRPr="004F4151">
        <w:t xml:space="preserve"> is to maintain visual contact for the duration of the visit. If there is another </w:t>
      </w:r>
      <w:r w:rsidR="0097263C">
        <w:t>CO</w:t>
      </w:r>
      <w:r w:rsidRPr="004F4151">
        <w:t xml:space="preserve"> or delegated non-custodial staff member in the area, they </w:t>
      </w:r>
      <w:r>
        <w:t>may also</w:t>
      </w:r>
      <w:r w:rsidRPr="004F4151">
        <w:t xml:space="preserve"> supervise the visit if required.</w:t>
      </w:r>
    </w:p>
    <w:p w14:paraId="0F3063FD" w14:textId="1FC8AD88" w:rsidR="004F4151" w:rsidRPr="004F4151" w:rsidRDefault="004F4151" w:rsidP="004F4151">
      <w:pPr>
        <w:pStyle w:val="Indenttext1"/>
      </w:pPr>
      <w:r w:rsidRPr="004F4151">
        <w:t xml:space="preserve">Regular security checks </w:t>
      </w:r>
      <w:r>
        <w:t>must</w:t>
      </w:r>
      <w:r w:rsidRPr="004F4151">
        <w:t xml:space="preserve"> be undertaken during all visiting times. </w:t>
      </w:r>
    </w:p>
    <w:p w14:paraId="208FCE90" w14:textId="5AC8EA18" w:rsidR="004F4151" w:rsidRDefault="004F4151" w:rsidP="004F4151">
      <w:pPr>
        <w:pStyle w:val="Indenttext1"/>
      </w:pPr>
      <w:r w:rsidRPr="004F4151">
        <w:t xml:space="preserve">Visits </w:t>
      </w:r>
      <w:r>
        <w:t>must</w:t>
      </w:r>
      <w:r w:rsidRPr="004F4151">
        <w:t xml:space="preserve"> be recorded by the </w:t>
      </w:r>
      <w:r w:rsidR="0097263C">
        <w:t>CO</w:t>
      </w:r>
      <w:r w:rsidRPr="004F4151">
        <w:t xml:space="preserve"> on CORIS. </w:t>
      </w:r>
    </w:p>
    <w:p w14:paraId="11924BCB" w14:textId="77777777" w:rsidR="004F4151" w:rsidRDefault="004F4151" w:rsidP="004F4151">
      <w:pPr>
        <w:pStyle w:val="SectionHeading"/>
        <w:numPr>
          <w:ilvl w:val="0"/>
          <w:numId w:val="0"/>
        </w:numPr>
        <w:ind w:left="567"/>
      </w:pPr>
    </w:p>
    <w:p w14:paraId="06FFB25E" w14:textId="42C6E4BB" w:rsidR="004F4151" w:rsidRPr="004F4151" w:rsidRDefault="004F4151" w:rsidP="004F4151">
      <w:pPr>
        <w:pStyle w:val="SectionHeading"/>
      </w:pPr>
      <w:r>
        <w:t>Zoom visits</w:t>
      </w:r>
    </w:p>
    <w:p w14:paraId="440CC225" w14:textId="77F1D0FE" w:rsidR="00641860" w:rsidRDefault="00FC082B" w:rsidP="004F4151">
      <w:pPr>
        <w:pStyle w:val="Indenttext1"/>
      </w:pPr>
      <w:r>
        <w:t>Visitors may request a zoom visit. If they do so, the Transitional Release staff member must record the visitor’s email address, and the time and date of the visit in the TRC diary.</w:t>
      </w:r>
    </w:p>
    <w:p w14:paraId="12EB9C95" w14:textId="0E8CF4FA" w:rsidR="00FC082B" w:rsidRPr="00FC082B" w:rsidRDefault="00FC082B" w:rsidP="004F4151">
      <w:pPr>
        <w:pStyle w:val="Indenttext1"/>
        <w:rPr>
          <w:i/>
          <w:iCs/>
          <w:u w:val="single"/>
        </w:rPr>
      </w:pPr>
      <w:r>
        <w:t xml:space="preserve">The TRC Officer must then book the visit on the TRC iPad, using the </w:t>
      </w:r>
      <w:r w:rsidRPr="00FC082B">
        <w:rPr>
          <w:i/>
          <w:iCs/>
          <w:u w:val="single"/>
        </w:rPr>
        <w:t>Booking Video Visits in Zoom Operating Instructions.</w:t>
      </w:r>
    </w:p>
    <w:p w14:paraId="2AEBCB0F" w14:textId="77777777" w:rsidR="001A0058" w:rsidRDefault="001A0058" w:rsidP="006268DA">
      <w:pPr>
        <w:pStyle w:val="Heading11"/>
      </w:pPr>
    </w:p>
    <w:p w14:paraId="07B67AF7" w14:textId="77777777" w:rsidR="001A0058" w:rsidRDefault="001A0058" w:rsidP="006268DA">
      <w:pPr>
        <w:pStyle w:val="Heading11"/>
      </w:pPr>
    </w:p>
    <w:p w14:paraId="21A55C54" w14:textId="4C7E2055" w:rsidR="001A0058" w:rsidRDefault="001A0058" w:rsidP="006268DA">
      <w:pPr>
        <w:pStyle w:val="Heading11"/>
      </w:pPr>
    </w:p>
    <w:p w14:paraId="1DAB4615" w14:textId="77777777" w:rsidR="00D54E80" w:rsidRDefault="00D54E80" w:rsidP="006268DA">
      <w:pPr>
        <w:pStyle w:val="Heading11"/>
      </w:pPr>
    </w:p>
    <w:p w14:paraId="44B4AB4D" w14:textId="1C2063E7" w:rsidR="00CF03FA" w:rsidRDefault="007B3718" w:rsidP="006268DA">
      <w:pPr>
        <w:pStyle w:val="Heading11"/>
      </w:pPr>
      <w:r w:rsidRPr="00F81FF3">
        <w:lastRenderedPageBreak/>
        <w:t xml:space="preserve">RELATED DOCUMENTS </w:t>
      </w:r>
    </w:p>
    <w:p w14:paraId="537E3C84" w14:textId="77777777" w:rsidR="00FC082B" w:rsidRPr="00FC082B" w:rsidRDefault="00FC082B" w:rsidP="00FC082B">
      <w:pPr>
        <w:pStyle w:val="RelatedDocuments"/>
      </w:pPr>
      <w:r w:rsidRPr="00FC082B">
        <w:t>Transitional Release Policy</w:t>
      </w:r>
    </w:p>
    <w:p w14:paraId="2CE47D14" w14:textId="77777777" w:rsidR="00FC082B" w:rsidRPr="00FC082B" w:rsidRDefault="00FC082B" w:rsidP="00FC082B">
      <w:pPr>
        <w:pStyle w:val="RelatedDocuments"/>
      </w:pPr>
      <w:r w:rsidRPr="00FC082B">
        <w:t>Transitional Release Case Planning Operating Procedure 2022</w:t>
      </w:r>
    </w:p>
    <w:p w14:paraId="549F3C09" w14:textId="77777777" w:rsidR="00FC082B" w:rsidRPr="00FC082B" w:rsidRDefault="00FC082B" w:rsidP="00FC082B">
      <w:pPr>
        <w:pStyle w:val="RelatedDocuments"/>
      </w:pPr>
      <w:r w:rsidRPr="00FC082B">
        <w:t>Transitional Release Case Management Plan Template</w:t>
      </w:r>
    </w:p>
    <w:p w14:paraId="7BCF01F4" w14:textId="77777777" w:rsidR="00FC082B" w:rsidRPr="00FC082B" w:rsidRDefault="00FC082B" w:rsidP="00FC082B">
      <w:pPr>
        <w:pStyle w:val="RelatedDocuments"/>
      </w:pPr>
      <w:r w:rsidRPr="00FC082B">
        <w:t>Transitional Release Staged Approach to Reintegration Operating Procedure 2022</w:t>
      </w:r>
    </w:p>
    <w:p w14:paraId="4F8AE1EE" w14:textId="77777777" w:rsidR="00FC082B" w:rsidRPr="00FC082B" w:rsidRDefault="00FC082B" w:rsidP="00FC082B">
      <w:pPr>
        <w:pStyle w:val="RelatedDocuments"/>
      </w:pPr>
      <w:r w:rsidRPr="00FC082B">
        <w:t>Booking Video Visits in ZOOM operating instructions</w:t>
      </w:r>
    </w:p>
    <w:p w14:paraId="7FCA861A" w14:textId="77777777" w:rsidR="007D6976" w:rsidRPr="007D6976" w:rsidRDefault="007D6976" w:rsidP="007D6976">
      <w:pPr>
        <w:pStyle w:val="ListParagraph"/>
        <w:ind w:left="567"/>
        <w:rPr>
          <w:rFonts w:cs="Arial"/>
        </w:rPr>
      </w:pPr>
    </w:p>
    <w:p w14:paraId="18463D30" w14:textId="77777777" w:rsidR="00B84A5B" w:rsidRDefault="00B84A5B" w:rsidP="00B84A5B">
      <w:pPr>
        <w:rPr>
          <w:rFonts w:cs="Arial"/>
        </w:rPr>
      </w:pPr>
    </w:p>
    <w:p w14:paraId="59A607D8" w14:textId="77777777" w:rsidR="00B84A5B" w:rsidRDefault="00B84A5B" w:rsidP="00B84A5B">
      <w:pPr>
        <w:rPr>
          <w:rFonts w:cs="Arial"/>
        </w:rPr>
      </w:pPr>
    </w:p>
    <w:p w14:paraId="5187C628" w14:textId="4F27F389" w:rsidR="00B84A5B" w:rsidRDefault="00FC082B" w:rsidP="00E4484A">
      <w:pPr>
        <w:pStyle w:val="NoSpacing"/>
        <w:spacing w:line="276" w:lineRule="auto"/>
      </w:pPr>
      <w:r>
        <w:t>Narelle Pamplin</w:t>
      </w:r>
    </w:p>
    <w:p w14:paraId="60C9BA74" w14:textId="7DE4E67F" w:rsidR="00925989" w:rsidRDefault="00FC082B" w:rsidP="00E4484A">
      <w:pPr>
        <w:pStyle w:val="NoSpacing"/>
        <w:spacing w:line="276" w:lineRule="auto"/>
      </w:pPr>
      <w:r>
        <w:t>Assistant Commissioner Offender Reintegration</w:t>
      </w:r>
      <w:r w:rsidR="00202B3A">
        <w:br/>
        <w:t xml:space="preserve">ACT Corrective Services </w:t>
      </w:r>
    </w:p>
    <w:p w14:paraId="3602F0BF" w14:textId="6CB2184B" w:rsidR="00925989" w:rsidRDefault="00D54E80" w:rsidP="00E4484A">
      <w:pPr>
        <w:pStyle w:val="NoSpacing"/>
        <w:spacing w:line="276" w:lineRule="auto"/>
      </w:pPr>
      <w:r>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2A9D9191" w:rsidR="005E011D" w:rsidRPr="00A81503" w:rsidRDefault="00D54E80" w:rsidP="000C15FB">
            <w:pPr>
              <w:pStyle w:val="TableText"/>
              <w:rPr>
                <w:rFonts w:ascii="Calibri" w:hAnsi="Calibri"/>
                <w:i/>
                <w:iCs/>
                <w:sz w:val="20"/>
                <w:szCs w:val="20"/>
              </w:rPr>
            </w:pPr>
            <w:r>
              <w:rPr>
                <w:rFonts w:ascii="Calibri" w:hAnsi="Calibri"/>
                <w:i/>
                <w:iCs/>
                <w:sz w:val="20"/>
                <w:szCs w:val="20"/>
              </w:rPr>
              <w:t>Transitional Release Centre</w:t>
            </w:r>
            <w:r w:rsidR="00FC082B">
              <w:rPr>
                <w:rFonts w:ascii="Calibri" w:hAnsi="Calibri"/>
                <w:i/>
                <w:iCs/>
                <w:sz w:val="20"/>
                <w:szCs w:val="20"/>
              </w:rPr>
              <w:t xml:space="preserve"> Visits</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12ACFB02" w:rsidR="005E011D" w:rsidRPr="00586F66" w:rsidRDefault="00FC082B"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73B5EAE0" w:rsidR="00CF03FA" w:rsidRPr="00586F66" w:rsidRDefault="00FC082B"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2207E811"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FC082B">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7"/>
              <w:gridCol w:w="2247"/>
              <w:gridCol w:w="2294"/>
              <w:gridCol w:w="1728"/>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7B719408" w:rsidR="00EF4141" w:rsidRPr="00B11C0C" w:rsidRDefault="00FC082B" w:rsidP="00EF4141">
                  <w:pPr>
                    <w:spacing w:line="360" w:lineRule="auto"/>
                    <w:outlineLvl w:val="1"/>
                    <w:rPr>
                      <w:rFonts w:eastAsia="Calibri" w:cs="Times New Roman"/>
                      <w:sz w:val="20"/>
                      <w:szCs w:val="24"/>
                    </w:rPr>
                  </w:pPr>
                  <w:r>
                    <w:rPr>
                      <w:rFonts w:eastAsia="Calibri" w:cs="Times New Roman"/>
                      <w:sz w:val="20"/>
                      <w:szCs w:val="24"/>
                    </w:rPr>
                    <w:t>October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7E3BC3F8" w:rsidR="00EF4141" w:rsidRPr="00B11C0C" w:rsidRDefault="00FC082B"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F42206">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C4D9" w14:textId="77777777" w:rsidR="009C2A67" w:rsidRDefault="009C2A67" w:rsidP="00152D5E">
      <w:pPr>
        <w:spacing w:after="0" w:line="240" w:lineRule="auto"/>
      </w:pPr>
      <w:r>
        <w:separator/>
      </w:r>
    </w:p>
  </w:endnote>
  <w:endnote w:type="continuationSeparator" w:id="0">
    <w:p w14:paraId="07F742F0" w14:textId="77777777" w:rsidR="009C2A67" w:rsidRDefault="009C2A67"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426B" w14:textId="77777777" w:rsidR="00054B40" w:rsidRDefault="0005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4E6997E4" w14:textId="68806DF2" w:rsidR="008C5F71" w:rsidRPr="00F42206" w:rsidRDefault="00FB2C79" w:rsidP="00F42206">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sdtContent>
      </w:sdt>
    </w:sdtContent>
  </w:sdt>
  <w:p w14:paraId="4184CD10" w14:textId="26E9D05B" w:rsidR="00FB2C79" w:rsidRPr="00054B40" w:rsidRDefault="00054B40" w:rsidP="00054B40">
    <w:pPr>
      <w:pStyle w:val="Footer"/>
      <w:spacing w:before="120"/>
      <w:jc w:val="center"/>
      <w:rPr>
        <w:rFonts w:ascii="Arial" w:hAnsi="Arial" w:cs="Arial"/>
        <w:sz w:val="14"/>
        <w:szCs w:val="14"/>
      </w:rPr>
    </w:pPr>
    <w:r w:rsidRPr="00054B4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099F" w14:textId="6B549520" w:rsidR="008C5F71" w:rsidRPr="00054B40" w:rsidRDefault="00054B40" w:rsidP="00054B40">
    <w:pPr>
      <w:pStyle w:val="Footer"/>
      <w:jc w:val="center"/>
      <w:rPr>
        <w:rFonts w:ascii="Arial" w:hAnsi="Arial" w:cs="Arial"/>
        <w:sz w:val="14"/>
      </w:rPr>
    </w:pPr>
    <w:r w:rsidRPr="00054B4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E28" w14:textId="574662A8" w:rsidR="00F231FD" w:rsidRPr="00054B40" w:rsidRDefault="00054B40" w:rsidP="00054B40">
    <w:pPr>
      <w:pStyle w:val="Footer"/>
      <w:jc w:val="center"/>
      <w:rPr>
        <w:rFonts w:ascii="Arial" w:hAnsi="Arial" w:cs="Arial"/>
        <w:sz w:val="14"/>
      </w:rPr>
    </w:pPr>
    <w:r w:rsidRPr="00054B4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5D3" w14:textId="77777777" w:rsidR="009C2A67" w:rsidRDefault="009C2A67" w:rsidP="00152D5E">
      <w:pPr>
        <w:spacing w:after="0" w:line="240" w:lineRule="auto"/>
      </w:pPr>
      <w:r>
        <w:separator/>
      </w:r>
    </w:p>
  </w:footnote>
  <w:footnote w:type="continuationSeparator" w:id="0">
    <w:p w14:paraId="0964D397" w14:textId="77777777" w:rsidR="009C2A67" w:rsidRDefault="009C2A67"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8AE" w14:textId="77777777" w:rsidR="00054B40" w:rsidRDefault="00054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04C" w14:textId="77777777" w:rsidR="00054B40" w:rsidRDefault="00054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21E7" w14:textId="77777777" w:rsidR="00054B40" w:rsidRDefault="00054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175" w14:textId="77777777" w:rsidR="00F231FD" w:rsidRDefault="00F231FD">
    <w:pPr>
      <w:pStyle w:val="Header"/>
      <w:rPr>
        <w:b/>
        <w:bCs/>
        <w:color w:val="808080"/>
        <w:spacing w:val="24"/>
        <w:sz w:val="20"/>
        <w:szCs w:val="20"/>
      </w:rPr>
    </w:pPr>
    <w:r w:rsidRPr="00D94114">
      <w:rPr>
        <w:noProof/>
        <w:lang w:eastAsia="en-AU"/>
      </w:rPr>
      <w:drawing>
        <wp:inline distT="0" distB="0" distL="0" distR="0" wp14:anchorId="5147E08A" wp14:editId="4D7DE307">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FA46873" w14:textId="77777777" w:rsidR="00F231FD" w:rsidRDefault="00F2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6F7F70"/>
    <w:multiLevelType w:val="multilevel"/>
    <w:tmpl w:val="C518DBB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6689723">
    <w:abstractNumId w:val="5"/>
  </w:num>
  <w:num w:numId="2" w16cid:durableId="1620722128">
    <w:abstractNumId w:val="0"/>
  </w:num>
  <w:num w:numId="3" w16cid:durableId="1827546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851601">
    <w:abstractNumId w:val="0"/>
  </w:num>
  <w:num w:numId="5" w16cid:durableId="485248441">
    <w:abstractNumId w:val="0"/>
    <w:lvlOverride w:ilvl="0">
      <w:startOverride w:val="1"/>
    </w:lvlOverride>
  </w:num>
  <w:num w:numId="6" w16cid:durableId="1736932894">
    <w:abstractNumId w:val="3"/>
  </w:num>
  <w:num w:numId="7" w16cid:durableId="2003002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40144">
    <w:abstractNumId w:val="3"/>
  </w:num>
  <w:num w:numId="9" w16cid:durableId="464949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2A1E"/>
    <w:rsid w:val="00033447"/>
    <w:rsid w:val="000458C7"/>
    <w:rsid w:val="00054B40"/>
    <w:rsid w:val="00071198"/>
    <w:rsid w:val="000820A0"/>
    <w:rsid w:val="000B7E7B"/>
    <w:rsid w:val="000C15FB"/>
    <w:rsid w:val="000C7B6F"/>
    <w:rsid w:val="000F21C2"/>
    <w:rsid w:val="0010638B"/>
    <w:rsid w:val="001127C2"/>
    <w:rsid w:val="00115ACD"/>
    <w:rsid w:val="001230CE"/>
    <w:rsid w:val="00132DBB"/>
    <w:rsid w:val="00136586"/>
    <w:rsid w:val="00140DA4"/>
    <w:rsid w:val="00141BD0"/>
    <w:rsid w:val="00141E42"/>
    <w:rsid w:val="001504B0"/>
    <w:rsid w:val="00152066"/>
    <w:rsid w:val="00152D5E"/>
    <w:rsid w:val="00162B50"/>
    <w:rsid w:val="001764CE"/>
    <w:rsid w:val="001853B3"/>
    <w:rsid w:val="001A0058"/>
    <w:rsid w:val="001A50E7"/>
    <w:rsid w:val="001A677B"/>
    <w:rsid w:val="001B6520"/>
    <w:rsid w:val="001E0DC9"/>
    <w:rsid w:val="00202B3A"/>
    <w:rsid w:val="0021108E"/>
    <w:rsid w:val="00215BD6"/>
    <w:rsid w:val="00221FA3"/>
    <w:rsid w:val="00224981"/>
    <w:rsid w:val="00231C4E"/>
    <w:rsid w:val="00252E13"/>
    <w:rsid w:val="00272CE7"/>
    <w:rsid w:val="002826FB"/>
    <w:rsid w:val="00283EE0"/>
    <w:rsid w:val="00287266"/>
    <w:rsid w:val="002A17E9"/>
    <w:rsid w:val="002A2DE1"/>
    <w:rsid w:val="002A59E1"/>
    <w:rsid w:val="002B3CE1"/>
    <w:rsid w:val="002C7846"/>
    <w:rsid w:val="002D1603"/>
    <w:rsid w:val="002E31A9"/>
    <w:rsid w:val="002F6E5A"/>
    <w:rsid w:val="00302352"/>
    <w:rsid w:val="00302B09"/>
    <w:rsid w:val="0031239E"/>
    <w:rsid w:val="00314A6D"/>
    <w:rsid w:val="00327284"/>
    <w:rsid w:val="00335431"/>
    <w:rsid w:val="00340868"/>
    <w:rsid w:val="003449F8"/>
    <w:rsid w:val="00345311"/>
    <w:rsid w:val="0034632C"/>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D20F9"/>
    <w:rsid w:val="003F5C7D"/>
    <w:rsid w:val="00402430"/>
    <w:rsid w:val="00405E0B"/>
    <w:rsid w:val="00407EE1"/>
    <w:rsid w:val="004135BE"/>
    <w:rsid w:val="0041603D"/>
    <w:rsid w:val="004175E0"/>
    <w:rsid w:val="00425558"/>
    <w:rsid w:val="004404BE"/>
    <w:rsid w:val="00461C8B"/>
    <w:rsid w:val="0046695A"/>
    <w:rsid w:val="00471864"/>
    <w:rsid w:val="004740A6"/>
    <w:rsid w:val="00484860"/>
    <w:rsid w:val="004A0E69"/>
    <w:rsid w:val="004B121B"/>
    <w:rsid w:val="004B2F47"/>
    <w:rsid w:val="004B64FC"/>
    <w:rsid w:val="004B7144"/>
    <w:rsid w:val="004C28FE"/>
    <w:rsid w:val="004D108E"/>
    <w:rsid w:val="004D1932"/>
    <w:rsid w:val="004E2B2A"/>
    <w:rsid w:val="004F4151"/>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82DD2"/>
    <w:rsid w:val="00586F66"/>
    <w:rsid w:val="005A4376"/>
    <w:rsid w:val="005A6F4E"/>
    <w:rsid w:val="005A794E"/>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7063B"/>
    <w:rsid w:val="00685F05"/>
    <w:rsid w:val="00686CE7"/>
    <w:rsid w:val="006A5E20"/>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851C5"/>
    <w:rsid w:val="00791154"/>
    <w:rsid w:val="007A4B84"/>
    <w:rsid w:val="007A55E0"/>
    <w:rsid w:val="007B2D71"/>
    <w:rsid w:val="007B3718"/>
    <w:rsid w:val="007C4FCB"/>
    <w:rsid w:val="007D1D59"/>
    <w:rsid w:val="007D6976"/>
    <w:rsid w:val="007D6F72"/>
    <w:rsid w:val="007E7ADC"/>
    <w:rsid w:val="008027A9"/>
    <w:rsid w:val="00803CCC"/>
    <w:rsid w:val="00804E3A"/>
    <w:rsid w:val="0081071E"/>
    <w:rsid w:val="00820911"/>
    <w:rsid w:val="00820C1B"/>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3CF"/>
    <w:rsid w:val="008A2CFA"/>
    <w:rsid w:val="008A36D1"/>
    <w:rsid w:val="008B3ABC"/>
    <w:rsid w:val="008C07D5"/>
    <w:rsid w:val="008C1D7D"/>
    <w:rsid w:val="008C5F71"/>
    <w:rsid w:val="008D7964"/>
    <w:rsid w:val="008E2F14"/>
    <w:rsid w:val="008E7151"/>
    <w:rsid w:val="008F18E1"/>
    <w:rsid w:val="009040AE"/>
    <w:rsid w:val="0091079E"/>
    <w:rsid w:val="009227D3"/>
    <w:rsid w:val="00925989"/>
    <w:rsid w:val="00936397"/>
    <w:rsid w:val="00947E61"/>
    <w:rsid w:val="00951D8F"/>
    <w:rsid w:val="0095393D"/>
    <w:rsid w:val="009545D4"/>
    <w:rsid w:val="00963282"/>
    <w:rsid w:val="00970387"/>
    <w:rsid w:val="0097263C"/>
    <w:rsid w:val="00974E7D"/>
    <w:rsid w:val="009839B3"/>
    <w:rsid w:val="009A1FBC"/>
    <w:rsid w:val="009B765D"/>
    <w:rsid w:val="009C2A67"/>
    <w:rsid w:val="009C50FE"/>
    <w:rsid w:val="009E4E29"/>
    <w:rsid w:val="00A14F8C"/>
    <w:rsid w:val="00A373D9"/>
    <w:rsid w:val="00A4017C"/>
    <w:rsid w:val="00A5347F"/>
    <w:rsid w:val="00A81503"/>
    <w:rsid w:val="00A93ED3"/>
    <w:rsid w:val="00A95A4E"/>
    <w:rsid w:val="00A95B39"/>
    <w:rsid w:val="00AB0381"/>
    <w:rsid w:val="00AB4372"/>
    <w:rsid w:val="00AC0BF3"/>
    <w:rsid w:val="00AC365D"/>
    <w:rsid w:val="00B00C75"/>
    <w:rsid w:val="00B0453C"/>
    <w:rsid w:val="00B13060"/>
    <w:rsid w:val="00B14115"/>
    <w:rsid w:val="00B41869"/>
    <w:rsid w:val="00B5255E"/>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24A1"/>
    <w:rsid w:val="00D16BFE"/>
    <w:rsid w:val="00D4683E"/>
    <w:rsid w:val="00D5452A"/>
    <w:rsid w:val="00D54E80"/>
    <w:rsid w:val="00D54F0C"/>
    <w:rsid w:val="00D6123C"/>
    <w:rsid w:val="00D94114"/>
    <w:rsid w:val="00D9493E"/>
    <w:rsid w:val="00D95E71"/>
    <w:rsid w:val="00DB6273"/>
    <w:rsid w:val="00DC4D38"/>
    <w:rsid w:val="00E01795"/>
    <w:rsid w:val="00E14FAF"/>
    <w:rsid w:val="00E152FC"/>
    <w:rsid w:val="00E17860"/>
    <w:rsid w:val="00E17BC8"/>
    <w:rsid w:val="00E3576D"/>
    <w:rsid w:val="00E4484A"/>
    <w:rsid w:val="00E51219"/>
    <w:rsid w:val="00E62838"/>
    <w:rsid w:val="00E62FBC"/>
    <w:rsid w:val="00E76F61"/>
    <w:rsid w:val="00E9504E"/>
    <w:rsid w:val="00EB09A1"/>
    <w:rsid w:val="00EB613A"/>
    <w:rsid w:val="00EB7FD8"/>
    <w:rsid w:val="00EC08D9"/>
    <w:rsid w:val="00ED0F79"/>
    <w:rsid w:val="00EF4141"/>
    <w:rsid w:val="00F14697"/>
    <w:rsid w:val="00F231FD"/>
    <w:rsid w:val="00F33976"/>
    <w:rsid w:val="00F35DEF"/>
    <w:rsid w:val="00F42206"/>
    <w:rsid w:val="00F47FCC"/>
    <w:rsid w:val="00F622EA"/>
    <w:rsid w:val="00F64FF8"/>
    <w:rsid w:val="00F744B4"/>
    <w:rsid w:val="00F81FF3"/>
    <w:rsid w:val="00F82004"/>
    <w:rsid w:val="00F85168"/>
    <w:rsid w:val="00FB2C79"/>
    <w:rsid w:val="00FB6330"/>
    <w:rsid w:val="00FC082B"/>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styleId="Revision">
    <w:name w:val="Revision"/>
    <w:hidden/>
    <w:uiPriority w:val="99"/>
    <w:semiHidden/>
    <w:rsid w:val="00EB6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4077">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815806806">
      <w:bodyDiv w:val="1"/>
      <w:marLeft w:val="0"/>
      <w:marRight w:val="0"/>
      <w:marTop w:val="0"/>
      <w:marBottom w:val="0"/>
      <w:divBdr>
        <w:top w:val="none" w:sz="0" w:space="0" w:color="auto"/>
        <w:left w:val="none" w:sz="0" w:space="0" w:color="auto"/>
        <w:bottom w:val="none" w:sz="0" w:space="0" w:color="auto"/>
        <w:right w:val="none" w:sz="0" w:space="0" w:color="auto"/>
      </w:divBdr>
    </w:div>
    <w:div w:id="101438361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02147616">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tgovernment.sharepoint.com/sites/intranet-CorrectiveServices/corp/pp/Corrections%20Instructions/Interim%20Visits%20Guidelines%20for%20the%20AMC.as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5219</Characters>
  <Application>Microsoft Office Word</Application>
  <DocSecurity>0</DocSecurity>
  <Lines>144</Lines>
  <Paragraphs>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2023-02-17T04:51:00Z</dcterms:created>
  <dcterms:modified xsi:type="dcterms:W3CDTF">2023-02-17T04:51:00Z</dcterms:modified>
</cp:coreProperties>
</file>