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817C" w14:textId="77777777" w:rsidR="003B7ADB" w:rsidRPr="00842F0B" w:rsidRDefault="003B7ADB" w:rsidP="003B7ADB">
      <w:pPr>
        <w:spacing w:before="120" w:after="0" w:line="240" w:lineRule="auto"/>
        <w:rPr>
          <w:rFonts w:eastAsia="Times New Roman" w:cs="Calibri"/>
          <w:color w:val="000000" w:themeColor="text1"/>
          <w:sz w:val="24"/>
          <w:szCs w:val="20"/>
        </w:rPr>
      </w:pPr>
      <w:bookmarkStart w:id="0" w:name="_Toc44738651"/>
    </w:p>
    <w:p w14:paraId="0EB3794C" w14:textId="77777777" w:rsidR="003B7ADB" w:rsidRPr="00842F0B" w:rsidRDefault="003B7ADB" w:rsidP="003B7ADB">
      <w:pPr>
        <w:spacing w:before="120" w:after="0" w:line="240" w:lineRule="auto"/>
        <w:rPr>
          <w:rFonts w:eastAsia="Times New Roman" w:cs="Calibri"/>
          <w:color w:val="000000" w:themeColor="text1"/>
          <w:sz w:val="24"/>
          <w:szCs w:val="20"/>
        </w:rPr>
      </w:pPr>
    </w:p>
    <w:p w14:paraId="164106D8" w14:textId="77777777" w:rsidR="003B7ADB" w:rsidRPr="00842F0B" w:rsidRDefault="003B7ADB" w:rsidP="003B7ADB">
      <w:pPr>
        <w:spacing w:before="120" w:after="0" w:line="240" w:lineRule="auto"/>
        <w:rPr>
          <w:rFonts w:eastAsia="Times New Roman" w:cs="Calibri"/>
          <w:color w:val="000000" w:themeColor="text1"/>
          <w:sz w:val="24"/>
          <w:szCs w:val="20"/>
        </w:rPr>
      </w:pPr>
    </w:p>
    <w:p w14:paraId="57B042B7" w14:textId="77777777" w:rsidR="003B7ADB" w:rsidRPr="00842F0B" w:rsidRDefault="003B7ADB" w:rsidP="003B7ADB">
      <w:pPr>
        <w:spacing w:before="120" w:after="0" w:line="240" w:lineRule="auto"/>
        <w:rPr>
          <w:rFonts w:eastAsia="Times New Roman" w:cs="Calibri"/>
          <w:color w:val="000000" w:themeColor="text1"/>
          <w:sz w:val="24"/>
          <w:szCs w:val="20"/>
        </w:rPr>
      </w:pPr>
      <w:r w:rsidRPr="00842F0B">
        <w:rPr>
          <w:rFonts w:eastAsia="Times New Roman" w:cs="Calibri"/>
          <w:color w:val="000000" w:themeColor="text1"/>
          <w:sz w:val="24"/>
          <w:szCs w:val="20"/>
        </w:rPr>
        <w:t>Australian Capital Territory</w:t>
      </w:r>
    </w:p>
    <w:p w14:paraId="1FFC53CE" w14:textId="2E3311DA" w:rsidR="003B7ADB" w:rsidRPr="00842F0B" w:rsidRDefault="003B7ADB" w:rsidP="003B7ADB">
      <w:pPr>
        <w:tabs>
          <w:tab w:val="left" w:pos="2400"/>
          <w:tab w:val="left" w:pos="2880"/>
        </w:tabs>
        <w:spacing w:before="700" w:after="100" w:line="240" w:lineRule="auto"/>
        <w:rPr>
          <w:rFonts w:eastAsia="Times New Roman" w:cs="Calibri"/>
          <w:b/>
          <w:color w:val="000000" w:themeColor="text1"/>
          <w:sz w:val="40"/>
          <w:szCs w:val="20"/>
        </w:rPr>
      </w:pPr>
      <w:r w:rsidRPr="00842F0B">
        <w:rPr>
          <w:rFonts w:eastAsia="Times New Roman" w:cs="Calibri"/>
          <w:b/>
          <w:color w:val="000000" w:themeColor="text1"/>
          <w:sz w:val="40"/>
          <w:szCs w:val="20"/>
        </w:rPr>
        <w:t>Gaming Machine Approval 20</w:t>
      </w:r>
      <w:r w:rsidR="001C70AD" w:rsidRPr="00842F0B">
        <w:rPr>
          <w:rFonts w:eastAsia="Times New Roman" w:cs="Calibri"/>
          <w:b/>
          <w:color w:val="000000" w:themeColor="text1"/>
          <w:sz w:val="40"/>
          <w:szCs w:val="20"/>
        </w:rPr>
        <w:t>2</w:t>
      </w:r>
      <w:r w:rsidR="007A1F8F" w:rsidRPr="00842F0B">
        <w:rPr>
          <w:rFonts w:eastAsia="Times New Roman" w:cs="Calibri"/>
          <w:b/>
          <w:color w:val="000000" w:themeColor="text1"/>
          <w:sz w:val="40"/>
          <w:szCs w:val="20"/>
        </w:rPr>
        <w:t>4</w:t>
      </w:r>
      <w:r w:rsidRPr="00842F0B">
        <w:rPr>
          <w:rFonts w:eastAsia="Times New Roman" w:cs="Calibri"/>
          <w:b/>
          <w:color w:val="000000" w:themeColor="text1"/>
          <w:sz w:val="40"/>
          <w:szCs w:val="20"/>
        </w:rPr>
        <w:t xml:space="preserve"> (No </w:t>
      </w:r>
      <w:r w:rsidR="00842F0B" w:rsidRPr="00842F0B">
        <w:rPr>
          <w:rFonts w:eastAsia="Times New Roman" w:cs="Calibri"/>
          <w:b/>
          <w:color w:val="000000" w:themeColor="text1"/>
          <w:sz w:val="40"/>
          <w:szCs w:val="20"/>
        </w:rPr>
        <w:t>8</w:t>
      </w:r>
      <w:r w:rsidRPr="00842F0B">
        <w:rPr>
          <w:rFonts w:eastAsia="Times New Roman" w:cs="Calibri"/>
          <w:b/>
          <w:color w:val="000000" w:themeColor="text1"/>
          <w:sz w:val="40"/>
          <w:szCs w:val="20"/>
        </w:rPr>
        <w:t>)</w:t>
      </w:r>
    </w:p>
    <w:p w14:paraId="2E27B9D6" w14:textId="0175A6FD" w:rsidR="003B7ADB" w:rsidRPr="00842F0B" w:rsidRDefault="003B7ADB" w:rsidP="003B7ADB">
      <w:pPr>
        <w:spacing w:before="240" w:after="60" w:line="240" w:lineRule="auto"/>
        <w:rPr>
          <w:rFonts w:eastAsia="Times New Roman" w:cs="Calibri"/>
          <w:b/>
          <w:bCs/>
          <w:color w:val="000000" w:themeColor="text1"/>
          <w:sz w:val="24"/>
          <w:szCs w:val="20"/>
        </w:rPr>
      </w:pPr>
      <w:r w:rsidRPr="00842F0B">
        <w:rPr>
          <w:rFonts w:eastAsia="Times New Roman" w:cs="Calibri"/>
          <w:b/>
          <w:bCs/>
          <w:color w:val="000000" w:themeColor="text1"/>
          <w:sz w:val="24"/>
          <w:szCs w:val="20"/>
        </w:rPr>
        <w:t>Notifiable instrument NI20</w:t>
      </w:r>
      <w:r w:rsidR="00BF3A70" w:rsidRPr="00842F0B">
        <w:rPr>
          <w:rFonts w:eastAsia="Times New Roman" w:cs="Calibri"/>
          <w:b/>
          <w:bCs/>
          <w:color w:val="000000" w:themeColor="text1"/>
          <w:sz w:val="24"/>
          <w:szCs w:val="20"/>
        </w:rPr>
        <w:t>2</w:t>
      </w:r>
      <w:r w:rsidR="007A1F8F" w:rsidRPr="00842F0B">
        <w:rPr>
          <w:rFonts w:eastAsia="Times New Roman" w:cs="Calibri"/>
          <w:b/>
          <w:bCs/>
          <w:color w:val="000000" w:themeColor="text1"/>
          <w:sz w:val="24"/>
          <w:szCs w:val="20"/>
        </w:rPr>
        <w:t>4</w:t>
      </w:r>
      <w:r w:rsidRPr="00842F0B">
        <w:rPr>
          <w:rFonts w:eastAsia="Times New Roman" w:cs="Calibri"/>
          <w:b/>
          <w:bCs/>
          <w:color w:val="000000" w:themeColor="text1"/>
          <w:sz w:val="24"/>
          <w:szCs w:val="20"/>
        </w:rPr>
        <w:t>–</w:t>
      </w:r>
      <w:r w:rsidR="00C2527D">
        <w:rPr>
          <w:rFonts w:eastAsia="Times New Roman" w:cs="Calibri"/>
          <w:b/>
          <w:bCs/>
          <w:color w:val="000000" w:themeColor="text1"/>
          <w:sz w:val="24"/>
          <w:szCs w:val="20"/>
        </w:rPr>
        <w:t>140</w:t>
      </w:r>
    </w:p>
    <w:p w14:paraId="451122D4" w14:textId="77777777" w:rsidR="003B7ADB" w:rsidRPr="00842F0B" w:rsidRDefault="003B7ADB" w:rsidP="003B7ADB">
      <w:pPr>
        <w:spacing w:before="240" w:after="60" w:line="240" w:lineRule="auto"/>
        <w:rPr>
          <w:rFonts w:eastAsia="Times New Roman" w:cs="Calibri"/>
          <w:color w:val="000000" w:themeColor="text1"/>
          <w:sz w:val="24"/>
          <w:szCs w:val="20"/>
        </w:rPr>
      </w:pPr>
      <w:r w:rsidRPr="00842F0B">
        <w:rPr>
          <w:rFonts w:eastAsia="Times New Roman" w:cs="Calibri"/>
          <w:color w:val="000000" w:themeColor="text1"/>
          <w:sz w:val="24"/>
          <w:szCs w:val="20"/>
        </w:rPr>
        <w:t xml:space="preserve">made under the </w:t>
      </w:r>
    </w:p>
    <w:p w14:paraId="3D7201EC" w14:textId="77777777" w:rsidR="003B7ADB" w:rsidRPr="00842F0B" w:rsidRDefault="003B7ADB" w:rsidP="003B7ADB">
      <w:pPr>
        <w:tabs>
          <w:tab w:val="left" w:pos="2600"/>
        </w:tabs>
        <w:spacing w:before="200" w:after="60" w:line="240" w:lineRule="auto"/>
        <w:rPr>
          <w:rFonts w:eastAsia="Times New Roman" w:cs="Calibri"/>
          <w:b/>
          <w:color w:val="000000" w:themeColor="text1"/>
          <w:sz w:val="24"/>
          <w:szCs w:val="20"/>
        </w:rPr>
      </w:pPr>
      <w:r w:rsidRPr="00842F0B">
        <w:rPr>
          <w:rFonts w:eastAsia="Times New Roman" w:cs="Calibri"/>
          <w:b/>
          <w:color w:val="000000" w:themeColor="text1"/>
          <w:sz w:val="20"/>
          <w:szCs w:val="20"/>
        </w:rPr>
        <w:t>Gaming Machine Act 2004, section 69 (Approval of gaming machines and peripheral equipment)</w:t>
      </w:r>
    </w:p>
    <w:p w14:paraId="59C08B95" w14:textId="77777777" w:rsidR="003B7ADB" w:rsidRPr="00842F0B" w:rsidRDefault="003B7ADB" w:rsidP="003B7ADB">
      <w:pPr>
        <w:spacing w:after="0" w:line="240" w:lineRule="auto"/>
        <w:rPr>
          <w:rFonts w:eastAsia="Times New Roman" w:cs="Calibri"/>
          <w:color w:val="000000" w:themeColor="text1"/>
          <w:sz w:val="24"/>
          <w:szCs w:val="20"/>
        </w:rPr>
      </w:pPr>
    </w:p>
    <w:p w14:paraId="4AB7AC98" w14:textId="77777777" w:rsidR="003B7ADB" w:rsidRPr="00842F0B" w:rsidRDefault="003B7ADB" w:rsidP="003B7ADB">
      <w:pPr>
        <w:pBdr>
          <w:top w:val="single" w:sz="12" w:space="1" w:color="auto"/>
        </w:pBdr>
        <w:spacing w:after="0" w:line="240" w:lineRule="auto"/>
        <w:rPr>
          <w:rFonts w:eastAsia="Times New Roman" w:cs="Calibri"/>
          <w:color w:val="000000" w:themeColor="text1"/>
          <w:sz w:val="24"/>
          <w:szCs w:val="20"/>
        </w:rPr>
      </w:pPr>
    </w:p>
    <w:p w14:paraId="0365186B" w14:textId="77777777" w:rsidR="003B7ADB" w:rsidRPr="00842F0B" w:rsidRDefault="003B7ADB" w:rsidP="003B7ADB">
      <w:pPr>
        <w:keepNext/>
        <w:spacing w:before="60" w:after="60" w:line="240" w:lineRule="auto"/>
        <w:outlineLvl w:val="0"/>
        <w:rPr>
          <w:rFonts w:eastAsia="Times New Roman" w:cs="Calibri"/>
          <w:b/>
          <w:bCs/>
          <w:color w:val="000000" w:themeColor="text1"/>
          <w:sz w:val="24"/>
          <w:szCs w:val="20"/>
        </w:rPr>
      </w:pPr>
      <w:r w:rsidRPr="00842F0B">
        <w:rPr>
          <w:rFonts w:eastAsia="Times New Roman" w:cs="Calibri"/>
          <w:b/>
          <w:bCs/>
          <w:color w:val="000000" w:themeColor="text1"/>
          <w:sz w:val="24"/>
          <w:szCs w:val="20"/>
        </w:rPr>
        <w:t>1</w:t>
      </w:r>
      <w:r w:rsidRPr="00842F0B">
        <w:rPr>
          <w:rFonts w:eastAsia="Times New Roman" w:cs="Calibri"/>
          <w:b/>
          <w:bCs/>
          <w:color w:val="000000" w:themeColor="text1"/>
          <w:sz w:val="24"/>
          <w:szCs w:val="20"/>
        </w:rPr>
        <w:tab/>
        <w:t>Name of instrument</w:t>
      </w:r>
    </w:p>
    <w:p w14:paraId="58666223" w14:textId="6165DE32" w:rsidR="003B7ADB" w:rsidRPr="00842F0B" w:rsidRDefault="003B7ADB" w:rsidP="00FC61D9">
      <w:pPr>
        <w:spacing w:before="80" w:after="60" w:line="240" w:lineRule="auto"/>
        <w:ind w:firstLine="720"/>
        <w:rPr>
          <w:rFonts w:eastAsia="Times New Roman" w:cs="Calibri"/>
          <w:i/>
          <w:iCs/>
          <w:color w:val="000000" w:themeColor="text1"/>
          <w:sz w:val="24"/>
          <w:szCs w:val="20"/>
        </w:rPr>
      </w:pPr>
      <w:r w:rsidRPr="00842F0B">
        <w:rPr>
          <w:rFonts w:eastAsia="Times New Roman" w:cs="Calibri"/>
          <w:color w:val="000000" w:themeColor="text1"/>
          <w:sz w:val="24"/>
          <w:szCs w:val="20"/>
        </w:rPr>
        <w:t xml:space="preserve">This instrument is the </w:t>
      </w:r>
      <w:r w:rsidRPr="00842F0B">
        <w:rPr>
          <w:rFonts w:eastAsia="Times New Roman" w:cs="Calibri"/>
          <w:i/>
          <w:iCs/>
          <w:color w:val="000000" w:themeColor="text1"/>
          <w:sz w:val="24"/>
          <w:szCs w:val="20"/>
        </w:rPr>
        <w:t>Gaming Machine Approval 20</w:t>
      </w:r>
      <w:r w:rsidR="001C70AD" w:rsidRPr="00842F0B">
        <w:rPr>
          <w:rFonts w:eastAsia="Times New Roman" w:cs="Calibri"/>
          <w:i/>
          <w:iCs/>
          <w:color w:val="000000" w:themeColor="text1"/>
          <w:sz w:val="24"/>
          <w:szCs w:val="20"/>
        </w:rPr>
        <w:t>2</w:t>
      </w:r>
      <w:r w:rsidR="007A1F8F" w:rsidRPr="00842F0B">
        <w:rPr>
          <w:rFonts w:eastAsia="Times New Roman" w:cs="Calibri"/>
          <w:i/>
          <w:iCs/>
          <w:color w:val="000000" w:themeColor="text1"/>
          <w:sz w:val="24"/>
          <w:szCs w:val="20"/>
        </w:rPr>
        <w:t>4</w:t>
      </w:r>
      <w:r w:rsidRPr="00842F0B">
        <w:rPr>
          <w:rFonts w:eastAsia="Times New Roman" w:cs="Calibri"/>
          <w:i/>
          <w:iCs/>
          <w:color w:val="000000" w:themeColor="text1"/>
          <w:sz w:val="24"/>
          <w:szCs w:val="20"/>
        </w:rPr>
        <w:t xml:space="preserve"> (No</w:t>
      </w:r>
      <w:bookmarkStart w:id="1" w:name="Text2"/>
      <w:r w:rsidRPr="00842F0B">
        <w:rPr>
          <w:rFonts w:eastAsia="Times New Roman" w:cs="Calibri"/>
          <w:i/>
          <w:iCs/>
          <w:color w:val="000000" w:themeColor="text1"/>
          <w:sz w:val="24"/>
          <w:szCs w:val="20"/>
        </w:rPr>
        <w:t xml:space="preserve"> </w:t>
      </w:r>
      <w:bookmarkEnd w:id="1"/>
      <w:r w:rsidR="00842F0B" w:rsidRPr="00842F0B">
        <w:rPr>
          <w:rFonts w:eastAsia="Times New Roman" w:cs="Calibri"/>
          <w:i/>
          <w:iCs/>
          <w:color w:val="000000" w:themeColor="text1"/>
          <w:sz w:val="24"/>
          <w:szCs w:val="20"/>
        </w:rPr>
        <w:t>8</w:t>
      </w:r>
      <w:r w:rsidRPr="00842F0B">
        <w:rPr>
          <w:rFonts w:eastAsia="Times New Roman" w:cs="Calibri"/>
          <w:i/>
          <w:iCs/>
          <w:color w:val="000000" w:themeColor="text1"/>
          <w:sz w:val="24"/>
          <w:szCs w:val="20"/>
        </w:rPr>
        <w:t>).</w:t>
      </w:r>
    </w:p>
    <w:p w14:paraId="6ACFCB6E" w14:textId="77777777" w:rsidR="003B7ADB" w:rsidRPr="00842F0B" w:rsidRDefault="003B7ADB" w:rsidP="003B7ADB">
      <w:pPr>
        <w:spacing w:after="0" w:line="240" w:lineRule="auto"/>
        <w:rPr>
          <w:rFonts w:eastAsia="Times New Roman" w:cs="Calibri"/>
          <w:color w:val="000000" w:themeColor="text1"/>
          <w:sz w:val="24"/>
          <w:szCs w:val="20"/>
        </w:rPr>
      </w:pPr>
    </w:p>
    <w:p w14:paraId="40BC1852" w14:textId="77777777" w:rsidR="003B7ADB" w:rsidRPr="00842F0B" w:rsidRDefault="003B7ADB" w:rsidP="003B7ADB">
      <w:pPr>
        <w:spacing w:before="240" w:after="60" w:line="240" w:lineRule="auto"/>
        <w:rPr>
          <w:rFonts w:eastAsia="Times New Roman" w:cs="Calibri"/>
          <w:b/>
          <w:bCs/>
          <w:color w:val="000000" w:themeColor="text1"/>
          <w:sz w:val="24"/>
          <w:szCs w:val="20"/>
        </w:rPr>
      </w:pPr>
      <w:r w:rsidRPr="00842F0B">
        <w:rPr>
          <w:rFonts w:eastAsia="Times New Roman" w:cs="Calibri"/>
          <w:b/>
          <w:bCs/>
          <w:color w:val="000000" w:themeColor="text1"/>
          <w:sz w:val="24"/>
          <w:szCs w:val="20"/>
        </w:rPr>
        <w:t>2</w:t>
      </w:r>
      <w:r w:rsidRPr="00842F0B">
        <w:rPr>
          <w:rFonts w:eastAsia="Times New Roman" w:cs="Calibri"/>
          <w:b/>
          <w:bCs/>
          <w:color w:val="000000" w:themeColor="text1"/>
          <w:sz w:val="24"/>
          <w:szCs w:val="20"/>
        </w:rPr>
        <w:tab/>
        <w:t xml:space="preserve">Commencement </w:t>
      </w:r>
    </w:p>
    <w:p w14:paraId="0AFDE838" w14:textId="77777777" w:rsidR="003B7ADB" w:rsidRPr="00842F0B" w:rsidRDefault="003B7ADB" w:rsidP="00FC61D9">
      <w:pPr>
        <w:spacing w:before="80" w:after="60" w:line="240" w:lineRule="auto"/>
        <w:ind w:firstLine="720"/>
        <w:rPr>
          <w:rFonts w:eastAsia="Times New Roman" w:cs="Calibri"/>
          <w:color w:val="000000" w:themeColor="text1"/>
          <w:sz w:val="24"/>
          <w:szCs w:val="20"/>
        </w:rPr>
      </w:pPr>
      <w:r w:rsidRPr="00842F0B">
        <w:rPr>
          <w:rFonts w:eastAsia="Times New Roman" w:cs="Calibri"/>
          <w:color w:val="000000" w:themeColor="text1"/>
          <w:sz w:val="24"/>
          <w:szCs w:val="20"/>
        </w:rPr>
        <w:t>This instrument commences the day after the date of notification.</w:t>
      </w:r>
    </w:p>
    <w:p w14:paraId="49C26B6F" w14:textId="77777777" w:rsidR="003B7ADB" w:rsidRPr="00842F0B" w:rsidRDefault="003B7ADB" w:rsidP="003B7ADB">
      <w:pPr>
        <w:spacing w:before="80" w:after="60" w:line="240" w:lineRule="auto"/>
        <w:rPr>
          <w:rFonts w:eastAsia="Times New Roman" w:cs="Calibri"/>
          <w:color w:val="000000" w:themeColor="text1"/>
          <w:sz w:val="24"/>
          <w:szCs w:val="20"/>
        </w:rPr>
      </w:pPr>
    </w:p>
    <w:p w14:paraId="42A058EA" w14:textId="77777777" w:rsidR="003B7ADB" w:rsidRPr="00842F0B" w:rsidRDefault="003B7ADB" w:rsidP="003B7ADB">
      <w:pPr>
        <w:numPr>
          <w:ilvl w:val="0"/>
          <w:numId w:val="1"/>
        </w:numPr>
        <w:spacing w:before="80" w:after="60" w:line="240" w:lineRule="auto"/>
        <w:ind w:hanging="720"/>
        <w:outlineLvl w:val="5"/>
        <w:rPr>
          <w:rFonts w:eastAsia="Times New Roman" w:cs="Calibri"/>
          <w:b/>
          <w:bCs/>
          <w:color w:val="000000" w:themeColor="text1"/>
          <w:sz w:val="24"/>
          <w:szCs w:val="24"/>
        </w:rPr>
      </w:pPr>
      <w:r w:rsidRPr="00842F0B">
        <w:rPr>
          <w:rFonts w:eastAsia="Times New Roman" w:cs="Calibri"/>
          <w:b/>
          <w:bCs/>
          <w:color w:val="000000" w:themeColor="text1"/>
          <w:sz w:val="24"/>
          <w:szCs w:val="24"/>
        </w:rPr>
        <w:t>Approval</w:t>
      </w:r>
    </w:p>
    <w:p w14:paraId="1C7FEFD0" w14:textId="77777777" w:rsidR="003B7ADB" w:rsidRPr="00842F0B" w:rsidRDefault="003B7ADB" w:rsidP="00FC61D9">
      <w:pPr>
        <w:spacing w:after="60" w:line="240" w:lineRule="auto"/>
        <w:ind w:left="720"/>
        <w:rPr>
          <w:rFonts w:eastAsia="Times New Roman" w:cs="Calibri"/>
          <w:color w:val="000000" w:themeColor="text1"/>
          <w:sz w:val="24"/>
          <w:szCs w:val="24"/>
          <w:lang w:val="en-GB"/>
        </w:rPr>
      </w:pPr>
      <w:r w:rsidRPr="00842F0B">
        <w:rPr>
          <w:rFonts w:eastAsia="Times New Roman" w:cs="Calibri"/>
          <w:color w:val="000000" w:themeColor="text1"/>
          <w:sz w:val="24"/>
          <w:szCs w:val="24"/>
          <w:lang w:val="en-GB"/>
        </w:rPr>
        <w:t>I approve the gaming machine(s) described in the attached Schedule to this instrument.</w:t>
      </w:r>
    </w:p>
    <w:p w14:paraId="731FBA21" w14:textId="77777777" w:rsidR="003B7ADB" w:rsidRPr="00842F0B" w:rsidRDefault="003B7ADB" w:rsidP="003B7ADB">
      <w:pPr>
        <w:spacing w:before="240" w:after="60" w:line="240" w:lineRule="auto"/>
        <w:rPr>
          <w:rFonts w:eastAsia="Times New Roman" w:cs="Calibri"/>
          <w:color w:val="000000" w:themeColor="text1"/>
          <w:sz w:val="24"/>
          <w:szCs w:val="20"/>
        </w:rPr>
      </w:pPr>
    </w:p>
    <w:p w14:paraId="2D536511" w14:textId="3F846B2F" w:rsidR="003B7ADB" w:rsidRPr="00842F0B" w:rsidRDefault="005452CD" w:rsidP="005452CD">
      <w:pPr>
        <w:spacing w:before="240" w:after="60" w:line="240" w:lineRule="auto"/>
        <w:ind w:firstLine="720"/>
        <w:rPr>
          <w:noProof/>
          <w:color w:val="000000" w:themeColor="text1"/>
          <w:lang w:eastAsia="en-AU"/>
        </w:rPr>
      </w:pPr>
      <w:r>
        <w:rPr>
          <w:noProof/>
        </w:rPr>
        <w:drawing>
          <wp:inline distT="0" distB="0" distL="0" distR="0" wp14:anchorId="5610B9B9" wp14:editId="3FE4DE62">
            <wp:extent cx="1447800" cy="394076"/>
            <wp:effectExtent l="0" t="0" r="0" b="6350"/>
            <wp:docPr id="1" name="Picture 1" descr="cid:image001.png@01D2A162.BFFB7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A162.BFFB73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08363" cy="410561"/>
                    </a:xfrm>
                    <a:prstGeom prst="rect">
                      <a:avLst/>
                    </a:prstGeom>
                    <a:noFill/>
                    <a:ln>
                      <a:noFill/>
                    </a:ln>
                  </pic:spPr>
                </pic:pic>
              </a:graphicData>
            </a:graphic>
          </wp:inline>
        </w:drawing>
      </w:r>
    </w:p>
    <w:bookmarkEnd w:id="0"/>
    <w:p w14:paraId="782E2837" w14:textId="77777777" w:rsidR="00C655C1" w:rsidRPr="00842F0B" w:rsidRDefault="00C655C1" w:rsidP="00F41818">
      <w:pPr>
        <w:spacing w:after="0" w:line="240" w:lineRule="auto"/>
        <w:ind w:left="720"/>
        <w:rPr>
          <w:rFonts w:eastAsia="Times New Roman" w:cs="Calibri"/>
          <w:color w:val="000000" w:themeColor="text1"/>
          <w:sz w:val="24"/>
          <w:szCs w:val="20"/>
        </w:rPr>
      </w:pPr>
      <w:r w:rsidRPr="00842F0B">
        <w:rPr>
          <w:rFonts w:eastAsia="Times New Roman" w:cs="Calibri"/>
          <w:color w:val="000000" w:themeColor="text1"/>
          <w:sz w:val="24"/>
          <w:szCs w:val="20"/>
        </w:rPr>
        <w:t>Karl Somers</w:t>
      </w:r>
    </w:p>
    <w:p w14:paraId="3C7E5E7F" w14:textId="77777777" w:rsidR="003B7ADB" w:rsidRPr="00842F0B" w:rsidRDefault="003B7ADB" w:rsidP="00F41818">
      <w:pPr>
        <w:spacing w:after="0" w:line="240" w:lineRule="auto"/>
        <w:ind w:left="720"/>
        <w:rPr>
          <w:rFonts w:eastAsia="Times New Roman" w:cs="Calibri"/>
          <w:color w:val="000000" w:themeColor="text1"/>
          <w:sz w:val="24"/>
          <w:szCs w:val="20"/>
        </w:rPr>
      </w:pPr>
      <w:r w:rsidRPr="00842F0B">
        <w:rPr>
          <w:rFonts w:eastAsia="Times New Roman" w:cs="Calibri"/>
          <w:color w:val="000000" w:themeColor="text1"/>
          <w:sz w:val="24"/>
          <w:szCs w:val="20"/>
        </w:rPr>
        <w:t>Delegate</w:t>
      </w:r>
    </w:p>
    <w:p w14:paraId="56FBFAA3" w14:textId="77777777" w:rsidR="003B7ADB" w:rsidRPr="00842F0B" w:rsidRDefault="003B7ADB" w:rsidP="00F41818">
      <w:pPr>
        <w:spacing w:after="0" w:line="240" w:lineRule="auto"/>
        <w:ind w:left="720"/>
        <w:rPr>
          <w:rFonts w:eastAsia="Times New Roman" w:cs="Calibri"/>
          <w:color w:val="000000" w:themeColor="text1"/>
          <w:sz w:val="24"/>
          <w:szCs w:val="20"/>
        </w:rPr>
      </w:pPr>
      <w:r w:rsidRPr="00842F0B">
        <w:rPr>
          <w:rFonts w:eastAsia="Times New Roman" w:cs="Calibri"/>
          <w:color w:val="000000" w:themeColor="text1"/>
          <w:sz w:val="24"/>
          <w:szCs w:val="20"/>
        </w:rPr>
        <w:t>ACT Gambling and Racing Commission</w:t>
      </w:r>
    </w:p>
    <w:p w14:paraId="7701D845" w14:textId="2010F404" w:rsidR="00C655C1" w:rsidRPr="00842F0B" w:rsidRDefault="005452CD" w:rsidP="00F41818">
      <w:pPr>
        <w:spacing w:after="0" w:line="240" w:lineRule="auto"/>
        <w:ind w:left="720"/>
        <w:rPr>
          <w:rFonts w:eastAsia="Times New Roman" w:cs="Calibri"/>
          <w:bCs/>
          <w:color w:val="000000" w:themeColor="text1"/>
        </w:rPr>
      </w:pPr>
      <w:r>
        <w:rPr>
          <w:rFonts w:eastAsia="Times New Roman" w:cs="Calibri"/>
          <w:bCs/>
          <w:color w:val="000000" w:themeColor="text1"/>
          <w:sz w:val="24"/>
          <w:szCs w:val="20"/>
        </w:rPr>
        <w:t>18</w:t>
      </w:r>
      <w:r w:rsidR="00C655C1" w:rsidRPr="00842F0B">
        <w:rPr>
          <w:rFonts w:eastAsia="Times New Roman" w:cs="Calibri"/>
          <w:bCs/>
          <w:color w:val="000000" w:themeColor="text1"/>
          <w:sz w:val="24"/>
          <w:szCs w:val="20"/>
        </w:rPr>
        <w:t xml:space="preserve"> </w:t>
      </w:r>
      <w:r w:rsidR="00842F0B" w:rsidRPr="00842F0B">
        <w:rPr>
          <w:rFonts w:eastAsia="Times New Roman" w:cs="Calibri"/>
          <w:bCs/>
          <w:color w:val="000000" w:themeColor="text1"/>
          <w:sz w:val="24"/>
          <w:szCs w:val="20"/>
        </w:rPr>
        <w:t>March</w:t>
      </w:r>
      <w:r w:rsidR="00C655C1" w:rsidRPr="00842F0B">
        <w:rPr>
          <w:rFonts w:eastAsia="Times New Roman" w:cs="Calibri"/>
          <w:bCs/>
          <w:color w:val="000000" w:themeColor="text1"/>
          <w:sz w:val="24"/>
          <w:szCs w:val="20"/>
        </w:rPr>
        <w:t xml:space="preserve"> 202</w:t>
      </w:r>
      <w:r w:rsidR="007A1F8F" w:rsidRPr="00842F0B">
        <w:rPr>
          <w:rFonts w:eastAsia="Times New Roman" w:cs="Calibri"/>
          <w:bCs/>
          <w:color w:val="000000" w:themeColor="text1"/>
          <w:sz w:val="24"/>
          <w:szCs w:val="20"/>
        </w:rPr>
        <w:t>4</w:t>
      </w:r>
    </w:p>
    <w:p w14:paraId="6F52EF63" w14:textId="77777777" w:rsidR="003D7E7E" w:rsidRPr="003674EC" w:rsidRDefault="003D7E7E" w:rsidP="003B7ADB">
      <w:pPr>
        <w:tabs>
          <w:tab w:val="left" w:pos="5160"/>
        </w:tabs>
        <w:spacing w:before="200" w:after="60" w:line="240" w:lineRule="auto"/>
        <w:rPr>
          <w:rFonts w:eastAsia="Times New Roman" w:cs="Calibri"/>
          <w:bCs/>
        </w:rPr>
      </w:pPr>
    </w:p>
    <w:p w14:paraId="5BB6A81E" w14:textId="77777777" w:rsidR="003D7E7E" w:rsidRPr="003D7E7E" w:rsidRDefault="003D7E7E" w:rsidP="003D7E7E">
      <w:pPr>
        <w:rPr>
          <w:rFonts w:eastAsia="Times New Roman" w:cs="Calibri"/>
        </w:rPr>
      </w:pPr>
    </w:p>
    <w:p w14:paraId="095C6A2F" w14:textId="77777777" w:rsidR="003D7E7E" w:rsidRDefault="003D7E7E" w:rsidP="003D7E7E">
      <w:pPr>
        <w:jc w:val="center"/>
        <w:rPr>
          <w:rFonts w:eastAsia="Times New Roman" w:cs="Calibri"/>
        </w:rPr>
      </w:pPr>
    </w:p>
    <w:p w14:paraId="3962340A" w14:textId="77777777" w:rsidR="003D7E7E" w:rsidRDefault="003D7E7E" w:rsidP="003D7E7E">
      <w:pPr>
        <w:rPr>
          <w:rFonts w:eastAsia="Times New Roman" w:cs="Calibri"/>
        </w:rPr>
      </w:pPr>
    </w:p>
    <w:p w14:paraId="0773287F" w14:textId="77777777" w:rsidR="003B7ADB" w:rsidRPr="003D7E7E" w:rsidRDefault="003B7ADB" w:rsidP="003D7E7E">
      <w:pPr>
        <w:rPr>
          <w:rFonts w:eastAsia="Times New Roman" w:cs="Calibri"/>
        </w:rPr>
        <w:sectPr w:rsidR="003B7ADB" w:rsidRPr="003D7E7E" w:rsidSect="00D34F7B">
          <w:headerReference w:type="even" r:id="rId10"/>
          <w:headerReference w:type="default" r:id="rId11"/>
          <w:footerReference w:type="even" r:id="rId12"/>
          <w:footerReference w:type="default" r:id="rId13"/>
          <w:headerReference w:type="first" r:id="rId14"/>
          <w:footerReference w:type="first" r:id="rId15"/>
          <w:pgSz w:w="11907" w:h="16840" w:code="9"/>
          <w:pgMar w:top="1077" w:right="1797" w:bottom="851" w:left="1797" w:header="720" w:footer="720" w:gutter="0"/>
          <w:cols w:space="720"/>
          <w:titlePg/>
          <w:docGrid w:linePitch="299"/>
        </w:sectPr>
      </w:pPr>
    </w:p>
    <w:p w14:paraId="67E540D7" w14:textId="77777777" w:rsidR="003B7ADB" w:rsidRPr="00910CBB" w:rsidRDefault="003B7ADB" w:rsidP="003B7ADB">
      <w:pPr>
        <w:spacing w:after="0"/>
        <w:rPr>
          <w:sz w:val="24"/>
          <w:szCs w:val="24"/>
        </w:rPr>
      </w:pPr>
      <w:r w:rsidRPr="00910CBB">
        <w:rPr>
          <w:sz w:val="24"/>
          <w:szCs w:val="24"/>
        </w:rPr>
        <w:lastRenderedPageBreak/>
        <w:t>For further information please contact the approved supplier.</w:t>
      </w:r>
    </w:p>
    <w:p w14:paraId="60F5547E" w14:textId="77777777" w:rsidR="003B7ADB" w:rsidRPr="003674EC" w:rsidRDefault="003B7ADB" w:rsidP="003B7ADB">
      <w:pPr>
        <w:spacing w:after="0"/>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AC448B" w:rsidRPr="00FC63E1" w14:paraId="16D99E2B" w14:textId="77777777" w:rsidTr="00BA08AE">
        <w:tc>
          <w:tcPr>
            <w:tcW w:w="9072" w:type="dxa"/>
            <w:gridSpan w:val="2"/>
            <w:tcBorders>
              <w:top w:val="single" w:sz="4" w:space="0" w:color="auto"/>
              <w:left w:val="single" w:sz="4" w:space="0" w:color="auto"/>
              <w:bottom w:val="single" w:sz="4" w:space="0" w:color="auto"/>
              <w:right w:val="single" w:sz="4" w:space="0" w:color="auto"/>
            </w:tcBorders>
          </w:tcPr>
          <w:p w14:paraId="3EB73E30" w14:textId="211BA06F" w:rsidR="003B7ADB" w:rsidRPr="00FC63E1" w:rsidRDefault="00842F0B" w:rsidP="00233318">
            <w:pPr>
              <w:pStyle w:val="Default"/>
              <w:rPr>
                <w:rFonts w:asciiTheme="minorHAnsi" w:hAnsiTheme="minorHAnsi" w:cstheme="minorHAnsi"/>
              </w:rPr>
            </w:pPr>
            <w:r w:rsidRPr="00FC63E1">
              <w:rPr>
                <w:rFonts w:asciiTheme="minorHAnsi" w:hAnsiTheme="minorHAnsi" w:cstheme="minorHAnsi"/>
              </w:rPr>
              <w:t>LNW Gaming ANZ Pty Ltd</w:t>
            </w:r>
          </w:p>
        </w:tc>
      </w:tr>
      <w:tr w:rsidR="00AC448B" w:rsidRPr="00FC63E1" w14:paraId="45312DD0" w14:textId="77777777" w:rsidTr="00BA08AE">
        <w:tc>
          <w:tcPr>
            <w:tcW w:w="9072" w:type="dxa"/>
            <w:gridSpan w:val="2"/>
          </w:tcPr>
          <w:p w14:paraId="35958C39" w14:textId="35A05744" w:rsidR="003B7ADB" w:rsidRPr="00FC63E1" w:rsidRDefault="003B7ADB" w:rsidP="00233318">
            <w:pPr>
              <w:pStyle w:val="Default"/>
              <w:rPr>
                <w:rFonts w:asciiTheme="minorHAnsi" w:hAnsiTheme="minorHAnsi" w:cstheme="minorHAnsi"/>
              </w:rPr>
            </w:pPr>
            <w:r w:rsidRPr="00FC63E1">
              <w:rPr>
                <w:rFonts w:asciiTheme="minorHAnsi" w:hAnsiTheme="minorHAnsi" w:cstheme="minorHAnsi"/>
              </w:rPr>
              <w:t xml:space="preserve">Subject: </w:t>
            </w:r>
            <w:r w:rsidR="00842F0B" w:rsidRPr="00FC63E1">
              <w:rPr>
                <w:rFonts w:asciiTheme="minorHAnsi" w:hAnsiTheme="minorHAnsi" w:cstheme="minorHAnsi"/>
              </w:rPr>
              <w:t>Updated gaming machine game</w:t>
            </w:r>
          </w:p>
        </w:tc>
      </w:tr>
      <w:tr w:rsidR="00AC448B" w:rsidRPr="00FC63E1" w14:paraId="356E8BA5" w14:textId="77777777" w:rsidTr="00BA08AE">
        <w:tc>
          <w:tcPr>
            <w:tcW w:w="3686" w:type="dxa"/>
          </w:tcPr>
          <w:p w14:paraId="0AB76CDE" w14:textId="317EB84E" w:rsidR="003B7ADB" w:rsidRPr="00FC63E1" w:rsidRDefault="00024AB5" w:rsidP="00233318">
            <w:pPr>
              <w:pStyle w:val="Default"/>
              <w:rPr>
                <w:rFonts w:asciiTheme="minorHAnsi" w:hAnsiTheme="minorHAnsi" w:cstheme="minorHAnsi"/>
              </w:rPr>
            </w:pPr>
            <w:r w:rsidRPr="00FC63E1">
              <w:rPr>
                <w:rFonts w:asciiTheme="minorHAnsi" w:hAnsiTheme="minorHAnsi" w:cstheme="minorHAnsi"/>
              </w:rPr>
              <w:t>Game</w:t>
            </w:r>
            <w:r w:rsidR="003B7ADB" w:rsidRPr="00FC63E1">
              <w:rPr>
                <w:rFonts w:asciiTheme="minorHAnsi" w:hAnsiTheme="minorHAnsi" w:cstheme="minorHAnsi"/>
              </w:rPr>
              <w:t xml:space="preserve"> Name</w:t>
            </w:r>
            <w:r w:rsidR="003674EC" w:rsidRPr="00FC63E1">
              <w:rPr>
                <w:rFonts w:asciiTheme="minorHAnsi" w:hAnsiTheme="minorHAnsi" w:cstheme="minorHAnsi"/>
              </w:rPr>
              <w:t>:</w:t>
            </w:r>
          </w:p>
        </w:tc>
        <w:tc>
          <w:tcPr>
            <w:tcW w:w="5386" w:type="dxa"/>
          </w:tcPr>
          <w:p w14:paraId="39D82E21" w14:textId="5224A942" w:rsidR="003B7ADB" w:rsidRPr="00FC63E1" w:rsidRDefault="00842F0B" w:rsidP="00233318">
            <w:pPr>
              <w:pStyle w:val="Default"/>
              <w:rPr>
                <w:rFonts w:asciiTheme="minorHAnsi" w:hAnsiTheme="minorHAnsi" w:cstheme="minorHAnsi"/>
              </w:rPr>
            </w:pPr>
            <w:r w:rsidRPr="00FC63E1">
              <w:rPr>
                <w:rFonts w:asciiTheme="minorHAnsi" w:hAnsiTheme="minorHAnsi" w:cstheme="minorHAnsi"/>
              </w:rPr>
              <w:t>Chi Lin Wins – Dragon Train</w:t>
            </w:r>
          </w:p>
        </w:tc>
      </w:tr>
      <w:tr w:rsidR="00AC448B" w:rsidRPr="00FC63E1" w14:paraId="588C6F4D" w14:textId="77777777" w:rsidTr="00BA08AE">
        <w:tc>
          <w:tcPr>
            <w:tcW w:w="3686" w:type="dxa"/>
          </w:tcPr>
          <w:p w14:paraId="6CF002BE" w14:textId="65715A3B" w:rsidR="003B7ADB" w:rsidRPr="00FC63E1" w:rsidRDefault="003B7ADB" w:rsidP="00233318">
            <w:pPr>
              <w:pStyle w:val="Default"/>
              <w:rPr>
                <w:rFonts w:asciiTheme="minorHAnsi" w:hAnsiTheme="minorHAnsi" w:cstheme="minorHAnsi"/>
              </w:rPr>
            </w:pPr>
            <w:r w:rsidRPr="00FC63E1">
              <w:rPr>
                <w:rFonts w:asciiTheme="minorHAnsi" w:hAnsiTheme="minorHAnsi" w:cstheme="minorHAnsi"/>
              </w:rPr>
              <w:t>Specification Number</w:t>
            </w:r>
            <w:r w:rsidR="003674EC" w:rsidRPr="00FC63E1">
              <w:rPr>
                <w:rFonts w:asciiTheme="minorHAnsi" w:hAnsiTheme="minorHAnsi" w:cstheme="minorHAnsi"/>
              </w:rPr>
              <w:t>:</w:t>
            </w:r>
          </w:p>
        </w:tc>
        <w:tc>
          <w:tcPr>
            <w:tcW w:w="5386" w:type="dxa"/>
          </w:tcPr>
          <w:p w14:paraId="4EA63001" w14:textId="2E4EE7E2" w:rsidR="003B7ADB" w:rsidRPr="00FC63E1" w:rsidRDefault="00842F0B" w:rsidP="00233318">
            <w:pPr>
              <w:pStyle w:val="Default"/>
              <w:rPr>
                <w:rFonts w:asciiTheme="minorHAnsi" w:hAnsiTheme="minorHAnsi" w:cstheme="minorHAnsi"/>
              </w:rPr>
            </w:pPr>
            <w:r w:rsidRPr="00FC63E1">
              <w:rPr>
                <w:rFonts w:asciiTheme="minorHAnsi" w:hAnsiTheme="minorHAnsi" w:cstheme="minorHAnsi"/>
              </w:rPr>
              <w:t>35.HDG23</w:t>
            </w:r>
          </w:p>
        </w:tc>
      </w:tr>
      <w:tr w:rsidR="00842F0B" w:rsidRPr="00FC63E1" w14:paraId="6F01DB9C" w14:textId="77777777" w:rsidTr="00BA08AE">
        <w:tc>
          <w:tcPr>
            <w:tcW w:w="3686" w:type="dxa"/>
          </w:tcPr>
          <w:p w14:paraId="6BA650A0" w14:textId="10DED56D"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LPJS Specification Number:</w:t>
            </w:r>
          </w:p>
        </w:tc>
        <w:tc>
          <w:tcPr>
            <w:tcW w:w="5386" w:type="dxa"/>
          </w:tcPr>
          <w:p w14:paraId="666FEDC7" w14:textId="252AD81C"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35.YA011</w:t>
            </w:r>
          </w:p>
        </w:tc>
      </w:tr>
      <w:tr w:rsidR="00842F0B" w:rsidRPr="00FC63E1" w14:paraId="7197F897" w14:textId="77777777" w:rsidTr="005842B2">
        <w:tc>
          <w:tcPr>
            <w:tcW w:w="9072" w:type="dxa"/>
            <w:gridSpan w:val="2"/>
          </w:tcPr>
          <w:p w14:paraId="2739C0B2" w14:textId="77777777"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Specific Approval Conditions:</w:t>
            </w:r>
          </w:p>
          <w:p w14:paraId="10002BAB" w14:textId="72CBC036"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The above-mentioned Standard Linked Progressive Game must operate in conjunction with the Standard Linked Progressive Jackpot System, Specification Number 35.YA011, with the approved ‘Dragon Train’ jackpot setting.</w:t>
            </w:r>
          </w:p>
        </w:tc>
      </w:tr>
      <w:tr w:rsidR="00842F0B" w:rsidRPr="00FC63E1" w14:paraId="0BDC4A30" w14:textId="77777777" w:rsidTr="00BA08AE">
        <w:tc>
          <w:tcPr>
            <w:tcW w:w="3686" w:type="dxa"/>
          </w:tcPr>
          <w:p w14:paraId="1E96CE1E" w14:textId="489F77BA"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Application Reference Number:</w:t>
            </w:r>
          </w:p>
        </w:tc>
        <w:tc>
          <w:tcPr>
            <w:tcW w:w="5386" w:type="dxa"/>
          </w:tcPr>
          <w:p w14:paraId="1A6E1304" w14:textId="0D10F435"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35-A1517/S01</w:t>
            </w:r>
          </w:p>
        </w:tc>
      </w:tr>
    </w:tbl>
    <w:p w14:paraId="1D16BCBA" w14:textId="77777777" w:rsidR="00AC448B" w:rsidRPr="00FC63E1" w:rsidRDefault="00AC448B" w:rsidP="00233318">
      <w:pPr>
        <w:pStyle w:val="Default"/>
        <w:rPr>
          <w:rFonts w:asciiTheme="minorHAnsi" w:hAnsiTheme="minorHAnsi" w:cs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842F0B" w:rsidRPr="00FC63E1" w14:paraId="7FEE6DA4" w14:textId="77777777" w:rsidTr="00831A7B">
        <w:tc>
          <w:tcPr>
            <w:tcW w:w="9072" w:type="dxa"/>
            <w:gridSpan w:val="2"/>
            <w:tcBorders>
              <w:top w:val="single" w:sz="4" w:space="0" w:color="auto"/>
              <w:left w:val="single" w:sz="4" w:space="0" w:color="auto"/>
              <w:bottom w:val="single" w:sz="4" w:space="0" w:color="auto"/>
              <w:right w:val="single" w:sz="4" w:space="0" w:color="auto"/>
            </w:tcBorders>
          </w:tcPr>
          <w:p w14:paraId="40F48711" w14:textId="77777777"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LNW Gaming ANZ Pty Ltd</w:t>
            </w:r>
          </w:p>
        </w:tc>
      </w:tr>
      <w:tr w:rsidR="00842F0B" w:rsidRPr="00FC63E1" w14:paraId="5516A002" w14:textId="77777777" w:rsidTr="00831A7B">
        <w:tc>
          <w:tcPr>
            <w:tcW w:w="9072" w:type="dxa"/>
            <w:gridSpan w:val="2"/>
          </w:tcPr>
          <w:p w14:paraId="78F11DF1" w14:textId="6F7B5162"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Subject: Updated Multi Game Software</w:t>
            </w:r>
          </w:p>
        </w:tc>
      </w:tr>
      <w:tr w:rsidR="00842F0B" w:rsidRPr="00FC63E1" w14:paraId="746A7D02" w14:textId="77777777" w:rsidTr="00831A7B">
        <w:tc>
          <w:tcPr>
            <w:tcW w:w="3686" w:type="dxa"/>
          </w:tcPr>
          <w:p w14:paraId="6005577F" w14:textId="77777777"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Game Name:</w:t>
            </w:r>
          </w:p>
        </w:tc>
        <w:tc>
          <w:tcPr>
            <w:tcW w:w="5386" w:type="dxa"/>
          </w:tcPr>
          <w:p w14:paraId="47FA9D1F" w14:textId="07019896"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Khutulun Battle Princess – Dragon Train</w:t>
            </w:r>
          </w:p>
        </w:tc>
      </w:tr>
      <w:tr w:rsidR="00842F0B" w:rsidRPr="00FC63E1" w14:paraId="53EB95D7" w14:textId="77777777" w:rsidTr="00831A7B">
        <w:tc>
          <w:tcPr>
            <w:tcW w:w="3686" w:type="dxa"/>
          </w:tcPr>
          <w:p w14:paraId="344AB242" w14:textId="77777777"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Specification Number:</w:t>
            </w:r>
          </w:p>
        </w:tc>
        <w:tc>
          <w:tcPr>
            <w:tcW w:w="5386" w:type="dxa"/>
          </w:tcPr>
          <w:p w14:paraId="30A5639F" w14:textId="43F79A16"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35.HDG24</w:t>
            </w:r>
          </w:p>
        </w:tc>
      </w:tr>
      <w:tr w:rsidR="00842F0B" w:rsidRPr="00FC63E1" w14:paraId="6B940AA9" w14:textId="77777777" w:rsidTr="00831A7B">
        <w:tc>
          <w:tcPr>
            <w:tcW w:w="3686" w:type="dxa"/>
          </w:tcPr>
          <w:p w14:paraId="0FE03319" w14:textId="77777777"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LPJS Specification Number:</w:t>
            </w:r>
          </w:p>
        </w:tc>
        <w:tc>
          <w:tcPr>
            <w:tcW w:w="5386" w:type="dxa"/>
          </w:tcPr>
          <w:p w14:paraId="2714FF54" w14:textId="77777777"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35.YA011</w:t>
            </w:r>
          </w:p>
        </w:tc>
      </w:tr>
      <w:tr w:rsidR="00842F0B" w:rsidRPr="00FC63E1" w14:paraId="58A31C99" w14:textId="77777777" w:rsidTr="00831A7B">
        <w:tc>
          <w:tcPr>
            <w:tcW w:w="9072" w:type="dxa"/>
            <w:gridSpan w:val="2"/>
          </w:tcPr>
          <w:p w14:paraId="07F47FAC" w14:textId="74148B8E"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Specific Approval Conditions:</w:t>
            </w:r>
          </w:p>
          <w:p w14:paraId="5F5EF328" w14:textId="79A618DB" w:rsidR="00842F0B" w:rsidRPr="00FC63E1" w:rsidRDefault="00842F0B" w:rsidP="00842F0B">
            <w:pPr>
              <w:pStyle w:val="Default"/>
              <w:rPr>
                <w:rFonts w:asciiTheme="minorHAnsi" w:hAnsiTheme="minorHAnsi" w:cstheme="minorHAnsi"/>
              </w:rPr>
            </w:pPr>
            <w:r w:rsidRPr="00FC63E1">
              <w:rPr>
                <w:rFonts w:asciiTheme="minorHAnsi" w:hAnsiTheme="minorHAnsi" w:cstheme="minorHAnsi"/>
              </w:rPr>
              <w:t xml:space="preserve">The above-mentioned Standard Linked Progressive Game must operate in conjunction with the Standard Linked Progressive Jackpot System, Specification Number 35.YA011 (NSW Approval X20815 dated 27 February 2024), with the approved ‘Dragon Train’ jackpot settings. </w:t>
            </w:r>
          </w:p>
        </w:tc>
      </w:tr>
      <w:tr w:rsidR="00842F0B" w:rsidRPr="00FC63E1" w14:paraId="572478F4" w14:textId="77777777" w:rsidTr="00831A7B">
        <w:tc>
          <w:tcPr>
            <w:tcW w:w="3686" w:type="dxa"/>
          </w:tcPr>
          <w:p w14:paraId="048CF5F9" w14:textId="77777777"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Application Reference Number:</w:t>
            </w:r>
          </w:p>
        </w:tc>
        <w:tc>
          <w:tcPr>
            <w:tcW w:w="5386" w:type="dxa"/>
          </w:tcPr>
          <w:p w14:paraId="2EC50383" w14:textId="72588C9D"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35-A1519/S01</w:t>
            </w:r>
          </w:p>
        </w:tc>
      </w:tr>
    </w:tbl>
    <w:p w14:paraId="66C012B0" w14:textId="77777777" w:rsidR="00842F0B" w:rsidRPr="00FC63E1" w:rsidRDefault="00842F0B" w:rsidP="00233318">
      <w:pPr>
        <w:pStyle w:val="Default"/>
        <w:rPr>
          <w:rFonts w:asciiTheme="minorHAnsi" w:hAnsiTheme="minorHAnsi" w:cs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842F0B" w:rsidRPr="00FC63E1" w14:paraId="67A51519" w14:textId="77777777" w:rsidTr="00831A7B">
        <w:tc>
          <w:tcPr>
            <w:tcW w:w="9072" w:type="dxa"/>
            <w:gridSpan w:val="2"/>
            <w:tcBorders>
              <w:top w:val="single" w:sz="4" w:space="0" w:color="auto"/>
              <w:left w:val="single" w:sz="4" w:space="0" w:color="auto"/>
              <w:bottom w:val="single" w:sz="4" w:space="0" w:color="auto"/>
              <w:right w:val="single" w:sz="4" w:space="0" w:color="auto"/>
            </w:tcBorders>
          </w:tcPr>
          <w:p w14:paraId="7B723696" w14:textId="77777777"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LNW Gaming ANZ Pty Ltd</w:t>
            </w:r>
          </w:p>
        </w:tc>
      </w:tr>
      <w:tr w:rsidR="00842F0B" w:rsidRPr="00FC63E1" w14:paraId="534D5FC0" w14:textId="77777777" w:rsidTr="00831A7B">
        <w:tc>
          <w:tcPr>
            <w:tcW w:w="9072" w:type="dxa"/>
            <w:gridSpan w:val="2"/>
          </w:tcPr>
          <w:p w14:paraId="43273C9E" w14:textId="5B92C7D4"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 xml:space="preserve">Subject: </w:t>
            </w:r>
            <w:r w:rsidR="00233318" w:rsidRPr="00FC63E1">
              <w:rPr>
                <w:rFonts w:asciiTheme="minorHAnsi" w:hAnsiTheme="minorHAnsi" w:cstheme="minorHAnsi"/>
              </w:rPr>
              <w:t>Updated Multi Game Software</w:t>
            </w:r>
          </w:p>
        </w:tc>
      </w:tr>
      <w:tr w:rsidR="00842F0B" w:rsidRPr="00FC63E1" w14:paraId="7DC6D5A6" w14:textId="77777777" w:rsidTr="00831A7B">
        <w:tc>
          <w:tcPr>
            <w:tcW w:w="3686" w:type="dxa"/>
          </w:tcPr>
          <w:p w14:paraId="5A5F273C" w14:textId="77777777"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Game Name:</w:t>
            </w:r>
          </w:p>
        </w:tc>
        <w:tc>
          <w:tcPr>
            <w:tcW w:w="5386" w:type="dxa"/>
          </w:tcPr>
          <w:p w14:paraId="0F710483" w14:textId="5CB4C8AC" w:rsidR="00842F0B" w:rsidRPr="00FC63E1" w:rsidRDefault="00233318" w:rsidP="00233318">
            <w:pPr>
              <w:pStyle w:val="Default"/>
              <w:rPr>
                <w:rFonts w:asciiTheme="minorHAnsi" w:hAnsiTheme="minorHAnsi" w:cstheme="minorHAnsi"/>
              </w:rPr>
            </w:pPr>
            <w:r w:rsidRPr="00FC63E1">
              <w:rPr>
                <w:rFonts w:asciiTheme="minorHAnsi" w:hAnsiTheme="minorHAnsi" w:cstheme="minorHAnsi"/>
              </w:rPr>
              <w:t>Sun Shots – Dragon Train</w:t>
            </w:r>
          </w:p>
        </w:tc>
      </w:tr>
      <w:tr w:rsidR="00842F0B" w:rsidRPr="00FC63E1" w14:paraId="4741D2BD" w14:textId="77777777" w:rsidTr="00831A7B">
        <w:tc>
          <w:tcPr>
            <w:tcW w:w="3686" w:type="dxa"/>
          </w:tcPr>
          <w:p w14:paraId="4FFF4D1F" w14:textId="77777777"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Specification Number:</w:t>
            </w:r>
          </w:p>
        </w:tc>
        <w:tc>
          <w:tcPr>
            <w:tcW w:w="5386" w:type="dxa"/>
          </w:tcPr>
          <w:p w14:paraId="103E7602" w14:textId="2A08BC96"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35.HDG2</w:t>
            </w:r>
            <w:r w:rsidR="00233318" w:rsidRPr="00FC63E1">
              <w:rPr>
                <w:rFonts w:asciiTheme="minorHAnsi" w:hAnsiTheme="minorHAnsi" w:cstheme="minorHAnsi"/>
              </w:rPr>
              <w:t>5</w:t>
            </w:r>
          </w:p>
        </w:tc>
      </w:tr>
      <w:tr w:rsidR="00842F0B" w:rsidRPr="00FC63E1" w14:paraId="4C4F4398" w14:textId="77777777" w:rsidTr="00831A7B">
        <w:tc>
          <w:tcPr>
            <w:tcW w:w="3686" w:type="dxa"/>
          </w:tcPr>
          <w:p w14:paraId="433E7659" w14:textId="77777777"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LPJS Specification Number:</w:t>
            </w:r>
          </w:p>
        </w:tc>
        <w:tc>
          <w:tcPr>
            <w:tcW w:w="5386" w:type="dxa"/>
          </w:tcPr>
          <w:p w14:paraId="4E4F1E6E" w14:textId="77777777"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35.YA011</w:t>
            </w:r>
          </w:p>
        </w:tc>
      </w:tr>
      <w:tr w:rsidR="00842F0B" w:rsidRPr="00FC63E1" w14:paraId="776923B0" w14:textId="77777777" w:rsidTr="00831A7B">
        <w:tc>
          <w:tcPr>
            <w:tcW w:w="9072" w:type="dxa"/>
            <w:gridSpan w:val="2"/>
          </w:tcPr>
          <w:p w14:paraId="17E0EBB3" w14:textId="77777777"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Specific Approval Conditions:</w:t>
            </w:r>
          </w:p>
          <w:p w14:paraId="2ABEDE76" w14:textId="2F63F959" w:rsidR="00842F0B" w:rsidRPr="00FC63E1" w:rsidRDefault="00233318" w:rsidP="00233318">
            <w:pPr>
              <w:pStyle w:val="Default"/>
              <w:rPr>
                <w:rFonts w:asciiTheme="minorHAnsi" w:hAnsiTheme="minorHAnsi" w:cstheme="minorHAnsi"/>
              </w:rPr>
            </w:pPr>
            <w:r w:rsidRPr="00FC63E1">
              <w:rPr>
                <w:rFonts w:asciiTheme="minorHAnsi" w:hAnsiTheme="minorHAnsi" w:cstheme="minorHAnsi"/>
              </w:rPr>
              <w:t>The above-mentioned Standard Linked Progressive Game must operate in conjunction with the Standard Linked Progressive Jackpot System, Specification Number 35.YA011 (NSW Approval X20815 dated 27 February 2024), with the approved ‘Dragon Train’ jackpot settings.</w:t>
            </w:r>
          </w:p>
        </w:tc>
      </w:tr>
      <w:tr w:rsidR="00842F0B" w:rsidRPr="00FC63E1" w14:paraId="6E185F32" w14:textId="77777777" w:rsidTr="00831A7B">
        <w:tc>
          <w:tcPr>
            <w:tcW w:w="3686" w:type="dxa"/>
          </w:tcPr>
          <w:p w14:paraId="178B1A70" w14:textId="77777777" w:rsidR="00842F0B" w:rsidRPr="00FC63E1" w:rsidRDefault="00842F0B" w:rsidP="00233318">
            <w:pPr>
              <w:pStyle w:val="Default"/>
              <w:rPr>
                <w:rFonts w:asciiTheme="minorHAnsi" w:hAnsiTheme="minorHAnsi" w:cstheme="minorHAnsi"/>
              </w:rPr>
            </w:pPr>
            <w:r w:rsidRPr="00FC63E1">
              <w:rPr>
                <w:rFonts w:asciiTheme="minorHAnsi" w:hAnsiTheme="minorHAnsi" w:cstheme="minorHAnsi"/>
              </w:rPr>
              <w:t>Application Reference Number:</w:t>
            </w:r>
          </w:p>
        </w:tc>
        <w:tc>
          <w:tcPr>
            <w:tcW w:w="5386" w:type="dxa"/>
          </w:tcPr>
          <w:p w14:paraId="4E820C22" w14:textId="534DD9B8" w:rsidR="00842F0B" w:rsidRPr="00FC63E1" w:rsidRDefault="00233318" w:rsidP="00233318">
            <w:pPr>
              <w:pStyle w:val="Default"/>
              <w:rPr>
                <w:rFonts w:asciiTheme="minorHAnsi" w:hAnsiTheme="minorHAnsi" w:cstheme="minorHAnsi"/>
              </w:rPr>
            </w:pPr>
            <w:r w:rsidRPr="00FC63E1">
              <w:rPr>
                <w:rFonts w:asciiTheme="minorHAnsi" w:hAnsiTheme="minorHAnsi" w:cstheme="minorHAnsi"/>
              </w:rPr>
              <w:t>35-A1518/S01</w:t>
            </w:r>
          </w:p>
        </w:tc>
      </w:tr>
    </w:tbl>
    <w:p w14:paraId="1FBA1641" w14:textId="77777777" w:rsidR="00842F0B" w:rsidRDefault="00842F0B" w:rsidP="00AC448B">
      <w:pPr>
        <w:spacing w:after="0"/>
        <w:rPr>
          <w:sz w:val="24"/>
          <w:szCs w:val="24"/>
        </w:rPr>
      </w:pPr>
    </w:p>
    <w:p w14:paraId="1DBBB913" w14:textId="27782EA9" w:rsidR="00DD0A6E" w:rsidRPr="003674EC" w:rsidRDefault="00DD0A6E">
      <w:pPr>
        <w:spacing w:after="160" w:line="259" w:lineRule="auto"/>
        <w:rPr>
          <w:sz w:val="24"/>
          <w:szCs w:val="24"/>
        </w:rPr>
      </w:pPr>
    </w:p>
    <w:p w14:paraId="45B7CAE5" w14:textId="77777777" w:rsidR="00910CBB" w:rsidRPr="00AC448B" w:rsidRDefault="00910CBB" w:rsidP="00AC448B">
      <w:pPr>
        <w:spacing w:after="0" w:line="259" w:lineRule="auto"/>
        <w:rPr>
          <w:color w:val="FF0000"/>
          <w:sz w:val="24"/>
          <w:szCs w:val="24"/>
        </w:rPr>
      </w:pPr>
    </w:p>
    <w:sectPr w:rsidR="00910CBB" w:rsidRPr="00AC448B" w:rsidSect="00A232E1">
      <w:headerReference w:type="default" r:id="rId16"/>
      <w:pgSz w:w="11906" w:h="16838" w:code="9"/>
      <w:pgMar w:top="1134" w:right="1440" w:bottom="709"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AB32" w14:textId="77777777" w:rsidR="00AF553E" w:rsidRDefault="00AF553E" w:rsidP="003B7ADB">
      <w:pPr>
        <w:spacing w:after="0" w:line="240" w:lineRule="auto"/>
      </w:pPr>
      <w:r>
        <w:separator/>
      </w:r>
    </w:p>
  </w:endnote>
  <w:endnote w:type="continuationSeparator" w:id="0">
    <w:p w14:paraId="2623BABD" w14:textId="77777777" w:rsidR="00AF553E" w:rsidRDefault="00AF553E" w:rsidP="003B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3701" w14:textId="77777777" w:rsidR="00D12998" w:rsidRDefault="00D12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E982" w14:textId="1D9940D3" w:rsidR="00D12998" w:rsidRPr="00D12998" w:rsidRDefault="00D12998" w:rsidP="00D12998">
    <w:pPr>
      <w:pStyle w:val="Footer"/>
      <w:jc w:val="center"/>
      <w:rPr>
        <w:rFonts w:ascii="Arial" w:hAnsi="Arial" w:cs="Arial"/>
        <w:sz w:val="14"/>
      </w:rPr>
    </w:pPr>
    <w:r w:rsidRPr="00D1299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93E8" w14:textId="3A0CF17E" w:rsidR="00D12998" w:rsidRPr="00D12998" w:rsidRDefault="00D12998" w:rsidP="00D12998">
    <w:pPr>
      <w:pStyle w:val="Footer"/>
      <w:jc w:val="center"/>
      <w:rPr>
        <w:rFonts w:ascii="Arial" w:hAnsi="Arial" w:cs="Arial"/>
        <w:sz w:val="14"/>
      </w:rPr>
    </w:pPr>
    <w:r w:rsidRPr="00D12998">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18F5" w14:textId="77777777" w:rsidR="00AF553E" w:rsidRDefault="00AF553E" w:rsidP="003B7ADB">
      <w:pPr>
        <w:spacing w:after="0" w:line="240" w:lineRule="auto"/>
      </w:pPr>
      <w:r>
        <w:separator/>
      </w:r>
    </w:p>
  </w:footnote>
  <w:footnote w:type="continuationSeparator" w:id="0">
    <w:p w14:paraId="4055EE8E" w14:textId="77777777" w:rsidR="00AF553E" w:rsidRDefault="00AF553E" w:rsidP="003B7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DB04" w14:textId="77777777" w:rsidR="00D12998" w:rsidRDefault="00D12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C96B" w14:textId="77777777" w:rsidR="005F0235" w:rsidRPr="00E539CE" w:rsidRDefault="003B7ADB" w:rsidP="00D34F7B">
    <w:pPr>
      <w:rPr>
        <w:b/>
        <w:bCs/>
        <w:sz w:val="21"/>
        <w:szCs w:val="21"/>
      </w:rPr>
    </w:pPr>
    <w:r w:rsidRPr="00B87643">
      <w:rPr>
        <w:b/>
        <w:bCs/>
        <w:sz w:val="21"/>
        <w:szCs w:val="21"/>
      </w:rPr>
      <w:t xml:space="preserve">This is Page </w:t>
    </w:r>
    <w:r w:rsidRPr="00A4347E">
      <w:rPr>
        <w:b/>
        <w:bCs/>
        <w:sz w:val="21"/>
        <w:szCs w:val="21"/>
      </w:rPr>
      <w:fldChar w:fldCharType="begin"/>
    </w:r>
    <w:r w:rsidRPr="00A4347E">
      <w:rPr>
        <w:b/>
        <w:bCs/>
        <w:sz w:val="21"/>
        <w:szCs w:val="21"/>
      </w:rPr>
      <w:instrText xml:space="preserve"> PAGE   \* MERGEFORMAT </w:instrText>
    </w:r>
    <w:r w:rsidRPr="00A4347E">
      <w:rPr>
        <w:b/>
        <w:bCs/>
        <w:sz w:val="21"/>
        <w:szCs w:val="21"/>
      </w:rPr>
      <w:fldChar w:fldCharType="separate"/>
    </w:r>
    <w:r>
      <w:rPr>
        <w:b/>
        <w:bCs/>
        <w:noProof/>
        <w:sz w:val="21"/>
        <w:szCs w:val="21"/>
      </w:rPr>
      <w:t>1</w:t>
    </w:r>
    <w:r w:rsidRPr="00A4347E">
      <w:rPr>
        <w:b/>
        <w:bCs/>
        <w:sz w:val="21"/>
        <w:szCs w:val="21"/>
      </w:rPr>
      <w:fldChar w:fldCharType="end"/>
    </w:r>
    <w:r>
      <w:rPr>
        <w:b/>
        <w:bCs/>
        <w:sz w:val="21"/>
        <w:szCs w:val="21"/>
      </w:rPr>
      <w:t xml:space="preserve"> </w:t>
    </w:r>
    <w:r w:rsidRPr="00B87643">
      <w:rPr>
        <w:b/>
        <w:bCs/>
        <w:sz w:val="21"/>
        <w:szCs w:val="21"/>
      </w:rPr>
      <w:t xml:space="preserve">(of </w:t>
    </w:r>
    <w:r>
      <w:rPr>
        <w:b/>
        <w:bCs/>
        <w:sz w:val="21"/>
        <w:szCs w:val="21"/>
      </w:rPr>
      <w:t>X</w:t>
    </w:r>
    <w:r w:rsidRPr="00B87643">
      <w:rPr>
        <w:b/>
        <w:bCs/>
        <w:sz w:val="21"/>
        <w:szCs w:val="21"/>
      </w:rPr>
      <w:t xml:space="preserve"> pages) of the Schedule to the </w:t>
    </w:r>
    <w:r w:rsidRPr="00B87643">
      <w:rPr>
        <w:b/>
        <w:bCs/>
        <w:i/>
        <w:iCs/>
        <w:sz w:val="21"/>
        <w:szCs w:val="21"/>
      </w:rPr>
      <w:t>Gaming Machine Approval 201</w:t>
    </w:r>
    <w:r>
      <w:rPr>
        <w:b/>
        <w:bCs/>
        <w:i/>
        <w:iCs/>
        <w:sz w:val="21"/>
        <w:szCs w:val="21"/>
      </w:rPr>
      <w:t>X</w:t>
    </w:r>
    <w:r w:rsidRPr="00B87643">
      <w:rPr>
        <w:b/>
        <w:bCs/>
        <w:i/>
        <w:iCs/>
        <w:sz w:val="21"/>
        <w:szCs w:val="21"/>
      </w:rPr>
      <w:t xml:space="preserve"> (No </w:t>
    </w:r>
    <w:r>
      <w:rPr>
        <w:b/>
        <w:bCs/>
        <w:i/>
        <w:iCs/>
        <w:sz w:val="21"/>
        <w:szCs w:val="21"/>
      </w:rPr>
      <w:t>X</w:t>
    </w:r>
    <w:r w:rsidRPr="00B87643">
      <w:rPr>
        <w:b/>
        <w:bCs/>
        <w:i/>
        <w:iCs/>
        <w:sz w:val="21"/>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925D" w14:textId="77777777" w:rsidR="00D12998" w:rsidRDefault="00D129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00A9" w14:textId="3B95CB42" w:rsidR="005F0235" w:rsidRPr="00B831A8" w:rsidRDefault="003B7ADB" w:rsidP="00861A4E">
    <w:pPr>
      <w:tabs>
        <w:tab w:val="right" w:pos="9026"/>
      </w:tabs>
      <w:spacing w:before="240"/>
      <w:rPr>
        <w:b/>
        <w:bCs/>
        <w:sz w:val="21"/>
        <w:szCs w:val="21"/>
      </w:rPr>
    </w:pPr>
    <w:r w:rsidRPr="00233318">
      <w:rPr>
        <w:b/>
        <w:bCs/>
        <w:color w:val="000000" w:themeColor="text1"/>
        <w:sz w:val="21"/>
        <w:szCs w:val="21"/>
      </w:rPr>
      <w:t xml:space="preserve">This is Page </w:t>
    </w:r>
    <w:r w:rsidRPr="00233318">
      <w:rPr>
        <w:b/>
        <w:bCs/>
        <w:color w:val="000000" w:themeColor="text1"/>
        <w:sz w:val="21"/>
        <w:szCs w:val="21"/>
      </w:rPr>
      <w:fldChar w:fldCharType="begin"/>
    </w:r>
    <w:r w:rsidRPr="00233318">
      <w:rPr>
        <w:b/>
        <w:bCs/>
        <w:color w:val="000000" w:themeColor="text1"/>
        <w:sz w:val="21"/>
        <w:szCs w:val="21"/>
      </w:rPr>
      <w:instrText xml:space="preserve"> PAGE   \* MERGEFORMAT </w:instrText>
    </w:r>
    <w:r w:rsidRPr="00233318">
      <w:rPr>
        <w:b/>
        <w:bCs/>
        <w:color w:val="000000" w:themeColor="text1"/>
        <w:sz w:val="21"/>
        <w:szCs w:val="21"/>
      </w:rPr>
      <w:fldChar w:fldCharType="separate"/>
    </w:r>
    <w:r w:rsidR="002A2229" w:rsidRPr="00233318">
      <w:rPr>
        <w:b/>
        <w:bCs/>
        <w:noProof/>
        <w:color w:val="000000" w:themeColor="text1"/>
        <w:sz w:val="21"/>
        <w:szCs w:val="21"/>
      </w:rPr>
      <w:t>2</w:t>
    </w:r>
    <w:r w:rsidRPr="00233318">
      <w:rPr>
        <w:b/>
        <w:bCs/>
        <w:color w:val="000000" w:themeColor="text1"/>
        <w:sz w:val="21"/>
        <w:szCs w:val="21"/>
      </w:rPr>
      <w:fldChar w:fldCharType="end"/>
    </w:r>
    <w:r w:rsidRPr="00233318">
      <w:rPr>
        <w:b/>
        <w:bCs/>
        <w:color w:val="000000" w:themeColor="text1"/>
        <w:sz w:val="21"/>
        <w:szCs w:val="21"/>
      </w:rPr>
      <w:t xml:space="preserve"> (of </w:t>
    </w:r>
    <w:r w:rsidR="00233318" w:rsidRPr="00233318">
      <w:rPr>
        <w:b/>
        <w:bCs/>
        <w:color w:val="000000" w:themeColor="text1"/>
        <w:sz w:val="21"/>
        <w:szCs w:val="21"/>
      </w:rPr>
      <w:t>1</w:t>
    </w:r>
    <w:r w:rsidRPr="00233318">
      <w:rPr>
        <w:b/>
        <w:bCs/>
        <w:color w:val="000000" w:themeColor="text1"/>
        <w:sz w:val="21"/>
        <w:szCs w:val="21"/>
      </w:rPr>
      <w:t xml:space="preserve"> page) of the Schedule to the </w:t>
    </w:r>
    <w:r w:rsidRPr="00233318">
      <w:rPr>
        <w:b/>
        <w:bCs/>
        <w:i/>
        <w:iCs/>
        <w:color w:val="000000" w:themeColor="text1"/>
        <w:sz w:val="21"/>
        <w:szCs w:val="21"/>
      </w:rPr>
      <w:t>Gaming Machine Approval 20</w:t>
    </w:r>
    <w:r w:rsidR="001C70AD" w:rsidRPr="00233318">
      <w:rPr>
        <w:b/>
        <w:bCs/>
        <w:i/>
        <w:iCs/>
        <w:color w:val="000000" w:themeColor="text1"/>
        <w:sz w:val="21"/>
        <w:szCs w:val="21"/>
      </w:rPr>
      <w:t>2</w:t>
    </w:r>
    <w:r w:rsidR="007A1F8F" w:rsidRPr="00233318">
      <w:rPr>
        <w:b/>
        <w:bCs/>
        <w:i/>
        <w:iCs/>
        <w:color w:val="000000" w:themeColor="text1"/>
        <w:sz w:val="21"/>
        <w:szCs w:val="21"/>
      </w:rPr>
      <w:t>4</w:t>
    </w:r>
    <w:r w:rsidRPr="00233318">
      <w:rPr>
        <w:b/>
        <w:bCs/>
        <w:i/>
        <w:iCs/>
        <w:color w:val="000000" w:themeColor="text1"/>
        <w:sz w:val="21"/>
        <w:szCs w:val="21"/>
      </w:rPr>
      <w:t xml:space="preserve"> (No </w:t>
    </w:r>
    <w:r w:rsidR="00233318" w:rsidRPr="00233318">
      <w:rPr>
        <w:b/>
        <w:bCs/>
        <w:i/>
        <w:iCs/>
        <w:color w:val="000000" w:themeColor="text1"/>
        <w:sz w:val="21"/>
        <w:szCs w:val="21"/>
      </w:rPr>
      <w:t>8</w:t>
    </w:r>
    <w:r w:rsidRPr="00233318">
      <w:rPr>
        <w:b/>
        <w:bCs/>
        <w:i/>
        <w:iCs/>
        <w:color w:val="000000" w:themeColor="text1"/>
        <w:sz w:val="21"/>
        <w:szCs w:val="21"/>
      </w:rPr>
      <w:t>)</w:t>
    </w:r>
    <w:r>
      <w:rPr>
        <w:b/>
        <w:bCs/>
        <w:i/>
        <w:iCs/>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76B0B"/>
    <w:multiLevelType w:val="hybridMultilevel"/>
    <w:tmpl w:val="33D4B696"/>
    <w:lvl w:ilvl="0" w:tplc="347A84E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375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DB"/>
    <w:rsid w:val="00005246"/>
    <w:rsid w:val="00024AB5"/>
    <w:rsid w:val="000478E9"/>
    <w:rsid w:val="00067AC4"/>
    <w:rsid w:val="001401A8"/>
    <w:rsid w:val="0014713B"/>
    <w:rsid w:val="001C70AD"/>
    <w:rsid w:val="00233318"/>
    <w:rsid w:val="002A2229"/>
    <w:rsid w:val="002C01AC"/>
    <w:rsid w:val="002D5A15"/>
    <w:rsid w:val="00330BD8"/>
    <w:rsid w:val="00343401"/>
    <w:rsid w:val="00356900"/>
    <w:rsid w:val="003674EC"/>
    <w:rsid w:val="003B7ADB"/>
    <w:rsid w:val="003D7E7E"/>
    <w:rsid w:val="003F7CC3"/>
    <w:rsid w:val="004838E7"/>
    <w:rsid w:val="005452CD"/>
    <w:rsid w:val="005F0235"/>
    <w:rsid w:val="007A1F8F"/>
    <w:rsid w:val="00820E0B"/>
    <w:rsid w:val="00842F0B"/>
    <w:rsid w:val="008F5733"/>
    <w:rsid w:val="00910CBB"/>
    <w:rsid w:val="009B6F6F"/>
    <w:rsid w:val="00A60938"/>
    <w:rsid w:val="00AC448B"/>
    <w:rsid w:val="00AF553E"/>
    <w:rsid w:val="00B44655"/>
    <w:rsid w:val="00BF3A70"/>
    <w:rsid w:val="00C2527D"/>
    <w:rsid w:val="00C655C1"/>
    <w:rsid w:val="00CD2915"/>
    <w:rsid w:val="00D12998"/>
    <w:rsid w:val="00DD0A6E"/>
    <w:rsid w:val="00E80B7B"/>
    <w:rsid w:val="00F41818"/>
    <w:rsid w:val="00F942DE"/>
    <w:rsid w:val="00FC5B66"/>
    <w:rsid w:val="00FC61D9"/>
    <w:rsid w:val="00FC63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31151"/>
  <w15:chartTrackingRefBased/>
  <w15:docId w15:val="{9E076713-865C-44DB-99EB-C653ADD1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D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ADB"/>
    <w:rPr>
      <w:rFonts w:ascii="Calibri" w:eastAsia="Calibri" w:hAnsi="Calibri" w:cs="Times New Roman"/>
    </w:rPr>
  </w:style>
  <w:style w:type="paragraph" w:styleId="Footer">
    <w:name w:val="footer"/>
    <w:basedOn w:val="Normal"/>
    <w:link w:val="FooterChar"/>
    <w:uiPriority w:val="99"/>
    <w:unhideWhenUsed/>
    <w:rsid w:val="003B7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ADB"/>
    <w:rPr>
      <w:rFonts w:ascii="Calibri" w:eastAsia="Calibri" w:hAnsi="Calibri" w:cs="Times New Roman"/>
    </w:rPr>
  </w:style>
  <w:style w:type="paragraph" w:customStyle="1" w:styleId="Default">
    <w:name w:val="Default"/>
    <w:rsid w:val="00842F0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2A162.BFFB738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A45687426</value>
    </field>
    <field name="Objective-Title">
      <value order="0">Gaming Machine Approval 2024 No 8</value>
    </field>
    <field name="Objective-Description">
      <value order="0"/>
    </field>
    <field name="Objective-CreationStamp">
      <value order="0">2024-02-23T03:14:27Z</value>
    </field>
    <field name="Objective-IsApproved">
      <value order="0">false</value>
    </field>
    <field name="Objective-IsPublished">
      <value order="0">true</value>
    </field>
    <field name="Objective-DatePublished">
      <value order="0">2024-03-18T03:31:44Z</value>
    </field>
    <field name="Objective-ModificationStamp">
      <value order="0">2024-03-18T03:31:44Z</value>
    </field>
    <field name="Objective-Owner">
      <value order="0">Anita Ivanovska</value>
    </field>
    <field name="Objective-Path">
      <value order="0">Whole of ACT Government:AC - Access Canberra:BRANCH - Licensing &amp; Registrations:UNIT - Liquor &amp; Gaming Licensing:10 - Gaming Regulation:(3) New Games and Peripheral Equipment:Gaming Machine Approvals (Section 69 - GM Act 2004):2024:Gaming Machine Approval 2024-TBA No 8 - in progress</value>
    </field>
    <field name="Objective-Parent">
      <value order="0">Gaming Machine Approval 2024-TBA No 8 - in progress</value>
    </field>
    <field name="Objective-State">
      <value order="0">Published</value>
    </field>
    <field name="Objective-VersionId">
      <value order="0">vA57509917</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ACCESS CANBERRA</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1781</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Gritti, Deb</dc:creator>
  <cp:keywords/>
  <dc:description/>
  <cp:lastModifiedBy>PCODCS</cp:lastModifiedBy>
  <cp:revision>4</cp:revision>
  <dcterms:created xsi:type="dcterms:W3CDTF">2024-03-19T01:27:00Z</dcterms:created>
  <dcterms:modified xsi:type="dcterms:W3CDTF">2024-03-19T01:27:00Z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A45687426</vt:lpwstr>
  </property>
  <property fmtid="{D5CDD505-2E9C-101B-9397-08002B2CF9AE}" pid="4" name="Objective-Title">
    <vt:lpwstr>Gaming Machine Approval 2024 No 8</vt:lpwstr>
  </property>
  <property fmtid="{D5CDD505-2E9C-101B-9397-08002B2CF9AE}" pid="5" name="Objective-Comment">
    <vt:lpwstr/>
  </property>
  <property fmtid="{D5CDD505-2E9C-101B-9397-08002B2CF9AE}" pid="6" name="Objective-CreationStamp">
    <vt:filetime>2024-02-23T03:14:27Z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2024-03-18T03:31:44Z</vt:filetime>
  </property>
  <property fmtid="{D5CDD505-2E9C-101B-9397-08002B2CF9AE}" pid="10" name="Objective-ModificationStamp">
    <vt:filetime>2024-03-18T03:31:44Z</vt:filetime>
  </property>
  <property fmtid="{D5CDD505-2E9C-101B-9397-08002B2CF9AE}" pid="11" name="Objective-Owner">
    <vt:lpwstr>Anita Ivanovska</vt:lpwstr>
  </property>
  <property fmtid="{D5CDD505-2E9C-101B-9397-08002B2CF9AE}" pid="12" name="Objective-Path">
    <vt:lpwstr>Whole of ACT Government:AC - Access Canberra:BRANCH - Licensing &amp; Registrations:UNIT - Liquor &amp; Gaming Licensing:10 - Gaming Regulation:(3) New Games and Peripheral Equipment:Gaming Machine Approvals (Section 69 - GM Act 2004):2024:Gaming Machine Approval 2024-TBA No 8 - in progress:</vt:lpwstr>
  </property>
  <property fmtid="{D5CDD505-2E9C-101B-9397-08002B2CF9AE}" pid="13" name="Objective-Parent">
    <vt:lpwstr>Gaming Machine Approval 2024-TBA No 8 - in progress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ACCESS CANBERRA</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ACCESS CANBERRA</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Objective-Description">
    <vt:lpwstr/>
  </property>
  <property fmtid="{D5CDD505-2E9C-101B-9397-08002B2CF9AE}" pid="44" name="Objective-VersionId">
    <vt:lpwstr>vA57509917</vt:lpwstr>
  </property>
</Properties>
</file>