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DC4D"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0A1F43AD" w14:textId="51BE85B6" w:rsidR="001440B3" w:rsidRDefault="00217D99">
      <w:pPr>
        <w:pStyle w:val="Billname"/>
        <w:spacing w:before="700"/>
      </w:pPr>
      <w:bookmarkStart w:id="1" w:name="_Hlk160797348"/>
      <w:r w:rsidRPr="00217D99">
        <w:t>Casino Control (Licence Fee) Determination 2024 (No 1)</w:t>
      </w:r>
      <w:bookmarkEnd w:id="1"/>
    </w:p>
    <w:p w14:paraId="6C74052F" w14:textId="55CE05F3" w:rsidR="001440B3" w:rsidRDefault="001440B3" w:rsidP="0042011A">
      <w:pPr>
        <w:spacing w:before="340"/>
        <w:rPr>
          <w:rFonts w:ascii="Arial" w:hAnsi="Arial" w:cs="Arial"/>
          <w:b/>
          <w:bCs/>
        </w:rPr>
      </w:pPr>
      <w:r>
        <w:rPr>
          <w:rFonts w:ascii="Arial" w:hAnsi="Arial" w:cs="Arial"/>
          <w:b/>
          <w:bCs/>
        </w:rPr>
        <w:t>Notifiable instrument NI</w:t>
      </w:r>
      <w:r w:rsidR="00217D99">
        <w:rPr>
          <w:rFonts w:ascii="Arial" w:hAnsi="Arial" w:cs="Arial"/>
          <w:b/>
          <w:bCs/>
        </w:rPr>
        <w:t>2024</w:t>
      </w:r>
      <w:r>
        <w:rPr>
          <w:rFonts w:ascii="Arial" w:hAnsi="Arial" w:cs="Arial"/>
          <w:b/>
          <w:bCs/>
        </w:rPr>
        <w:t>–</w:t>
      </w:r>
      <w:r w:rsidR="00130523">
        <w:rPr>
          <w:rFonts w:ascii="Arial" w:hAnsi="Arial" w:cs="Arial"/>
          <w:b/>
          <w:bCs/>
        </w:rPr>
        <w:t>203</w:t>
      </w:r>
    </w:p>
    <w:p w14:paraId="39F7C4E6" w14:textId="77777777" w:rsidR="001440B3" w:rsidRDefault="001440B3" w:rsidP="0042011A">
      <w:pPr>
        <w:pStyle w:val="madeunder"/>
        <w:spacing w:before="300" w:after="0"/>
      </w:pPr>
      <w:r>
        <w:t xml:space="preserve">made under the  </w:t>
      </w:r>
    </w:p>
    <w:p w14:paraId="714989E3" w14:textId="0D00F061" w:rsidR="001440B3" w:rsidRDefault="00217D99" w:rsidP="0042011A">
      <w:pPr>
        <w:pStyle w:val="CoverActName"/>
        <w:spacing w:before="320" w:after="0"/>
        <w:rPr>
          <w:rFonts w:cs="Arial"/>
          <w:sz w:val="20"/>
        </w:rPr>
      </w:pPr>
      <w:r w:rsidRPr="00217D99">
        <w:rPr>
          <w:rFonts w:cs="Arial"/>
          <w:sz w:val="20"/>
        </w:rPr>
        <w:t>Casino Control Act 2006, s 26 (Determination of casino licence fee)</w:t>
      </w:r>
    </w:p>
    <w:p w14:paraId="2D3BBD9B" w14:textId="77777777" w:rsidR="001440B3" w:rsidRDefault="001440B3" w:rsidP="0042011A">
      <w:pPr>
        <w:pStyle w:val="N-line3"/>
        <w:pBdr>
          <w:bottom w:val="none" w:sz="0" w:space="0" w:color="auto"/>
        </w:pBdr>
        <w:spacing w:before="60"/>
      </w:pPr>
    </w:p>
    <w:p w14:paraId="67E5ABC3" w14:textId="77777777" w:rsidR="001440B3" w:rsidRDefault="001440B3">
      <w:pPr>
        <w:pStyle w:val="N-line3"/>
        <w:pBdr>
          <w:top w:val="single" w:sz="12" w:space="1" w:color="auto"/>
          <w:bottom w:val="none" w:sz="0" w:space="0" w:color="auto"/>
        </w:pBdr>
      </w:pPr>
    </w:p>
    <w:p w14:paraId="70FB4A7A"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73652713" w14:textId="26E0D1A0" w:rsidR="001440B3" w:rsidRDefault="001440B3" w:rsidP="00550708">
      <w:pPr>
        <w:spacing w:before="140"/>
        <w:ind w:left="720"/>
      </w:pPr>
      <w:r>
        <w:t xml:space="preserve">This instrument is the </w:t>
      </w:r>
      <w:r w:rsidR="00217D99" w:rsidRPr="00217D99">
        <w:rPr>
          <w:i/>
          <w:iCs/>
        </w:rPr>
        <w:t>Casino Control (Licence Fee)</w:t>
      </w:r>
      <w:r w:rsidR="00550708">
        <w:rPr>
          <w:i/>
          <w:iCs/>
        </w:rPr>
        <w:br/>
      </w:r>
      <w:r w:rsidR="00217D99" w:rsidRPr="00217D99">
        <w:rPr>
          <w:i/>
          <w:iCs/>
        </w:rPr>
        <w:t>Determination</w:t>
      </w:r>
      <w:r w:rsidR="00340D24">
        <w:rPr>
          <w:i/>
          <w:iCs/>
        </w:rPr>
        <w:t xml:space="preserve"> </w:t>
      </w:r>
      <w:r w:rsidR="00217D99" w:rsidRPr="00217D99">
        <w:rPr>
          <w:i/>
          <w:iCs/>
        </w:rPr>
        <w:t>2024</w:t>
      </w:r>
      <w:r w:rsidR="00340D24">
        <w:rPr>
          <w:i/>
          <w:iCs/>
        </w:rPr>
        <w:t xml:space="preserve"> </w:t>
      </w:r>
      <w:r w:rsidR="00217D99" w:rsidRPr="00217D99">
        <w:rPr>
          <w:i/>
          <w:iCs/>
        </w:rPr>
        <w:t>(No</w:t>
      </w:r>
      <w:r w:rsidR="00217D99">
        <w:rPr>
          <w:i/>
          <w:iCs/>
        </w:rPr>
        <w:t> </w:t>
      </w:r>
      <w:r w:rsidR="00217D99" w:rsidRPr="00217D99">
        <w:rPr>
          <w:i/>
          <w:iCs/>
        </w:rPr>
        <w:t>1)</w:t>
      </w:r>
      <w:r w:rsidRPr="0042011A">
        <w:t>.</w:t>
      </w:r>
    </w:p>
    <w:p w14:paraId="0A98EE61"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7FDB710" w14:textId="3B553D32" w:rsidR="001440B3" w:rsidRDefault="00217D99" w:rsidP="0042011A">
      <w:pPr>
        <w:spacing w:before="140"/>
        <w:ind w:left="720"/>
      </w:pPr>
      <w:r w:rsidRPr="00217D99">
        <w:t xml:space="preserve">This instrument </w:t>
      </w:r>
      <w:r w:rsidR="00F04BA0">
        <w:t>commences on the day after it is notified</w:t>
      </w:r>
      <w:r w:rsidRPr="00217D99">
        <w:t>.</w:t>
      </w:r>
    </w:p>
    <w:p w14:paraId="4B64A0A7" w14:textId="69B1A1BF"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217D99">
        <w:rPr>
          <w:rFonts w:ascii="Arial" w:hAnsi="Arial" w:cs="Arial"/>
          <w:b/>
          <w:bCs/>
        </w:rPr>
        <w:t>Determination</w:t>
      </w:r>
    </w:p>
    <w:p w14:paraId="61122BD1" w14:textId="12906865" w:rsidR="002D3616" w:rsidRDefault="005C2FDB" w:rsidP="00550708">
      <w:pPr>
        <w:spacing w:before="140"/>
        <w:ind w:left="720"/>
      </w:pPr>
      <w:r>
        <w:t>I determine that the casino licence fee payable to the ACT Gambling and Racing</w:t>
      </w:r>
      <w:r w:rsidR="00550708">
        <w:t xml:space="preserve"> </w:t>
      </w:r>
      <w:r>
        <w:t xml:space="preserve">Commission </w:t>
      </w:r>
      <w:r w:rsidR="002D3616">
        <w:t>is</w:t>
      </w:r>
      <w:r>
        <w:t>:</w:t>
      </w:r>
    </w:p>
    <w:p w14:paraId="374DAC39" w14:textId="4FA78BE0" w:rsidR="005C2FDB" w:rsidRDefault="002D3616" w:rsidP="00550708">
      <w:pPr>
        <w:spacing w:before="140"/>
        <w:ind w:left="1418" w:hanging="709"/>
      </w:pPr>
      <w:r>
        <w:t>(a)</w:t>
      </w:r>
      <w:r>
        <w:tab/>
      </w:r>
      <w:r w:rsidR="005C2FDB">
        <w:t>the sum of four million four hundred and fifty nine thousand three hundred and eighty five dollars ($4,459,385.00) payable on or before 7 February 2015; and</w:t>
      </w:r>
    </w:p>
    <w:p w14:paraId="39D4D6BB" w14:textId="667EB850" w:rsidR="005C2FDB" w:rsidRDefault="002D3616" w:rsidP="00550708">
      <w:pPr>
        <w:spacing w:before="140"/>
        <w:ind w:left="1418" w:hanging="709"/>
      </w:pPr>
      <w:r>
        <w:t>(b)</w:t>
      </w:r>
      <w:r>
        <w:tab/>
      </w:r>
      <w:r w:rsidR="005C2FDB">
        <w:t>the sum of eight hundred and ninety one thousand eight hundred and seventy seven dollars ($</w:t>
      </w:r>
      <w:r w:rsidR="005C2FDB" w:rsidRPr="00E82D11">
        <w:t>891,877</w:t>
      </w:r>
      <w:r w:rsidR="005C2FDB">
        <w:t>.00) adjusted by movements in the Consumer Price Index weighted average of Eight Capital Cities All Groups (published by the Australian Bureau of Statistics)</w:t>
      </w:r>
      <w:r w:rsidR="005C2FDB" w:rsidRPr="000D19F8">
        <w:t xml:space="preserve"> </w:t>
      </w:r>
      <w:r w:rsidR="005C2FDB">
        <w:t>for the preceding five year period ending on 31 December 2019 payable on or before 7 February 2020; and</w:t>
      </w:r>
    </w:p>
    <w:p w14:paraId="353E9D79" w14:textId="43143424" w:rsidR="005C2FDB" w:rsidRDefault="002D3616" w:rsidP="00550708">
      <w:pPr>
        <w:spacing w:before="140"/>
        <w:ind w:left="1418" w:hanging="709"/>
      </w:pPr>
      <w:r>
        <w:t>(c)</w:t>
      </w:r>
      <w:r>
        <w:tab/>
      </w:r>
      <w:r w:rsidR="005C2FDB">
        <w:t xml:space="preserve">the sum payable on or before 7 February 2021 and for each subsequent 7 February of each year, will be calculated </w:t>
      </w:r>
      <w:bookmarkStart w:id="2" w:name="_Hlk162963663"/>
      <w:r w:rsidR="005C2FDB">
        <w:t>by adjusting the amount of the casino licence fee for the immediate preceding year by movements in the Consumer Price Index weighted average of Eight Capital Cities All Groups (published by the Australian Bureau of Statistics) for the period of twelve months to 31 December for that preceding year.</w:t>
      </w:r>
      <w:bookmarkEnd w:id="2"/>
    </w:p>
    <w:p w14:paraId="71DFDCEF" w14:textId="0FB1B72A" w:rsidR="001440B3" w:rsidRDefault="00217D99"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sidR="00F26290">
        <w:rPr>
          <w:rFonts w:ascii="Arial" w:hAnsi="Arial" w:cs="Arial"/>
          <w:b/>
          <w:bCs/>
        </w:rPr>
        <w:t>Time for payment</w:t>
      </w:r>
    </w:p>
    <w:p w14:paraId="4A9B8096" w14:textId="33DCF94A" w:rsidR="008E369A" w:rsidRDefault="008E369A" w:rsidP="00550708">
      <w:pPr>
        <w:spacing w:before="140"/>
        <w:ind w:left="1418" w:hanging="709"/>
      </w:pPr>
      <w:r>
        <w:t>(1)</w:t>
      </w:r>
      <w:r>
        <w:tab/>
      </w:r>
      <w:r w:rsidR="004431B2">
        <w:t>A</w:t>
      </w:r>
      <w:r w:rsidR="00217D99" w:rsidRPr="00217D99">
        <w:t xml:space="preserve"> casino licence fee determined under section 3</w:t>
      </w:r>
      <w:r w:rsidR="003F63FC">
        <w:t xml:space="preserve"> </w:t>
      </w:r>
      <w:r w:rsidR="00910D92">
        <w:t xml:space="preserve">for a period </w:t>
      </w:r>
      <w:r w:rsidR="000D7D58">
        <w:t>may be paid</w:t>
      </w:r>
      <w:r w:rsidR="00CA6442">
        <w:t xml:space="preserve"> quarterly</w:t>
      </w:r>
      <w:r w:rsidR="000D7D58">
        <w:t xml:space="preserve"> in </w:t>
      </w:r>
      <w:r w:rsidR="00CA6442">
        <w:t>four equal</w:t>
      </w:r>
      <w:r w:rsidR="00B644F0">
        <w:t xml:space="preserve"> instalments</w:t>
      </w:r>
      <w:r>
        <w:t>.</w:t>
      </w:r>
    </w:p>
    <w:p w14:paraId="0BB2EE8C" w14:textId="31FAF755" w:rsidR="00B644F0" w:rsidRDefault="008E369A" w:rsidP="00550708">
      <w:pPr>
        <w:spacing w:before="140"/>
        <w:ind w:left="1418" w:hanging="709"/>
      </w:pPr>
      <w:r>
        <w:t>(2)</w:t>
      </w:r>
      <w:r>
        <w:tab/>
        <w:t xml:space="preserve">The first quarter for </w:t>
      </w:r>
      <w:r w:rsidR="0075372B">
        <w:t>each</w:t>
      </w:r>
      <w:r>
        <w:t xml:space="preserve"> period begins on 7 February</w:t>
      </w:r>
      <w:r w:rsidR="0075372B">
        <w:t xml:space="preserve"> of each year</w:t>
      </w:r>
      <w:r>
        <w:t>.</w:t>
      </w:r>
    </w:p>
    <w:p w14:paraId="2C07B088" w14:textId="40E9E26D" w:rsidR="00550708" w:rsidRDefault="008E369A" w:rsidP="00550708">
      <w:pPr>
        <w:spacing w:before="140"/>
        <w:ind w:left="1418" w:hanging="709"/>
      </w:pPr>
      <w:r>
        <w:lastRenderedPageBreak/>
        <w:t>(3)</w:t>
      </w:r>
      <w:r>
        <w:tab/>
        <w:t>A</w:t>
      </w:r>
      <w:r w:rsidR="00C53E58">
        <w:t xml:space="preserve">n </w:t>
      </w:r>
      <w:r w:rsidR="00CA6442">
        <w:t>instalment</w:t>
      </w:r>
      <w:r>
        <w:t xml:space="preserve"> for a </w:t>
      </w:r>
      <w:r w:rsidR="00926FCC">
        <w:t>quarter must be paid</w:t>
      </w:r>
      <w:r w:rsidR="00A068E5">
        <w:t>—</w:t>
      </w:r>
    </w:p>
    <w:p w14:paraId="08FC7AD7" w14:textId="77777777" w:rsidR="00550708" w:rsidRDefault="00A068E5" w:rsidP="00550708">
      <w:pPr>
        <w:spacing w:before="140"/>
        <w:ind w:left="2127" w:hanging="709"/>
      </w:pPr>
      <w:r>
        <w:t>(a)</w:t>
      </w:r>
      <w:r>
        <w:tab/>
      </w:r>
      <w:r w:rsidR="00926FCC">
        <w:t>on or before the beginning of the quarter</w:t>
      </w:r>
      <w:r>
        <w:t>; or</w:t>
      </w:r>
    </w:p>
    <w:p w14:paraId="76D87405" w14:textId="4ADE3D98" w:rsidR="008E369A" w:rsidRDefault="00A068E5" w:rsidP="00550708">
      <w:pPr>
        <w:spacing w:before="140"/>
        <w:ind w:left="2127" w:hanging="709"/>
      </w:pPr>
      <w:r>
        <w:t>(b)</w:t>
      </w:r>
      <w:r>
        <w:tab/>
        <w:t xml:space="preserve">not later than any other </w:t>
      </w:r>
      <w:r w:rsidR="00AC7088">
        <w:t>date th</w:t>
      </w:r>
      <w:r w:rsidR="00550708">
        <w:t>e ACT Gambling and Racing</w:t>
      </w:r>
      <w:r w:rsidR="00AC7088">
        <w:t xml:space="preserve"> </w:t>
      </w:r>
      <w:r w:rsidR="00550708">
        <w:t>Commission</w:t>
      </w:r>
      <w:r w:rsidR="00AC7088">
        <w:t xml:space="preserve"> allows.</w:t>
      </w:r>
    </w:p>
    <w:p w14:paraId="090BB4D1" w14:textId="2E4872DF" w:rsidR="001440B3" w:rsidRDefault="00E85F08"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sidR="0042011A">
        <w:rPr>
          <w:rFonts w:ascii="Arial" w:hAnsi="Arial" w:cs="Arial"/>
          <w:b/>
          <w:bCs/>
        </w:rPr>
        <w:t>Revocation</w:t>
      </w:r>
    </w:p>
    <w:p w14:paraId="212468BB" w14:textId="69B7080D" w:rsidR="001440B3" w:rsidRDefault="0042011A" w:rsidP="0042011A">
      <w:pPr>
        <w:spacing w:before="140"/>
        <w:ind w:left="720"/>
      </w:pPr>
      <w:r>
        <w:t>This instrument revok</w:t>
      </w:r>
      <w:r w:rsidRPr="004F5477">
        <w:t>es</w:t>
      </w:r>
      <w:r w:rsidR="008C5F27" w:rsidRPr="004F5477">
        <w:t xml:space="preserve"> the</w:t>
      </w:r>
      <w:r w:rsidRPr="004F5477">
        <w:t xml:space="preserve"> </w:t>
      </w:r>
      <w:r w:rsidR="00383ABA" w:rsidRPr="004F5477">
        <w:rPr>
          <w:i/>
          <w:iCs/>
        </w:rPr>
        <w:t>Cas</w:t>
      </w:r>
      <w:r w:rsidR="00383ABA" w:rsidRPr="00383ABA">
        <w:rPr>
          <w:i/>
          <w:iCs/>
        </w:rPr>
        <w:t>ino Control (Licence Fee)</w:t>
      </w:r>
      <w:r w:rsidR="004F5477">
        <w:rPr>
          <w:i/>
          <w:iCs/>
        </w:rPr>
        <w:t xml:space="preserve"> </w:t>
      </w:r>
      <w:r w:rsidR="00383ABA" w:rsidRPr="00383ABA">
        <w:rPr>
          <w:i/>
          <w:iCs/>
        </w:rPr>
        <w:t>Determination</w:t>
      </w:r>
      <w:r w:rsidR="004F5477">
        <w:rPr>
          <w:i/>
          <w:iCs/>
        </w:rPr>
        <w:t xml:space="preserve"> </w:t>
      </w:r>
      <w:r w:rsidR="00383ABA" w:rsidRPr="00383ABA">
        <w:rPr>
          <w:i/>
          <w:iCs/>
        </w:rPr>
        <w:t>2015</w:t>
      </w:r>
      <w:r w:rsidR="004F5477">
        <w:rPr>
          <w:i/>
          <w:iCs/>
        </w:rPr>
        <w:t xml:space="preserve"> </w:t>
      </w:r>
      <w:r w:rsidR="00383ABA" w:rsidRPr="00383ABA">
        <w:rPr>
          <w:i/>
          <w:iCs/>
        </w:rPr>
        <w:t>(No 1)</w:t>
      </w:r>
      <w:r w:rsidR="004F5477">
        <w:rPr>
          <w:i/>
          <w:iCs/>
        </w:rPr>
        <w:t xml:space="preserve"> </w:t>
      </w:r>
      <w:r>
        <w:t>[</w:t>
      </w:r>
      <w:r w:rsidR="00383ABA">
        <w:t>NI2015-1</w:t>
      </w:r>
      <w:r>
        <w:t>].</w:t>
      </w:r>
    </w:p>
    <w:p w14:paraId="0CD28742" w14:textId="0C608663" w:rsidR="0042011A" w:rsidRDefault="00383ABA" w:rsidP="0042011A">
      <w:pPr>
        <w:tabs>
          <w:tab w:val="left" w:pos="4320"/>
        </w:tabs>
        <w:spacing w:before="720"/>
      </w:pPr>
      <w:r>
        <w:t>Shane Rattenbury MLA</w:t>
      </w:r>
    </w:p>
    <w:p w14:paraId="039BA0BC" w14:textId="0E1F280E" w:rsidR="001440B3" w:rsidRDefault="00383ABA" w:rsidP="0042011A">
      <w:pPr>
        <w:tabs>
          <w:tab w:val="left" w:pos="4320"/>
        </w:tabs>
      </w:pPr>
      <w:r>
        <w:t>Minister for Gaming</w:t>
      </w:r>
    </w:p>
    <w:bookmarkEnd w:id="0"/>
    <w:p w14:paraId="0471F0CA" w14:textId="1B002F62" w:rsidR="001440B3" w:rsidRDefault="00130523">
      <w:pPr>
        <w:tabs>
          <w:tab w:val="left" w:pos="4320"/>
        </w:tabs>
      </w:pPr>
      <w:r>
        <w:t>10</w:t>
      </w:r>
      <w:r w:rsidR="00383ABA">
        <w:t xml:space="preserve"> </w:t>
      </w:r>
      <w:r w:rsidR="00550708">
        <w:t>April</w:t>
      </w:r>
      <w:r w:rsidR="00383ABA">
        <w:t xml:space="preserve"> 2024</w:t>
      </w:r>
    </w:p>
    <w:sectPr w:rsidR="001440B3" w:rsidSect="00AB6AAD">
      <w:headerReference w:type="even" r:id="rId7"/>
      <w:headerReference w:type="default" r:id="rId8"/>
      <w:footerReference w:type="even" r:id="rId9"/>
      <w:footerReference w:type="default" r:id="rId10"/>
      <w:headerReference w:type="first" r:id="rId11"/>
      <w:footerReference w:type="first" r:id="rId12"/>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B6E6" w14:textId="77777777" w:rsidR="00AB6AAD" w:rsidRDefault="00AB6AAD" w:rsidP="001440B3">
      <w:r>
        <w:separator/>
      </w:r>
    </w:p>
  </w:endnote>
  <w:endnote w:type="continuationSeparator" w:id="0">
    <w:p w14:paraId="7F9DF16E" w14:textId="77777777" w:rsidR="00AB6AAD" w:rsidRDefault="00AB6AAD"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7546" w14:textId="77777777" w:rsidR="00BE4A08" w:rsidRDefault="00BE4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F81" w14:textId="60D51EAD" w:rsidR="00BE4A08" w:rsidRPr="00BE4A08" w:rsidRDefault="00BE4A08" w:rsidP="00BE4A08">
    <w:pPr>
      <w:pStyle w:val="Footer"/>
      <w:jc w:val="center"/>
      <w:rPr>
        <w:rFonts w:cs="Arial"/>
        <w:sz w:val="14"/>
      </w:rPr>
    </w:pPr>
    <w:r w:rsidRPr="00BE4A0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03D6" w14:textId="77777777" w:rsidR="00BE4A08" w:rsidRDefault="00BE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FB3A" w14:textId="77777777" w:rsidR="00AB6AAD" w:rsidRDefault="00AB6AAD" w:rsidP="001440B3">
      <w:r>
        <w:separator/>
      </w:r>
    </w:p>
  </w:footnote>
  <w:footnote w:type="continuationSeparator" w:id="0">
    <w:p w14:paraId="0C597906" w14:textId="77777777" w:rsidR="00AB6AAD" w:rsidRDefault="00AB6AAD"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C23A" w14:textId="77777777" w:rsidR="00BE4A08" w:rsidRDefault="00BE4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8A80" w14:textId="77777777" w:rsidR="00BE4A08" w:rsidRDefault="00BE4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E10F" w14:textId="77777777" w:rsidR="00BE4A08" w:rsidRDefault="00BE4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6651D6"/>
    <w:multiLevelType w:val="hybridMultilevel"/>
    <w:tmpl w:val="6ADE2C38"/>
    <w:lvl w:ilvl="0" w:tplc="4B267116">
      <w:start w:val="1"/>
      <w:numFmt w:val="lowerRoman"/>
      <w:lvlText w:val="(%1)"/>
      <w:lvlJc w:val="right"/>
      <w:pPr>
        <w:ind w:left="1353" w:hanging="360"/>
      </w:pPr>
      <w:rPr>
        <w:rFonts w:cs="Times New Roman"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580CA9"/>
    <w:multiLevelType w:val="hybridMultilevel"/>
    <w:tmpl w:val="D346DC02"/>
    <w:lvl w:ilvl="0" w:tplc="4B267116">
      <w:start w:val="1"/>
      <w:numFmt w:val="lowerRoman"/>
      <w:lvlText w:val="(%1)"/>
      <w:lvlJc w:val="righ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4C22692"/>
    <w:multiLevelType w:val="hybridMultilevel"/>
    <w:tmpl w:val="6ADE2C38"/>
    <w:lvl w:ilvl="0" w:tplc="FFFFFFFF">
      <w:start w:val="1"/>
      <w:numFmt w:val="lowerRoman"/>
      <w:lvlText w:val="(%1)"/>
      <w:lvlJc w:val="righ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31C579D"/>
    <w:multiLevelType w:val="multilevel"/>
    <w:tmpl w:val="0E66CAF8"/>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746D547F"/>
    <w:multiLevelType w:val="hybridMultilevel"/>
    <w:tmpl w:val="866C49B8"/>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1539658218">
    <w:abstractNumId w:val="3"/>
  </w:num>
  <w:num w:numId="2" w16cid:durableId="130482624">
    <w:abstractNumId w:val="0"/>
  </w:num>
  <w:num w:numId="3" w16cid:durableId="1278023275">
    <w:abstractNumId w:val="4"/>
  </w:num>
  <w:num w:numId="4" w16cid:durableId="1184831456">
    <w:abstractNumId w:val="9"/>
  </w:num>
  <w:num w:numId="5" w16cid:durableId="1653412353">
    <w:abstractNumId w:val="11"/>
  </w:num>
  <w:num w:numId="6" w16cid:durableId="1273244959">
    <w:abstractNumId w:val="2"/>
  </w:num>
  <w:num w:numId="7" w16cid:durableId="1087119772">
    <w:abstractNumId w:val="6"/>
  </w:num>
  <w:num w:numId="8" w16cid:durableId="1427576566">
    <w:abstractNumId w:val="8"/>
  </w:num>
  <w:num w:numId="9" w16cid:durableId="746805156">
    <w:abstractNumId w:val="12"/>
  </w:num>
  <w:num w:numId="10" w16cid:durableId="14616399">
    <w:abstractNumId w:val="1"/>
  </w:num>
  <w:num w:numId="11" w16cid:durableId="1663316728">
    <w:abstractNumId w:val="5"/>
  </w:num>
  <w:num w:numId="12" w16cid:durableId="1884098995">
    <w:abstractNumId w:val="7"/>
  </w:num>
  <w:num w:numId="13" w16cid:durableId="449402456">
    <w:abstractNumId w:val="10"/>
  </w:num>
  <w:num w:numId="14" w16cid:durableId="1190872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50F34"/>
    <w:rsid w:val="00072A31"/>
    <w:rsid w:val="000762F3"/>
    <w:rsid w:val="000C5FE6"/>
    <w:rsid w:val="000D7D58"/>
    <w:rsid w:val="00124EFE"/>
    <w:rsid w:val="00130523"/>
    <w:rsid w:val="001440B3"/>
    <w:rsid w:val="001F116A"/>
    <w:rsid w:val="001F1C69"/>
    <w:rsid w:val="001F29C0"/>
    <w:rsid w:val="00217D99"/>
    <w:rsid w:val="00222933"/>
    <w:rsid w:val="0023300E"/>
    <w:rsid w:val="0028243C"/>
    <w:rsid w:val="00283719"/>
    <w:rsid w:val="002B505F"/>
    <w:rsid w:val="002D3616"/>
    <w:rsid w:val="002F4246"/>
    <w:rsid w:val="00340D24"/>
    <w:rsid w:val="00371D96"/>
    <w:rsid w:val="00383ABA"/>
    <w:rsid w:val="003A3DC9"/>
    <w:rsid w:val="003D4A08"/>
    <w:rsid w:val="003F2B52"/>
    <w:rsid w:val="003F63FC"/>
    <w:rsid w:val="0040462A"/>
    <w:rsid w:val="0042011A"/>
    <w:rsid w:val="004431B2"/>
    <w:rsid w:val="00443F8F"/>
    <w:rsid w:val="004605F8"/>
    <w:rsid w:val="0046757F"/>
    <w:rsid w:val="004921D7"/>
    <w:rsid w:val="004A7169"/>
    <w:rsid w:val="004F5477"/>
    <w:rsid w:val="00525963"/>
    <w:rsid w:val="00550708"/>
    <w:rsid w:val="005549FF"/>
    <w:rsid w:val="005567B8"/>
    <w:rsid w:val="005C2FDB"/>
    <w:rsid w:val="005D30B9"/>
    <w:rsid w:val="005E4F50"/>
    <w:rsid w:val="00681FF2"/>
    <w:rsid w:val="006C6D6D"/>
    <w:rsid w:val="007161A6"/>
    <w:rsid w:val="0075372B"/>
    <w:rsid w:val="00852C51"/>
    <w:rsid w:val="008C5F27"/>
    <w:rsid w:val="008D680B"/>
    <w:rsid w:val="008E369A"/>
    <w:rsid w:val="00910D92"/>
    <w:rsid w:val="00926FCC"/>
    <w:rsid w:val="00940021"/>
    <w:rsid w:val="00995C9D"/>
    <w:rsid w:val="00A068E5"/>
    <w:rsid w:val="00A84071"/>
    <w:rsid w:val="00A87A91"/>
    <w:rsid w:val="00AA26FB"/>
    <w:rsid w:val="00AA35F7"/>
    <w:rsid w:val="00AB6AAD"/>
    <w:rsid w:val="00AC7088"/>
    <w:rsid w:val="00AD3C00"/>
    <w:rsid w:val="00AE7E2E"/>
    <w:rsid w:val="00AF1382"/>
    <w:rsid w:val="00B14ACB"/>
    <w:rsid w:val="00B20782"/>
    <w:rsid w:val="00B36284"/>
    <w:rsid w:val="00B644F0"/>
    <w:rsid w:val="00B843E8"/>
    <w:rsid w:val="00BA4603"/>
    <w:rsid w:val="00BA774C"/>
    <w:rsid w:val="00BE4A08"/>
    <w:rsid w:val="00C415E5"/>
    <w:rsid w:val="00C53E58"/>
    <w:rsid w:val="00C65357"/>
    <w:rsid w:val="00CA6442"/>
    <w:rsid w:val="00D079E5"/>
    <w:rsid w:val="00D5405D"/>
    <w:rsid w:val="00D77EDC"/>
    <w:rsid w:val="00E278A4"/>
    <w:rsid w:val="00E47BF6"/>
    <w:rsid w:val="00E85F08"/>
    <w:rsid w:val="00F04BA0"/>
    <w:rsid w:val="00F26290"/>
    <w:rsid w:val="00F91483"/>
    <w:rsid w:val="00F9438D"/>
    <w:rsid w:val="00FA0A9B"/>
    <w:rsid w:val="00FC7B48"/>
    <w:rsid w:val="00FF5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2403C"/>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217D99"/>
    <w:pPr>
      <w:ind w:left="720"/>
      <w:contextualSpacing/>
    </w:pPr>
  </w:style>
  <w:style w:type="paragraph" w:styleId="Revision">
    <w:name w:val="Revision"/>
    <w:hidden/>
    <w:uiPriority w:val="99"/>
    <w:semiHidden/>
    <w:rsid w:val="00443F8F"/>
    <w:rPr>
      <w:sz w:val="24"/>
      <w:lang w:eastAsia="en-US"/>
    </w:rPr>
  </w:style>
  <w:style w:type="character" w:styleId="CommentReference">
    <w:name w:val="annotation reference"/>
    <w:basedOn w:val="DefaultParagraphFont"/>
    <w:uiPriority w:val="99"/>
    <w:semiHidden/>
    <w:unhideWhenUsed/>
    <w:rsid w:val="003A3DC9"/>
    <w:rPr>
      <w:sz w:val="16"/>
      <w:szCs w:val="16"/>
    </w:rPr>
  </w:style>
  <w:style w:type="paragraph" w:styleId="CommentText">
    <w:name w:val="annotation text"/>
    <w:basedOn w:val="Normal"/>
    <w:link w:val="CommentTextChar"/>
    <w:uiPriority w:val="99"/>
    <w:unhideWhenUsed/>
    <w:rsid w:val="003A3DC9"/>
    <w:rPr>
      <w:sz w:val="20"/>
    </w:rPr>
  </w:style>
  <w:style w:type="character" w:customStyle="1" w:styleId="CommentTextChar">
    <w:name w:val="Comment Text Char"/>
    <w:basedOn w:val="DefaultParagraphFont"/>
    <w:link w:val="CommentText"/>
    <w:uiPriority w:val="99"/>
    <w:rsid w:val="003A3DC9"/>
    <w:rPr>
      <w:lang w:eastAsia="en-US"/>
    </w:rPr>
  </w:style>
  <w:style w:type="paragraph" w:styleId="CommentSubject">
    <w:name w:val="annotation subject"/>
    <w:basedOn w:val="CommentText"/>
    <w:next w:val="CommentText"/>
    <w:link w:val="CommentSubjectChar"/>
    <w:uiPriority w:val="99"/>
    <w:semiHidden/>
    <w:unhideWhenUsed/>
    <w:rsid w:val="003A3DC9"/>
    <w:rPr>
      <w:b/>
      <w:bCs/>
    </w:rPr>
  </w:style>
  <w:style w:type="character" w:customStyle="1" w:styleId="CommentSubjectChar">
    <w:name w:val="Comment Subject Char"/>
    <w:basedOn w:val="CommentTextChar"/>
    <w:link w:val="CommentSubject"/>
    <w:uiPriority w:val="99"/>
    <w:semiHidden/>
    <w:rsid w:val="003A3D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1645</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2024-03-28T04:06:00Z</cp:lastPrinted>
  <dcterms:created xsi:type="dcterms:W3CDTF">2024-04-23T05:44:00Z</dcterms:created>
  <dcterms:modified xsi:type="dcterms:W3CDTF">2024-04-23T05:44:00Z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2024-04-23T05:43:39Z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983618ef-9243-40d4-8591-72cf7097846b</vt:lpwstr>
  </property>
  <property fmtid="{D5CDD505-2E9C-101B-9397-08002B2CF9AE}" pid="8" name="MSIP_Label_69af8531-eb46-4968-8cb3-105d2f5ea87e_ContentBits">
    <vt:lpwstr>0</vt:lpwstr>
  </property>
</Properties>
</file>