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984E" w14:textId="77777777" w:rsidR="00AA3FA7" w:rsidRDefault="00AA3FA7">
      <w:pPr>
        <w:jc w:val="center"/>
        <w:rPr>
          <w:rFonts w:ascii="Arial" w:hAnsi="Arial"/>
          <w:sz w:val="20"/>
        </w:rPr>
      </w:pPr>
    </w:p>
    <w:p w14:paraId="3EBEB896" w14:textId="77777777" w:rsidR="00AA3FA7" w:rsidRDefault="00AA3FA7">
      <w:pPr>
        <w:spacing w:before="120"/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Australian Capital Territory</w:t>
          </w:r>
        </w:smartTag>
      </w:smartTag>
    </w:p>
    <w:p w14:paraId="35BC1A93" w14:textId="2BC69093" w:rsidR="00AA3FA7" w:rsidRDefault="00AA3FA7">
      <w:pPr>
        <w:pStyle w:val="Billname"/>
        <w:spacing w:before="700"/>
      </w:pPr>
      <w:r>
        <w:t xml:space="preserve">Remuneration Tribunal (Specification </w:t>
      </w:r>
      <w:r w:rsidR="002915DD">
        <w:t>of offices and appointments) 20</w:t>
      </w:r>
      <w:r w:rsidR="004872D9">
        <w:t>2</w:t>
      </w:r>
      <w:r w:rsidR="00987821">
        <w:t>4</w:t>
      </w:r>
      <w:r w:rsidR="004872D9">
        <w:t xml:space="preserve"> </w:t>
      </w:r>
      <w:r w:rsidR="008B7AD6">
        <w:t>(No </w:t>
      </w:r>
      <w:r w:rsidR="00A27436">
        <w:t>1</w:t>
      </w:r>
      <w:r>
        <w:t>)</w:t>
      </w:r>
      <w:r w:rsidR="00A27436">
        <w:t>*</w:t>
      </w:r>
    </w:p>
    <w:p w14:paraId="0C544934" w14:textId="77777777" w:rsidR="00AA3FA7" w:rsidRDefault="00A57DB9">
      <w:pPr>
        <w:pStyle w:val="Heading4"/>
        <w:numPr>
          <w:ilvl w:val="0"/>
          <w:numId w:val="0"/>
        </w:numPr>
        <w:rPr>
          <w:vertAlign w:val="superscript"/>
        </w:rPr>
      </w:pPr>
      <w:bookmarkStart w:id="0" w:name="Citation"/>
      <w:r>
        <w:t>Notifiable instrument NI20</w:t>
      </w:r>
      <w:r w:rsidR="00A8606A">
        <w:t>2</w:t>
      </w:r>
      <w:r w:rsidR="00A97C10">
        <w:t>3</w:t>
      </w:r>
      <w:r w:rsidR="00AA3FA7">
        <w:t>—</w:t>
      </w:r>
      <w:r w:rsidR="00315338">
        <w:t>292</w:t>
      </w:r>
    </w:p>
    <w:p w14:paraId="18891487" w14:textId="77777777" w:rsidR="00AA3FA7" w:rsidRDefault="00AA3FA7">
      <w:pPr>
        <w:pStyle w:val="madeunder"/>
      </w:pPr>
      <w:r>
        <w:t>made under the</w:t>
      </w:r>
    </w:p>
    <w:p w14:paraId="5DE54134" w14:textId="77777777" w:rsidR="00AA3FA7" w:rsidRDefault="00AA3FA7">
      <w:pPr>
        <w:pStyle w:val="CoverActName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</w:rPr>
        <w:t>Remuneration Tribunal Act 1995</w:t>
      </w:r>
      <w:r>
        <w:rPr>
          <w:rFonts w:ascii="Times New Roman" w:hAnsi="Times New Roman"/>
        </w:rPr>
        <w:t>, s 10(1) (Inquiries about holders of certain positions)</w:t>
      </w:r>
    </w:p>
    <w:bookmarkEnd w:id="0"/>
    <w:p w14:paraId="3F0350A4" w14:textId="77777777" w:rsidR="00AA3FA7" w:rsidRDefault="00AA3FA7">
      <w:pPr>
        <w:pStyle w:val="N-line3"/>
        <w:pBdr>
          <w:bottom w:val="none" w:sz="0" w:space="0" w:color="auto"/>
        </w:pBdr>
      </w:pPr>
    </w:p>
    <w:p w14:paraId="7D397ADE" w14:textId="77777777"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14:paraId="212B87F1" w14:textId="77777777"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 and appointment:</w:t>
      </w:r>
    </w:p>
    <w:p w14:paraId="1E0AF49B" w14:textId="77777777" w:rsidR="00AA3FA7" w:rsidRDefault="00987821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Independent Member, Payroll Capability and Human Resource Management Program Board </w:t>
      </w:r>
    </w:p>
    <w:p w14:paraId="25569FCC" w14:textId="77777777" w:rsidR="00AA3FA7" w:rsidRDefault="00AA3FA7">
      <w:pPr>
        <w:pStyle w:val="CoverActName"/>
        <w:rPr>
          <w:rFonts w:ascii="Times New Roman" w:hAnsi="Times New Roman"/>
          <w:b w:val="0"/>
        </w:rPr>
      </w:pPr>
    </w:p>
    <w:p w14:paraId="073D2583" w14:textId="77777777" w:rsidR="00AA3FA7" w:rsidRDefault="00AA3FA7">
      <w:pPr>
        <w:pStyle w:val="CoverActName"/>
        <w:rPr>
          <w:rFonts w:ascii="Times New Roman" w:hAnsi="Times New Roman"/>
          <w:b w:val="0"/>
        </w:rPr>
      </w:pPr>
    </w:p>
    <w:p w14:paraId="4FD4C23E" w14:textId="77777777" w:rsidR="00AA3FA7" w:rsidRDefault="00AA3FA7">
      <w:pPr>
        <w:pStyle w:val="CoverActName"/>
        <w:rPr>
          <w:rFonts w:ascii="Times New Roman" w:hAnsi="Times New Roman"/>
          <w:b w:val="0"/>
        </w:rPr>
      </w:pPr>
    </w:p>
    <w:p w14:paraId="302CB272" w14:textId="77777777" w:rsidR="00AA3FA7" w:rsidRDefault="00AA3FA7">
      <w:pPr>
        <w:pStyle w:val="CoverActName"/>
        <w:rPr>
          <w:rFonts w:ascii="Times New Roman" w:hAnsi="Times New Roman"/>
          <w:b w:val="0"/>
        </w:rPr>
      </w:pPr>
    </w:p>
    <w:p w14:paraId="3DC684CC" w14:textId="77777777" w:rsidR="00AA3FA7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  <w:r w:rsidR="00F94BD4">
        <w:rPr>
          <w:rFonts w:ascii="Times New Roman" w:hAnsi="Times New Roman"/>
          <w:b w:val="0"/>
        </w:rPr>
        <w:br/>
      </w:r>
      <w:r w:rsidR="00F94BD4">
        <w:rPr>
          <w:rFonts w:ascii="Times New Roman" w:hAnsi="Times New Roman"/>
          <w:b w:val="0"/>
        </w:rPr>
        <w:br/>
        <w:t xml:space="preserve"> </w:t>
      </w:r>
      <w:r w:rsidR="00B67F0C">
        <w:rPr>
          <w:rFonts w:ascii="Times New Roman" w:hAnsi="Times New Roman"/>
          <w:b w:val="0"/>
        </w:rPr>
        <w:t xml:space="preserve">   </w:t>
      </w:r>
      <w:r w:rsidR="00005B2B">
        <w:rPr>
          <w:rFonts w:ascii="Times New Roman" w:hAnsi="Times New Roman"/>
          <w:b w:val="0"/>
        </w:rPr>
        <w:t xml:space="preserve">14 June </w:t>
      </w:r>
      <w:r>
        <w:rPr>
          <w:rFonts w:ascii="Times New Roman" w:hAnsi="Times New Roman"/>
          <w:b w:val="0"/>
        </w:rPr>
        <w:t>20</w:t>
      </w:r>
      <w:r w:rsidR="00A8606A">
        <w:rPr>
          <w:rFonts w:ascii="Times New Roman" w:hAnsi="Times New Roman"/>
          <w:b w:val="0"/>
        </w:rPr>
        <w:t>2</w:t>
      </w:r>
      <w:r w:rsidR="00987821">
        <w:rPr>
          <w:rFonts w:ascii="Times New Roman" w:hAnsi="Times New Roman"/>
          <w:b w:val="0"/>
        </w:rPr>
        <w:t>4</w:t>
      </w:r>
    </w:p>
    <w:sectPr w:rsidR="00AA3FA7" w:rsidSect="00CB3C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3000" w:right="2300" w:bottom="2500" w:left="2300" w:header="2480" w:footer="2100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6140" w14:textId="77777777" w:rsidR="00CB3CA7" w:rsidRDefault="00CB3CA7">
      <w:r>
        <w:separator/>
      </w:r>
    </w:p>
  </w:endnote>
  <w:endnote w:type="continuationSeparator" w:id="0">
    <w:p w14:paraId="222000F6" w14:textId="77777777" w:rsidR="00CB3CA7" w:rsidRDefault="00CB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7EDE" w14:textId="270A4A3D" w:rsidR="00AC2DAE" w:rsidRPr="00916B65" w:rsidRDefault="00916B65" w:rsidP="00916B65">
    <w:pPr>
      <w:pStyle w:val="Footer"/>
      <w:jc w:val="center"/>
      <w:rPr>
        <w:rFonts w:cs="Arial"/>
        <w:sz w:val="14"/>
      </w:rPr>
    </w:pPr>
    <w:r w:rsidRPr="00916B65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D512" w14:textId="4C850B2B" w:rsidR="00AC2DAE" w:rsidRPr="00916B65" w:rsidRDefault="00916B65" w:rsidP="00916B65">
    <w:pPr>
      <w:pStyle w:val="Footer"/>
      <w:jc w:val="center"/>
      <w:rPr>
        <w:rFonts w:cs="Arial"/>
        <w:sz w:val="14"/>
      </w:rPr>
    </w:pPr>
    <w:r w:rsidRPr="00916B6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3857" w14:textId="0981BEAB" w:rsidR="00AC2DAE" w:rsidRDefault="00A27436" w:rsidP="00A27436">
    <w:pPr>
      <w:pStyle w:val="Footer"/>
      <w:rPr>
        <w:rFonts w:cs="Arial"/>
      </w:rPr>
    </w:pPr>
    <w:r w:rsidRPr="00A27436">
      <w:rPr>
        <w:rFonts w:cs="Arial"/>
      </w:rPr>
      <w:t>*Name amended under Legislation Act, s 60</w:t>
    </w:r>
  </w:p>
  <w:p w14:paraId="6992D3A6" w14:textId="40CE7C58" w:rsidR="00916B65" w:rsidRPr="00916B65" w:rsidRDefault="00916B65" w:rsidP="00916B65">
    <w:pPr>
      <w:pStyle w:val="Footer"/>
      <w:jc w:val="center"/>
      <w:rPr>
        <w:rFonts w:cs="Arial"/>
        <w:sz w:val="14"/>
      </w:rPr>
    </w:pPr>
    <w:r w:rsidRPr="00916B65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A040" w14:textId="77777777" w:rsidR="00CB3CA7" w:rsidRDefault="00CB3CA7">
      <w:r>
        <w:separator/>
      </w:r>
    </w:p>
  </w:footnote>
  <w:footnote w:type="continuationSeparator" w:id="0">
    <w:p w14:paraId="4D144906" w14:textId="77777777" w:rsidR="00CB3CA7" w:rsidRDefault="00CB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EB51" w14:textId="77777777" w:rsidR="00AC2DAE" w:rsidRDefault="00AC2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0BF9" w14:textId="77777777" w:rsidR="00AC2DAE" w:rsidRDefault="00AC2D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6888" w14:textId="77777777" w:rsidR="00AC2DAE" w:rsidRDefault="00AC2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803572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78"/>
    <w:rsid w:val="00005B2B"/>
    <w:rsid w:val="000102E2"/>
    <w:rsid w:val="000477D5"/>
    <w:rsid w:val="0006630A"/>
    <w:rsid w:val="000B18D4"/>
    <w:rsid w:val="000B5378"/>
    <w:rsid w:val="001B3BAA"/>
    <w:rsid w:val="001C0B99"/>
    <w:rsid w:val="001F544F"/>
    <w:rsid w:val="002432E2"/>
    <w:rsid w:val="00274829"/>
    <w:rsid w:val="002915DD"/>
    <w:rsid w:val="002A3D38"/>
    <w:rsid w:val="00315338"/>
    <w:rsid w:val="00343059"/>
    <w:rsid w:val="00383930"/>
    <w:rsid w:val="003A7A0C"/>
    <w:rsid w:val="0040479C"/>
    <w:rsid w:val="00406BC0"/>
    <w:rsid w:val="00460F27"/>
    <w:rsid w:val="0047723E"/>
    <w:rsid w:val="004872D9"/>
    <w:rsid w:val="004D3DF0"/>
    <w:rsid w:val="00686A51"/>
    <w:rsid w:val="0068711C"/>
    <w:rsid w:val="00712B77"/>
    <w:rsid w:val="007229E9"/>
    <w:rsid w:val="00756775"/>
    <w:rsid w:val="00764D71"/>
    <w:rsid w:val="00766F9A"/>
    <w:rsid w:val="008B7AD6"/>
    <w:rsid w:val="00905216"/>
    <w:rsid w:val="00916B65"/>
    <w:rsid w:val="00935CEF"/>
    <w:rsid w:val="00963D96"/>
    <w:rsid w:val="00966C7C"/>
    <w:rsid w:val="00987821"/>
    <w:rsid w:val="00990454"/>
    <w:rsid w:val="009F033A"/>
    <w:rsid w:val="00A27436"/>
    <w:rsid w:val="00A57DB9"/>
    <w:rsid w:val="00A77F35"/>
    <w:rsid w:val="00A8606A"/>
    <w:rsid w:val="00A9490B"/>
    <w:rsid w:val="00A97C10"/>
    <w:rsid w:val="00AA3FA7"/>
    <w:rsid w:val="00AC2DAE"/>
    <w:rsid w:val="00B01A7B"/>
    <w:rsid w:val="00B30FC1"/>
    <w:rsid w:val="00B32F6C"/>
    <w:rsid w:val="00B67F0C"/>
    <w:rsid w:val="00B824A9"/>
    <w:rsid w:val="00BE7F89"/>
    <w:rsid w:val="00C227D9"/>
    <w:rsid w:val="00C22F07"/>
    <w:rsid w:val="00C55B6D"/>
    <w:rsid w:val="00C75241"/>
    <w:rsid w:val="00C83A9A"/>
    <w:rsid w:val="00CA7672"/>
    <w:rsid w:val="00CB3CA7"/>
    <w:rsid w:val="00D04FF9"/>
    <w:rsid w:val="00D25177"/>
    <w:rsid w:val="00DD16BD"/>
    <w:rsid w:val="00E9298D"/>
    <w:rsid w:val="00E95538"/>
    <w:rsid w:val="00EE7607"/>
    <w:rsid w:val="00F94BD4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4C856A1"/>
  <w15:chartTrackingRefBased/>
  <w15:docId w15:val="{AD0C44F9-0645-45B9-90C2-8A3C6AC3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66F911C4A5440829D9E59826C8671" ma:contentTypeVersion="17" ma:contentTypeDescription="Create a new document." ma:contentTypeScope="" ma:versionID="392dea200dfd30576b4452a82e15b5f3">
  <xsd:schema xmlns:xsd="http://www.w3.org/2001/XMLSchema" xmlns:xs="http://www.w3.org/2001/XMLSchema" xmlns:p="http://schemas.microsoft.com/office/2006/metadata/properties" xmlns:ns2="234459c3-504a-48ec-bc1e-4118617639d2" xmlns:ns3="b20712e0-4829-4316-9702-cf425ff7ebff" targetNamespace="http://schemas.microsoft.com/office/2006/metadata/properties" ma:root="true" ma:fieldsID="bbea186680ae33e27541bf7affa5ac92" ns2:_="" ns3:_="">
    <xsd:import namespace="234459c3-504a-48ec-bc1e-4118617639d2"/>
    <xsd:import namespace="b20712e0-4829-4316-9702-cf425ff7e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459c3-504a-48ec-bc1e-411861763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12e0-4829-4316-9702-cf425ff7e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97372-EB3E-4D9F-8168-0A64590A0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459c3-504a-48ec-bc1e-4118617639d2"/>
    <ds:schemaRef ds:uri="b20712e0-4829-4316-9702-cf425ff7e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ABBD0-FF1E-45ED-826F-83EC1B9E7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52194-B117-4D47-A2FB-6C0D8E552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362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ACT Government</dc:creator>
  <cp:keywords>2</cp:keywords>
  <cp:lastModifiedBy>Moxon, KarenL</cp:lastModifiedBy>
  <cp:revision>7</cp:revision>
  <cp:lastPrinted>2005-04-20T04:49:00Z</cp:lastPrinted>
  <dcterms:created xsi:type="dcterms:W3CDTF">2024-06-17T06:14:00Z</dcterms:created>
  <dcterms:modified xsi:type="dcterms:W3CDTF">2024-06-17T06:20:00Z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DMSID">
    <vt:lpwstr>12820410</vt:lpwstr>
  </property>
  <property fmtid="{D5CDD505-2E9C-101B-9397-08002B2CF9AE}" pid="6" name="JMSREQUIREDCHECKIN">
    <vt:lpwstr/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SetDate">
    <vt:lpwstr>2024-06-17T06:05:40Z</vt:lpwstr>
  </property>
  <property fmtid="{D5CDD505-2E9C-101B-9397-08002B2CF9AE}" pid="9" name="MSIP_Label_69af8531-eb46-4968-8cb3-105d2f5ea87e_Method">
    <vt:lpwstr>Standard</vt:lpwstr>
  </property>
  <property fmtid="{D5CDD505-2E9C-101B-9397-08002B2CF9AE}" pid="10" name="MSIP_Label_69af8531-eb46-4968-8cb3-105d2f5ea87e_Name">
    <vt:lpwstr>Official - No Marking</vt:lpwstr>
  </property>
  <property fmtid="{D5CDD505-2E9C-101B-9397-08002B2CF9AE}" pid="11" name="MSIP_Label_69af8531-eb46-4968-8cb3-105d2f5ea87e_SiteId">
    <vt:lpwstr>b46c1908-0334-4236-b978-585ee88e4199</vt:lpwstr>
  </property>
  <property fmtid="{D5CDD505-2E9C-101B-9397-08002B2CF9AE}" pid="12" name="MSIP_Label_69af8531-eb46-4968-8cb3-105d2f5ea87e_ActionId">
    <vt:lpwstr>8da4f46f-8c5d-4278-9927-9186af56b563</vt:lpwstr>
  </property>
  <property fmtid="{D5CDD505-2E9C-101B-9397-08002B2CF9AE}" pid="13" name="MSIP_Label_69af8531-eb46-4968-8cb3-105d2f5ea87e_ContentBits">
    <vt:lpwstr>0</vt:lpwstr>
  </property>
</Properties>
</file>