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C088" w14:textId="77777777" w:rsidR="00AA3FA7" w:rsidRDefault="00AA3FA7">
      <w:pPr>
        <w:spacing w:before="120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1ACF7CC" w14:textId="77777777" w:rsidR="00AA3FA7" w:rsidRDefault="00AA3FA7">
      <w:pPr>
        <w:pStyle w:val="Billname"/>
        <w:spacing w:before="700"/>
      </w:pPr>
      <w:r>
        <w:t>Remuneration Tribunal (</w:t>
      </w:r>
      <w:r w:rsidR="002A2FE3">
        <w:t>A</w:t>
      </w:r>
      <w:r w:rsidR="002915DD">
        <w:t xml:space="preserve">ppointments) </w:t>
      </w:r>
      <w:r w:rsidR="002A2FE3">
        <w:t xml:space="preserve">Notification </w:t>
      </w:r>
      <w:r w:rsidR="002915DD">
        <w:t>20</w:t>
      </w:r>
      <w:r w:rsidR="004872D9">
        <w:t>2</w:t>
      </w:r>
      <w:r w:rsidR="00DA2B6F">
        <w:t>5</w:t>
      </w:r>
      <w:r w:rsidR="004872D9">
        <w:t xml:space="preserve"> </w:t>
      </w:r>
      <w:r w:rsidR="008B7AD6">
        <w:t>(No </w:t>
      </w:r>
      <w:r w:rsidR="00DA2B6F">
        <w:t>1</w:t>
      </w:r>
      <w:r>
        <w:t>)</w:t>
      </w:r>
    </w:p>
    <w:p w14:paraId="13AB3783" w14:textId="77777777" w:rsidR="00AA3FA7" w:rsidRDefault="00A57DB9" w:rsidP="00E35C35">
      <w:pPr>
        <w:pStyle w:val="Heading4"/>
        <w:numPr>
          <w:ilvl w:val="0"/>
          <w:numId w:val="0"/>
        </w:numPr>
        <w:spacing w:before="340" w:after="0"/>
        <w:rPr>
          <w:vertAlign w:val="superscript"/>
        </w:rPr>
      </w:pPr>
      <w:bookmarkStart w:id="0" w:name="Citation"/>
      <w:r>
        <w:t>Notifiable instrument NI20</w:t>
      </w:r>
      <w:r w:rsidR="00A8606A">
        <w:t>2</w:t>
      </w:r>
      <w:r w:rsidR="00DA2B6F">
        <w:t>5</w:t>
      </w:r>
      <w:r w:rsidR="00AA3FA7">
        <w:t>—</w:t>
      </w:r>
      <w:r w:rsidR="00FB0A36">
        <w:t>109</w:t>
      </w:r>
    </w:p>
    <w:p w14:paraId="2A7D4D5F" w14:textId="77777777" w:rsidR="00AA3FA7" w:rsidRDefault="00AA3FA7" w:rsidP="00E35C35">
      <w:pPr>
        <w:pStyle w:val="madeunder"/>
        <w:spacing w:before="300" w:after="0"/>
      </w:pPr>
      <w:r>
        <w:t>made under the</w:t>
      </w:r>
    </w:p>
    <w:p w14:paraId="240DF281" w14:textId="77777777" w:rsidR="00AA3FA7" w:rsidRPr="00E35C35" w:rsidRDefault="00AA3FA7" w:rsidP="00E35C35">
      <w:pPr>
        <w:pStyle w:val="CoverActName"/>
        <w:spacing w:before="320" w:after="0"/>
        <w:jc w:val="left"/>
        <w:rPr>
          <w:rFonts w:cs="Arial"/>
          <w:sz w:val="20"/>
          <w:vertAlign w:val="superscript"/>
        </w:rPr>
      </w:pPr>
      <w:r w:rsidRPr="00E35C35">
        <w:rPr>
          <w:rFonts w:cs="Arial"/>
          <w:iCs/>
          <w:sz w:val="20"/>
        </w:rPr>
        <w:t>Remuneration Tribunal Act 1995</w:t>
      </w:r>
      <w:r w:rsidRPr="00E35C35">
        <w:rPr>
          <w:rFonts w:cs="Arial"/>
          <w:sz w:val="20"/>
        </w:rPr>
        <w:t>, s 10 (Inquiries about holders of certain positions)</w:t>
      </w:r>
    </w:p>
    <w:bookmarkEnd w:id="0"/>
    <w:p w14:paraId="461D1328" w14:textId="77777777" w:rsidR="00AA3FA7" w:rsidRDefault="00AA3FA7" w:rsidP="00E35C35">
      <w:pPr>
        <w:pStyle w:val="N-line3"/>
        <w:pBdr>
          <w:bottom w:val="none" w:sz="0" w:space="0" w:color="auto"/>
        </w:pBdr>
        <w:spacing w:before="60"/>
      </w:pPr>
    </w:p>
    <w:p w14:paraId="6474CCA1" w14:textId="77777777"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14:paraId="6FDB3A4A" w14:textId="77777777" w:rsidR="00AA3FA7" w:rsidRDefault="00AA3FA7" w:rsidP="00E35C35">
      <w:pPr>
        <w:pStyle w:val="Amain"/>
        <w:tabs>
          <w:tab w:val="clear" w:pos="700"/>
          <w:tab w:val="left" w:pos="0"/>
        </w:tabs>
        <w:spacing w:before="60"/>
        <w:ind w:left="0" w:firstLine="0"/>
        <w:rPr>
          <w:vertAlign w:val="superscript"/>
        </w:rPr>
      </w:pPr>
      <w:r>
        <w:t xml:space="preserve">I </w:t>
      </w:r>
      <w:r w:rsidR="007152B3">
        <w:t>notify</w:t>
      </w:r>
      <w:r>
        <w:t xml:space="preserve"> the following appointment</w:t>
      </w:r>
      <w:r w:rsidR="00DA2B6F">
        <w:t>s</w:t>
      </w:r>
      <w:r>
        <w:t>:</w:t>
      </w:r>
    </w:p>
    <w:p w14:paraId="4858281C" w14:textId="77777777" w:rsidR="00AA3FA7" w:rsidRDefault="00313287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Co-chair</w:t>
      </w:r>
      <w:r w:rsidR="004344EA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 and Members</w:t>
      </w:r>
      <w:r w:rsidR="00DA2B6F">
        <w:rPr>
          <w:rFonts w:ascii="Times New Roman" w:hAnsi="Times New Roman"/>
          <w:bCs/>
        </w:rPr>
        <w:t>, ACT Place Names Advisory Committee.</w:t>
      </w:r>
    </w:p>
    <w:p w14:paraId="7907A47E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353E6C50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36CDFA53" w14:textId="77777777" w:rsidR="00AA3FA7" w:rsidRDefault="00AA3FA7">
      <w:pPr>
        <w:pStyle w:val="CoverActName"/>
        <w:rPr>
          <w:rFonts w:ascii="Times New Roman" w:hAnsi="Times New Roman"/>
          <w:b w:val="0"/>
        </w:rPr>
      </w:pPr>
    </w:p>
    <w:p w14:paraId="17092403" w14:textId="77777777" w:rsidR="00DA2B6F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</w:p>
    <w:p w14:paraId="54B7431B" w14:textId="77777777" w:rsidR="00AA3FA7" w:rsidRDefault="00FB0A36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28</w:t>
      </w:r>
      <w:r w:rsidR="00313287">
        <w:rPr>
          <w:rFonts w:ascii="Times New Roman" w:hAnsi="Times New Roman"/>
          <w:b w:val="0"/>
        </w:rPr>
        <w:t xml:space="preserve"> </w:t>
      </w:r>
      <w:r w:rsidR="008D0892">
        <w:rPr>
          <w:rFonts w:ascii="Times New Roman" w:hAnsi="Times New Roman"/>
          <w:b w:val="0"/>
        </w:rPr>
        <w:t xml:space="preserve">February </w:t>
      </w:r>
      <w:r w:rsidR="00313287">
        <w:rPr>
          <w:rFonts w:ascii="Times New Roman" w:hAnsi="Times New Roman"/>
          <w:b w:val="0"/>
        </w:rPr>
        <w:t>202</w:t>
      </w:r>
      <w:r w:rsidR="00A71633">
        <w:rPr>
          <w:rFonts w:ascii="Times New Roman" w:hAnsi="Times New Roman"/>
          <w:b w:val="0"/>
        </w:rPr>
        <w:t>5</w:t>
      </w:r>
    </w:p>
    <w:sectPr w:rsidR="00AA3FA7" w:rsidSect="00E35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2478" w:footer="2098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085B" w14:textId="77777777" w:rsidR="004D4195" w:rsidRDefault="004D4195">
      <w:r>
        <w:separator/>
      </w:r>
    </w:p>
  </w:endnote>
  <w:endnote w:type="continuationSeparator" w:id="0">
    <w:p w14:paraId="2AD3F53A" w14:textId="77777777" w:rsidR="004D4195" w:rsidRDefault="004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854F" w14:textId="6C2F6E73" w:rsidR="00664CE9" w:rsidRPr="00664CE9" w:rsidRDefault="00664CE9" w:rsidP="00664CE9">
    <w:pPr>
      <w:pStyle w:val="Footer"/>
      <w:jc w:val="center"/>
      <w:rPr>
        <w:rFonts w:cs="Arial"/>
        <w:sz w:val="14"/>
      </w:rPr>
    </w:pPr>
    <w:r w:rsidRPr="00664CE9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B08" w14:textId="19159630" w:rsidR="00664CE9" w:rsidRPr="00664CE9" w:rsidRDefault="00664CE9" w:rsidP="00664CE9">
    <w:pPr>
      <w:pStyle w:val="Footer"/>
      <w:jc w:val="center"/>
      <w:rPr>
        <w:rFonts w:cs="Arial"/>
        <w:sz w:val="14"/>
      </w:rPr>
    </w:pPr>
    <w:r w:rsidRPr="00664CE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FA0F" w14:textId="5A62BDBB" w:rsidR="00664CE9" w:rsidRPr="00664CE9" w:rsidRDefault="00664CE9" w:rsidP="00664CE9">
    <w:pPr>
      <w:pStyle w:val="Footer"/>
      <w:jc w:val="center"/>
      <w:rPr>
        <w:rFonts w:cs="Arial"/>
        <w:sz w:val="14"/>
      </w:rPr>
    </w:pPr>
    <w:r w:rsidRPr="00664CE9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15D4" w14:textId="77777777" w:rsidR="004D4195" w:rsidRDefault="004D4195">
      <w:r>
        <w:separator/>
      </w:r>
    </w:p>
  </w:footnote>
  <w:footnote w:type="continuationSeparator" w:id="0">
    <w:p w14:paraId="359122BD" w14:textId="77777777" w:rsidR="004D4195" w:rsidRDefault="004D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CC40" w14:textId="77777777" w:rsidR="00664CE9" w:rsidRDefault="00664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E40" w14:textId="77777777" w:rsidR="00664CE9" w:rsidRDefault="00664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9CFE" w14:textId="77777777" w:rsidR="00664CE9" w:rsidRDefault="00664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77324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6630A"/>
    <w:rsid w:val="000B18D4"/>
    <w:rsid w:val="000B5378"/>
    <w:rsid w:val="000E7E7A"/>
    <w:rsid w:val="001338ED"/>
    <w:rsid w:val="001761F4"/>
    <w:rsid w:val="001B3BAA"/>
    <w:rsid w:val="001C0B99"/>
    <w:rsid w:val="001F544F"/>
    <w:rsid w:val="002432E2"/>
    <w:rsid w:val="00274829"/>
    <w:rsid w:val="002915DD"/>
    <w:rsid w:val="002A2FE3"/>
    <w:rsid w:val="002A3D38"/>
    <w:rsid w:val="00304641"/>
    <w:rsid w:val="00313287"/>
    <w:rsid w:val="00343059"/>
    <w:rsid w:val="00383930"/>
    <w:rsid w:val="003A7A0C"/>
    <w:rsid w:val="004344EA"/>
    <w:rsid w:val="00460F27"/>
    <w:rsid w:val="004800C0"/>
    <w:rsid w:val="004872D9"/>
    <w:rsid w:val="004D4195"/>
    <w:rsid w:val="00664CE9"/>
    <w:rsid w:val="0068711C"/>
    <w:rsid w:val="00695677"/>
    <w:rsid w:val="00710990"/>
    <w:rsid w:val="007152B3"/>
    <w:rsid w:val="007229E9"/>
    <w:rsid w:val="00756775"/>
    <w:rsid w:val="00764D71"/>
    <w:rsid w:val="00766F9A"/>
    <w:rsid w:val="00830C73"/>
    <w:rsid w:val="00834E0B"/>
    <w:rsid w:val="00874F5C"/>
    <w:rsid w:val="008B7AD6"/>
    <w:rsid w:val="008D0892"/>
    <w:rsid w:val="008D584C"/>
    <w:rsid w:val="008F235D"/>
    <w:rsid w:val="00905216"/>
    <w:rsid w:val="00935CEF"/>
    <w:rsid w:val="00963D96"/>
    <w:rsid w:val="00966C7C"/>
    <w:rsid w:val="009F033A"/>
    <w:rsid w:val="00A04073"/>
    <w:rsid w:val="00A57DB9"/>
    <w:rsid w:val="00A71633"/>
    <w:rsid w:val="00A77F35"/>
    <w:rsid w:val="00A8606A"/>
    <w:rsid w:val="00A9490B"/>
    <w:rsid w:val="00AA3FA7"/>
    <w:rsid w:val="00AE6414"/>
    <w:rsid w:val="00B32F6C"/>
    <w:rsid w:val="00B339A6"/>
    <w:rsid w:val="00B67F0C"/>
    <w:rsid w:val="00BA31B1"/>
    <w:rsid w:val="00C227D9"/>
    <w:rsid w:val="00C22F07"/>
    <w:rsid w:val="00C75241"/>
    <w:rsid w:val="00CA7672"/>
    <w:rsid w:val="00D04FF9"/>
    <w:rsid w:val="00D25177"/>
    <w:rsid w:val="00D41D86"/>
    <w:rsid w:val="00DA2B6F"/>
    <w:rsid w:val="00E35C35"/>
    <w:rsid w:val="00E95538"/>
    <w:rsid w:val="00EE7607"/>
    <w:rsid w:val="00F94BD4"/>
    <w:rsid w:val="00FB0A36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C269C"/>
  <w15:chartTrackingRefBased/>
  <w15:docId w15:val="{6990F8E9-4AB5-4C2F-BADC-E9A2E615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A2B6F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/>
  <cp:lastModifiedBy>PCODCS</cp:lastModifiedBy>
  <cp:revision>4</cp:revision>
  <cp:lastPrinted>2005-04-20T04:49:00Z</cp:lastPrinted>
  <dcterms:created xsi:type="dcterms:W3CDTF">2025-03-03T04:50:00Z</dcterms:created>
  <dcterms:modified xsi:type="dcterms:W3CDTF">2025-03-03T04:50:00Z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Objective-Id">
    <vt:lpwstr>A43562487</vt:lpwstr>
  </property>
  <property fmtid="{D5CDD505-2E9C-101B-9397-08002B2CF9AE}" pid="6" name="Objective-Title">
    <vt:lpwstr>Attachment 2A - Notifiable Instrument - 2025</vt:lpwstr>
  </property>
  <property fmtid="{D5CDD505-2E9C-101B-9397-08002B2CF9AE}" pid="7" name="Objective-Comment">
    <vt:lpwstr/>
  </property>
  <property fmtid="{D5CDD505-2E9C-101B-9397-08002B2CF9AE}" pid="8" name="Objective-CreationStamp">
    <vt:filetime>2023-09-15T01:49:19Z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2025-03-03T03:34:25Z</vt:filetime>
  </property>
  <property fmtid="{D5CDD505-2E9C-101B-9397-08002B2CF9AE}" pid="12" name="Objective-ModificationStamp">
    <vt:filetime>2025-03-03T04:02:49Z</vt:filetime>
  </property>
  <property fmtid="{D5CDD505-2E9C-101B-9397-08002B2CF9AE}" pid="13" name="Objective-Owner">
    <vt:lpwstr>Kirilly Dickson</vt:lpwstr>
  </property>
  <property fmtid="{D5CDD505-2E9C-101B-9397-08002B2CF9AE}" pid="14" name="Objective-Path">
    <vt:lpwstr>Whole of ACT Government:EPSDD - Environment Planning and Sustainable Development Directorate:07. Ministerial, Cabinet and Government Relations:06. Ministerials:2025 - Ministerial Briefs and Correspondence:Statutory Planning:COMPLETED:25/0007536 Ministerial-Information Brief - Steel - Remuneration Tribunal for the ACT Place Names Advisory Committee:</vt:lpwstr>
  </property>
  <property fmtid="{D5CDD505-2E9C-101B-9397-08002B2CF9AE}" pid="15" name="Objective-Parent">
    <vt:lpwstr>25/0007536 Ministerial-Information Brief - Steel - Remuneration Tribunal for the ACT Place Names Advisory Committee</vt:lpwstr>
  </property>
  <property fmtid="{D5CDD505-2E9C-101B-9397-08002B2CF9AE}" pid="16" name="Objective-State">
    <vt:lpwstr>Published</vt:lpwstr>
  </property>
  <property fmtid="{D5CDD505-2E9C-101B-9397-08002B2CF9AE}" pid="17" name="Objective-Version">
    <vt:lpwstr>10.0</vt:lpwstr>
  </property>
  <property fmtid="{D5CDD505-2E9C-101B-9397-08002B2CF9AE}" pid="18" name="Objective-VersionNumber">
    <vt:r8>12</vt:r8>
  </property>
  <property fmtid="{D5CDD505-2E9C-101B-9397-08002B2CF9AE}" pid="19" name="Objective-VersionComment">
    <vt:lpwstr/>
  </property>
  <property fmtid="{D5CDD505-2E9C-101B-9397-08002B2CF9AE}" pid="20" name="Objective-FileNumber">
    <vt:lpwstr>1-2025/0007536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EPSDD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/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  <property fmtid="{D5CDD505-2E9C-101B-9397-08002B2CF9AE}" pid="34" name="Objective-Status">
    <vt:lpwstr/>
  </property>
  <property fmtid="{D5CDD505-2E9C-101B-9397-08002B2CF9AE}" pid="35" name="MSIP_Label_69af8531-eb46-4968-8cb3-105d2f5ea87e_Enabled">
    <vt:lpwstr>true</vt:lpwstr>
  </property>
  <property fmtid="{D5CDD505-2E9C-101B-9397-08002B2CF9AE}" pid="36" name="MSIP_Label_69af8531-eb46-4968-8cb3-105d2f5ea87e_SetDate">
    <vt:lpwstr>2025-03-03T04:50:03Z</vt:lpwstr>
  </property>
  <property fmtid="{D5CDD505-2E9C-101B-9397-08002B2CF9AE}" pid="37" name="MSIP_Label_69af8531-eb46-4968-8cb3-105d2f5ea87e_Method">
    <vt:lpwstr>Standard</vt:lpwstr>
  </property>
  <property fmtid="{D5CDD505-2E9C-101B-9397-08002B2CF9AE}" pid="38" name="MSIP_Label_69af8531-eb46-4968-8cb3-105d2f5ea87e_Name">
    <vt:lpwstr>Official - No Marking</vt:lpwstr>
  </property>
  <property fmtid="{D5CDD505-2E9C-101B-9397-08002B2CF9AE}" pid="39" name="MSIP_Label_69af8531-eb46-4968-8cb3-105d2f5ea87e_SiteId">
    <vt:lpwstr>b46c1908-0334-4236-b978-585ee88e4199</vt:lpwstr>
  </property>
  <property fmtid="{D5CDD505-2E9C-101B-9397-08002B2CF9AE}" pid="40" name="MSIP_Label_69af8531-eb46-4968-8cb3-105d2f5ea87e_ActionId">
    <vt:lpwstr>75b30092-6515-42c7-8b0b-f7ce92942ef7</vt:lpwstr>
  </property>
  <property fmtid="{D5CDD505-2E9C-101B-9397-08002B2CF9AE}" pid="41" name="MSIP_Label_69af8531-eb46-4968-8cb3-105d2f5ea87e_ContentBits">
    <vt:lpwstr>0</vt:lpwstr>
  </property>
</Properties>
</file>