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0BA8" w14:textId="77777777" w:rsidR="000F1130" w:rsidRPr="00FD3D6F" w:rsidRDefault="000F1130" w:rsidP="000F1130">
      <w:pPr>
        <w:spacing w:before="120"/>
        <w:rPr>
          <w:rFonts w:ascii="Arial" w:hAnsi="Arial" w:cs="Arial"/>
          <w:sz w:val="24"/>
        </w:rPr>
      </w:pPr>
      <w:bookmarkStart w:id="0" w:name="_Hlk187916506"/>
      <w:r w:rsidRPr="00FD3D6F">
        <w:rPr>
          <w:rFonts w:ascii="Arial" w:hAnsi="Arial" w:cs="Arial"/>
          <w:sz w:val="24"/>
        </w:rPr>
        <w:t>Australian Capital Territory</w:t>
      </w:r>
      <w:bookmarkEnd w:id="0"/>
    </w:p>
    <w:p w14:paraId="7AC90784" w14:textId="6343C831" w:rsidR="000F1130" w:rsidRPr="00FD3D6F" w:rsidRDefault="000F1130" w:rsidP="000F1130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E80A63">
        <w:rPr>
          <w:rFonts w:ascii="Arial" w:hAnsi="Arial" w:cs="Arial"/>
          <w:b/>
          <w:bCs/>
          <w:sz w:val="40"/>
          <w:szCs w:val="40"/>
        </w:rPr>
        <w:t xml:space="preserve">Financial Management (Performance Criteria) Amendment 2025 (No </w:t>
      </w:r>
      <w:r>
        <w:rPr>
          <w:rFonts w:ascii="Arial" w:hAnsi="Arial" w:cs="Arial"/>
          <w:b/>
          <w:bCs/>
          <w:sz w:val="40"/>
          <w:szCs w:val="40"/>
        </w:rPr>
        <w:t>2</w:t>
      </w:r>
      <w:r w:rsidRPr="00E80A63">
        <w:rPr>
          <w:rFonts w:ascii="Arial" w:hAnsi="Arial" w:cs="Arial"/>
          <w:b/>
          <w:bCs/>
          <w:sz w:val="40"/>
          <w:szCs w:val="40"/>
        </w:rPr>
        <w:t>)*</w:t>
      </w:r>
    </w:p>
    <w:p w14:paraId="0D324AD8" w14:textId="714599E4" w:rsidR="000F1130" w:rsidRDefault="000F1130" w:rsidP="000F1130">
      <w:pPr>
        <w:spacing w:before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Notifiable </w:t>
      </w:r>
      <w:r w:rsidRPr="00FD3D6F">
        <w:rPr>
          <w:rFonts w:ascii="Arial" w:hAnsi="Arial" w:cs="Arial"/>
          <w:b/>
          <w:bCs/>
          <w:sz w:val="24"/>
        </w:rPr>
        <w:t xml:space="preserve">instrument </w:t>
      </w:r>
      <w:r>
        <w:rPr>
          <w:rFonts w:ascii="Arial" w:hAnsi="Arial" w:cs="Arial"/>
          <w:b/>
          <w:bCs/>
          <w:sz w:val="24"/>
        </w:rPr>
        <w:t>N</w:t>
      </w:r>
      <w:r w:rsidRPr="00FD3D6F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>2025</w:t>
      </w:r>
      <w:r w:rsidRPr="00FD3D6F">
        <w:rPr>
          <w:rFonts w:ascii="Arial" w:hAnsi="Arial" w:cs="Arial"/>
          <w:b/>
          <w:bCs/>
          <w:sz w:val="24"/>
        </w:rPr>
        <w:t>–</w:t>
      </w:r>
      <w:r>
        <w:rPr>
          <w:rFonts w:ascii="Arial" w:hAnsi="Arial" w:cs="Arial"/>
          <w:b/>
          <w:bCs/>
          <w:sz w:val="24"/>
        </w:rPr>
        <w:t>162</w:t>
      </w:r>
    </w:p>
    <w:p w14:paraId="5D6DE58F" w14:textId="77777777" w:rsidR="000F1130" w:rsidRPr="00FD3D6F" w:rsidRDefault="000F1130" w:rsidP="000F1130">
      <w:pPr>
        <w:spacing w:before="240"/>
        <w:rPr>
          <w:rFonts w:ascii="Arial" w:hAnsi="Arial" w:cs="Arial"/>
          <w:b/>
          <w:bCs/>
          <w:sz w:val="24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UNDER SECTION 19D OF THE </w:t>
      </w:r>
      <w: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FINANCIAL MANAGEMENT ACT 1996</w:t>
      </w:r>
    </w:p>
    <w:p w14:paraId="1507F666" w14:textId="44DE90D2" w:rsidR="00355285" w:rsidRPr="000F2E42" w:rsidRDefault="00355285" w:rsidP="000F1130">
      <w:pPr>
        <w:pBdr>
          <w:bottom w:val="single" w:sz="6" w:space="1" w:color="auto"/>
        </w:pBdr>
        <w:outlineLvl w:val="0"/>
        <w:rPr>
          <w:rFonts w:ascii="Calibri" w:hAnsi="Calibri" w:cs="Calibri"/>
          <w:b/>
          <w:bCs/>
          <w:sz w:val="32"/>
          <w:szCs w:val="32"/>
        </w:rPr>
      </w:pPr>
    </w:p>
    <w:p w14:paraId="6D846385" w14:textId="77777777" w:rsidR="00FD2359" w:rsidRPr="004714C7" w:rsidRDefault="00FD2359">
      <w:pPr>
        <w:rPr>
          <w:rFonts w:ascii="Calibri" w:hAnsi="Calibri" w:cs="Calibri"/>
          <w:sz w:val="24"/>
        </w:rPr>
      </w:pPr>
    </w:p>
    <w:p w14:paraId="0AEAD590" w14:textId="77777777" w:rsidR="00FD2359" w:rsidRPr="003B3B27" w:rsidRDefault="00FD2359">
      <w:pPr>
        <w:jc w:val="both"/>
        <w:rPr>
          <w:rFonts w:ascii="Calibri" w:hAnsi="Calibri" w:cs="Calibri"/>
          <w:sz w:val="24"/>
        </w:rPr>
      </w:pPr>
      <w:r w:rsidRPr="003B3B27">
        <w:rPr>
          <w:rFonts w:ascii="Calibri" w:hAnsi="Calibri" w:cs="Calibri"/>
          <w:sz w:val="24"/>
        </w:rPr>
        <w:t xml:space="preserve">This statement outlines the reasons for </w:t>
      </w:r>
      <w:r w:rsidR="003B3B27" w:rsidRPr="003B3B27">
        <w:rPr>
          <w:rFonts w:ascii="Calibri" w:hAnsi="Calibri" w:cs="Calibri"/>
          <w:sz w:val="24"/>
        </w:rPr>
        <w:t>amending performance criteria under Section 19D</w:t>
      </w:r>
      <w:r w:rsidRPr="003B3B27">
        <w:rPr>
          <w:rFonts w:ascii="Calibri" w:hAnsi="Calibri" w:cs="Calibri"/>
          <w:sz w:val="24"/>
        </w:rPr>
        <w:t xml:space="preserve"> of the </w:t>
      </w:r>
      <w:r w:rsidRPr="003B3B27">
        <w:rPr>
          <w:rFonts w:ascii="Calibri" w:hAnsi="Calibri" w:cs="Calibri"/>
          <w:i/>
          <w:sz w:val="24"/>
        </w:rPr>
        <w:t>Financial Management Act 1996</w:t>
      </w:r>
      <w:r w:rsidRPr="003B3B27">
        <w:rPr>
          <w:rFonts w:ascii="Calibri" w:hAnsi="Calibri" w:cs="Calibri"/>
          <w:sz w:val="24"/>
        </w:rPr>
        <w:t xml:space="preserve"> (FMA).</w:t>
      </w:r>
    </w:p>
    <w:p w14:paraId="6E0FACAF" w14:textId="77777777" w:rsidR="00FD2359" w:rsidRPr="003B3B27" w:rsidRDefault="00FD2359">
      <w:pPr>
        <w:jc w:val="both"/>
        <w:rPr>
          <w:rFonts w:ascii="Calibri" w:hAnsi="Calibri" w:cs="Calibri"/>
          <w:sz w:val="24"/>
        </w:rPr>
      </w:pPr>
    </w:p>
    <w:p w14:paraId="6A609854" w14:textId="39DB91F3" w:rsidR="00FD2359" w:rsidRDefault="003B3B27">
      <w:pPr>
        <w:jc w:val="both"/>
        <w:rPr>
          <w:rFonts w:ascii="Calibri" w:hAnsi="Calibri" w:cs="Calibri"/>
          <w:sz w:val="24"/>
        </w:rPr>
      </w:pPr>
      <w:r w:rsidRPr="003B3B27">
        <w:rPr>
          <w:rFonts w:ascii="Calibri" w:hAnsi="Calibri" w:cs="Calibri"/>
          <w:sz w:val="24"/>
        </w:rPr>
        <w:t>Section 19D</w:t>
      </w:r>
      <w:r w:rsidR="00FD2359" w:rsidRPr="003B3B27">
        <w:rPr>
          <w:rFonts w:ascii="Calibri" w:hAnsi="Calibri" w:cs="Calibri"/>
          <w:sz w:val="24"/>
        </w:rPr>
        <w:t xml:space="preserve"> of the FMA allows for the amendment </w:t>
      </w:r>
      <w:r w:rsidR="00D41511">
        <w:rPr>
          <w:rFonts w:ascii="Calibri" w:hAnsi="Calibri" w:cs="Calibri"/>
          <w:sz w:val="24"/>
        </w:rPr>
        <w:t xml:space="preserve">by notifiable instrument </w:t>
      </w:r>
      <w:r w:rsidR="00FD2359" w:rsidRPr="003B3B27">
        <w:rPr>
          <w:rFonts w:ascii="Calibri" w:hAnsi="Calibri" w:cs="Calibri"/>
          <w:sz w:val="24"/>
        </w:rPr>
        <w:t xml:space="preserve">of </w:t>
      </w:r>
      <w:r w:rsidRPr="003B3B27">
        <w:rPr>
          <w:rFonts w:ascii="Calibri" w:hAnsi="Calibri" w:cs="Calibri"/>
          <w:sz w:val="24"/>
        </w:rPr>
        <w:t>performance criteria</w:t>
      </w:r>
      <w:r w:rsidR="009871EF">
        <w:rPr>
          <w:rFonts w:ascii="Calibri" w:hAnsi="Calibri" w:cs="Calibri"/>
          <w:sz w:val="24"/>
        </w:rPr>
        <w:t xml:space="preserve"> for </w:t>
      </w:r>
      <w:r w:rsidR="00AB62E8">
        <w:rPr>
          <w:rFonts w:ascii="Calibri" w:hAnsi="Calibri" w:cs="Calibri"/>
          <w:sz w:val="24"/>
        </w:rPr>
        <w:t>Office of the Work Health and Safety Commissioner (</w:t>
      </w:r>
      <w:r w:rsidR="00B52140">
        <w:rPr>
          <w:rFonts w:ascii="Calibri" w:hAnsi="Calibri" w:cs="Calibri"/>
          <w:sz w:val="24"/>
        </w:rPr>
        <w:t>WorkSafe ACT</w:t>
      </w:r>
      <w:r w:rsidR="00AB62E8">
        <w:rPr>
          <w:rFonts w:ascii="Calibri" w:hAnsi="Calibri" w:cs="Calibri"/>
          <w:sz w:val="24"/>
        </w:rPr>
        <w:t>)</w:t>
      </w:r>
      <w:r w:rsidR="003103F9" w:rsidRPr="003B3B27">
        <w:rPr>
          <w:rFonts w:ascii="Calibri" w:hAnsi="Calibri" w:cs="Calibri"/>
          <w:sz w:val="24"/>
        </w:rPr>
        <w:t>.</w:t>
      </w:r>
      <w:r w:rsidR="003603E4">
        <w:rPr>
          <w:rFonts w:ascii="Calibri" w:hAnsi="Calibri" w:cs="Calibri"/>
          <w:sz w:val="24"/>
        </w:rPr>
        <w:t xml:space="preserve"> </w:t>
      </w:r>
      <w:r w:rsidR="00C9244A">
        <w:rPr>
          <w:rFonts w:ascii="Calibri" w:hAnsi="Calibri" w:cs="Calibri"/>
          <w:sz w:val="24"/>
        </w:rPr>
        <w:t>The performance criteria may be amended where the responsible Minister and Treasurer are satisfied that other performance criteria should be adopted for the provision of outputs by the Directorate.</w:t>
      </w:r>
    </w:p>
    <w:p w14:paraId="16C0B7F1" w14:textId="77777777" w:rsidR="003603E4" w:rsidRDefault="003603E4">
      <w:pPr>
        <w:jc w:val="both"/>
        <w:rPr>
          <w:rFonts w:ascii="Calibri" w:hAnsi="Calibri" w:cs="Calibri"/>
          <w:sz w:val="24"/>
        </w:rPr>
      </w:pPr>
    </w:p>
    <w:p w14:paraId="7A5D61D4" w14:textId="77777777" w:rsidR="00D9143F" w:rsidRPr="00C9318B" w:rsidRDefault="00D9143F" w:rsidP="00D9143F">
      <w:pPr>
        <w:rPr>
          <w:rFonts w:ascii="Calibri" w:hAnsi="Calibri" w:cs="Calibri"/>
          <w:b/>
          <w:sz w:val="24"/>
        </w:rPr>
      </w:pPr>
      <w:r w:rsidRPr="00C9318B">
        <w:rPr>
          <w:rFonts w:ascii="Calibri" w:hAnsi="Calibri" w:cs="Calibri"/>
          <w:b/>
          <w:sz w:val="24"/>
        </w:rPr>
        <w:t>Instrument Amendment:</w:t>
      </w:r>
    </w:p>
    <w:p w14:paraId="6B7EF494" w14:textId="77777777" w:rsidR="00D9143F" w:rsidRPr="00C90A79" w:rsidRDefault="00D9143F" w:rsidP="00D9143F">
      <w:pPr>
        <w:rPr>
          <w:rFonts w:ascii="Calibri" w:hAnsi="Calibri" w:cs="Calibr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2726"/>
        <w:gridCol w:w="1696"/>
        <w:gridCol w:w="1539"/>
        <w:gridCol w:w="1406"/>
      </w:tblGrid>
      <w:tr w:rsidR="00C24174" w:rsidRPr="008D62BD" w14:paraId="749385A8" w14:textId="77777777" w:rsidTr="00DD1AB5">
        <w:trPr>
          <w:trHeight w:val="271"/>
        </w:trPr>
        <w:tc>
          <w:tcPr>
            <w:tcW w:w="1418" w:type="dxa"/>
            <w:vMerge w:val="restart"/>
            <w:shd w:val="pct25" w:color="auto" w:fill="auto"/>
          </w:tcPr>
          <w:p w14:paraId="0079C7A2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62BD">
              <w:rPr>
                <w:rFonts w:ascii="Calibri" w:hAnsi="Calibri" w:cs="Calibri"/>
                <w:b/>
                <w:sz w:val="18"/>
                <w:szCs w:val="18"/>
              </w:rPr>
              <w:t>Output Class and Output</w:t>
            </w:r>
          </w:p>
        </w:tc>
        <w:tc>
          <w:tcPr>
            <w:tcW w:w="2774" w:type="dxa"/>
            <w:vMerge w:val="restart"/>
            <w:shd w:val="pct25" w:color="auto" w:fill="auto"/>
          </w:tcPr>
          <w:p w14:paraId="5AEC3AB0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Description of P</w:t>
            </w:r>
            <w:r w:rsidRPr="008D62BD">
              <w:rPr>
                <w:rFonts w:ascii="Calibri" w:hAnsi="Calibri" w:cs="Calibri"/>
                <w:b/>
                <w:sz w:val="18"/>
                <w:szCs w:val="18"/>
              </w:rPr>
              <w:t>erformance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C</w:t>
            </w:r>
            <w:r w:rsidRPr="008D62BD">
              <w:rPr>
                <w:rFonts w:ascii="Calibri" w:hAnsi="Calibri" w:cs="Calibri"/>
                <w:b/>
                <w:sz w:val="18"/>
                <w:szCs w:val="18"/>
              </w:rPr>
              <w:t>riteria</w:t>
            </w:r>
          </w:p>
        </w:tc>
        <w:tc>
          <w:tcPr>
            <w:tcW w:w="3287" w:type="dxa"/>
            <w:gridSpan w:val="2"/>
            <w:shd w:val="pct25" w:color="auto" w:fill="auto"/>
          </w:tcPr>
          <w:p w14:paraId="33944B8E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Targets</w:t>
            </w:r>
          </w:p>
        </w:tc>
        <w:tc>
          <w:tcPr>
            <w:tcW w:w="1418" w:type="dxa"/>
            <w:vMerge w:val="restart"/>
            <w:shd w:val="pct25" w:color="auto" w:fill="auto"/>
          </w:tcPr>
          <w:p w14:paraId="5B234ED1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62BD">
              <w:rPr>
                <w:rFonts w:ascii="Calibri" w:hAnsi="Calibri" w:cs="Calibri"/>
                <w:b/>
                <w:sz w:val="18"/>
                <w:szCs w:val="18"/>
              </w:rPr>
              <w:t>Action</w:t>
            </w:r>
          </w:p>
        </w:tc>
      </w:tr>
      <w:tr w:rsidR="00C24174" w:rsidRPr="008D62BD" w14:paraId="0FF6AB29" w14:textId="77777777" w:rsidTr="00DD1AB5">
        <w:trPr>
          <w:trHeight w:val="434"/>
        </w:trPr>
        <w:tc>
          <w:tcPr>
            <w:tcW w:w="1418" w:type="dxa"/>
            <w:vMerge/>
            <w:shd w:val="pct25" w:color="auto" w:fill="auto"/>
          </w:tcPr>
          <w:p w14:paraId="5A7B8726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74" w:type="dxa"/>
            <w:vMerge/>
            <w:shd w:val="pct25" w:color="auto" w:fill="auto"/>
          </w:tcPr>
          <w:p w14:paraId="4FFCA63A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pct25" w:color="auto" w:fill="auto"/>
          </w:tcPr>
          <w:p w14:paraId="2A81EEB7" w14:textId="3786C403" w:rsidR="00DD1AB5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20</w:t>
            </w:r>
            <w:r w:rsidR="00F30323">
              <w:rPr>
                <w:rFonts w:ascii="Calibri" w:hAnsi="Calibri" w:cs="Calibri"/>
                <w:b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="00F30323">
              <w:rPr>
                <w:rFonts w:ascii="Calibri" w:hAnsi="Calibri" w:cs="Calibri"/>
                <w:b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Budget papers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5" w:color="auto" w:fill="auto"/>
          </w:tcPr>
          <w:p w14:paraId="55AFAEAE" w14:textId="5A97466D" w:rsidR="00DD1AB5" w:rsidRDefault="00DD1AB5" w:rsidP="00880343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20</w:t>
            </w:r>
            <w:r w:rsidR="00F30323">
              <w:rPr>
                <w:rFonts w:ascii="Calibri" w:hAnsi="Calibri" w:cs="Calibri"/>
                <w:b/>
                <w:sz w:val="18"/>
                <w:szCs w:val="18"/>
              </w:rPr>
              <w:t>24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="00F30323">
              <w:rPr>
                <w:rFonts w:ascii="Calibri" w:hAnsi="Calibri" w:cs="Calibri"/>
                <w:b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Amended target</w:t>
            </w:r>
          </w:p>
        </w:tc>
        <w:tc>
          <w:tcPr>
            <w:tcW w:w="1418" w:type="dxa"/>
            <w:vMerge/>
            <w:shd w:val="pct25" w:color="auto" w:fill="auto"/>
          </w:tcPr>
          <w:p w14:paraId="4FCD3EFF" w14:textId="77777777" w:rsidR="00DD1AB5" w:rsidRPr="008D62BD" w:rsidRDefault="00DD1AB5" w:rsidP="008D62BD">
            <w:pPr>
              <w:pStyle w:val="BodyText2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24174" w14:paraId="2CEC04CB" w14:textId="77777777" w:rsidTr="00DD1AB5">
        <w:trPr>
          <w:trHeight w:val="2407"/>
        </w:trPr>
        <w:tc>
          <w:tcPr>
            <w:tcW w:w="1418" w:type="dxa"/>
          </w:tcPr>
          <w:p w14:paraId="0510F44D" w14:textId="60727D4F" w:rsidR="00DD1AB5" w:rsidRPr="005B1BBB" w:rsidRDefault="00345E9C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Output Class 1: WorkSafe ACT Output 1.1: Regulatory Compliance and Enforcement. Accountability Indicators</w:t>
            </w:r>
          </w:p>
        </w:tc>
        <w:tc>
          <w:tcPr>
            <w:tcW w:w="2774" w:type="dxa"/>
          </w:tcPr>
          <w:p w14:paraId="6940BE8D" w14:textId="09AEFF10" w:rsidR="00DD1AB5" w:rsidRDefault="00C24174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Accountability indicator </w:t>
            </w:r>
            <w:r w:rsidR="000F7241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="000F7241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F30323">
              <w:rPr>
                <w:rFonts w:ascii="Calibri" w:hAnsi="Calibri" w:cs="Calibri"/>
                <w:sz w:val="18"/>
                <w:szCs w:val="18"/>
              </w:rPr>
              <w:t xml:space="preserve">Improvement notices finalised within 7 days of the end of the compliance period. </w:t>
            </w:r>
          </w:p>
          <w:p w14:paraId="668E04D3" w14:textId="77777777" w:rsidR="00F30323" w:rsidRDefault="00F30323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7678EE7C" w14:textId="651C8E6F" w:rsidR="00F30323" w:rsidRPr="005B1BBB" w:rsidRDefault="00F30323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Propose the indicator be amended to “Improvement notices </w:t>
            </w:r>
            <w:r w:rsidRPr="00B02DF1">
              <w:rPr>
                <w:rFonts w:ascii="Calibri" w:hAnsi="Calibri" w:cs="Calibri"/>
                <w:b/>
                <w:bCs/>
                <w:sz w:val="18"/>
                <w:szCs w:val="18"/>
              </w:rPr>
              <w:t>reviewed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with </w:t>
            </w:r>
            <w:r w:rsidRPr="00B02DF1">
              <w:rPr>
                <w:rFonts w:ascii="Calibri" w:hAnsi="Calibri" w:cs="Calibri"/>
                <w:b/>
                <w:bCs/>
                <w:sz w:val="18"/>
                <w:szCs w:val="18"/>
              </w:rPr>
              <w:t>14 days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of the end of the compliance period”.</w:t>
            </w:r>
          </w:p>
        </w:tc>
        <w:tc>
          <w:tcPr>
            <w:tcW w:w="1728" w:type="dxa"/>
            <w:shd w:val="clear" w:color="auto" w:fill="auto"/>
          </w:tcPr>
          <w:p w14:paraId="1861F3F3" w14:textId="05106DA9" w:rsidR="00DD1AB5" w:rsidRPr="005B1BBB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95%</w:t>
            </w:r>
          </w:p>
        </w:tc>
        <w:tc>
          <w:tcPr>
            <w:tcW w:w="1559" w:type="dxa"/>
            <w:shd w:val="clear" w:color="auto" w:fill="auto"/>
          </w:tcPr>
          <w:p w14:paraId="00D87025" w14:textId="787824F1" w:rsidR="00DD1AB5" w:rsidRPr="005B1BBB" w:rsidRDefault="00F30323" w:rsidP="003622A0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90%</w:t>
            </w:r>
          </w:p>
        </w:tc>
        <w:tc>
          <w:tcPr>
            <w:tcW w:w="1418" w:type="dxa"/>
          </w:tcPr>
          <w:p w14:paraId="0A52FE22" w14:textId="2F830923" w:rsidR="00DD1AB5" w:rsidRPr="008D62BD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Amend indicator description and target</w:t>
            </w:r>
          </w:p>
        </w:tc>
      </w:tr>
      <w:tr w:rsidR="00C24174" w14:paraId="4B2D23FF" w14:textId="77777777" w:rsidTr="00DD1AB5">
        <w:trPr>
          <w:trHeight w:val="2407"/>
        </w:trPr>
        <w:tc>
          <w:tcPr>
            <w:tcW w:w="1418" w:type="dxa"/>
          </w:tcPr>
          <w:p w14:paraId="319B9CF0" w14:textId="27B3FE23" w:rsidR="00F30323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Output Class 1: WorkSafe ACT Output 1.1: Regulatory Compliance and Enforcement. Accountability Indicators</w:t>
            </w:r>
          </w:p>
        </w:tc>
        <w:tc>
          <w:tcPr>
            <w:tcW w:w="2774" w:type="dxa"/>
          </w:tcPr>
          <w:p w14:paraId="620CC4B8" w14:textId="29E37E39" w:rsidR="00F30323" w:rsidRDefault="00C24174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Accountability indicator </w:t>
            </w:r>
            <w:r w:rsidR="000F7241">
              <w:rPr>
                <w:rFonts w:ascii="Calibri" w:hAnsi="Calibri" w:cs="Calibri"/>
                <w:sz w:val="18"/>
                <w:szCs w:val="18"/>
              </w:rPr>
              <w:t>(c)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F30323">
              <w:rPr>
                <w:rFonts w:ascii="Calibri" w:hAnsi="Calibri" w:cs="Calibri"/>
                <w:sz w:val="18"/>
                <w:szCs w:val="18"/>
              </w:rPr>
              <w:t>Notifiable incident notifications reviewed and actioned with 24 hours of receipt.</w:t>
            </w:r>
          </w:p>
          <w:p w14:paraId="3B6E23C1" w14:textId="77777777" w:rsidR="00F30323" w:rsidRDefault="00F30323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9E07143" w14:textId="48B0B2A8" w:rsidR="00F30323" w:rsidRDefault="00F30323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Propose the indicator be amended to “Notifiable incident notifications </w:t>
            </w:r>
            <w:r w:rsidRPr="00B02DF1">
              <w:rPr>
                <w:rFonts w:ascii="Calibri" w:hAnsi="Calibri" w:cs="Calibri"/>
                <w:b/>
                <w:bCs/>
                <w:sz w:val="18"/>
                <w:szCs w:val="18"/>
              </w:rPr>
              <w:t>triaged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within 24 hours of receipt”.</w:t>
            </w:r>
          </w:p>
        </w:tc>
        <w:tc>
          <w:tcPr>
            <w:tcW w:w="1728" w:type="dxa"/>
            <w:shd w:val="clear" w:color="auto" w:fill="auto"/>
          </w:tcPr>
          <w:p w14:paraId="7265FB84" w14:textId="53C4DAC4" w:rsidR="00F30323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4D6EF189" w14:textId="64F0FE55" w:rsidR="00F30323" w:rsidRDefault="00F30323" w:rsidP="003622A0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1418" w:type="dxa"/>
          </w:tcPr>
          <w:p w14:paraId="3434F4E7" w14:textId="75034D2E" w:rsidR="00F30323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Amend indicator description</w:t>
            </w:r>
          </w:p>
        </w:tc>
      </w:tr>
      <w:tr w:rsidR="00C24174" w14:paraId="67C3D277" w14:textId="77777777" w:rsidTr="00DD1AB5">
        <w:trPr>
          <w:trHeight w:val="2407"/>
        </w:trPr>
        <w:tc>
          <w:tcPr>
            <w:tcW w:w="1418" w:type="dxa"/>
          </w:tcPr>
          <w:p w14:paraId="0730A593" w14:textId="0FEA1739" w:rsidR="00F30323" w:rsidRDefault="00F30323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Output Class 1: WorkSafe ACT Output 1.1: Regulatory Compliance and Enforcement. Accountability Indicators</w:t>
            </w:r>
          </w:p>
        </w:tc>
        <w:tc>
          <w:tcPr>
            <w:tcW w:w="2774" w:type="dxa"/>
          </w:tcPr>
          <w:p w14:paraId="704C9E04" w14:textId="64B71ABE" w:rsidR="00F30323" w:rsidRDefault="00C24174" w:rsidP="00F30323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Accountability indicator </w:t>
            </w:r>
            <w:r w:rsidR="000F7241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g</w:t>
            </w:r>
            <w:r w:rsidR="000F7241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F30323">
              <w:rPr>
                <w:rFonts w:ascii="Calibri" w:hAnsi="Calibri" w:cs="Calibri"/>
                <w:sz w:val="18"/>
                <w:szCs w:val="18"/>
              </w:rPr>
              <w:t xml:space="preserve">Investigations commenced within 14 days of notification of incident. </w:t>
            </w:r>
          </w:p>
        </w:tc>
        <w:tc>
          <w:tcPr>
            <w:tcW w:w="1728" w:type="dxa"/>
            <w:shd w:val="clear" w:color="auto" w:fill="auto"/>
          </w:tcPr>
          <w:p w14:paraId="4656E056" w14:textId="08E60609" w:rsidR="00F30323" w:rsidRDefault="000B2CA2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0DE917D7" w14:textId="5F58416E" w:rsidR="00F30323" w:rsidRDefault="000B2CA2" w:rsidP="003622A0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N/A</w:t>
            </w:r>
          </w:p>
        </w:tc>
        <w:tc>
          <w:tcPr>
            <w:tcW w:w="1418" w:type="dxa"/>
          </w:tcPr>
          <w:p w14:paraId="4244495B" w14:textId="5A28B0EA" w:rsidR="00F30323" w:rsidRDefault="000B2CA2" w:rsidP="005B1BBB">
            <w:pPr>
              <w:pStyle w:val="BodyText2"/>
              <w:ind w:lef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Remove – indicator is obsolete</w:t>
            </w:r>
          </w:p>
        </w:tc>
      </w:tr>
    </w:tbl>
    <w:p w14:paraId="7580A5B0" w14:textId="77777777" w:rsidR="00225FA5" w:rsidRDefault="00225FA5">
      <w:pPr>
        <w:pStyle w:val="BodyText2"/>
        <w:ind w:left="0"/>
        <w:rPr>
          <w:rFonts w:ascii="Calibri" w:hAnsi="Calibri" w:cs="Calibri"/>
        </w:rPr>
      </w:pPr>
    </w:p>
    <w:p w14:paraId="63615380" w14:textId="77777777" w:rsidR="000B708A" w:rsidRDefault="000B708A">
      <w:pPr>
        <w:pStyle w:val="BodyText2"/>
        <w:ind w:left="0"/>
        <w:rPr>
          <w:rFonts w:ascii="Calibri" w:hAnsi="Calibri" w:cs="Calibri"/>
        </w:rPr>
      </w:pPr>
    </w:p>
    <w:p w14:paraId="27CD2FCA" w14:textId="77777777" w:rsidR="000B708A" w:rsidRPr="00C9318B" w:rsidRDefault="000B708A" w:rsidP="000B708A">
      <w:pPr>
        <w:rPr>
          <w:rFonts w:asciiTheme="minorHAnsi" w:hAnsiTheme="minorHAnsi"/>
          <w:b/>
          <w:sz w:val="24"/>
          <w:szCs w:val="24"/>
        </w:rPr>
      </w:pPr>
      <w:r w:rsidRPr="00C9318B">
        <w:rPr>
          <w:rFonts w:asciiTheme="minorHAnsi" w:hAnsiTheme="minorHAnsi"/>
          <w:b/>
          <w:sz w:val="24"/>
          <w:szCs w:val="24"/>
        </w:rPr>
        <w:t>Statement of Reasons:</w:t>
      </w:r>
    </w:p>
    <w:p w14:paraId="05AF2D81" w14:textId="11F30780" w:rsidR="00225FA5" w:rsidRPr="009871EF" w:rsidRDefault="00225FA5" w:rsidP="00225FA5">
      <w:pPr>
        <w:pStyle w:val="BodyText2"/>
        <w:ind w:left="0"/>
        <w:rPr>
          <w:rFonts w:ascii="Calibri" w:hAnsi="Calibri" w:cs="Calibri"/>
        </w:rPr>
      </w:pPr>
      <w:r w:rsidRPr="009871EF">
        <w:rPr>
          <w:rFonts w:ascii="Calibri" w:hAnsi="Calibri" w:cs="Calibri"/>
        </w:rPr>
        <w:t>This Instrument</w:t>
      </w:r>
      <w:r w:rsidR="001E1758">
        <w:rPr>
          <w:rFonts w:ascii="Calibri" w:hAnsi="Calibri" w:cs="Calibri"/>
        </w:rPr>
        <w:t xml:space="preserve"> amend</w:t>
      </w:r>
      <w:r w:rsidR="00534052">
        <w:rPr>
          <w:rFonts w:ascii="Calibri" w:hAnsi="Calibri" w:cs="Calibri"/>
        </w:rPr>
        <w:t>s</w:t>
      </w:r>
      <w:r w:rsidR="001E1758">
        <w:rPr>
          <w:rFonts w:ascii="Calibri" w:hAnsi="Calibri" w:cs="Calibri"/>
        </w:rPr>
        <w:t xml:space="preserve"> the description of </w:t>
      </w:r>
      <w:r w:rsidR="00534052">
        <w:rPr>
          <w:rFonts w:ascii="Calibri" w:hAnsi="Calibri" w:cs="Calibri"/>
        </w:rPr>
        <w:t>A</w:t>
      </w:r>
      <w:r w:rsidR="00C24174">
        <w:rPr>
          <w:rFonts w:ascii="Calibri" w:hAnsi="Calibri" w:cs="Calibri"/>
        </w:rPr>
        <w:t xml:space="preserve">ccountability </w:t>
      </w:r>
      <w:r w:rsidR="00534052">
        <w:rPr>
          <w:rFonts w:ascii="Calibri" w:hAnsi="Calibri" w:cs="Calibri"/>
        </w:rPr>
        <w:t>I</w:t>
      </w:r>
      <w:r w:rsidR="00C24174">
        <w:rPr>
          <w:rFonts w:ascii="Calibri" w:hAnsi="Calibri" w:cs="Calibri"/>
        </w:rPr>
        <w:t xml:space="preserve">ndicators </w:t>
      </w:r>
      <w:r w:rsidR="00534052">
        <w:rPr>
          <w:rFonts w:ascii="Calibri" w:hAnsi="Calibri" w:cs="Calibri"/>
        </w:rPr>
        <w:t>(</w:t>
      </w:r>
      <w:r w:rsidR="00C24174">
        <w:rPr>
          <w:rFonts w:ascii="Calibri" w:hAnsi="Calibri" w:cs="Calibri"/>
        </w:rPr>
        <w:t>a</w:t>
      </w:r>
      <w:r w:rsidR="00534052">
        <w:rPr>
          <w:rFonts w:ascii="Calibri" w:hAnsi="Calibri" w:cs="Calibri"/>
        </w:rPr>
        <w:t>)</w:t>
      </w:r>
      <w:r w:rsidR="00C24174">
        <w:rPr>
          <w:rFonts w:ascii="Calibri" w:hAnsi="Calibri" w:cs="Calibri"/>
        </w:rPr>
        <w:t xml:space="preserve"> and </w:t>
      </w:r>
      <w:r w:rsidR="00534052">
        <w:rPr>
          <w:rFonts w:ascii="Calibri" w:hAnsi="Calibri" w:cs="Calibri"/>
        </w:rPr>
        <w:t>(</w:t>
      </w:r>
      <w:r w:rsidR="00C24174">
        <w:rPr>
          <w:rFonts w:ascii="Calibri" w:hAnsi="Calibri" w:cs="Calibri"/>
        </w:rPr>
        <w:t>c</w:t>
      </w:r>
      <w:r w:rsidR="00534052">
        <w:rPr>
          <w:rFonts w:ascii="Calibri" w:hAnsi="Calibri" w:cs="Calibri"/>
        </w:rPr>
        <w:t>)</w:t>
      </w:r>
      <w:r w:rsidR="001E1758">
        <w:rPr>
          <w:rFonts w:ascii="Calibri" w:hAnsi="Calibri" w:cs="Calibri"/>
        </w:rPr>
        <w:t xml:space="preserve"> </w:t>
      </w:r>
      <w:r w:rsidR="00C24174">
        <w:rPr>
          <w:rFonts w:ascii="Calibri" w:hAnsi="Calibri" w:cs="Calibri"/>
        </w:rPr>
        <w:t>following a review of the performance criteria. Changes are proposed to better align with WorkSafe ACT’s strategic objectives</w:t>
      </w:r>
      <w:r w:rsidR="00534052">
        <w:rPr>
          <w:rFonts w:ascii="Calibri" w:hAnsi="Calibri" w:cs="Calibri"/>
        </w:rPr>
        <w:t xml:space="preserve"> and provide more accurate reporting</w:t>
      </w:r>
      <w:r w:rsidR="00C24174">
        <w:rPr>
          <w:rFonts w:ascii="Calibri" w:hAnsi="Calibri" w:cs="Calibri"/>
        </w:rPr>
        <w:t xml:space="preserve">. It is also proposed </w:t>
      </w:r>
      <w:r w:rsidR="00534052">
        <w:rPr>
          <w:rFonts w:ascii="Calibri" w:hAnsi="Calibri" w:cs="Calibri"/>
        </w:rPr>
        <w:t>A</w:t>
      </w:r>
      <w:r w:rsidR="00C24174">
        <w:rPr>
          <w:rFonts w:ascii="Calibri" w:hAnsi="Calibri" w:cs="Calibri"/>
        </w:rPr>
        <w:t xml:space="preserve">ccountability </w:t>
      </w:r>
      <w:r w:rsidR="00534052">
        <w:rPr>
          <w:rFonts w:ascii="Calibri" w:hAnsi="Calibri" w:cs="Calibri"/>
        </w:rPr>
        <w:t>I</w:t>
      </w:r>
      <w:r w:rsidR="00C24174">
        <w:rPr>
          <w:rFonts w:ascii="Calibri" w:hAnsi="Calibri" w:cs="Calibri"/>
        </w:rPr>
        <w:t xml:space="preserve">ndicator </w:t>
      </w:r>
      <w:r w:rsidR="00534052">
        <w:rPr>
          <w:rFonts w:ascii="Calibri" w:hAnsi="Calibri" w:cs="Calibri"/>
        </w:rPr>
        <w:t>(</w:t>
      </w:r>
      <w:r w:rsidR="00C24174">
        <w:rPr>
          <w:rFonts w:ascii="Calibri" w:hAnsi="Calibri" w:cs="Calibri"/>
        </w:rPr>
        <w:t>g</w:t>
      </w:r>
      <w:r w:rsidR="00534052">
        <w:rPr>
          <w:rFonts w:ascii="Calibri" w:hAnsi="Calibri" w:cs="Calibri"/>
        </w:rPr>
        <w:t>)</w:t>
      </w:r>
      <w:r w:rsidR="00C24174">
        <w:rPr>
          <w:rFonts w:ascii="Calibri" w:hAnsi="Calibri" w:cs="Calibri"/>
        </w:rPr>
        <w:t xml:space="preserve"> is removed</w:t>
      </w:r>
      <w:r w:rsidR="00A15BC6">
        <w:rPr>
          <w:rFonts w:ascii="Calibri" w:hAnsi="Calibri" w:cs="Calibri"/>
        </w:rPr>
        <w:t xml:space="preserve"> to reduce duplication</w:t>
      </w:r>
      <w:r w:rsidR="00534052">
        <w:rPr>
          <w:rFonts w:ascii="Calibri" w:hAnsi="Calibri" w:cs="Calibri"/>
        </w:rPr>
        <w:t>,</w:t>
      </w:r>
      <w:r w:rsidR="00A15BC6">
        <w:rPr>
          <w:rFonts w:ascii="Calibri" w:hAnsi="Calibri" w:cs="Calibri"/>
        </w:rPr>
        <w:t xml:space="preserve"> as </w:t>
      </w:r>
      <w:r w:rsidR="00C24174" w:rsidRPr="00A15BC6">
        <w:rPr>
          <w:rFonts w:ascii="Calibri" w:hAnsi="Calibri" w:cs="Calibri"/>
        </w:rPr>
        <w:t xml:space="preserve">the intent of the measure is captured </w:t>
      </w:r>
      <w:r w:rsidR="00534052">
        <w:rPr>
          <w:rFonts w:ascii="Calibri" w:hAnsi="Calibri" w:cs="Calibri"/>
        </w:rPr>
        <w:t>through I</w:t>
      </w:r>
      <w:r w:rsidR="00A15BC6">
        <w:rPr>
          <w:rFonts w:ascii="Calibri" w:hAnsi="Calibri" w:cs="Calibri"/>
        </w:rPr>
        <w:t xml:space="preserve">ndicator </w:t>
      </w:r>
      <w:r w:rsidR="00534052">
        <w:rPr>
          <w:rFonts w:ascii="Calibri" w:hAnsi="Calibri" w:cs="Calibri"/>
        </w:rPr>
        <w:t>(</w:t>
      </w:r>
      <w:r w:rsidR="00A15BC6">
        <w:rPr>
          <w:rFonts w:ascii="Calibri" w:hAnsi="Calibri" w:cs="Calibri"/>
        </w:rPr>
        <w:t>h)</w:t>
      </w:r>
      <w:r w:rsidR="00B45D0A" w:rsidRPr="00A15BC6">
        <w:rPr>
          <w:rFonts w:ascii="Calibri" w:hAnsi="Calibri" w:cs="Calibri"/>
        </w:rPr>
        <w:t>.</w:t>
      </w:r>
    </w:p>
    <w:p w14:paraId="2C716E87" w14:textId="77777777" w:rsidR="006B2805" w:rsidRDefault="006B2805">
      <w:pPr>
        <w:pStyle w:val="BodyText2"/>
        <w:ind w:left="0"/>
        <w:rPr>
          <w:rFonts w:ascii="Calibri" w:hAnsi="Calibri" w:cs="Calibri"/>
        </w:rPr>
      </w:pPr>
    </w:p>
    <w:p w14:paraId="16AA0185" w14:textId="77777777" w:rsidR="00225FA5" w:rsidRDefault="00225FA5">
      <w:pPr>
        <w:pStyle w:val="BodyText2"/>
        <w:ind w:left="0"/>
        <w:rPr>
          <w:rFonts w:ascii="Calibri" w:hAnsi="Calibri" w:cs="Calibri"/>
        </w:rPr>
      </w:pPr>
    </w:p>
    <w:p w14:paraId="130901F1" w14:textId="77777777" w:rsidR="00225FA5" w:rsidRDefault="00225FA5">
      <w:pPr>
        <w:pStyle w:val="BodyText2"/>
        <w:ind w:left="0"/>
        <w:rPr>
          <w:rFonts w:ascii="Calibri" w:hAnsi="Calibri" w:cs="Calibri"/>
        </w:rPr>
      </w:pPr>
    </w:p>
    <w:p w14:paraId="5B9C3DFC" w14:textId="77777777" w:rsidR="00225FA5" w:rsidRDefault="00225FA5">
      <w:pPr>
        <w:pStyle w:val="BodyText2"/>
        <w:ind w:left="0"/>
        <w:rPr>
          <w:rFonts w:ascii="Calibri" w:hAnsi="Calibri" w:cs="Calibri"/>
        </w:rPr>
      </w:pPr>
    </w:p>
    <w:p w14:paraId="1402D8AC" w14:textId="77777777" w:rsidR="006B2805" w:rsidRDefault="006B2805">
      <w:pPr>
        <w:pStyle w:val="BodyText2"/>
        <w:ind w:left="0"/>
        <w:rPr>
          <w:rFonts w:ascii="Calibri" w:hAnsi="Calibri" w:cs="Calibri"/>
        </w:rPr>
      </w:pPr>
    </w:p>
    <w:p w14:paraId="4C3EF615" w14:textId="77777777" w:rsidR="001744F3" w:rsidRDefault="001744F3">
      <w:pPr>
        <w:pStyle w:val="BodyText2"/>
        <w:ind w:left="0"/>
        <w:rPr>
          <w:rFonts w:ascii="Calibri" w:hAnsi="Calibri" w:cs="Calibri"/>
        </w:rPr>
      </w:pPr>
    </w:p>
    <w:p w14:paraId="267354EE" w14:textId="77777777" w:rsidR="00E40647" w:rsidRPr="003D0F5D" w:rsidRDefault="00E40647">
      <w:pPr>
        <w:pStyle w:val="BodyText2"/>
        <w:ind w:left="0"/>
        <w:rPr>
          <w:rFonts w:ascii="Calibri" w:hAnsi="Calibri" w:cs="Calibri"/>
        </w:rPr>
      </w:pPr>
    </w:p>
    <w:p w14:paraId="318DE503" w14:textId="7A3800FD" w:rsidR="00FD2359" w:rsidRPr="00B02DF1" w:rsidRDefault="00C24174">
      <w:pPr>
        <w:pStyle w:val="BodyText2"/>
        <w:ind w:left="0"/>
        <w:rPr>
          <w:rFonts w:ascii="Calibri" w:hAnsi="Calibri" w:cs="Calibri"/>
        </w:rPr>
      </w:pPr>
      <w:r w:rsidRPr="00B02DF1">
        <w:rPr>
          <w:rFonts w:ascii="Calibri" w:hAnsi="Calibri" w:cs="Calibri"/>
        </w:rPr>
        <w:t>Michael Pettersson</w:t>
      </w:r>
      <w:r w:rsidR="00C829E8" w:rsidRPr="00B02DF1">
        <w:rPr>
          <w:rFonts w:ascii="Calibri" w:hAnsi="Calibri" w:cs="Calibri"/>
        </w:rPr>
        <w:t>,</w:t>
      </w:r>
      <w:r w:rsidR="006B2805" w:rsidRPr="00B02DF1">
        <w:rPr>
          <w:rFonts w:ascii="Calibri" w:hAnsi="Calibri" w:cs="Calibri"/>
        </w:rPr>
        <w:t xml:space="preserve"> </w:t>
      </w:r>
      <w:r w:rsidR="0031403E" w:rsidRPr="00B02DF1">
        <w:rPr>
          <w:rFonts w:ascii="Calibri" w:hAnsi="Calibri" w:cs="Calibri"/>
        </w:rPr>
        <w:t>MLA</w:t>
      </w:r>
      <w:r w:rsidR="0031403E" w:rsidRPr="00B02DF1">
        <w:rPr>
          <w:rFonts w:ascii="Calibri" w:hAnsi="Calibri" w:cs="Calibri"/>
        </w:rPr>
        <w:tab/>
      </w:r>
      <w:r w:rsidR="0031403E" w:rsidRPr="00B02DF1">
        <w:rPr>
          <w:rFonts w:ascii="Calibri" w:hAnsi="Calibri" w:cs="Calibri"/>
        </w:rPr>
        <w:tab/>
      </w:r>
      <w:r w:rsidR="0031403E" w:rsidRPr="00B02DF1">
        <w:rPr>
          <w:rFonts w:ascii="Calibri" w:hAnsi="Calibri" w:cs="Calibri"/>
        </w:rPr>
        <w:tab/>
      </w:r>
      <w:r w:rsidR="0031403E" w:rsidRPr="00B02DF1">
        <w:rPr>
          <w:rFonts w:ascii="Calibri" w:hAnsi="Calibri" w:cs="Calibri"/>
        </w:rPr>
        <w:tab/>
      </w:r>
      <w:r w:rsidR="0031403E" w:rsidRPr="00B02DF1">
        <w:rPr>
          <w:rFonts w:ascii="Calibri" w:hAnsi="Calibri" w:cs="Calibri"/>
        </w:rPr>
        <w:tab/>
      </w:r>
      <w:r w:rsidR="006B2805" w:rsidRPr="00B02DF1">
        <w:rPr>
          <w:rFonts w:ascii="Calibri" w:hAnsi="Calibri" w:cs="Calibri"/>
        </w:rPr>
        <w:tab/>
      </w:r>
      <w:r w:rsidR="00534052" w:rsidRPr="00B02DF1">
        <w:rPr>
          <w:rFonts w:ascii="Calibri" w:hAnsi="Calibri" w:cs="Calibri"/>
        </w:rPr>
        <w:t>Chris Steel,</w:t>
      </w:r>
      <w:r w:rsidR="0031403E" w:rsidRPr="00B02DF1">
        <w:rPr>
          <w:rFonts w:ascii="Calibri" w:hAnsi="Calibri" w:cs="Calibri"/>
        </w:rPr>
        <w:t xml:space="preserve"> MLA</w:t>
      </w:r>
    </w:p>
    <w:p w14:paraId="6292A19C" w14:textId="318C93D5" w:rsidR="00C24174" w:rsidRPr="00B02DF1" w:rsidRDefault="006B2805">
      <w:pPr>
        <w:pStyle w:val="BodyText2"/>
        <w:ind w:left="0"/>
        <w:rPr>
          <w:rFonts w:ascii="Calibri" w:hAnsi="Calibri" w:cs="Calibri"/>
        </w:rPr>
      </w:pPr>
      <w:r w:rsidRPr="00B02DF1">
        <w:rPr>
          <w:rFonts w:ascii="Calibri" w:hAnsi="Calibri" w:cs="Calibri"/>
        </w:rPr>
        <w:t xml:space="preserve">Minister for </w:t>
      </w:r>
      <w:r w:rsidR="00C24174" w:rsidRPr="00B02DF1">
        <w:rPr>
          <w:rFonts w:ascii="Calibri" w:hAnsi="Calibri" w:cs="Calibri"/>
        </w:rPr>
        <w:t>Skills, Training and</w:t>
      </w:r>
      <w:r w:rsidR="00C24174" w:rsidRPr="00B02DF1">
        <w:rPr>
          <w:rFonts w:ascii="Calibri" w:hAnsi="Calibri" w:cs="Calibri"/>
        </w:rPr>
        <w:tab/>
      </w:r>
      <w:r w:rsidR="00C24174" w:rsidRPr="00B02DF1">
        <w:rPr>
          <w:rFonts w:ascii="Calibri" w:hAnsi="Calibri" w:cs="Calibri"/>
        </w:rPr>
        <w:tab/>
      </w:r>
      <w:r w:rsidR="00C24174" w:rsidRPr="00B02DF1">
        <w:rPr>
          <w:rFonts w:ascii="Calibri" w:hAnsi="Calibri" w:cs="Calibri"/>
        </w:rPr>
        <w:tab/>
      </w:r>
      <w:r w:rsidR="00C24174" w:rsidRPr="00B02DF1">
        <w:rPr>
          <w:rFonts w:ascii="Calibri" w:hAnsi="Calibri" w:cs="Calibri"/>
        </w:rPr>
        <w:tab/>
      </w:r>
      <w:r w:rsidR="00C24174" w:rsidRPr="00B02DF1">
        <w:rPr>
          <w:rFonts w:ascii="Calibri" w:hAnsi="Calibri" w:cs="Calibri"/>
        </w:rPr>
        <w:tab/>
        <w:t>Treasurer</w:t>
      </w:r>
    </w:p>
    <w:p w14:paraId="2B97608F" w14:textId="0F3B9A42" w:rsidR="006B2805" w:rsidRDefault="00C24174">
      <w:pPr>
        <w:pStyle w:val="BodyText2"/>
        <w:ind w:left="0"/>
        <w:rPr>
          <w:rFonts w:ascii="Calibri" w:hAnsi="Calibri" w:cs="Calibri"/>
        </w:rPr>
      </w:pPr>
      <w:r w:rsidRPr="00B02DF1">
        <w:rPr>
          <w:rFonts w:ascii="Calibri" w:hAnsi="Calibri" w:cs="Calibri"/>
        </w:rPr>
        <w:t xml:space="preserve"> Industrial Relations</w:t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</w:p>
    <w:p w14:paraId="294AD354" w14:textId="77777777" w:rsidR="003C32B9" w:rsidRDefault="003C32B9">
      <w:pPr>
        <w:pStyle w:val="BodyText2"/>
        <w:ind w:left="0"/>
        <w:rPr>
          <w:rFonts w:ascii="Calibri" w:hAnsi="Calibri" w:cs="Calibri"/>
        </w:rPr>
      </w:pPr>
    </w:p>
    <w:p w14:paraId="267EFD9A" w14:textId="7B0BBA8E" w:rsidR="006B2805" w:rsidRPr="004714C7" w:rsidRDefault="003C32B9">
      <w:pPr>
        <w:pStyle w:val="BodyText2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29</w:t>
      </w:r>
      <w:r w:rsidR="00C24174">
        <w:rPr>
          <w:rFonts w:ascii="Calibri" w:hAnsi="Calibri" w:cs="Calibri"/>
        </w:rPr>
        <w:t xml:space="preserve"> January 2025</w:t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 w:rsidR="0031403E">
        <w:rPr>
          <w:rFonts w:ascii="Calibri" w:hAnsi="Calibri" w:cs="Calibri"/>
        </w:rPr>
        <w:tab/>
      </w:r>
      <w:r>
        <w:rPr>
          <w:rFonts w:ascii="Calibri" w:hAnsi="Calibri" w:cs="Calibri"/>
        </w:rPr>
        <w:t>19</w:t>
      </w:r>
      <w:r w:rsidR="00C241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March </w:t>
      </w:r>
      <w:r w:rsidR="00C24174">
        <w:rPr>
          <w:rFonts w:ascii="Calibri" w:hAnsi="Calibri" w:cs="Calibri"/>
        </w:rPr>
        <w:t>2025</w:t>
      </w:r>
    </w:p>
    <w:sectPr w:rsidR="006B2805" w:rsidRPr="004714C7" w:rsidSect="000F1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559" w:bottom="1418" w:left="1559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30E2" w14:textId="77777777" w:rsidR="00610554" w:rsidRDefault="00610554">
      <w:r>
        <w:separator/>
      </w:r>
    </w:p>
  </w:endnote>
  <w:endnote w:type="continuationSeparator" w:id="0">
    <w:p w14:paraId="09D9026E" w14:textId="77777777" w:rsidR="00610554" w:rsidRDefault="0061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E885" w14:textId="77777777" w:rsidR="00470F00" w:rsidRDefault="00470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DA5E" w14:textId="72E0ED81" w:rsidR="000F1130" w:rsidRPr="00470F00" w:rsidRDefault="00470F00" w:rsidP="00470F00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70F00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9117" w14:textId="6C32D97F" w:rsidR="000F1130" w:rsidRDefault="000F1130" w:rsidP="000F1130">
    <w:pPr>
      <w:pStyle w:val="Footer"/>
      <w:rPr>
        <w:rFonts w:ascii="Arial" w:hAnsi="Arial" w:cs="Arial"/>
        <w:sz w:val="18"/>
      </w:rPr>
    </w:pPr>
    <w:r w:rsidRPr="000F1130">
      <w:rPr>
        <w:rFonts w:ascii="Arial" w:hAnsi="Arial" w:cs="Arial"/>
        <w:sz w:val="18"/>
      </w:rPr>
      <w:t>*Name amended under Legislation Act, s 60</w:t>
    </w:r>
  </w:p>
  <w:p w14:paraId="1BC92775" w14:textId="0BE1DCD1" w:rsidR="000F1130" w:rsidRPr="00470F00" w:rsidRDefault="00470F00" w:rsidP="00470F00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70F00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0E03" w14:textId="77777777" w:rsidR="00610554" w:rsidRDefault="00610554">
      <w:r>
        <w:separator/>
      </w:r>
    </w:p>
  </w:footnote>
  <w:footnote w:type="continuationSeparator" w:id="0">
    <w:p w14:paraId="3E89B084" w14:textId="77777777" w:rsidR="00610554" w:rsidRDefault="0061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90D9" w14:textId="77777777" w:rsidR="00470F00" w:rsidRDefault="00470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1EEA" w14:textId="77777777" w:rsidR="00470F00" w:rsidRDefault="00470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7284" w14:textId="77777777" w:rsidR="00470F00" w:rsidRDefault="00470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A31"/>
    <w:multiLevelType w:val="hybridMultilevel"/>
    <w:tmpl w:val="D054D5CC"/>
    <w:lvl w:ilvl="0" w:tplc="71266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3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5"/>
    <w:rsid w:val="0000073D"/>
    <w:rsid w:val="000138E9"/>
    <w:rsid w:val="000628D5"/>
    <w:rsid w:val="000B2CA2"/>
    <w:rsid w:val="000B6B24"/>
    <w:rsid w:val="000B708A"/>
    <w:rsid w:val="000F1130"/>
    <w:rsid w:val="000F2E42"/>
    <w:rsid w:val="000F7241"/>
    <w:rsid w:val="0013070C"/>
    <w:rsid w:val="001744F3"/>
    <w:rsid w:val="00176B8E"/>
    <w:rsid w:val="001A116F"/>
    <w:rsid w:val="001A1772"/>
    <w:rsid w:val="001A76B9"/>
    <w:rsid w:val="001C10E0"/>
    <w:rsid w:val="001E1758"/>
    <w:rsid w:val="001F4049"/>
    <w:rsid w:val="0022146E"/>
    <w:rsid w:val="00225FA5"/>
    <w:rsid w:val="00245324"/>
    <w:rsid w:val="00287A6F"/>
    <w:rsid w:val="00291E04"/>
    <w:rsid w:val="00297F6B"/>
    <w:rsid w:val="002B2762"/>
    <w:rsid w:val="002B3D83"/>
    <w:rsid w:val="002C6CEA"/>
    <w:rsid w:val="003011B9"/>
    <w:rsid w:val="003103F9"/>
    <w:rsid w:val="003120E2"/>
    <w:rsid w:val="0031403E"/>
    <w:rsid w:val="00322794"/>
    <w:rsid w:val="003242AC"/>
    <w:rsid w:val="00345E9C"/>
    <w:rsid w:val="00355285"/>
    <w:rsid w:val="003603E4"/>
    <w:rsid w:val="003622A0"/>
    <w:rsid w:val="00376863"/>
    <w:rsid w:val="003B3B27"/>
    <w:rsid w:val="003B7B4E"/>
    <w:rsid w:val="003C32B9"/>
    <w:rsid w:val="003D0F5D"/>
    <w:rsid w:val="003E7098"/>
    <w:rsid w:val="004444BD"/>
    <w:rsid w:val="00470F00"/>
    <w:rsid w:val="004714C7"/>
    <w:rsid w:val="004E3884"/>
    <w:rsid w:val="00534052"/>
    <w:rsid w:val="00546099"/>
    <w:rsid w:val="00563C0F"/>
    <w:rsid w:val="00574163"/>
    <w:rsid w:val="0057714D"/>
    <w:rsid w:val="005810A3"/>
    <w:rsid w:val="005A6A53"/>
    <w:rsid w:val="005B1BBB"/>
    <w:rsid w:val="005C706A"/>
    <w:rsid w:val="005D3822"/>
    <w:rsid w:val="00610554"/>
    <w:rsid w:val="006115C8"/>
    <w:rsid w:val="0062299B"/>
    <w:rsid w:val="00692116"/>
    <w:rsid w:val="006B2805"/>
    <w:rsid w:val="006B79C4"/>
    <w:rsid w:val="006E55B4"/>
    <w:rsid w:val="006F70D2"/>
    <w:rsid w:val="007141C4"/>
    <w:rsid w:val="00755745"/>
    <w:rsid w:val="00763B31"/>
    <w:rsid w:val="007C6887"/>
    <w:rsid w:val="007D0B42"/>
    <w:rsid w:val="007F709A"/>
    <w:rsid w:val="008010FF"/>
    <w:rsid w:val="008660CF"/>
    <w:rsid w:val="00880343"/>
    <w:rsid w:val="0089041E"/>
    <w:rsid w:val="008C651D"/>
    <w:rsid w:val="008D62BD"/>
    <w:rsid w:val="008D6B7C"/>
    <w:rsid w:val="0092214A"/>
    <w:rsid w:val="00946FAC"/>
    <w:rsid w:val="009871EF"/>
    <w:rsid w:val="009D76E7"/>
    <w:rsid w:val="00A15BC6"/>
    <w:rsid w:val="00A33C71"/>
    <w:rsid w:val="00A355FD"/>
    <w:rsid w:val="00A52935"/>
    <w:rsid w:val="00A61115"/>
    <w:rsid w:val="00A7780C"/>
    <w:rsid w:val="00AB62E8"/>
    <w:rsid w:val="00AD19E5"/>
    <w:rsid w:val="00B02DF1"/>
    <w:rsid w:val="00B168BB"/>
    <w:rsid w:val="00B20EF7"/>
    <w:rsid w:val="00B30AD5"/>
    <w:rsid w:val="00B45D0A"/>
    <w:rsid w:val="00B52140"/>
    <w:rsid w:val="00BA0945"/>
    <w:rsid w:val="00C24174"/>
    <w:rsid w:val="00C371A5"/>
    <w:rsid w:val="00C77957"/>
    <w:rsid w:val="00C80765"/>
    <w:rsid w:val="00C829E8"/>
    <w:rsid w:val="00C9244A"/>
    <w:rsid w:val="00C9318B"/>
    <w:rsid w:val="00C95CDC"/>
    <w:rsid w:val="00CA5BC1"/>
    <w:rsid w:val="00CD5FB4"/>
    <w:rsid w:val="00D01DF7"/>
    <w:rsid w:val="00D319D9"/>
    <w:rsid w:val="00D41511"/>
    <w:rsid w:val="00D9143F"/>
    <w:rsid w:val="00DB42D9"/>
    <w:rsid w:val="00DD1AB5"/>
    <w:rsid w:val="00DF736D"/>
    <w:rsid w:val="00DF794D"/>
    <w:rsid w:val="00E40647"/>
    <w:rsid w:val="00E5368B"/>
    <w:rsid w:val="00E5524B"/>
    <w:rsid w:val="00EA4033"/>
    <w:rsid w:val="00F037E5"/>
    <w:rsid w:val="00F17B21"/>
    <w:rsid w:val="00F30323"/>
    <w:rsid w:val="00F77387"/>
    <w:rsid w:val="00FB64C3"/>
    <w:rsid w:val="00FD2359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DF013"/>
  <w15:docId w15:val="{3E9B70F9-5444-4B95-B53D-B15C2524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F6B"/>
    <w:rPr>
      <w:lang w:eastAsia="en-US"/>
    </w:rPr>
  </w:style>
  <w:style w:type="paragraph" w:styleId="Heading1">
    <w:name w:val="heading 1"/>
    <w:basedOn w:val="Normal"/>
    <w:next w:val="Normal"/>
    <w:qFormat/>
    <w:rsid w:val="00297F6B"/>
    <w:pPr>
      <w:keepNext/>
      <w:pBdr>
        <w:bottom w:val="single" w:sz="6" w:space="1" w:color="auto"/>
      </w:pBd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F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F6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297F6B"/>
    <w:pPr>
      <w:ind w:left="284"/>
      <w:jc w:val="both"/>
    </w:pPr>
    <w:rPr>
      <w:sz w:val="24"/>
    </w:rPr>
  </w:style>
  <w:style w:type="table" w:styleId="TableGrid">
    <w:name w:val="Table Grid"/>
    <w:basedOn w:val="TableNormal"/>
    <w:rsid w:val="008D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2140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345E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5E9C"/>
  </w:style>
  <w:style w:type="character" w:customStyle="1" w:styleId="CommentTextChar">
    <w:name w:val="Comment Text Char"/>
    <w:basedOn w:val="DefaultParagraphFont"/>
    <w:link w:val="CommentText"/>
    <w:rsid w:val="00345E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E9C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563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DBF286B-44AF-43D0-AC23-A27341F815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2032</Characters>
  <Application>Microsoft Office Word</Application>
  <DocSecurity>0</DocSecurity>
  <Lines>113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KFDA Statement of Reasonsr</vt:lpstr>
    </vt:vector>
  </TitlesOfParts>
  <Company>ACT Government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KFDA Statement of Reasonsr</dc:title>
  <dc:creator>Simon Gallacher</dc:creator>
  <cp:keywords>2</cp:keywords>
  <cp:lastModifiedBy>PCODCS</cp:lastModifiedBy>
  <cp:revision>4</cp:revision>
  <cp:lastPrinted>2017-07-24T03:24:00Z</cp:lastPrinted>
  <dcterms:created xsi:type="dcterms:W3CDTF">2025-04-07T04:06:00Z</dcterms:created>
  <dcterms:modified xsi:type="dcterms:W3CDTF">2025-04-07T04:06:00Z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aad59fcc-07ad-41c3-a1d2-130fecdae24e</vt:lpwstr>
  </property>
  <property fmtid="{D5CDD505-2E9C-101B-9397-08002B2CF9AE}" pid="3" name="bjSaver">
    <vt:lpwstr>kGVUu/45UEnzWfo0aH/z0Lsce5tRxneF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2024-06-26T04:26:21Z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56872408-1eda-4cc0-9ecc-e8e565a00168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CHECKEDOUTFROMJMS">
    <vt:lpwstr/>
  </property>
  <property fmtid="{D5CDD505-2E9C-101B-9397-08002B2CF9AE}" pid="17" name="DMSID">
    <vt:lpwstr>13885003</vt:lpwstr>
  </property>
  <property fmtid="{D5CDD505-2E9C-101B-9397-08002B2CF9AE}" pid="18" name="JMSREQUIREDCHECKIN">
    <vt:lpwstr/>
  </property>
</Properties>
</file>