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A9E8" w14:textId="77777777" w:rsidR="00FD3D6F" w:rsidRPr="00FD3D6F" w:rsidRDefault="00FD3D6F" w:rsidP="00FD3D6F">
      <w:pPr>
        <w:spacing w:before="120"/>
        <w:rPr>
          <w:rFonts w:ascii="Arial" w:hAnsi="Arial" w:cs="Arial"/>
          <w:sz w:val="24"/>
        </w:rPr>
      </w:pPr>
      <w:bookmarkStart w:id="0" w:name="_Hlk187916506"/>
      <w:r w:rsidRPr="00FD3D6F">
        <w:rPr>
          <w:rFonts w:ascii="Arial" w:hAnsi="Arial" w:cs="Arial"/>
          <w:sz w:val="24"/>
        </w:rPr>
        <w:t>Australian Capital Territory</w:t>
      </w:r>
      <w:bookmarkEnd w:id="0"/>
    </w:p>
    <w:p w14:paraId="13071F26" w14:textId="487AB76B" w:rsidR="00FD3D6F" w:rsidRPr="00FD3D6F" w:rsidRDefault="00FD3D6F" w:rsidP="00FD3D6F">
      <w:pPr>
        <w:tabs>
          <w:tab w:val="left" w:pos="2400"/>
          <w:tab w:val="left" w:pos="2880"/>
        </w:tabs>
        <w:spacing w:before="700" w:after="100"/>
        <w:rPr>
          <w:rFonts w:ascii="Arial" w:hAnsi="Arial"/>
          <w:b/>
          <w:sz w:val="40"/>
        </w:rPr>
      </w:pPr>
      <w:r w:rsidRPr="00E80A63">
        <w:rPr>
          <w:rFonts w:ascii="Arial" w:hAnsi="Arial" w:cs="Arial"/>
          <w:b/>
          <w:bCs/>
          <w:sz w:val="40"/>
          <w:szCs w:val="40"/>
        </w:rPr>
        <w:t>Financial Management (Performance Criteria) Amendment 2025 (No 1)*</w:t>
      </w:r>
    </w:p>
    <w:p w14:paraId="13429D92" w14:textId="7CF0981C" w:rsidR="00FD3D6F" w:rsidRDefault="00FD3D6F" w:rsidP="00072350">
      <w:pPr>
        <w:spacing w:before="240"/>
        <w:rPr>
          <w:rFonts w:ascii="Arial" w:hAnsi="Arial" w:cs="Arial"/>
          <w:b/>
          <w:bCs/>
          <w:sz w:val="24"/>
        </w:rPr>
      </w:pPr>
      <w:r>
        <w:rPr>
          <w:rFonts w:ascii="Arial" w:hAnsi="Arial" w:cs="Arial"/>
          <w:b/>
          <w:bCs/>
          <w:sz w:val="24"/>
        </w:rPr>
        <w:t xml:space="preserve">Notifiable </w:t>
      </w:r>
      <w:r w:rsidRPr="00FD3D6F">
        <w:rPr>
          <w:rFonts w:ascii="Arial" w:hAnsi="Arial" w:cs="Arial"/>
          <w:b/>
          <w:bCs/>
          <w:sz w:val="24"/>
        </w:rPr>
        <w:t xml:space="preserve">instrument </w:t>
      </w:r>
      <w:r>
        <w:rPr>
          <w:rFonts w:ascii="Arial" w:hAnsi="Arial" w:cs="Arial"/>
          <w:b/>
          <w:bCs/>
          <w:sz w:val="24"/>
        </w:rPr>
        <w:t>N</w:t>
      </w:r>
      <w:r w:rsidRPr="00FD3D6F">
        <w:rPr>
          <w:rFonts w:ascii="Arial" w:hAnsi="Arial" w:cs="Arial"/>
          <w:b/>
          <w:bCs/>
          <w:sz w:val="24"/>
        </w:rPr>
        <w:t>I</w:t>
      </w:r>
      <w:r>
        <w:rPr>
          <w:rFonts w:ascii="Arial" w:hAnsi="Arial" w:cs="Arial"/>
          <w:b/>
          <w:bCs/>
          <w:sz w:val="24"/>
        </w:rPr>
        <w:t>2025</w:t>
      </w:r>
      <w:r w:rsidRPr="00FD3D6F">
        <w:rPr>
          <w:rFonts w:ascii="Arial" w:hAnsi="Arial" w:cs="Arial"/>
          <w:b/>
          <w:bCs/>
          <w:sz w:val="24"/>
        </w:rPr>
        <w:t>–</w:t>
      </w:r>
      <w:r>
        <w:rPr>
          <w:rFonts w:ascii="Arial" w:hAnsi="Arial" w:cs="Arial"/>
          <w:b/>
          <w:bCs/>
          <w:sz w:val="24"/>
        </w:rPr>
        <w:t>17</w:t>
      </w:r>
    </w:p>
    <w:p w14:paraId="5BD3D038" w14:textId="35B1FA31" w:rsidR="00072350" w:rsidRPr="00FD3D6F" w:rsidRDefault="00072350" w:rsidP="00072350">
      <w:pPr>
        <w:spacing w:before="240"/>
        <w:rPr>
          <w:rFonts w:ascii="Arial" w:hAnsi="Arial" w:cs="Arial"/>
          <w:b/>
          <w:bCs/>
          <w:sz w:val="24"/>
        </w:rPr>
      </w:pPr>
      <w:r>
        <w:rPr>
          <w:rFonts w:ascii="Calibri" w:hAnsi="Calibri" w:cs="Calibri"/>
          <w:b/>
          <w:bCs/>
          <w:color w:val="000000"/>
          <w:shd w:val="clear" w:color="auto" w:fill="FFFFFF"/>
        </w:rPr>
        <w:t>UNDER SECTION 19D OF THE </w:t>
      </w:r>
      <w:r>
        <w:rPr>
          <w:rFonts w:ascii="Calibri" w:hAnsi="Calibri" w:cs="Calibri"/>
          <w:b/>
          <w:bCs/>
          <w:i/>
          <w:iCs/>
          <w:color w:val="000000"/>
          <w:shd w:val="clear" w:color="auto" w:fill="FFFFFF"/>
        </w:rPr>
        <w:t>FINANCIAL MANAGEMENT ACT 1996</w:t>
      </w:r>
    </w:p>
    <w:p w14:paraId="05A9F82A" w14:textId="77777777" w:rsidR="00FD3D6F" w:rsidRPr="00FD3D6F" w:rsidRDefault="00FD3D6F" w:rsidP="00072350">
      <w:pPr>
        <w:jc w:val="both"/>
        <w:rPr>
          <w:sz w:val="24"/>
        </w:rPr>
      </w:pPr>
    </w:p>
    <w:p w14:paraId="64A21B74" w14:textId="77777777" w:rsidR="00FD3D6F" w:rsidRPr="00FD3D6F" w:rsidRDefault="00FD3D6F" w:rsidP="00FD3D6F">
      <w:pPr>
        <w:pBdr>
          <w:top w:val="single" w:sz="12" w:space="1" w:color="auto"/>
        </w:pBdr>
        <w:jc w:val="both"/>
        <w:rPr>
          <w:sz w:val="24"/>
        </w:rPr>
      </w:pPr>
    </w:p>
    <w:p w14:paraId="0AEAD590" w14:textId="77777777" w:rsidR="00FD2359" w:rsidRPr="003B3B27" w:rsidRDefault="00FD2359">
      <w:pPr>
        <w:jc w:val="both"/>
        <w:rPr>
          <w:rFonts w:ascii="Calibri" w:hAnsi="Calibri" w:cs="Calibri"/>
          <w:sz w:val="24"/>
        </w:rPr>
      </w:pPr>
      <w:r w:rsidRPr="003B3B27">
        <w:rPr>
          <w:rFonts w:ascii="Calibri" w:hAnsi="Calibri" w:cs="Calibri"/>
          <w:sz w:val="24"/>
        </w:rPr>
        <w:t xml:space="preserve">This statement outlines the reasons for </w:t>
      </w:r>
      <w:r w:rsidR="003B3B27" w:rsidRPr="003B3B27">
        <w:rPr>
          <w:rFonts w:ascii="Calibri" w:hAnsi="Calibri" w:cs="Calibri"/>
          <w:sz w:val="24"/>
        </w:rPr>
        <w:t>amending performance criteria under Section 19D</w:t>
      </w:r>
      <w:r w:rsidRPr="003B3B27">
        <w:rPr>
          <w:rFonts w:ascii="Calibri" w:hAnsi="Calibri" w:cs="Calibri"/>
          <w:sz w:val="24"/>
        </w:rPr>
        <w:t xml:space="preserve"> of the </w:t>
      </w:r>
      <w:r w:rsidRPr="003B3B27">
        <w:rPr>
          <w:rFonts w:ascii="Calibri" w:hAnsi="Calibri" w:cs="Calibri"/>
          <w:i/>
          <w:sz w:val="24"/>
        </w:rPr>
        <w:t>Financial Management Act 1996</w:t>
      </w:r>
      <w:r w:rsidRPr="003B3B27">
        <w:rPr>
          <w:rFonts w:ascii="Calibri" w:hAnsi="Calibri" w:cs="Calibri"/>
          <w:sz w:val="24"/>
        </w:rPr>
        <w:t xml:space="preserve"> (FMA).</w:t>
      </w:r>
    </w:p>
    <w:p w14:paraId="6E0FACAF" w14:textId="77777777" w:rsidR="00FD2359" w:rsidRPr="003B3B27" w:rsidRDefault="00FD2359">
      <w:pPr>
        <w:jc w:val="both"/>
        <w:rPr>
          <w:rFonts w:ascii="Calibri" w:hAnsi="Calibri" w:cs="Calibri"/>
          <w:sz w:val="24"/>
        </w:rPr>
      </w:pPr>
    </w:p>
    <w:p w14:paraId="6A609854" w14:textId="3FAD15B4" w:rsidR="00FD2359" w:rsidRDefault="003B3B27">
      <w:pPr>
        <w:jc w:val="both"/>
        <w:rPr>
          <w:rFonts w:ascii="Calibri" w:hAnsi="Calibri" w:cs="Calibri"/>
          <w:sz w:val="24"/>
        </w:rPr>
      </w:pPr>
      <w:r w:rsidRPr="003B3B27">
        <w:rPr>
          <w:rFonts w:ascii="Calibri" w:hAnsi="Calibri" w:cs="Calibri"/>
          <w:sz w:val="24"/>
        </w:rPr>
        <w:t>Section 19D</w:t>
      </w:r>
      <w:r w:rsidR="00FD2359" w:rsidRPr="003B3B27">
        <w:rPr>
          <w:rFonts w:ascii="Calibri" w:hAnsi="Calibri" w:cs="Calibri"/>
          <w:sz w:val="24"/>
        </w:rPr>
        <w:t xml:space="preserve"> of the FMA allows for the amendment </w:t>
      </w:r>
      <w:r w:rsidR="00D41511">
        <w:rPr>
          <w:rFonts w:ascii="Calibri" w:hAnsi="Calibri" w:cs="Calibri"/>
          <w:sz w:val="24"/>
        </w:rPr>
        <w:t xml:space="preserve">by notifiable instrument </w:t>
      </w:r>
      <w:r w:rsidR="00FD2359" w:rsidRPr="003B3B27">
        <w:rPr>
          <w:rFonts w:ascii="Calibri" w:hAnsi="Calibri" w:cs="Calibri"/>
          <w:sz w:val="24"/>
        </w:rPr>
        <w:t xml:space="preserve">of </w:t>
      </w:r>
      <w:r w:rsidRPr="003B3B27">
        <w:rPr>
          <w:rFonts w:ascii="Calibri" w:hAnsi="Calibri" w:cs="Calibri"/>
          <w:sz w:val="24"/>
        </w:rPr>
        <w:t>performance criteria</w:t>
      </w:r>
      <w:r w:rsidR="009871EF">
        <w:rPr>
          <w:rFonts w:ascii="Calibri" w:hAnsi="Calibri" w:cs="Calibri"/>
          <w:sz w:val="24"/>
        </w:rPr>
        <w:t xml:space="preserve"> </w:t>
      </w:r>
      <w:r w:rsidR="009871EF" w:rsidRPr="00EF741F">
        <w:rPr>
          <w:rFonts w:ascii="Calibri" w:hAnsi="Calibri" w:cs="Calibri"/>
          <w:sz w:val="24"/>
        </w:rPr>
        <w:t xml:space="preserve">for </w:t>
      </w:r>
      <w:r w:rsidR="003025A0" w:rsidRPr="00EF741F">
        <w:rPr>
          <w:rFonts w:ascii="Calibri" w:hAnsi="Calibri" w:cs="Calibri"/>
          <w:sz w:val="24"/>
        </w:rPr>
        <w:t>Justice and Community Safety Directorate (JACS)</w:t>
      </w:r>
      <w:r w:rsidR="003103F9" w:rsidRPr="00EF741F">
        <w:rPr>
          <w:rFonts w:ascii="Calibri" w:hAnsi="Calibri" w:cs="Calibri"/>
          <w:sz w:val="24"/>
        </w:rPr>
        <w:t>.</w:t>
      </w:r>
      <w:r w:rsidR="003603E4" w:rsidRPr="00EF741F">
        <w:rPr>
          <w:rFonts w:ascii="Calibri" w:hAnsi="Calibri" w:cs="Calibri"/>
          <w:sz w:val="24"/>
        </w:rPr>
        <w:t xml:space="preserve"> </w:t>
      </w:r>
      <w:r w:rsidR="00C9244A" w:rsidRPr="00EF741F">
        <w:rPr>
          <w:rFonts w:ascii="Calibri" w:hAnsi="Calibri" w:cs="Calibri"/>
          <w:sz w:val="24"/>
        </w:rPr>
        <w:t>The performance criteria may be amended where the responsible Minister and Treasurer are satisfied that other performance criteria should be adopted for the provision of outputs by the Directorate.</w:t>
      </w:r>
    </w:p>
    <w:p w14:paraId="16C0B7F1" w14:textId="77777777" w:rsidR="003603E4" w:rsidRDefault="003603E4">
      <w:pPr>
        <w:jc w:val="both"/>
        <w:rPr>
          <w:rFonts w:ascii="Calibri" w:hAnsi="Calibri" w:cs="Calibri"/>
          <w:sz w:val="24"/>
        </w:rPr>
      </w:pPr>
    </w:p>
    <w:p w14:paraId="7A5D61D4" w14:textId="77777777" w:rsidR="00D9143F" w:rsidRDefault="00D9143F" w:rsidP="00D9143F">
      <w:pPr>
        <w:rPr>
          <w:rFonts w:ascii="Calibri" w:hAnsi="Calibri" w:cs="Calibri"/>
          <w:b/>
          <w:sz w:val="24"/>
        </w:rPr>
      </w:pPr>
      <w:r w:rsidRPr="00C9318B">
        <w:rPr>
          <w:rFonts w:ascii="Calibri" w:hAnsi="Calibri" w:cs="Calibri"/>
          <w:b/>
          <w:sz w:val="24"/>
        </w:rPr>
        <w:t>Instrument Amendment:</w:t>
      </w:r>
    </w:p>
    <w:p w14:paraId="3913904B" w14:textId="1641601C" w:rsidR="00DB3655" w:rsidRDefault="005C3B24">
      <w:pPr>
        <w:pStyle w:val="BodyText2"/>
        <w:ind w:left="0"/>
        <w:rPr>
          <w:rFonts w:ascii="Calibri" w:hAnsi="Calibri" w:cs="Calibri"/>
        </w:rPr>
      </w:pPr>
      <w:r>
        <w:rPr>
          <w:rFonts w:ascii="Calibri" w:hAnsi="Calibri" w:cs="Calibri"/>
        </w:rPr>
        <w:t xml:space="preserve">The amended </w:t>
      </w:r>
      <w:r w:rsidRPr="00591BF9">
        <w:rPr>
          <w:rFonts w:ascii="Calibri" w:hAnsi="Calibri" w:cs="Calibri"/>
        </w:rPr>
        <w:t>2024-25 Accountability Indicators</w:t>
      </w:r>
      <w:r>
        <w:rPr>
          <w:rFonts w:ascii="Calibri" w:hAnsi="Calibri" w:cs="Calibri"/>
        </w:rPr>
        <w:t xml:space="preserve"> for JACS are set out in Schedule A.</w:t>
      </w:r>
    </w:p>
    <w:p w14:paraId="57B4910E" w14:textId="77777777" w:rsidR="00DB3655" w:rsidRDefault="00DB3655">
      <w:pPr>
        <w:pStyle w:val="BodyText2"/>
        <w:ind w:left="0"/>
        <w:rPr>
          <w:rFonts w:ascii="Calibri" w:hAnsi="Calibri" w:cs="Calibri"/>
        </w:rPr>
      </w:pPr>
    </w:p>
    <w:p w14:paraId="63615380" w14:textId="77777777" w:rsidR="000B708A" w:rsidRDefault="000B708A">
      <w:pPr>
        <w:pStyle w:val="BodyText2"/>
        <w:ind w:left="0"/>
        <w:rPr>
          <w:rFonts w:ascii="Calibri" w:hAnsi="Calibri" w:cs="Calibri"/>
        </w:rPr>
      </w:pPr>
    </w:p>
    <w:p w14:paraId="27CD2FCA" w14:textId="77777777" w:rsidR="000B708A" w:rsidRPr="00C9318B" w:rsidRDefault="000B708A" w:rsidP="000B708A">
      <w:pPr>
        <w:rPr>
          <w:rFonts w:asciiTheme="minorHAnsi" w:hAnsiTheme="minorHAnsi"/>
          <w:b/>
          <w:sz w:val="24"/>
          <w:szCs w:val="24"/>
        </w:rPr>
      </w:pPr>
      <w:r w:rsidRPr="00C9318B">
        <w:rPr>
          <w:rFonts w:asciiTheme="minorHAnsi" w:hAnsiTheme="minorHAnsi"/>
          <w:b/>
          <w:sz w:val="24"/>
          <w:szCs w:val="24"/>
        </w:rPr>
        <w:t>Statement of Reasons:</w:t>
      </w:r>
    </w:p>
    <w:p w14:paraId="05AF2D81" w14:textId="33611E98" w:rsidR="00225FA5" w:rsidRPr="009871EF" w:rsidRDefault="00225FA5" w:rsidP="00225FA5">
      <w:pPr>
        <w:pStyle w:val="BodyText2"/>
        <w:ind w:left="0"/>
        <w:rPr>
          <w:rFonts w:ascii="Calibri" w:hAnsi="Calibri" w:cs="Calibri"/>
        </w:rPr>
      </w:pPr>
      <w:r w:rsidRPr="009871EF">
        <w:rPr>
          <w:rFonts w:ascii="Calibri" w:hAnsi="Calibri" w:cs="Calibri"/>
        </w:rPr>
        <w:t>Th</w:t>
      </w:r>
      <w:r w:rsidR="00514BBB">
        <w:rPr>
          <w:rFonts w:ascii="Calibri" w:hAnsi="Calibri" w:cs="Calibri"/>
        </w:rPr>
        <w:t xml:space="preserve">e statement of reasons </w:t>
      </w:r>
      <w:r w:rsidR="006610E5">
        <w:rPr>
          <w:rFonts w:ascii="Calibri" w:hAnsi="Calibri" w:cs="Calibri"/>
        </w:rPr>
        <w:t xml:space="preserve">for </w:t>
      </w:r>
      <w:r w:rsidR="00514BBB">
        <w:rPr>
          <w:rFonts w:ascii="Calibri" w:hAnsi="Calibri" w:cs="Calibri"/>
        </w:rPr>
        <w:t xml:space="preserve">the amendments is set out in </w:t>
      </w:r>
      <w:r w:rsidR="00834192">
        <w:rPr>
          <w:rFonts w:ascii="Calibri" w:hAnsi="Calibri" w:cs="Calibri"/>
        </w:rPr>
        <w:t xml:space="preserve">Schedule </w:t>
      </w:r>
      <w:r w:rsidR="00F17320">
        <w:rPr>
          <w:rFonts w:ascii="Calibri" w:hAnsi="Calibri" w:cs="Calibri"/>
        </w:rPr>
        <w:t>B</w:t>
      </w:r>
      <w:r w:rsidR="00514BBB">
        <w:rPr>
          <w:rFonts w:ascii="Calibri" w:hAnsi="Calibri" w:cs="Calibri"/>
        </w:rPr>
        <w:t>.</w:t>
      </w:r>
    </w:p>
    <w:p w14:paraId="2C716E87" w14:textId="77777777" w:rsidR="006B2805" w:rsidRDefault="006B2805">
      <w:pPr>
        <w:pStyle w:val="BodyText2"/>
        <w:ind w:left="0"/>
        <w:rPr>
          <w:rFonts w:ascii="Calibri" w:hAnsi="Calibri" w:cs="Calibri"/>
        </w:rPr>
      </w:pPr>
    </w:p>
    <w:p w14:paraId="1402D8AC" w14:textId="77777777" w:rsidR="006B2805" w:rsidRDefault="006B2805">
      <w:pPr>
        <w:pStyle w:val="BodyText2"/>
        <w:ind w:left="0"/>
        <w:rPr>
          <w:rFonts w:ascii="Calibri" w:hAnsi="Calibri" w:cs="Calibri"/>
        </w:rPr>
      </w:pPr>
    </w:p>
    <w:p w14:paraId="4C3EF615" w14:textId="77777777" w:rsidR="001744F3" w:rsidRDefault="001744F3">
      <w:pPr>
        <w:pStyle w:val="BodyText2"/>
        <w:ind w:left="0"/>
        <w:rPr>
          <w:rFonts w:ascii="Calibri" w:hAnsi="Calibri" w:cs="Calibri"/>
        </w:rPr>
      </w:pPr>
    </w:p>
    <w:p w14:paraId="318DE503" w14:textId="7621D02D" w:rsidR="00FD2359" w:rsidRPr="00EF741F" w:rsidRDefault="006B2805">
      <w:pPr>
        <w:pStyle w:val="BodyText2"/>
        <w:ind w:left="0"/>
        <w:rPr>
          <w:rFonts w:ascii="Calibri" w:hAnsi="Calibri" w:cs="Calibri"/>
        </w:rPr>
      </w:pPr>
      <w:r w:rsidRPr="00EF741F">
        <w:rPr>
          <w:rFonts w:ascii="Calibri" w:hAnsi="Calibri" w:cs="Calibri"/>
        </w:rPr>
        <w:t xml:space="preserve">Minister </w:t>
      </w:r>
      <w:r w:rsidR="001A0758" w:rsidRPr="00EF741F">
        <w:rPr>
          <w:rFonts w:ascii="Calibri" w:hAnsi="Calibri" w:cs="Calibri"/>
        </w:rPr>
        <w:t>Tara Cheyne</w:t>
      </w:r>
      <w:r w:rsidR="00C829E8" w:rsidRPr="00EF741F">
        <w:rPr>
          <w:rFonts w:ascii="Calibri" w:hAnsi="Calibri" w:cs="Calibri"/>
        </w:rPr>
        <w:t>,</w:t>
      </w:r>
      <w:r w:rsidRPr="00EF741F">
        <w:rPr>
          <w:rFonts w:ascii="Calibri" w:hAnsi="Calibri" w:cs="Calibri"/>
        </w:rPr>
        <w:t xml:space="preserve"> </w:t>
      </w:r>
      <w:r w:rsidR="0031403E" w:rsidRPr="00EF741F">
        <w:rPr>
          <w:rFonts w:ascii="Calibri" w:hAnsi="Calibri" w:cs="Calibri"/>
        </w:rPr>
        <w:t>MLA</w:t>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sidR="001A0758" w:rsidRPr="00EF741F">
        <w:rPr>
          <w:rFonts w:ascii="Calibri" w:hAnsi="Calibri" w:cs="Calibri"/>
        </w:rPr>
        <w:t>Chris Steel</w:t>
      </w:r>
      <w:r w:rsidR="00C829E8" w:rsidRPr="00EF741F">
        <w:rPr>
          <w:rFonts w:ascii="Calibri" w:hAnsi="Calibri" w:cs="Calibri"/>
        </w:rPr>
        <w:t>,</w:t>
      </w:r>
      <w:r w:rsidR="0031403E" w:rsidRPr="00EF741F">
        <w:rPr>
          <w:rFonts w:ascii="Calibri" w:hAnsi="Calibri" w:cs="Calibri"/>
        </w:rPr>
        <w:t xml:space="preserve"> MLA</w:t>
      </w:r>
    </w:p>
    <w:p w14:paraId="2B97608F" w14:textId="2F2450A5" w:rsidR="006B2805" w:rsidRPr="00EF741F" w:rsidRDefault="00DB3655">
      <w:pPr>
        <w:pStyle w:val="BodyText2"/>
        <w:ind w:left="0"/>
        <w:rPr>
          <w:rFonts w:ascii="Calibri" w:hAnsi="Calibri" w:cs="Calibri"/>
        </w:rPr>
      </w:pPr>
      <w:r w:rsidRPr="00EF741F">
        <w:rPr>
          <w:rFonts w:ascii="Calibri" w:hAnsi="Calibri" w:cs="Calibri"/>
        </w:rPr>
        <w:t>Attorney-General</w:t>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t>Treasurer</w:t>
      </w:r>
    </w:p>
    <w:p w14:paraId="696017D4" w14:textId="77777777" w:rsidR="0031403E" w:rsidRPr="00EF741F" w:rsidRDefault="0031403E">
      <w:pPr>
        <w:pStyle w:val="BodyText2"/>
        <w:ind w:left="0"/>
        <w:rPr>
          <w:rFonts w:ascii="Calibri" w:hAnsi="Calibri" w:cs="Calibri"/>
        </w:rPr>
      </w:pPr>
    </w:p>
    <w:p w14:paraId="267EFD9A" w14:textId="1F36891C" w:rsidR="006B2805" w:rsidRDefault="001E4B0A" w:rsidP="00FD3D6F">
      <w:pPr>
        <w:pStyle w:val="BodyText2"/>
        <w:ind w:left="0"/>
        <w:rPr>
          <w:rFonts w:ascii="Calibri" w:hAnsi="Calibri" w:cs="Calibri"/>
        </w:rPr>
      </w:pPr>
      <w:r>
        <w:rPr>
          <w:rFonts w:ascii="Calibri" w:hAnsi="Calibri" w:cs="Calibri"/>
        </w:rPr>
        <w:t>13 January</w:t>
      </w:r>
      <w:r w:rsidR="00DB3655" w:rsidRPr="00EF741F">
        <w:rPr>
          <w:rFonts w:ascii="Calibri" w:hAnsi="Calibri" w:cs="Calibri"/>
        </w:rPr>
        <w:t xml:space="preserve"> 202</w:t>
      </w:r>
      <w:r>
        <w:rPr>
          <w:rFonts w:ascii="Calibri" w:hAnsi="Calibri" w:cs="Calibri"/>
        </w:rPr>
        <w:t>5</w:t>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sidR="0031403E" w:rsidRPr="00EF741F">
        <w:rPr>
          <w:rFonts w:ascii="Calibri" w:hAnsi="Calibri" w:cs="Calibri"/>
        </w:rPr>
        <w:tab/>
      </w:r>
      <w:r>
        <w:rPr>
          <w:rFonts w:ascii="Calibri" w:hAnsi="Calibri" w:cs="Calibri"/>
        </w:rPr>
        <w:t>9 January</w:t>
      </w:r>
      <w:r w:rsidR="00DB3655" w:rsidRPr="00EF741F">
        <w:rPr>
          <w:rFonts w:ascii="Calibri" w:hAnsi="Calibri" w:cs="Calibri"/>
        </w:rPr>
        <w:t xml:space="preserve"> 202</w:t>
      </w:r>
      <w:r>
        <w:rPr>
          <w:rFonts w:ascii="Calibri" w:hAnsi="Calibri" w:cs="Calibri"/>
        </w:rPr>
        <w:t>5</w:t>
      </w:r>
    </w:p>
    <w:p w14:paraId="5279870B" w14:textId="77777777" w:rsidR="00072350" w:rsidRDefault="00072350" w:rsidP="00072350">
      <w:pPr>
        <w:pStyle w:val="BodyText2"/>
        <w:ind w:left="0"/>
        <w:rPr>
          <w:rFonts w:ascii="Calibri" w:hAnsi="Calibri" w:cs="Calibri"/>
          <w:b/>
          <w:bCs/>
        </w:rPr>
      </w:pPr>
    </w:p>
    <w:p w14:paraId="4D1D0F03" w14:textId="1C24E1C4" w:rsidR="005C3B24" w:rsidRDefault="005C3B24" w:rsidP="00C76924">
      <w:pPr>
        <w:pStyle w:val="BodyText2"/>
        <w:ind w:left="0"/>
        <w:rPr>
          <w:rFonts w:ascii="Calibri" w:hAnsi="Calibri" w:cs="Calibri"/>
          <w:b/>
          <w:bCs/>
        </w:rPr>
      </w:pPr>
      <w:r w:rsidRPr="005C3B24">
        <w:rPr>
          <w:rFonts w:ascii="Calibri" w:hAnsi="Calibri" w:cs="Calibri"/>
          <w:b/>
          <w:bCs/>
        </w:rPr>
        <w:lastRenderedPageBreak/>
        <w:t>Schedule A</w:t>
      </w:r>
    </w:p>
    <w:p w14:paraId="2650F59F" w14:textId="77777777" w:rsidR="00F8038E" w:rsidRDefault="00F8038E" w:rsidP="00C76924">
      <w:pPr>
        <w:pStyle w:val="BodyText2"/>
        <w:ind w:left="0"/>
        <w:rPr>
          <w:rFonts w:ascii="Calibri" w:hAnsi="Calibri" w:cs="Calibri"/>
          <w:b/>
          <w:bCs/>
        </w:rPr>
      </w:pPr>
    </w:p>
    <w:tbl>
      <w:tblPr>
        <w:tblW w:w="5065" w:type="pct"/>
        <w:tblLook w:val="04A0" w:firstRow="1" w:lastRow="0" w:firstColumn="1" w:lastColumn="0" w:noHBand="0" w:noVBand="1"/>
      </w:tblPr>
      <w:tblGrid>
        <w:gridCol w:w="2278"/>
        <w:gridCol w:w="1618"/>
        <w:gridCol w:w="4173"/>
        <w:gridCol w:w="1159"/>
        <w:gridCol w:w="1040"/>
        <w:gridCol w:w="3898"/>
      </w:tblGrid>
      <w:tr w:rsidR="00F17320" w:rsidRPr="00F8038E" w14:paraId="4D2740B0" w14:textId="77777777" w:rsidTr="00F17320">
        <w:trPr>
          <w:trHeight w:val="722"/>
        </w:trPr>
        <w:tc>
          <w:tcPr>
            <w:tcW w:w="8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427565" w14:textId="77777777" w:rsidR="009231F9" w:rsidRPr="009231F9" w:rsidRDefault="009231F9" w:rsidP="009231F9">
            <w:pPr>
              <w:jc w:val="center"/>
              <w:rPr>
                <w:rFonts w:ascii="Calibri" w:hAnsi="Calibri" w:cs="Calibri"/>
                <w:b/>
                <w:bCs/>
                <w:color w:val="000000"/>
                <w:sz w:val="18"/>
                <w:szCs w:val="18"/>
                <w:lang w:eastAsia="en-AU"/>
              </w:rPr>
            </w:pPr>
            <w:r w:rsidRPr="009231F9">
              <w:rPr>
                <w:rFonts w:ascii="Calibri" w:hAnsi="Calibri" w:cs="Calibri"/>
                <w:b/>
                <w:bCs/>
                <w:color w:val="000000"/>
                <w:sz w:val="18"/>
                <w:szCs w:val="18"/>
                <w:lang w:eastAsia="en-AU"/>
              </w:rPr>
              <w:t>Output Class and Output</w:t>
            </w:r>
          </w:p>
        </w:tc>
        <w:tc>
          <w:tcPr>
            <w:tcW w:w="571" w:type="pct"/>
            <w:tcBorders>
              <w:top w:val="single" w:sz="8" w:space="0" w:color="auto"/>
              <w:left w:val="nil"/>
              <w:bottom w:val="single" w:sz="8" w:space="0" w:color="auto"/>
              <w:right w:val="single" w:sz="8" w:space="0" w:color="auto"/>
            </w:tcBorders>
            <w:shd w:val="clear" w:color="000000" w:fill="D9D9D9"/>
            <w:vAlign w:val="center"/>
            <w:hideMark/>
          </w:tcPr>
          <w:p w14:paraId="6C9E6D6B" w14:textId="77777777" w:rsidR="009231F9" w:rsidRPr="009231F9" w:rsidRDefault="009231F9" w:rsidP="009231F9">
            <w:pPr>
              <w:jc w:val="center"/>
              <w:rPr>
                <w:rFonts w:ascii="Calibri" w:hAnsi="Calibri" w:cs="Calibri"/>
                <w:b/>
                <w:bCs/>
                <w:color w:val="000000"/>
                <w:sz w:val="18"/>
                <w:szCs w:val="18"/>
                <w:lang w:eastAsia="en-AU"/>
              </w:rPr>
            </w:pPr>
            <w:r w:rsidRPr="009231F9">
              <w:rPr>
                <w:rFonts w:ascii="Calibri" w:hAnsi="Calibri" w:cs="Calibri"/>
                <w:b/>
                <w:bCs/>
                <w:color w:val="000000"/>
                <w:sz w:val="18"/>
                <w:szCs w:val="18"/>
                <w:lang w:eastAsia="en-AU"/>
              </w:rPr>
              <w:t>Description of Strategic Indicator / Accountability Indicator</w:t>
            </w:r>
          </w:p>
        </w:tc>
        <w:tc>
          <w:tcPr>
            <w:tcW w:w="1473" w:type="pct"/>
            <w:tcBorders>
              <w:top w:val="single" w:sz="8" w:space="0" w:color="auto"/>
              <w:left w:val="nil"/>
              <w:bottom w:val="single" w:sz="8" w:space="0" w:color="auto"/>
              <w:right w:val="single" w:sz="8" w:space="0" w:color="auto"/>
            </w:tcBorders>
            <w:shd w:val="clear" w:color="000000" w:fill="D9D9D9"/>
            <w:vAlign w:val="center"/>
            <w:hideMark/>
          </w:tcPr>
          <w:p w14:paraId="14D897E3" w14:textId="0496EEE9" w:rsidR="009231F9" w:rsidRPr="009231F9" w:rsidRDefault="009231F9" w:rsidP="009231F9">
            <w:pPr>
              <w:jc w:val="center"/>
              <w:rPr>
                <w:rFonts w:ascii="Calibri" w:hAnsi="Calibri" w:cs="Calibri"/>
                <w:b/>
                <w:bCs/>
                <w:color w:val="000000"/>
                <w:sz w:val="18"/>
                <w:szCs w:val="18"/>
                <w:lang w:eastAsia="en-AU"/>
              </w:rPr>
            </w:pPr>
            <w:r w:rsidRPr="009231F9">
              <w:rPr>
                <w:rFonts w:ascii="Calibri" w:hAnsi="Calibri" w:cs="Calibri"/>
                <w:b/>
                <w:bCs/>
                <w:color w:val="000000"/>
                <w:sz w:val="18"/>
                <w:szCs w:val="18"/>
                <w:lang w:eastAsia="en-AU"/>
              </w:rPr>
              <w:t>Strategic</w:t>
            </w:r>
            <w:r w:rsidR="00D83C89">
              <w:rPr>
                <w:rFonts w:ascii="Calibri" w:hAnsi="Calibri" w:cs="Calibri"/>
                <w:b/>
                <w:bCs/>
                <w:color w:val="000000"/>
                <w:sz w:val="18"/>
                <w:szCs w:val="18"/>
                <w:lang w:eastAsia="en-AU"/>
              </w:rPr>
              <w:t xml:space="preserve"> / Accountability</w:t>
            </w:r>
            <w:r w:rsidRPr="009231F9">
              <w:rPr>
                <w:rFonts w:ascii="Calibri" w:hAnsi="Calibri" w:cs="Calibri"/>
                <w:b/>
                <w:bCs/>
                <w:color w:val="000000"/>
                <w:sz w:val="18"/>
                <w:szCs w:val="18"/>
                <w:lang w:eastAsia="en-AU"/>
              </w:rPr>
              <w:t xml:space="preserve"> Indicator</w:t>
            </w:r>
          </w:p>
        </w:tc>
        <w:tc>
          <w:tcPr>
            <w:tcW w:w="409" w:type="pct"/>
            <w:tcBorders>
              <w:top w:val="single" w:sz="8" w:space="0" w:color="auto"/>
              <w:left w:val="nil"/>
              <w:bottom w:val="single" w:sz="8" w:space="0" w:color="auto"/>
              <w:right w:val="single" w:sz="8" w:space="0" w:color="auto"/>
            </w:tcBorders>
            <w:shd w:val="clear" w:color="000000" w:fill="D9D9D9"/>
            <w:vAlign w:val="center"/>
            <w:hideMark/>
          </w:tcPr>
          <w:p w14:paraId="5447963D" w14:textId="77777777" w:rsidR="009231F9" w:rsidRPr="009231F9" w:rsidRDefault="009231F9" w:rsidP="009231F9">
            <w:pPr>
              <w:jc w:val="center"/>
              <w:rPr>
                <w:rFonts w:ascii="Calibri" w:hAnsi="Calibri" w:cs="Calibri"/>
                <w:b/>
                <w:bCs/>
                <w:color w:val="000000"/>
                <w:sz w:val="18"/>
                <w:szCs w:val="18"/>
                <w:lang w:eastAsia="en-AU"/>
              </w:rPr>
            </w:pPr>
            <w:r w:rsidRPr="009231F9">
              <w:rPr>
                <w:rFonts w:ascii="Calibri" w:hAnsi="Calibri" w:cs="Calibri"/>
                <w:b/>
                <w:bCs/>
                <w:color w:val="000000"/>
                <w:sz w:val="18"/>
                <w:szCs w:val="18"/>
                <w:lang w:eastAsia="en-AU"/>
              </w:rPr>
              <w:t>2024-25 Targets (Budget Papers)</w:t>
            </w:r>
          </w:p>
        </w:tc>
        <w:tc>
          <w:tcPr>
            <w:tcW w:w="367" w:type="pct"/>
            <w:tcBorders>
              <w:top w:val="single" w:sz="8" w:space="0" w:color="auto"/>
              <w:left w:val="nil"/>
              <w:bottom w:val="single" w:sz="8" w:space="0" w:color="auto"/>
              <w:right w:val="single" w:sz="8" w:space="0" w:color="auto"/>
            </w:tcBorders>
            <w:shd w:val="clear" w:color="000000" w:fill="D9D9D9"/>
            <w:vAlign w:val="center"/>
            <w:hideMark/>
          </w:tcPr>
          <w:p w14:paraId="595B7388" w14:textId="77777777" w:rsidR="009231F9" w:rsidRPr="009231F9" w:rsidRDefault="009231F9" w:rsidP="009231F9">
            <w:pPr>
              <w:jc w:val="center"/>
              <w:rPr>
                <w:rFonts w:ascii="Calibri" w:hAnsi="Calibri" w:cs="Calibri"/>
                <w:b/>
                <w:bCs/>
                <w:color w:val="000000"/>
                <w:sz w:val="18"/>
                <w:szCs w:val="18"/>
                <w:lang w:eastAsia="en-AU"/>
              </w:rPr>
            </w:pPr>
            <w:r w:rsidRPr="009231F9">
              <w:rPr>
                <w:rFonts w:ascii="Calibri" w:hAnsi="Calibri" w:cs="Calibri"/>
                <w:b/>
                <w:bCs/>
                <w:color w:val="000000"/>
                <w:sz w:val="18"/>
                <w:szCs w:val="18"/>
                <w:lang w:eastAsia="en-AU"/>
              </w:rPr>
              <w:t>2024-25 Targets (Revised)</w:t>
            </w:r>
          </w:p>
        </w:tc>
        <w:tc>
          <w:tcPr>
            <w:tcW w:w="1376" w:type="pct"/>
            <w:tcBorders>
              <w:top w:val="single" w:sz="8" w:space="0" w:color="auto"/>
              <w:left w:val="nil"/>
              <w:bottom w:val="single" w:sz="8" w:space="0" w:color="auto"/>
              <w:right w:val="single" w:sz="8" w:space="0" w:color="auto"/>
            </w:tcBorders>
            <w:shd w:val="clear" w:color="000000" w:fill="D9D9D9"/>
            <w:vAlign w:val="center"/>
            <w:hideMark/>
          </w:tcPr>
          <w:p w14:paraId="246C0C4A" w14:textId="77777777" w:rsidR="009231F9" w:rsidRPr="009231F9" w:rsidRDefault="009231F9" w:rsidP="009231F9">
            <w:pPr>
              <w:jc w:val="center"/>
              <w:rPr>
                <w:rFonts w:ascii="Calibri" w:hAnsi="Calibri" w:cs="Calibri"/>
                <w:b/>
                <w:bCs/>
                <w:color w:val="000000"/>
                <w:sz w:val="18"/>
                <w:szCs w:val="18"/>
                <w:lang w:eastAsia="en-AU"/>
              </w:rPr>
            </w:pPr>
            <w:r w:rsidRPr="009231F9">
              <w:rPr>
                <w:rFonts w:ascii="Calibri" w:hAnsi="Calibri" w:cs="Calibri"/>
                <w:b/>
                <w:bCs/>
                <w:color w:val="000000"/>
                <w:sz w:val="18"/>
                <w:szCs w:val="18"/>
                <w:lang w:eastAsia="en-AU"/>
              </w:rPr>
              <w:t>Action</w:t>
            </w:r>
          </w:p>
        </w:tc>
      </w:tr>
      <w:tr w:rsidR="00F17320" w:rsidRPr="00F8038E" w14:paraId="6EF20BA9" w14:textId="77777777" w:rsidTr="00F17320">
        <w:trPr>
          <w:trHeight w:val="287"/>
        </w:trPr>
        <w:tc>
          <w:tcPr>
            <w:tcW w:w="804" w:type="pct"/>
            <w:tcBorders>
              <w:top w:val="nil"/>
              <w:left w:val="single" w:sz="8" w:space="0" w:color="auto"/>
              <w:bottom w:val="nil"/>
              <w:right w:val="nil"/>
            </w:tcBorders>
            <w:shd w:val="clear" w:color="auto" w:fill="auto"/>
            <w:vAlign w:val="center"/>
            <w:hideMark/>
          </w:tcPr>
          <w:p w14:paraId="38D070C6" w14:textId="77777777" w:rsidR="009231F9" w:rsidRPr="009231F9" w:rsidRDefault="009231F9" w:rsidP="009231F9">
            <w:pPr>
              <w:rPr>
                <w:rFonts w:ascii="Calibri" w:hAnsi="Calibri" w:cs="Calibri"/>
                <w:b/>
                <w:bCs/>
                <w:sz w:val="18"/>
                <w:szCs w:val="18"/>
                <w:lang w:eastAsia="en-AU"/>
              </w:rPr>
            </w:pPr>
            <w:r w:rsidRPr="009231F9">
              <w:rPr>
                <w:rFonts w:ascii="Calibri" w:hAnsi="Calibri" w:cs="Calibri"/>
                <w:b/>
                <w:bCs/>
                <w:sz w:val="18"/>
                <w:szCs w:val="18"/>
                <w:lang w:eastAsia="en-AU"/>
              </w:rPr>
              <w:t>Output Class 3: Courts and Tribunal</w:t>
            </w:r>
          </w:p>
        </w:tc>
        <w:tc>
          <w:tcPr>
            <w:tcW w:w="571" w:type="pct"/>
            <w:tcBorders>
              <w:top w:val="nil"/>
              <w:left w:val="single" w:sz="8" w:space="0" w:color="auto"/>
              <w:bottom w:val="nil"/>
              <w:right w:val="single" w:sz="8" w:space="0" w:color="auto"/>
            </w:tcBorders>
            <w:shd w:val="clear" w:color="auto" w:fill="auto"/>
            <w:vAlign w:val="bottom"/>
            <w:hideMark/>
          </w:tcPr>
          <w:p w14:paraId="2F832F8D"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56C402F9"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w:t>
            </w:r>
          </w:p>
        </w:tc>
        <w:tc>
          <w:tcPr>
            <w:tcW w:w="409" w:type="pct"/>
            <w:tcBorders>
              <w:top w:val="nil"/>
              <w:left w:val="nil"/>
              <w:bottom w:val="nil"/>
              <w:right w:val="nil"/>
            </w:tcBorders>
            <w:shd w:val="clear" w:color="auto" w:fill="auto"/>
            <w:noWrap/>
            <w:vAlign w:val="bottom"/>
            <w:hideMark/>
          </w:tcPr>
          <w:p w14:paraId="38B2E0A0"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41602F9E"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220FA3E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0F9E0ECE" w14:textId="77777777" w:rsidTr="00F17320">
        <w:trPr>
          <w:trHeight w:val="287"/>
        </w:trPr>
        <w:tc>
          <w:tcPr>
            <w:tcW w:w="804" w:type="pct"/>
            <w:tcBorders>
              <w:top w:val="nil"/>
              <w:left w:val="single" w:sz="8" w:space="0" w:color="auto"/>
              <w:bottom w:val="nil"/>
              <w:right w:val="nil"/>
            </w:tcBorders>
            <w:shd w:val="clear" w:color="auto" w:fill="auto"/>
            <w:vAlign w:val="center"/>
            <w:hideMark/>
          </w:tcPr>
          <w:p w14:paraId="56B650F3"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Output 3.1: Courts and Tribunal</w:t>
            </w:r>
          </w:p>
        </w:tc>
        <w:tc>
          <w:tcPr>
            <w:tcW w:w="571" w:type="pct"/>
            <w:tcBorders>
              <w:top w:val="nil"/>
              <w:left w:val="single" w:sz="8" w:space="0" w:color="auto"/>
              <w:bottom w:val="nil"/>
              <w:right w:val="single" w:sz="8" w:space="0" w:color="auto"/>
            </w:tcBorders>
            <w:shd w:val="clear" w:color="auto" w:fill="auto"/>
            <w:vAlign w:val="bottom"/>
            <w:hideMark/>
          </w:tcPr>
          <w:p w14:paraId="2B4C4C2D"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29132248"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w:t>
            </w:r>
          </w:p>
        </w:tc>
        <w:tc>
          <w:tcPr>
            <w:tcW w:w="409" w:type="pct"/>
            <w:tcBorders>
              <w:top w:val="nil"/>
              <w:left w:val="nil"/>
              <w:bottom w:val="nil"/>
              <w:right w:val="nil"/>
            </w:tcBorders>
            <w:shd w:val="clear" w:color="auto" w:fill="auto"/>
            <w:noWrap/>
            <w:vAlign w:val="bottom"/>
            <w:hideMark/>
          </w:tcPr>
          <w:p w14:paraId="5E16E604"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2F831AB2"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53A3E013"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27FB52BF" w14:textId="77777777" w:rsidTr="00F17320">
        <w:trPr>
          <w:trHeight w:val="287"/>
        </w:trPr>
        <w:tc>
          <w:tcPr>
            <w:tcW w:w="804" w:type="pct"/>
            <w:tcBorders>
              <w:top w:val="nil"/>
              <w:left w:val="single" w:sz="8" w:space="0" w:color="auto"/>
              <w:bottom w:val="nil"/>
              <w:right w:val="nil"/>
            </w:tcBorders>
            <w:shd w:val="clear" w:color="auto" w:fill="auto"/>
            <w:vAlign w:val="center"/>
            <w:hideMark/>
          </w:tcPr>
          <w:p w14:paraId="3DAABC05" w14:textId="77777777" w:rsidR="009231F9" w:rsidRPr="001A0758" w:rsidRDefault="009231F9" w:rsidP="009231F9">
            <w:pPr>
              <w:rPr>
                <w:rFonts w:ascii="Calibri" w:hAnsi="Calibri" w:cs="Calibri"/>
                <w:sz w:val="18"/>
                <w:szCs w:val="18"/>
                <w:lang w:eastAsia="en-AU"/>
              </w:rPr>
            </w:pPr>
            <w:r w:rsidRPr="00591BF9">
              <w:rPr>
                <w:rFonts w:ascii="Calibri" w:hAnsi="Calibri" w:cs="Calibri"/>
                <w:sz w:val="18"/>
                <w:szCs w:val="18"/>
                <w:lang w:eastAsia="en-AU"/>
              </w:rPr>
              <w:t>Accountability Indicators Output 3.1</w:t>
            </w:r>
          </w:p>
        </w:tc>
        <w:tc>
          <w:tcPr>
            <w:tcW w:w="571" w:type="pct"/>
            <w:tcBorders>
              <w:top w:val="nil"/>
              <w:left w:val="single" w:sz="8" w:space="0" w:color="auto"/>
              <w:bottom w:val="nil"/>
              <w:right w:val="single" w:sz="8" w:space="0" w:color="auto"/>
            </w:tcBorders>
            <w:shd w:val="clear" w:color="auto" w:fill="auto"/>
            <w:vAlign w:val="center"/>
            <w:hideMark/>
          </w:tcPr>
          <w:p w14:paraId="59FBD4B8"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Courts</w:t>
            </w:r>
          </w:p>
        </w:tc>
        <w:tc>
          <w:tcPr>
            <w:tcW w:w="1473" w:type="pct"/>
            <w:tcBorders>
              <w:top w:val="nil"/>
              <w:left w:val="nil"/>
              <w:bottom w:val="nil"/>
              <w:right w:val="single" w:sz="8" w:space="0" w:color="auto"/>
            </w:tcBorders>
            <w:shd w:val="clear" w:color="auto" w:fill="auto"/>
            <w:vAlign w:val="center"/>
            <w:hideMark/>
          </w:tcPr>
          <w:p w14:paraId="2D1C8CEF"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a.    Cost per finalised criminal case</w:t>
            </w:r>
            <w:r w:rsidRPr="009231F9">
              <w:rPr>
                <w:rFonts w:ascii="Calibri" w:hAnsi="Calibri" w:cs="Calibri"/>
                <w:color w:val="000000"/>
                <w:sz w:val="18"/>
                <w:szCs w:val="18"/>
                <w:vertAlign w:val="superscript"/>
                <w:lang w:eastAsia="en-AU"/>
              </w:rPr>
              <w:t xml:space="preserve"> </w:t>
            </w:r>
          </w:p>
        </w:tc>
        <w:tc>
          <w:tcPr>
            <w:tcW w:w="409" w:type="pct"/>
            <w:tcBorders>
              <w:top w:val="nil"/>
              <w:left w:val="nil"/>
              <w:bottom w:val="nil"/>
              <w:right w:val="nil"/>
            </w:tcBorders>
            <w:shd w:val="clear" w:color="auto" w:fill="auto"/>
            <w:vAlign w:val="center"/>
            <w:hideMark/>
          </w:tcPr>
          <w:p w14:paraId="3B576A7E"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vAlign w:val="center"/>
            <w:hideMark/>
          </w:tcPr>
          <w:p w14:paraId="239D2A0F"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5F634376"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16ACFD32"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6FA233A3"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3CA3F4A4"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78ED1E4D"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Supreme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3BB0714D"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$56,272</w:t>
            </w:r>
          </w:p>
        </w:tc>
        <w:tc>
          <w:tcPr>
            <w:tcW w:w="367" w:type="pct"/>
            <w:tcBorders>
              <w:top w:val="nil"/>
              <w:left w:val="single" w:sz="8" w:space="0" w:color="auto"/>
              <w:bottom w:val="nil"/>
              <w:right w:val="single" w:sz="8" w:space="0" w:color="auto"/>
            </w:tcBorders>
            <w:shd w:val="clear" w:color="auto" w:fill="auto"/>
            <w:vAlign w:val="center"/>
            <w:hideMark/>
          </w:tcPr>
          <w:p w14:paraId="7AF75E3A"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7EE6CD4E" w14:textId="6B961E56"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30AFF667"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057A28B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3A793EF0"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58704F15"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Magistrates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6796C6EC"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$2,683</w:t>
            </w:r>
          </w:p>
        </w:tc>
        <w:tc>
          <w:tcPr>
            <w:tcW w:w="367" w:type="pct"/>
            <w:tcBorders>
              <w:top w:val="nil"/>
              <w:left w:val="single" w:sz="8" w:space="0" w:color="auto"/>
              <w:bottom w:val="nil"/>
              <w:right w:val="single" w:sz="8" w:space="0" w:color="auto"/>
            </w:tcBorders>
            <w:shd w:val="clear" w:color="auto" w:fill="auto"/>
            <w:vAlign w:val="center"/>
            <w:hideMark/>
          </w:tcPr>
          <w:p w14:paraId="1E5A33F6"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0588313F" w14:textId="22116C16"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4955F796"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698CA78E"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5404E021"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5A174141"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b.    Cost per finalised civil case</w:t>
            </w:r>
            <w:r w:rsidRPr="009231F9">
              <w:rPr>
                <w:rFonts w:ascii="Calibri" w:hAnsi="Calibri" w:cs="Calibri"/>
                <w:color w:val="000000"/>
                <w:sz w:val="18"/>
                <w:szCs w:val="18"/>
                <w:vertAlign w:val="superscript"/>
                <w:lang w:eastAsia="en-AU"/>
              </w:rPr>
              <w:t xml:space="preserve"> </w:t>
            </w:r>
          </w:p>
        </w:tc>
        <w:tc>
          <w:tcPr>
            <w:tcW w:w="409" w:type="pct"/>
            <w:tcBorders>
              <w:top w:val="nil"/>
              <w:left w:val="nil"/>
              <w:bottom w:val="nil"/>
              <w:right w:val="nil"/>
            </w:tcBorders>
            <w:shd w:val="clear" w:color="auto" w:fill="auto"/>
            <w:vAlign w:val="center"/>
            <w:hideMark/>
          </w:tcPr>
          <w:p w14:paraId="492F50B3"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vAlign w:val="center"/>
            <w:hideMark/>
          </w:tcPr>
          <w:p w14:paraId="3737C70F"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71DC50B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6548A96D"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02081C00"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0C26CBB3"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47613F23"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Supreme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78BFF985"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$27,013</w:t>
            </w:r>
          </w:p>
        </w:tc>
        <w:tc>
          <w:tcPr>
            <w:tcW w:w="367" w:type="pct"/>
            <w:tcBorders>
              <w:top w:val="nil"/>
              <w:left w:val="single" w:sz="8" w:space="0" w:color="auto"/>
              <w:bottom w:val="nil"/>
              <w:right w:val="single" w:sz="8" w:space="0" w:color="auto"/>
            </w:tcBorders>
            <w:shd w:val="clear" w:color="auto" w:fill="auto"/>
            <w:vAlign w:val="center"/>
            <w:hideMark/>
          </w:tcPr>
          <w:p w14:paraId="77D44FBC"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2703D935" w14:textId="37205217"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43D40ABB"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2F98B1F6"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0FEFEB6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0226C1BD"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Magistrates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23E311AE"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$4,406</w:t>
            </w:r>
          </w:p>
        </w:tc>
        <w:tc>
          <w:tcPr>
            <w:tcW w:w="367" w:type="pct"/>
            <w:tcBorders>
              <w:top w:val="nil"/>
              <w:left w:val="single" w:sz="8" w:space="0" w:color="auto"/>
              <w:bottom w:val="nil"/>
              <w:right w:val="single" w:sz="8" w:space="0" w:color="auto"/>
            </w:tcBorders>
            <w:shd w:val="clear" w:color="auto" w:fill="auto"/>
            <w:vAlign w:val="center"/>
            <w:hideMark/>
          </w:tcPr>
          <w:p w14:paraId="592A0585"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3C22B0D5" w14:textId="7C525E0D"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4956F22F"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38AC7975"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4BBC48F5"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1147B579"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c.    Criminal Case Clearance Indicator</w:t>
            </w:r>
            <w:r w:rsidRPr="009231F9">
              <w:rPr>
                <w:rFonts w:ascii="Calibri" w:hAnsi="Calibri" w:cs="Calibri"/>
                <w:color w:val="000000"/>
                <w:sz w:val="18"/>
                <w:szCs w:val="18"/>
                <w:vertAlign w:val="superscript"/>
                <w:lang w:eastAsia="en-AU"/>
              </w:rPr>
              <w:t xml:space="preserve"> </w:t>
            </w:r>
          </w:p>
        </w:tc>
        <w:tc>
          <w:tcPr>
            <w:tcW w:w="409" w:type="pct"/>
            <w:tcBorders>
              <w:top w:val="nil"/>
              <w:left w:val="nil"/>
              <w:bottom w:val="nil"/>
              <w:right w:val="nil"/>
            </w:tcBorders>
            <w:shd w:val="clear" w:color="auto" w:fill="auto"/>
            <w:vAlign w:val="center"/>
            <w:hideMark/>
          </w:tcPr>
          <w:p w14:paraId="0709ADF7"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100%</w:t>
            </w:r>
          </w:p>
        </w:tc>
        <w:tc>
          <w:tcPr>
            <w:tcW w:w="367" w:type="pct"/>
            <w:tcBorders>
              <w:top w:val="nil"/>
              <w:left w:val="single" w:sz="8" w:space="0" w:color="auto"/>
              <w:bottom w:val="nil"/>
              <w:right w:val="single" w:sz="8" w:space="0" w:color="auto"/>
            </w:tcBorders>
            <w:shd w:val="clear" w:color="auto" w:fill="auto"/>
            <w:vAlign w:val="center"/>
            <w:hideMark/>
          </w:tcPr>
          <w:p w14:paraId="19638964"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1A9A7EB2" w14:textId="7DF5356F"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38F2F258"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2795CE64"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391B9996"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72DFDF5D"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Number of Supreme Court finalisations, divided by the number of lodgements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1188E4C1"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vAlign w:val="center"/>
            <w:hideMark/>
          </w:tcPr>
          <w:p w14:paraId="4BBC7E3A"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1943672A"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3997BF99"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5B47E45F"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7010F882"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561A97EC"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d.    Criminal Case Clearance Indicator</w:t>
            </w:r>
          </w:p>
        </w:tc>
        <w:tc>
          <w:tcPr>
            <w:tcW w:w="409" w:type="pct"/>
            <w:tcBorders>
              <w:top w:val="nil"/>
              <w:left w:val="nil"/>
              <w:bottom w:val="nil"/>
              <w:right w:val="nil"/>
            </w:tcBorders>
            <w:shd w:val="clear" w:color="auto" w:fill="auto"/>
            <w:vAlign w:val="center"/>
            <w:hideMark/>
          </w:tcPr>
          <w:p w14:paraId="55432CF2"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100%</w:t>
            </w:r>
          </w:p>
        </w:tc>
        <w:tc>
          <w:tcPr>
            <w:tcW w:w="367" w:type="pct"/>
            <w:tcBorders>
              <w:top w:val="nil"/>
              <w:left w:val="single" w:sz="8" w:space="0" w:color="auto"/>
              <w:bottom w:val="nil"/>
              <w:right w:val="single" w:sz="8" w:space="0" w:color="auto"/>
            </w:tcBorders>
            <w:shd w:val="clear" w:color="auto" w:fill="auto"/>
            <w:vAlign w:val="center"/>
            <w:hideMark/>
          </w:tcPr>
          <w:p w14:paraId="0D20358E"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27B342CF" w14:textId="1A5FC635"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28B767F5"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0D9E1A2A"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055E7EF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1539D566"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 Number of Magistrates Court finalisations, divided by the number of lodgements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noWrap/>
            <w:vAlign w:val="bottom"/>
            <w:hideMark/>
          </w:tcPr>
          <w:p w14:paraId="66BC73B5"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66AFD5CC"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02A9D44C"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132815E8"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1F1BDF3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0B4F508C"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7CD1BF3B"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e.    Civil Case Clearance Indicator</w:t>
            </w:r>
          </w:p>
        </w:tc>
        <w:tc>
          <w:tcPr>
            <w:tcW w:w="409" w:type="pct"/>
            <w:tcBorders>
              <w:top w:val="nil"/>
              <w:left w:val="nil"/>
              <w:bottom w:val="nil"/>
              <w:right w:val="nil"/>
            </w:tcBorders>
            <w:shd w:val="clear" w:color="auto" w:fill="auto"/>
            <w:vAlign w:val="center"/>
            <w:hideMark/>
          </w:tcPr>
          <w:p w14:paraId="15A2395D"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100%</w:t>
            </w:r>
          </w:p>
        </w:tc>
        <w:tc>
          <w:tcPr>
            <w:tcW w:w="367" w:type="pct"/>
            <w:tcBorders>
              <w:top w:val="nil"/>
              <w:left w:val="single" w:sz="8" w:space="0" w:color="auto"/>
              <w:bottom w:val="nil"/>
              <w:right w:val="single" w:sz="8" w:space="0" w:color="auto"/>
            </w:tcBorders>
            <w:shd w:val="clear" w:color="auto" w:fill="auto"/>
            <w:vAlign w:val="center"/>
            <w:hideMark/>
          </w:tcPr>
          <w:p w14:paraId="0B7F733D"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3374A575" w14:textId="5E1633CA"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5288308C"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03DD2F3D"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5769F55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16F64E65"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Number of Supreme Court finalisations, divided by the number of lodgements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noWrap/>
            <w:vAlign w:val="bottom"/>
            <w:hideMark/>
          </w:tcPr>
          <w:p w14:paraId="022A4439"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2A87F5C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3CECC08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45C9B632"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4DBB4E37"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25B46847"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15112C89"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f.    Civil Case Clearance Indicator</w:t>
            </w:r>
          </w:p>
        </w:tc>
        <w:tc>
          <w:tcPr>
            <w:tcW w:w="409" w:type="pct"/>
            <w:tcBorders>
              <w:top w:val="nil"/>
              <w:left w:val="nil"/>
              <w:bottom w:val="nil"/>
              <w:right w:val="nil"/>
            </w:tcBorders>
            <w:shd w:val="clear" w:color="auto" w:fill="auto"/>
            <w:vAlign w:val="center"/>
            <w:hideMark/>
          </w:tcPr>
          <w:p w14:paraId="4EE634D9"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100%</w:t>
            </w:r>
          </w:p>
        </w:tc>
        <w:tc>
          <w:tcPr>
            <w:tcW w:w="367" w:type="pct"/>
            <w:tcBorders>
              <w:top w:val="nil"/>
              <w:left w:val="single" w:sz="8" w:space="0" w:color="auto"/>
              <w:bottom w:val="nil"/>
              <w:right w:val="single" w:sz="8" w:space="0" w:color="auto"/>
            </w:tcBorders>
            <w:shd w:val="clear" w:color="auto" w:fill="auto"/>
            <w:vAlign w:val="center"/>
            <w:hideMark/>
          </w:tcPr>
          <w:p w14:paraId="708641B2"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1376" w:type="pct"/>
            <w:tcBorders>
              <w:top w:val="nil"/>
              <w:left w:val="nil"/>
              <w:bottom w:val="nil"/>
              <w:right w:val="single" w:sz="8" w:space="0" w:color="auto"/>
            </w:tcBorders>
            <w:shd w:val="clear" w:color="auto" w:fill="auto"/>
            <w:vAlign w:val="center"/>
            <w:hideMark/>
          </w:tcPr>
          <w:p w14:paraId="699333D6" w14:textId="08A19042"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D</w:t>
            </w:r>
            <w:r w:rsidR="009231F9" w:rsidRPr="009231F9">
              <w:rPr>
                <w:rFonts w:ascii="Calibri" w:hAnsi="Calibri" w:cs="Calibri"/>
                <w:color w:val="000000"/>
                <w:sz w:val="18"/>
                <w:szCs w:val="18"/>
                <w:lang w:eastAsia="en-AU"/>
              </w:rPr>
              <w:t>iscontinue this indicator in 2024-25 targets.</w:t>
            </w:r>
          </w:p>
        </w:tc>
      </w:tr>
      <w:tr w:rsidR="00F17320" w:rsidRPr="00F8038E" w14:paraId="2C7EBCEE"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665F6B36"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75A0E8A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390A6067"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 Number of Magistrates Court finalisations, divided by the number of lodgements </w:t>
            </w:r>
            <w:r w:rsidRPr="009231F9">
              <w:rPr>
                <w:rFonts w:ascii="Calibri" w:hAnsi="Calibri" w:cs="Calibri"/>
                <w:color w:val="000000"/>
                <w:sz w:val="18"/>
                <w:szCs w:val="18"/>
                <w:vertAlign w:val="superscript"/>
                <w:lang w:eastAsia="en-AU"/>
              </w:rPr>
              <w:t>a</w:t>
            </w:r>
            <w:r w:rsidRPr="009231F9">
              <w:rPr>
                <w:rFonts w:ascii="Calibri" w:hAnsi="Calibri" w:cs="Calibri"/>
                <w:color w:val="000000"/>
                <w:sz w:val="18"/>
                <w:szCs w:val="18"/>
                <w:lang w:eastAsia="en-AU"/>
              </w:rPr>
              <w:t xml:space="preserve"> </w:t>
            </w:r>
          </w:p>
        </w:tc>
        <w:tc>
          <w:tcPr>
            <w:tcW w:w="409" w:type="pct"/>
            <w:tcBorders>
              <w:top w:val="nil"/>
              <w:left w:val="nil"/>
              <w:bottom w:val="nil"/>
              <w:right w:val="nil"/>
            </w:tcBorders>
            <w:shd w:val="clear" w:color="auto" w:fill="auto"/>
            <w:noWrap/>
            <w:vAlign w:val="bottom"/>
            <w:hideMark/>
          </w:tcPr>
          <w:p w14:paraId="5E21347F"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3AE7C740"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68D3B74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396503E5"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1522D313"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740846D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7C934048"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w:t>
            </w:r>
          </w:p>
        </w:tc>
        <w:tc>
          <w:tcPr>
            <w:tcW w:w="409" w:type="pct"/>
            <w:tcBorders>
              <w:top w:val="nil"/>
              <w:left w:val="nil"/>
              <w:bottom w:val="nil"/>
              <w:right w:val="nil"/>
            </w:tcBorders>
            <w:shd w:val="clear" w:color="auto" w:fill="auto"/>
            <w:noWrap/>
            <w:vAlign w:val="bottom"/>
            <w:hideMark/>
          </w:tcPr>
          <w:p w14:paraId="38160CC2"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40F4390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743CB77A"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2E27960A"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7353306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59757CF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0B4818ED"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w:t>
            </w:r>
          </w:p>
        </w:tc>
        <w:tc>
          <w:tcPr>
            <w:tcW w:w="409" w:type="pct"/>
            <w:tcBorders>
              <w:top w:val="nil"/>
              <w:left w:val="nil"/>
              <w:bottom w:val="nil"/>
              <w:right w:val="nil"/>
            </w:tcBorders>
            <w:shd w:val="clear" w:color="auto" w:fill="auto"/>
            <w:noWrap/>
            <w:vAlign w:val="bottom"/>
            <w:hideMark/>
          </w:tcPr>
          <w:p w14:paraId="67F105FA"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247F256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3CCADB9A"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2AA8E503"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3FB3D91F"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719D4BC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3A712979"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a.    Cost per finalisation</w:t>
            </w:r>
            <w:r w:rsidRPr="009231F9">
              <w:rPr>
                <w:rFonts w:ascii="Calibri" w:hAnsi="Calibri" w:cs="Calibri"/>
                <w:color w:val="000000"/>
                <w:sz w:val="18"/>
                <w:szCs w:val="18"/>
                <w:vertAlign w:val="superscript"/>
                <w:lang w:eastAsia="en-AU"/>
              </w:rPr>
              <w:t xml:space="preserve"> b</w:t>
            </w:r>
          </w:p>
        </w:tc>
        <w:tc>
          <w:tcPr>
            <w:tcW w:w="409" w:type="pct"/>
            <w:tcBorders>
              <w:top w:val="nil"/>
              <w:left w:val="nil"/>
              <w:bottom w:val="nil"/>
              <w:right w:val="nil"/>
            </w:tcBorders>
            <w:shd w:val="clear" w:color="auto" w:fill="auto"/>
            <w:noWrap/>
            <w:vAlign w:val="bottom"/>
            <w:hideMark/>
          </w:tcPr>
          <w:p w14:paraId="2250DD80"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134E497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3D6575D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281163DA"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2C66620F"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6ECC953D"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3986436A"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Supreme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6ED515E4"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367" w:type="pct"/>
            <w:tcBorders>
              <w:top w:val="nil"/>
              <w:left w:val="single" w:sz="8" w:space="0" w:color="auto"/>
              <w:bottom w:val="nil"/>
              <w:right w:val="single" w:sz="8" w:space="0" w:color="auto"/>
            </w:tcBorders>
            <w:shd w:val="clear" w:color="auto" w:fill="auto"/>
            <w:vAlign w:val="center"/>
            <w:hideMark/>
          </w:tcPr>
          <w:p w14:paraId="7FB5CA9A"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$39,714</w:t>
            </w:r>
          </w:p>
        </w:tc>
        <w:tc>
          <w:tcPr>
            <w:tcW w:w="1376" w:type="pct"/>
            <w:tcBorders>
              <w:top w:val="nil"/>
              <w:left w:val="nil"/>
              <w:bottom w:val="nil"/>
              <w:right w:val="single" w:sz="8" w:space="0" w:color="auto"/>
            </w:tcBorders>
            <w:shd w:val="clear" w:color="auto" w:fill="auto"/>
            <w:vAlign w:val="center"/>
            <w:hideMark/>
          </w:tcPr>
          <w:p w14:paraId="7C2A8308" w14:textId="776B1A14"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I</w:t>
            </w:r>
            <w:r w:rsidR="009231F9" w:rsidRPr="009231F9">
              <w:rPr>
                <w:rFonts w:ascii="Calibri" w:hAnsi="Calibri" w:cs="Calibri"/>
                <w:color w:val="000000"/>
                <w:sz w:val="18"/>
                <w:szCs w:val="18"/>
                <w:lang w:eastAsia="en-AU"/>
              </w:rPr>
              <w:t xml:space="preserve">ntroduce new indicator in 2024-25 </w:t>
            </w:r>
            <w:r w:rsidRPr="00F8038E">
              <w:rPr>
                <w:rFonts w:ascii="Calibri" w:hAnsi="Calibri" w:cs="Calibri"/>
                <w:color w:val="000000"/>
                <w:sz w:val="18"/>
                <w:szCs w:val="18"/>
                <w:lang w:eastAsia="en-AU"/>
              </w:rPr>
              <w:t>targets.</w:t>
            </w:r>
          </w:p>
        </w:tc>
      </w:tr>
      <w:tr w:rsidR="00F17320" w:rsidRPr="00F8038E" w14:paraId="580C0567" w14:textId="77777777" w:rsidTr="00F17320">
        <w:trPr>
          <w:trHeight w:val="346"/>
        </w:trPr>
        <w:tc>
          <w:tcPr>
            <w:tcW w:w="804" w:type="pct"/>
            <w:tcBorders>
              <w:top w:val="nil"/>
              <w:left w:val="single" w:sz="8" w:space="0" w:color="auto"/>
              <w:bottom w:val="nil"/>
              <w:right w:val="nil"/>
            </w:tcBorders>
            <w:shd w:val="clear" w:color="auto" w:fill="auto"/>
            <w:vAlign w:val="bottom"/>
            <w:hideMark/>
          </w:tcPr>
          <w:p w14:paraId="3E3066F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61EB7B48"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21E559AB"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Magistrates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76ADA6CC"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367" w:type="pct"/>
            <w:tcBorders>
              <w:top w:val="nil"/>
              <w:left w:val="single" w:sz="8" w:space="0" w:color="auto"/>
              <w:bottom w:val="nil"/>
              <w:right w:val="single" w:sz="8" w:space="0" w:color="auto"/>
            </w:tcBorders>
            <w:shd w:val="clear" w:color="auto" w:fill="auto"/>
            <w:vAlign w:val="center"/>
            <w:hideMark/>
          </w:tcPr>
          <w:p w14:paraId="7EE4CA5B"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$3,173</w:t>
            </w:r>
          </w:p>
        </w:tc>
        <w:tc>
          <w:tcPr>
            <w:tcW w:w="1376" w:type="pct"/>
            <w:tcBorders>
              <w:top w:val="nil"/>
              <w:left w:val="nil"/>
              <w:bottom w:val="nil"/>
              <w:right w:val="single" w:sz="8" w:space="0" w:color="auto"/>
            </w:tcBorders>
            <w:shd w:val="clear" w:color="auto" w:fill="auto"/>
            <w:vAlign w:val="center"/>
            <w:hideMark/>
          </w:tcPr>
          <w:p w14:paraId="2A33F4C7" w14:textId="4F3CA016"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I</w:t>
            </w:r>
            <w:r w:rsidR="009231F9" w:rsidRPr="009231F9">
              <w:rPr>
                <w:rFonts w:ascii="Calibri" w:hAnsi="Calibri" w:cs="Calibri"/>
                <w:color w:val="000000"/>
                <w:sz w:val="18"/>
                <w:szCs w:val="18"/>
                <w:lang w:eastAsia="en-AU"/>
              </w:rPr>
              <w:t>ntroduce new indicator in 2024-25 targets.</w:t>
            </w:r>
          </w:p>
        </w:tc>
      </w:tr>
      <w:tr w:rsidR="00F17320" w:rsidRPr="00F8038E" w14:paraId="057B5B72"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60382B30"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65DDCA6B"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08AB5FFD"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w:t>
            </w:r>
          </w:p>
        </w:tc>
        <w:tc>
          <w:tcPr>
            <w:tcW w:w="409" w:type="pct"/>
            <w:tcBorders>
              <w:top w:val="nil"/>
              <w:left w:val="nil"/>
              <w:bottom w:val="nil"/>
              <w:right w:val="nil"/>
            </w:tcBorders>
            <w:shd w:val="clear" w:color="auto" w:fill="auto"/>
            <w:noWrap/>
            <w:vAlign w:val="bottom"/>
            <w:hideMark/>
          </w:tcPr>
          <w:p w14:paraId="318E1CB7"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noWrap/>
            <w:vAlign w:val="bottom"/>
            <w:hideMark/>
          </w:tcPr>
          <w:p w14:paraId="33F06DFA"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29B7CCF7"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77FC0334"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686FD63D"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lastRenderedPageBreak/>
              <w:t> </w:t>
            </w:r>
          </w:p>
        </w:tc>
        <w:tc>
          <w:tcPr>
            <w:tcW w:w="571" w:type="pct"/>
            <w:tcBorders>
              <w:top w:val="nil"/>
              <w:left w:val="single" w:sz="8" w:space="0" w:color="auto"/>
              <w:bottom w:val="nil"/>
              <w:right w:val="single" w:sz="8" w:space="0" w:color="auto"/>
            </w:tcBorders>
            <w:shd w:val="clear" w:color="auto" w:fill="auto"/>
            <w:vAlign w:val="bottom"/>
            <w:hideMark/>
          </w:tcPr>
          <w:p w14:paraId="257ADA5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7517494B"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b.    Case Clearance Indicator</w:t>
            </w:r>
          </w:p>
        </w:tc>
        <w:tc>
          <w:tcPr>
            <w:tcW w:w="409" w:type="pct"/>
            <w:tcBorders>
              <w:top w:val="nil"/>
              <w:left w:val="nil"/>
              <w:bottom w:val="nil"/>
              <w:right w:val="nil"/>
            </w:tcBorders>
            <w:shd w:val="clear" w:color="auto" w:fill="auto"/>
            <w:vAlign w:val="center"/>
            <w:hideMark/>
          </w:tcPr>
          <w:p w14:paraId="1963AE98" w14:textId="77777777" w:rsidR="009231F9" w:rsidRPr="009231F9" w:rsidRDefault="009231F9" w:rsidP="009231F9">
            <w:pPr>
              <w:rPr>
                <w:rFonts w:ascii="Calibri" w:hAnsi="Calibri" w:cs="Calibri"/>
                <w:sz w:val="18"/>
                <w:szCs w:val="18"/>
                <w:lang w:eastAsia="en-AU"/>
              </w:rPr>
            </w:pPr>
          </w:p>
        </w:tc>
        <w:tc>
          <w:tcPr>
            <w:tcW w:w="367" w:type="pct"/>
            <w:tcBorders>
              <w:top w:val="nil"/>
              <w:left w:val="single" w:sz="8" w:space="0" w:color="auto"/>
              <w:bottom w:val="nil"/>
              <w:right w:val="single" w:sz="8" w:space="0" w:color="auto"/>
            </w:tcBorders>
            <w:shd w:val="clear" w:color="auto" w:fill="auto"/>
            <w:vAlign w:val="center"/>
            <w:hideMark/>
          </w:tcPr>
          <w:p w14:paraId="202DC9DF"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376" w:type="pct"/>
            <w:tcBorders>
              <w:top w:val="nil"/>
              <w:left w:val="nil"/>
              <w:bottom w:val="nil"/>
              <w:right w:val="single" w:sz="8" w:space="0" w:color="auto"/>
            </w:tcBorders>
            <w:shd w:val="clear" w:color="auto" w:fill="auto"/>
            <w:noWrap/>
            <w:vAlign w:val="bottom"/>
            <w:hideMark/>
          </w:tcPr>
          <w:p w14:paraId="17A642E3"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r>
      <w:tr w:rsidR="00F17320" w:rsidRPr="00F8038E" w14:paraId="54CEEDD5" w14:textId="77777777" w:rsidTr="00F17320">
        <w:trPr>
          <w:trHeight w:val="287"/>
        </w:trPr>
        <w:tc>
          <w:tcPr>
            <w:tcW w:w="804" w:type="pct"/>
            <w:tcBorders>
              <w:top w:val="nil"/>
              <w:left w:val="single" w:sz="8" w:space="0" w:color="auto"/>
              <w:bottom w:val="nil"/>
              <w:right w:val="nil"/>
            </w:tcBorders>
            <w:shd w:val="clear" w:color="auto" w:fill="auto"/>
            <w:vAlign w:val="bottom"/>
            <w:hideMark/>
          </w:tcPr>
          <w:p w14:paraId="1A13DA01"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nil"/>
              <w:right w:val="single" w:sz="8" w:space="0" w:color="auto"/>
            </w:tcBorders>
            <w:shd w:val="clear" w:color="auto" w:fill="auto"/>
            <w:vAlign w:val="bottom"/>
            <w:hideMark/>
          </w:tcPr>
          <w:p w14:paraId="069F1270"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nil"/>
              <w:right w:val="single" w:sz="8" w:space="0" w:color="auto"/>
            </w:tcBorders>
            <w:shd w:val="clear" w:color="auto" w:fill="auto"/>
            <w:vAlign w:val="center"/>
            <w:hideMark/>
          </w:tcPr>
          <w:p w14:paraId="1F92FD66"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Supreme Court </w:t>
            </w:r>
            <w:r w:rsidRPr="009231F9">
              <w:rPr>
                <w:rFonts w:ascii="Calibri" w:hAnsi="Calibri" w:cs="Calibri"/>
                <w:color w:val="000000"/>
                <w:sz w:val="18"/>
                <w:szCs w:val="18"/>
                <w:vertAlign w:val="superscript"/>
                <w:lang w:eastAsia="en-AU"/>
              </w:rPr>
              <w:t>a</w:t>
            </w:r>
          </w:p>
        </w:tc>
        <w:tc>
          <w:tcPr>
            <w:tcW w:w="409" w:type="pct"/>
            <w:tcBorders>
              <w:top w:val="nil"/>
              <w:left w:val="nil"/>
              <w:bottom w:val="nil"/>
              <w:right w:val="nil"/>
            </w:tcBorders>
            <w:shd w:val="clear" w:color="auto" w:fill="auto"/>
            <w:vAlign w:val="center"/>
            <w:hideMark/>
          </w:tcPr>
          <w:p w14:paraId="650FFA0F"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367" w:type="pct"/>
            <w:tcBorders>
              <w:top w:val="nil"/>
              <w:left w:val="single" w:sz="8" w:space="0" w:color="auto"/>
              <w:bottom w:val="nil"/>
              <w:right w:val="single" w:sz="8" w:space="0" w:color="auto"/>
            </w:tcBorders>
            <w:shd w:val="clear" w:color="auto" w:fill="auto"/>
            <w:vAlign w:val="center"/>
            <w:hideMark/>
          </w:tcPr>
          <w:p w14:paraId="30F900A5"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100%</w:t>
            </w:r>
          </w:p>
        </w:tc>
        <w:tc>
          <w:tcPr>
            <w:tcW w:w="1376" w:type="pct"/>
            <w:tcBorders>
              <w:top w:val="nil"/>
              <w:left w:val="nil"/>
              <w:bottom w:val="nil"/>
              <w:right w:val="single" w:sz="8" w:space="0" w:color="auto"/>
            </w:tcBorders>
            <w:shd w:val="clear" w:color="auto" w:fill="auto"/>
            <w:vAlign w:val="center"/>
            <w:hideMark/>
          </w:tcPr>
          <w:p w14:paraId="5B9A82B2" w14:textId="3EFD7AFB"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I</w:t>
            </w:r>
            <w:r w:rsidR="009231F9" w:rsidRPr="009231F9">
              <w:rPr>
                <w:rFonts w:ascii="Calibri" w:hAnsi="Calibri" w:cs="Calibri"/>
                <w:color w:val="000000"/>
                <w:sz w:val="18"/>
                <w:szCs w:val="18"/>
                <w:lang w:eastAsia="en-AU"/>
              </w:rPr>
              <w:t>ntroduce new indicator in 2024-25 targets.</w:t>
            </w:r>
          </w:p>
        </w:tc>
      </w:tr>
      <w:tr w:rsidR="00F17320" w:rsidRPr="00F8038E" w14:paraId="79A1CAAB" w14:textId="77777777" w:rsidTr="00F17320">
        <w:trPr>
          <w:trHeight w:val="296"/>
        </w:trPr>
        <w:tc>
          <w:tcPr>
            <w:tcW w:w="804" w:type="pct"/>
            <w:tcBorders>
              <w:top w:val="nil"/>
              <w:left w:val="single" w:sz="8" w:space="0" w:color="auto"/>
              <w:bottom w:val="single" w:sz="8" w:space="0" w:color="auto"/>
              <w:right w:val="nil"/>
            </w:tcBorders>
            <w:shd w:val="clear" w:color="auto" w:fill="auto"/>
            <w:vAlign w:val="bottom"/>
            <w:hideMark/>
          </w:tcPr>
          <w:p w14:paraId="2186F047"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571" w:type="pct"/>
            <w:tcBorders>
              <w:top w:val="nil"/>
              <w:left w:val="single" w:sz="8" w:space="0" w:color="auto"/>
              <w:bottom w:val="single" w:sz="8" w:space="0" w:color="auto"/>
              <w:right w:val="single" w:sz="8" w:space="0" w:color="auto"/>
            </w:tcBorders>
            <w:shd w:val="clear" w:color="auto" w:fill="auto"/>
            <w:vAlign w:val="bottom"/>
            <w:hideMark/>
          </w:tcPr>
          <w:p w14:paraId="50BC9CD9" w14:textId="77777777" w:rsidR="009231F9" w:rsidRPr="009231F9" w:rsidRDefault="009231F9" w:rsidP="009231F9">
            <w:pPr>
              <w:rPr>
                <w:rFonts w:ascii="Calibri" w:hAnsi="Calibri" w:cs="Calibri"/>
                <w:color w:val="000000"/>
                <w:sz w:val="18"/>
                <w:szCs w:val="18"/>
                <w:lang w:eastAsia="en-AU"/>
              </w:rPr>
            </w:pPr>
            <w:r w:rsidRPr="009231F9">
              <w:rPr>
                <w:rFonts w:ascii="Calibri" w:hAnsi="Calibri" w:cs="Calibri"/>
                <w:color w:val="000000"/>
                <w:sz w:val="18"/>
                <w:szCs w:val="18"/>
                <w:lang w:eastAsia="en-AU"/>
              </w:rPr>
              <w:t> </w:t>
            </w:r>
          </w:p>
        </w:tc>
        <w:tc>
          <w:tcPr>
            <w:tcW w:w="1473" w:type="pct"/>
            <w:tcBorders>
              <w:top w:val="nil"/>
              <w:left w:val="nil"/>
              <w:bottom w:val="single" w:sz="8" w:space="0" w:color="auto"/>
              <w:right w:val="single" w:sz="8" w:space="0" w:color="auto"/>
            </w:tcBorders>
            <w:shd w:val="clear" w:color="auto" w:fill="auto"/>
            <w:vAlign w:val="center"/>
            <w:hideMark/>
          </w:tcPr>
          <w:p w14:paraId="6EDA0E7D" w14:textId="77777777" w:rsidR="009231F9" w:rsidRPr="009231F9" w:rsidRDefault="009231F9" w:rsidP="009231F9">
            <w:pPr>
              <w:rPr>
                <w:rFonts w:ascii="Calibri" w:hAnsi="Calibri" w:cs="Calibri"/>
                <w:sz w:val="18"/>
                <w:szCs w:val="18"/>
                <w:lang w:eastAsia="en-AU"/>
              </w:rPr>
            </w:pPr>
            <w:r w:rsidRPr="009231F9">
              <w:rPr>
                <w:rFonts w:ascii="Calibri" w:hAnsi="Calibri" w:cs="Calibri"/>
                <w:sz w:val="18"/>
                <w:szCs w:val="18"/>
                <w:lang w:eastAsia="en-AU"/>
              </w:rPr>
              <w:t xml:space="preserve">–  Magistrates Court </w:t>
            </w:r>
            <w:r w:rsidRPr="009231F9">
              <w:rPr>
                <w:rFonts w:ascii="Calibri" w:hAnsi="Calibri" w:cs="Calibri"/>
                <w:color w:val="000000"/>
                <w:sz w:val="18"/>
                <w:szCs w:val="18"/>
                <w:vertAlign w:val="superscript"/>
                <w:lang w:eastAsia="en-AU"/>
              </w:rPr>
              <w:t>a</w:t>
            </w:r>
          </w:p>
        </w:tc>
        <w:tc>
          <w:tcPr>
            <w:tcW w:w="409" w:type="pct"/>
            <w:tcBorders>
              <w:top w:val="nil"/>
              <w:left w:val="nil"/>
              <w:bottom w:val="single" w:sz="8" w:space="0" w:color="auto"/>
              <w:right w:val="nil"/>
            </w:tcBorders>
            <w:shd w:val="clear" w:color="auto" w:fill="auto"/>
            <w:vAlign w:val="center"/>
            <w:hideMark/>
          </w:tcPr>
          <w:p w14:paraId="3E6AD390"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n/a</w:t>
            </w:r>
          </w:p>
        </w:tc>
        <w:tc>
          <w:tcPr>
            <w:tcW w:w="367" w:type="pct"/>
            <w:tcBorders>
              <w:top w:val="nil"/>
              <w:left w:val="single" w:sz="8" w:space="0" w:color="auto"/>
              <w:bottom w:val="single" w:sz="8" w:space="0" w:color="auto"/>
              <w:right w:val="single" w:sz="8" w:space="0" w:color="auto"/>
            </w:tcBorders>
            <w:shd w:val="clear" w:color="auto" w:fill="auto"/>
            <w:vAlign w:val="center"/>
            <w:hideMark/>
          </w:tcPr>
          <w:p w14:paraId="2343026C" w14:textId="77777777" w:rsidR="009231F9" w:rsidRPr="009231F9" w:rsidRDefault="009231F9" w:rsidP="009231F9">
            <w:pPr>
              <w:jc w:val="right"/>
              <w:rPr>
                <w:rFonts w:ascii="Calibri" w:hAnsi="Calibri" w:cs="Calibri"/>
                <w:color w:val="000000"/>
                <w:sz w:val="18"/>
                <w:szCs w:val="18"/>
                <w:lang w:eastAsia="en-AU"/>
              </w:rPr>
            </w:pPr>
            <w:r w:rsidRPr="009231F9">
              <w:rPr>
                <w:rFonts w:ascii="Calibri" w:hAnsi="Calibri" w:cs="Calibri"/>
                <w:color w:val="000000"/>
                <w:sz w:val="18"/>
                <w:szCs w:val="18"/>
                <w:lang w:eastAsia="en-AU"/>
              </w:rPr>
              <w:t>100%</w:t>
            </w:r>
          </w:p>
        </w:tc>
        <w:tc>
          <w:tcPr>
            <w:tcW w:w="1376" w:type="pct"/>
            <w:tcBorders>
              <w:top w:val="nil"/>
              <w:left w:val="nil"/>
              <w:bottom w:val="single" w:sz="8" w:space="0" w:color="auto"/>
              <w:right w:val="single" w:sz="8" w:space="0" w:color="auto"/>
            </w:tcBorders>
            <w:shd w:val="clear" w:color="auto" w:fill="auto"/>
            <w:vAlign w:val="center"/>
            <w:hideMark/>
          </w:tcPr>
          <w:p w14:paraId="5CC0AB2B" w14:textId="2E05F3D3" w:rsidR="009231F9" w:rsidRPr="009231F9" w:rsidRDefault="00F8038E" w:rsidP="009231F9">
            <w:pPr>
              <w:ind w:firstLineChars="100" w:firstLine="180"/>
              <w:rPr>
                <w:rFonts w:ascii="Calibri" w:hAnsi="Calibri" w:cs="Calibri"/>
                <w:color w:val="000000"/>
                <w:sz w:val="18"/>
                <w:szCs w:val="18"/>
                <w:lang w:eastAsia="en-AU"/>
              </w:rPr>
            </w:pPr>
            <w:r w:rsidRPr="00F8038E">
              <w:rPr>
                <w:rFonts w:ascii="Calibri" w:hAnsi="Calibri" w:cs="Calibri"/>
                <w:color w:val="000000"/>
                <w:sz w:val="18"/>
                <w:szCs w:val="18"/>
                <w:lang w:eastAsia="en-AU"/>
              </w:rPr>
              <w:t>I</w:t>
            </w:r>
            <w:r w:rsidR="009231F9" w:rsidRPr="009231F9">
              <w:rPr>
                <w:rFonts w:ascii="Calibri" w:hAnsi="Calibri" w:cs="Calibri"/>
                <w:color w:val="000000"/>
                <w:sz w:val="18"/>
                <w:szCs w:val="18"/>
                <w:lang w:eastAsia="en-AU"/>
              </w:rPr>
              <w:t>ntroduce new indicator in 2024-25 targets.</w:t>
            </w:r>
          </w:p>
        </w:tc>
      </w:tr>
    </w:tbl>
    <w:p w14:paraId="2AEDB687" w14:textId="77777777" w:rsidR="009231F9" w:rsidRDefault="009231F9" w:rsidP="00C76924">
      <w:pPr>
        <w:pStyle w:val="BodyText2"/>
        <w:ind w:left="0"/>
        <w:rPr>
          <w:rFonts w:ascii="Calibri" w:hAnsi="Calibri" w:cs="Calibri"/>
          <w:b/>
          <w:bCs/>
        </w:rPr>
      </w:pPr>
    </w:p>
    <w:p w14:paraId="58584094" w14:textId="77777777" w:rsidR="005C3B24" w:rsidRDefault="005C3B24" w:rsidP="00F8038E">
      <w:pPr>
        <w:pStyle w:val="BodyText2"/>
        <w:ind w:left="0"/>
        <w:rPr>
          <w:rFonts w:ascii="Calibri" w:hAnsi="Calibri" w:cs="Calibri"/>
          <w:b/>
          <w:bCs/>
        </w:rPr>
      </w:pPr>
    </w:p>
    <w:p w14:paraId="0C6594D7" w14:textId="6C6D05DA" w:rsidR="00F8038E" w:rsidRDefault="00F8038E" w:rsidP="00F8038E">
      <w:pPr>
        <w:pStyle w:val="BodyText2"/>
        <w:ind w:left="0"/>
        <w:rPr>
          <w:rFonts w:ascii="Calibri" w:hAnsi="Calibri" w:cs="Calibri"/>
          <w:b/>
          <w:bCs/>
        </w:rPr>
      </w:pPr>
      <w:r>
        <w:rPr>
          <w:rFonts w:ascii="Calibri" w:hAnsi="Calibri" w:cs="Calibri"/>
          <w:b/>
          <w:bCs/>
        </w:rPr>
        <w:t>Schedule B</w:t>
      </w:r>
    </w:p>
    <w:p w14:paraId="76D76FE3" w14:textId="66B9B5A6" w:rsidR="00F17320" w:rsidRPr="00F17320" w:rsidRDefault="00F17320" w:rsidP="00F17320">
      <w:pPr>
        <w:pStyle w:val="BodyText2"/>
        <w:ind w:left="0"/>
        <w:rPr>
          <w:rFonts w:ascii="Calibri" w:hAnsi="Calibri" w:cs="Calibri"/>
        </w:rPr>
      </w:pPr>
      <w:r w:rsidRPr="00F17320">
        <w:rPr>
          <w:rFonts w:ascii="Calibri" w:hAnsi="Calibri" w:cs="Calibri"/>
        </w:rPr>
        <w:t xml:space="preserve">The amendments for Accountability Indicators Output 3.1 are explained below and can be linked to each indicator, </w:t>
      </w:r>
      <w:r w:rsidR="00DD56C6">
        <w:rPr>
          <w:rFonts w:ascii="Calibri" w:hAnsi="Calibri" w:cs="Calibri"/>
        </w:rPr>
        <w:t xml:space="preserve">with a </w:t>
      </w:r>
      <w:r w:rsidRPr="00F17320">
        <w:rPr>
          <w:rFonts w:ascii="Calibri" w:hAnsi="Calibri" w:cs="Calibri"/>
        </w:rPr>
        <w:t>reference</w:t>
      </w:r>
      <w:r w:rsidR="00DD56C6">
        <w:rPr>
          <w:rFonts w:ascii="Calibri" w:hAnsi="Calibri" w:cs="Calibri"/>
        </w:rPr>
        <w:t>d</w:t>
      </w:r>
      <w:r w:rsidRPr="00F17320">
        <w:rPr>
          <w:rFonts w:ascii="Calibri" w:hAnsi="Calibri" w:cs="Calibri"/>
        </w:rPr>
        <w:t xml:space="preserve"> letter</w:t>
      </w:r>
      <w:r w:rsidR="00DD56C6">
        <w:rPr>
          <w:rFonts w:ascii="Calibri" w:hAnsi="Calibri" w:cs="Calibri"/>
        </w:rPr>
        <w:t xml:space="preserve"> of</w:t>
      </w:r>
      <w:r w:rsidRPr="00F17320">
        <w:rPr>
          <w:rFonts w:ascii="Calibri" w:hAnsi="Calibri" w:cs="Calibri"/>
        </w:rPr>
        <w:t xml:space="preserve"> (a) </w:t>
      </w:r>
      <w:r w:rsidR="00DD56C6">
        <w:rPr>
          <w:rFonts w:ascii="Calibri" w:hAnsi="Calibri" w:cs="Calibri"/>
        </w:rPr>
        <w:t>or</w:t>
      </w:r>
      <w:r w:rsidRPr="00F17320">
        <w:rPr>
          <w:rFonts w:ascii="Calibri" w:hAnsi="Calibri" w:cs="Calibri"/>
        </w:rPr>
        <w:t xml:space="preserve"> (b).</w:t>
      </w:r>
    </w:p>
    <w:p w14:paraId="41EC3E6B" w14:textId="77777777" w:rsidR="00F17320" w:rsidRPr="00F17320" w:rsidRDefault="00F17320" w:rsidP="00F17320">
      <w:pPr>
        <w:pStyle w:val="BodyText2"/>
        <w:ind w:left="0"/>
        <w:rPr>
          <w:rFonts w:ascii="Calibri" w:hAnsi="Calibri" w:cs="Calibri"/>
        </w:rPr>
      </w:pPr>
    </w:p>
    <w:p w14:paraId="5D4D1318" w14:textId="70E273C8" w:rsidR="00F17320" w:rsidRDefault="00F17320" w:rsidP="00F17320">
      <w:pPr>
        <w:pStyle w:val="BodyText2"/>
        <w:numPr>
          <w:ilvl w:val="0"/>
          <w:numId w:val="1"/>
        </w:numPr>
        <w:ind w:left="0"/>
        <w:rPr>
          <w:rFonts w:ascii="Calibri" w:hAnsi="Calibri" w:cs="Calibri"/>
        </w:rPr>
      </w:pPr>
      <w:r w:rsidRPr="00F17320">
        <w:rPr>
          <w:rFonts w:ascii="Calibri" w:hAnsi="Calibri" w:cs="Calibri"/>
        </w:rPr>
        <w:t>Civil and Criminal divisions within Supreme Court and Magistrates Court respectively have been combined for reporting of cost per finalised case and timely completion to provide clearer accountability and minimise periodic variations in division resourcing that lead to significant, but temporary deviations from target. Supreme Court includes Court of Appeal.</w:t>
      </w:r>
    </w:p>
    <w:p w14:paraId="08B42563" w14:textId="77777777" w:rsidR="00F17320" w:rsidRDefault="00F17320" w:rsidP="00F17320">
      <w:pPr>
        <w:pStyle w:val="BodyText2"/>
        <w:ind w:left="0"/>
        <w:rPr>
          <w:rFonts w:ascii="Calibri" w:hAnsi="Calibri" w:cs="Calibri"/>
        </w:rPr>
      </w:pPr>
    </w:p>
    <w:p w14:paraId="11463E2B" w14:textId="220A859A" w:rsidR="00F8038E" w:rsidRPr="00F8038E" w:rsidRDefault="00F17320" w:rsidP="00F17320">
      <w:pPr>
        <w:pStyle w:val="BodyText2"/>
        <w:numPr>
          <w:ilvl w:val="0"/>
          <w:numId w:val="1"/>
        </w:numPr>
        <w:ind w:left="0"/>
        <w:rPr>
          <w:rFonts w:ascii="Calibri" w:hAnsi="Calibri" w:cs="Calibri"/>
        </w:rPr>
      </w:pPr>
      <w:r w:rsidRPr="00F17320">
        <w:rPr>
          <w:rFonts w:ascii="Calibri" w:hAnsi="Calibri" w:cs="Calibri"/>
        </w:rPr>
        <w:t>For the purpose of this report a 'case' is defined as per the counting rules detailed in the Report on Government Services (RoGS) Data Collection Manual Courts, Chapters 6, 7 and 8.</w:t>
      </w:r>
    </w:p>
    <w:p w14:paraId="7220AC8F" w14:textId="77777777" w:rsidR="005C3B24" w:rsidRPr="005C3B24" w:rsidRDefault="005C3B24" w:rsidP="00DB3655">
      <w:pPr>
        <w:pStyle w:val="BodyText2"/>
        <w:ind w:left="0" w:firstLine="720"/>
        <w:rPr>
          <w:rFonts w:ascii="Calibri" w:hAnsi="Calibri" w:cs="Calibri"/>
          <w:b/>
          <w:bCs/>
        </w:rPr>
      </w:pPr>
    </w:p>
    <w:sectPr w:rsidR="005C3B24" w:rsidRPr="005C3B24" w:rsidSect="00072350">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559" w:right="1418" w:bottom="1135"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3F8D" w14:textId="77777777" w:rsidR="009824A9" w:rsidRDefault="009824A9">
      <w:r>
        <w:separator/>
      </w:r>
    </w:p>
  </w:endnote>
  <w:endnote w:type="continuationSeparator" w:id="0">
    <w:p w14:paraId="5B6358C5" w14:textId="77777777" w:rsidR="009824A9" w:rsidRDefault="0098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4884" w14:textId="77777777" w:rsidR="00980112" w:rsidRDefault="00980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021B" w14:textId="3E1CD1DC" w:rsidR="00980112" w:rsidRPr="00980112" w:rsidRDefault="00980112" w:rsidP="00980112">
    <w:pPr>
      <w:pStyle w:val="Footer"/>
      <w:jc w:val="center"/>
      <w:rPr>
        <w:rFonts w:ascii="Arial" w:hAnsi="Arial" w:cs="Arial"/>
        <w:sz w:val="14"/>
      </w:rPr>
    </w:pPr>
    <w:r w:rsidRPr="0098011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E53D" w14:textId="77777777" w:rsidR="00FD3D6F" w:rsidRDefault="00FD3D6F" w:rsidP="00FD3D6F">
    <w:pPr>
      <w:pStyle w:val="Footer"/>
      <w:rPr>
        <w:rFonts w:ascii="Arial" w:hAnsi="Arial" w:cs="Arial"/>
        <w:sz w:val="18"/>
        <w:szCs w:val="18"/>
      </w:rPr>
    </w:pPr>
    <w:r>
      <w:rPr>
        <w:rFonts w:ascii="Arial" w:hAnsi="Arial" w:cs="Arial"/>
        <w:sz w:val="18"/>
        <w:szCs w:val="18"/>
      </w:rPr>
      <w:t>*Name amended under Legislation Act, s 60</w:t>
    </w:r>
  </w:p>
  <w:p w14:paraId="3A8CF5D4" w14:textId="71289D06" w:rsidR="00FD3D6F" w:rsidRPr="00980112" w:rsidRDefault="00980112" w:rsidP="00980112">
    <w:pPr>
      <w:pStyle w:val="Footer"/>
      <w:spacing w:before="120"/>
      <w:jc w:val="center"/>
      <w:rPr>
        <w:rFonts w:ascii="Arial" w:hAnsi="Arial" w:cs="Arial"/>
        <w:sz w:val="14"/>
        <w:szCs w:val="14"/>
      </w:rPr>
    </w:pPr>
    <w:r w:rsidRPr="00980112">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2E89B" w14:textId="77777777" w:rsidR="009824A9" w:rsidRDefault="009824A9">
      <w:r>
        <w:separator/>
      </w:r>
    </w:p>
  </w:footnote>
  <w:footnote w:type="continuationSeparator" w:id="0">
    <w:p w14:paraId="254DFDE8" w14:textId="77777777" w:rsidR="009824A9" w:rsidRDefault="0098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6EC7" w14:textId="77777777" w:rsidR="00980112" w:rsidRDefault="00980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3403" w14:textId="77777777" w:rsidR="00980112" w:rsidRDefault="00980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02E3" w14:textId="77777777" w:rsidR="00980112" w:rsidRDefault="0098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4DF4"/>
    <w:multiLevelType w:val="hybridMultilevel"/>
    <w:tmpl w:val="9E64CD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8074A0"/>
    <w:multiLevelType w:val="hybridMultilevel"/>
    <w:tmpl w:val="4906F182"/>
    <w:lvl w:ilvl="0" w:tplc="95566FE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1119107304">
    <w:abstractNumId w:val="1"/>
  </w:num>
  <w:num w:numId="2" w16cid:durableId="5219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45"/>
    <w:rsid w:val="0000073D"/>
    <w:rsid w:val="00015591"/>
    <w:rsid w:val="00072350"/>
    <w:rsid w:val="00076956"/>
    <w:rsid w:val="000B6B24"/>
    <w:rsid w:val="000B708A"/>
    <w:rsid w:val="000D6442"/>
    <w:rsid w:val="000E59F1"/>
    <w:rsid w:val="000F2E42"/>
    <w:rsid w:val="00116D9E"/>
    <w:rsid w:val="0016321C"/>
    <w:rsid w:val="001744F3"/>
    <w:rsid w:val="001A0758"/>
    <w:rsid w:val="001E4B0A"/>
    <w:rsid w:val="001F4049"/>
    <w:rsid w:val="0022146E"/>
    <w:rsid w:val="00225FA5"/>
    <w:rsid w:val="00287A6F"/>
    <w:rsid w:val="00297F6B"/>
    <w:rsid w:val="002B2762"/>
    <w:rsid w:val="003011B9"/>
    <w:rsid w:val="003025A0"/>
    <w:rsid w:val="003103F9"/>
    <w:rsid w:val="0031403E"/>
    <w:rsid w:val="003242AC"/>
    <w:rsid w:val="00355285"/>
    <w:rsid w:val="003603E4"/>
    <w:rsid w:val="003622A0"/>
    <w:rsid w:val="00376863"/>
    <w:rsid w:val="0039439A"/>
    <w:rsid w:val="003B3B27"/>
    <w:rsid w:val="003B7B4E"/>
    <w:rsid w:val="003C2ED5"/>
    <w:rsid w:val="003D0F5D"/>
    <w:rsid w:val="00424DF1"/>
    <w:rsid w:val="00433899"/>
    <w:rsid w:val="004444BD"/>
    <w:rsid w:val="004714C7"/>
    <w:rsid w:val="004970BC"/>
    <w:rsid w:val="004E3884"/>
    <w:rsid w:val="00514BBB"/>
    <w:rsid w:val="00546099"/>
    <w:rsid w:val="00574163"/>
    <w:rsid w:val="00591BF9"/>
    <w:rsid w:val="005B1BBB"/>
    <w:rsid w:val="005C3B24"/>
    <w:rsid w:val="005D3822"/>
    <w:rsid w:val="006610E5"/>
    <w:rsid w:val="006B2805"/>
    <w:rsid w:val="006B79C4"/>
    <w:rsid w:val="006E55B4"/>
    <w:rsid w:val="007141C4"/>
    <w:rsid w:val="00760805"/>
    <w:rsid w:val="00763B31"/>
    <w:rsid w:val="007C6887"/>
    <w:rsid w:val="007D0B42"/>
    <w:rsid w:val="007F709A"/>
    <w:rsid w:val="008269F1"/>
    <w:rsid w:val="00834192"/>
    <w:rsid w:val="008660CF"/>
    <w:rsid w:val="00880343"/>
    <w:rsid w:val="0089041E"/>
    <w:rsid w:val="008C651D"/>
    <w:rsid w:val="008D62BD"/>
    <w:rsid w:val="008D6B7C"/>
    <w:rsid w:val="009231F9"/>
    <w:rsid w:val="00946FAC"/>
    <w:rsid w:val="00980112"/>
    <w:rsid w:val="009824A9"/>
    <w:rsid w:val="009871EF"/>
    <w:rsid w:val="009D76E7"/>
    <w:rsid w:val="009F7B1E"/>
    <w:rsid w:val="00A33C71"/>
    <w:rsid w:val="00A355FD"/>
    <w:rsid w:val="00A52935"/>
    <w:rsid w:val="00A61115"/>
    <w:rsid w:val="00B163EA"/>
    <w:rsid w:val="00B20EF7"/>
    <w:rsid w:val="00B30AD5"/>
    <w:rsid w:val="00BA0945"/>
    <w:rsid w:val="00C371A5"/>
    <w:rsid w:val="00C76924"/>
    <w:rsid w:val="00C80765"/>
    <w:rsid w:val="00C829E8"/>
    <w:rsid w:val="00C9244A"/>
    <w:rsid w:val="00C9318B"/>
    <w:rsid w:val="00C95CDC"/>
    <w:rsid w:val="00CD5FB4"/>
    <w:rsid w:val="00D41511"/>
    <w:rsid w:val="00D83C89"/>
    <w:rsid w:val="00D9143F"/>
    <w:rsid w:val="00DB3655"/>
    <w:rsid w:val="00DB42D9"/>
    <w:rsid w:val="00DD1AB5"/>
    <w:rsid w:val="00DD56C6"/>
    <w:rsid w:val="00DF110A"/>
    <w:rsid w:val="00E40647"/>
    <w:rsid w:val="00E4759E"/>
    <w:rsid w:val="00E5524B"/>
    <w:rsid w:val="00EB4519"/>
    <w:rsid w:val="00ED2184"/>
    <w:rsid w:val="00EF741F"/>
    <w:rsid w:val="00F17320"/>
    <w:rsid w:val="00F4657A"/>
    <w:rsid w:val="00F77387"/>
    <w:rsid w:val="00F8038E"/>
    <w:rsid w:val="00FB64C3"/>
    <w:rsid w:val="00FD2359"/>
    <w:rsid w:val="00FD3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F013"/>
  <w15:docId w15:val="{3E9B70F9-5444-4B95-B53D-B15C2524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F6B"/>
    <w:rPr>
      <w:lang w:eastAsia="en-US"/>
    </w:rPr>
  </w:style>
  <w:style w:type="paragraph" w:styleId="Heading1">
    <w:name w:val="heading 1"/>
    <w:basedOn w:val="Normal"/>
    <w:next w:val="Normal"/>
    <w:qFormat/>
    <w:rsid w:val="00297F6B"/>
    <w:pPr>
      <w:keepNext/>
      <w:pBdr>
        <w:bottom w:val="single" w:sz="6" w:space="1" w:color="auto"/>
      </w:pBdr>
      <w:outlineLvl w:val="0"/>
    </w:pPr>
    <w:rPr>
      <w:b/>
      <w:sz w:val="24"/>
    </w:rPr>
  </w:style>
  <w:style w:type="paragraph" w:styleId="Heading3">
    <w:name w:val="heading 3"/>
    <w:basedOn w:val="Normal"/>
    <w:next w:val="Normal"/>
    <w:link w:val="Heading3Char"/>
    <w:semiHidden/>
    <w:unhideWhenUsed/>
    <w:qFormat/>
    <w:rsid w:val="003025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025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F6B"/>
    <w:pPr>
      <w:tabs>
        <w:tab w:val="center" w:pos="4153"/>
        <w:tab w:val="right" w:pos="8306"/>
      </w:tabs>
    </w:pPr>
  </w:style>
  <w:style w:type="paragraph" w:styleId="Footer">
    <w:name w:val="footer"/>
    <w:basedOn w:val="Normal"/>
    <w:link w:val="FooterChar"/>
    <w:uiPriority w:val="99"/>
    <w:rsid w:val="00297F6B"/>
    <w:pPr>
      <w:tabs>
        <w:tab w:val="center" w:pos="4153"/>
        <w:tab w:val="right" w:pos="8306"/>
      </w:tabs>
    </w:pPr>
  </w:style>
  <w:style w:type="paragraph" w:styleId="BodyText2">
    <w:name w:val="Body Text 2"/>
    <w:basedOn w:val="Normal"/>
    <w:rsid w:val="00297F6B"/>
    <w:pPr>
      <w:ind w:left="284"/>
      <w:jc w:val="both"/>
    </w:pPr>
    <w:rPr>
      <w:sz w:val="24"/>
    </w:rPr>
  </w:style>
  <w:style w:type="table" w:styleId="TableGrid">
    <w:name w:val="Table Grid"/>
    <w:basedOn w:val="TableNormal"/>
    <w:rsid w:val="008D6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025A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3025A0"/>
    <w:rPr>
      <w:rFonts w:asciiTheme="majorHAnsi" w:eastAsiaTheme="majorEastAsia" w:hAnsiTheme="majorHAnsi" w:cstheme="majorBidi"/>
      <w:i/>
      <w:iCs/>
      <w:color w:val="365F91" w:themeColor="accent1" w:themeShade="BF"/>
      <w:lang w:eastAsia="en-US"/>
    </w:rPr>
  </w:style>
  <w:style w:type="paragraph" w:styleId="ListParagraph">
    <w:name w:val="List Paragraph"/>
    <w:basedOn w:val="Normal"/>
    <w:uiPriority w:val="34"/>
    <w:qFormat/>
    <w:rsid w:val="00F17320"/>
    <w:pPr>
      <w:ind w:left="720"/>
      <w:contextualSpacing/>
    </w:pPr>
  </w:style>
  <w:style w:type="character" w:customStyle="1" w:styleId="FooterChar">
    <w:name w:val="Footer Char"/>
    <w:basedOn w:val="DefaultParagraphFont"/>
    <w:link w:val="Footer"/>
    <w:uiPriority w:val="99"/>
    <w:locked/>
    <w:rsid w:val="00FD3D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7472">
      <w:bodyDiv w:val="1"/>
      <w:marLeft w:val="0"/>
      <w:marRight w:val="0"/>
      <w:marTop w:val="0"/>
      <w:marBottom w:val="0"/>
      <w:divBdr>
        <w:top w:val="none" w:sz="0" w:space="0" w:color="auto"/>
        <w:left w:val="none" w:sz="0" w:space="0" w:color="auto"/>
        <w:bottom w:val="none" w:sz="0" w:space="0" w:color="auto"/>
        <w:right w:val="none" w:sz="0" w:space="0" w:color="auto"/>
      </w:divBdr>
    </w:div>
    <w:div w:id="976253367">
      <w:bodyDiv w:val="1"/>
      <w:marLeft w:val="0"/>
      <w:marRight w:val="0"/>
      <w:marTop w:val="0"/>
      <w:marBottom w:val="0"/>
      <w:divBdr>
        <w:top w:val="none" w:sz="0" w:space="0" w:color="auto"/>
        <w:left w:val="none" w:sz="0" w:space="0" w:color="auto"/>
        <w:bottom w:val="none" w:sz="0" w:space="0" w:color="auto"/>
        <w:right w:val="none" w:sz="0" w:space="0" w:color="auto"/>
      </w:divBdr>
    </w:div>
    <w:div w:id="2093698266">
      <w:bodyDiv w:val="1"/>
      <w:marLeft w:val="0"/>
      <w:marRight w:val="0"/>
      <w:marTop w:val="0"/>
      <w:marBottom w:val="0"/>
      <w:divBdr>
        <w:top w:val="none" w:sz="0" w:space="0" w:color="auto"/>
        <w:left w:val="none" w:sz="0" w:space="0" w:color="auto"/>
        <w:bottom w:val="none" w:sz="0" w:space="0" w:color="auto"/>
        <w:right w:val="none" w:sz="0" w:space="0" w:color="auto"/>
      </w:divBdr>
    </w:div>
    <w:div w:id="212311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8DBF286B-44AF-43D0-AC23-A27341F815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2897</Characters>
  <Application>Microsoft Office Word</Application>
  <DocSecurity>0</DocSecurity>
  <Lines>211</Lines>
  <Paragraphs>84</Paragraphs>
  <ScaleCrop>false</ScaleCrop>
  <HeadingPairs>
    <vt:vector size="2" baseType="variant">
      <vt:variant>
        <vt:lpstr>Title</vt:lpstr>
      </vt:variant>
      <vt:variant>
        <vt:i4>1</vt:i4>
      </vt:variant>
    </vt:vector>
  </HeadingPairs>
  <TitlesOfParts>
    <vt:vector size="1" baseType="lpstr">
      <vt:lpstr>KFDA Statement of Reasonsr</vt:lpstr>
    </vt:vector>
  </TitlesOfParts>
  <Company>ACT Government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KFDA Statement of Reasonsr</dc:title>
  <dc:creator>Simon Gallacher</dc:creator>
  <cp:lastModifiedBy>PCODCS</cp:lastModifiedBy>
  <cp:revision>4</cp:revision>
  <cp:lastPrinted>2017-07-24T03:24:00Z</cp:lastPrinted>
  <dcterms:created xsi:type="dcterms:W3CDTF">2025-01-16T02:13:00Z</dcterms:created>
  <dcterms:modified xsi:type="dcterms:W3CDTF">2025-01-16T02:13:00Z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aad59fcc-07ad-41c3-a1d2-130fecdae24e</vt:lpwstr>
  </property>
  <property fmtid="{D5CDD505-2E9C-101B-9397-08002B2CF9AE}" pid="3" name="bjSaver">
    <vt:lpwstr>kGVUu/45UEnzWfo0aH/z0Lsce5tRxneF</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2024-06-26T04:26:21Z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56872408-1eda-4cc0-9ecc-e8e565a00168</vt:lpwstr>
  </property>
  <property fmtid="{D5CDD505-2E9C-101B-9397-08002B2CF9AE}" pid="15" name="MSIP_Label_69af8531-eb46-4968-8cb3-105d2f5ea87e_ContentBits">
    <vt:lpwstr>0</vt:lpwstr>
  </property>
</Properties>
</file>