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6B10BE" w14:textId="77777777" w:rsidR="003E5EF1" w:rsidRDefault="003E5EF1" w:rsidP="003E5EF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076E26FD" w14:textId="09F6770B" w:rsidR="003E5EF1" w:rsidRDefault="007D6834" w:rsidP="003E5EF1">
      <w:pPr>
        <w:pStyle w:val="Billname"/>
        <w:spacing w:before="700"/>
      </w:pPr>
      <w:r>
        <w:t xml:space="preserve">Law Officers (Solicitor-General) </w:t>
      </w:r>
      <w:r w:rsidR="003E5EF1">
        <w:t>Appointment 202</w:t>
      </w:r>
      <w:r>
        <w:t>5</w:t>
      </w:r>
    </w:p>
    <w:p w14:paraId="27DA62D9" w14:textId="2ADB1104" w:rsidR="003E5EF1" w:rsidRDefault="003E5EF1" w:rsidP="003E5EF1">
      <w:pPr>
        <w:tabs>
          <w:tab w:val="center" w:pos="4153"/>
        </w:tabs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NI202</w:t>
      </w:r>
      <w:r w:rsidR="007D6834">
        <w:rPr>
          <w:rFonts w:ascii="Arial" w:hAnsi="Arial" w:cs="Arial"/>
          <w:b/>
          <w:bCs/>
        </w:rPr>
        <w:t>5</w:t>
      </w:r>
      <w:r>
        <w:rPr>
          <w:rFonts w:ascii="Arial" w:hAnsi="Arial" w:cs="Arial"/>
          <w:b/>
          <w:bCs/>
        </w:rPr>
        <w:t>–</w:t>
      </w:r>
      <w:r w:rsidR="00FF6CD7">
        <w:rPr>
          <w:rFonts w:ascii="Arial" w:hAnsi="Arial" w:cs="Arial"/>
          <w:b/>
          <w:bCs/>
        </w:rPr>
        <w:t>170</w:t>
      </w:r>
    </w:p>
    <w:p w14:paraId="000ED562" w14:textId="77777777" w:rsidR="003E5EF1" w:rsidRDefault="003E5EF1" w:rsidP="003E5EF1">
      <w:pPr>
        <w:pStyle w:val="madeunder"/>
        <w:spacing w:before="300" w:after="0"/>
      </w:pPr>
      <w:r>
        <w:t xml:space="preserve">made under the  </w:t>
      </w:r>
    </w:p>
    <w:p w14:paraId="6FF3F56B" w14:textId="694C4D49" w:rsidR="003E5EF1" w:rsidRPr="0019680A" w:rsidRDefault="007D6834" w:rsidP="003601C4">
      <w:pPr>
        <w:pStyle w:val="CoverActName"/>
        <w:tabs>
          <w:tab w:val="clear" w:pos="2600"/>
        </w:tabs>
        <w:spacing w:before="320" w:after="0"/>
        <w:jc w:val="left"/>
        <w:rPr>
          <w:color w:val="000000" w:themeColor="text1"/>
        </w:rPr>
      </w:pPr>
      <w:r>
        <w:rPr>
          <w:rFonts w:cs="Arial"/>
          <w:color w:val="000000" w:themeColor="text1"/>
          <w:sz w:val="20"/>
        </w:rPr>
        <w:t>Law Officers</w:t>
      </w:r>
      <w:r w:rsidR="00677E99">
        <w:rPr>
          <w:rFonts w:cs="Arial"/>
          <w:color w:val="000000" w:themeColor="text1"/>
          <w:sz w:val="20"/>
        </w:rPr>
        <w:t xml:space="preserve"> Act 20</w:t>
      </w:r>
      <w:r>
        <w:rPr>
          <w:rFonts w:cs="Arial"/>
          <w:color w:val="000000" w:themeColor="text1"/>
          <w:sz w:val="20"/>
        </w:rPr>
        <w:t>11</w:t>
      </w:r>
      <w:r w:rsidR="003E5EF1" w:rsidRPr="0019680A">
        <w:rPr>
          <w:rFonts w:cs="Arial"/>
          <w:color w:val="000000" w:themeColor="text1"/>
          <w:sz w:val="20"/>
        </w:rPr>
        <w:t>, s </w:t>
      </w:r>
      <w:r>
        <w:rPr>
          <w:rFonts w:cs="Arial"/>
          <w:color w:val="000000" w:themeColor="text1"/>
          <w:sz w:val="20"/>
        </w:rPr>
        <w:t>16</w:t>
      </w:r>
      <w:r w:rsidR="00866D5E">
        <w:rPr>
          <w:rFonts w:cs="Arial"/>
          <w:color w:val="000000" w:themeColor="text1"/>
          <w:sz w:val="20"/>
        </w:rPr>
        <w:t xml:space="preserve"> </w:t>
      </w:r>
      <w:r w:rsidR="003E5EF1" w:rsidRPr="0019680A">
        <w:rPr>
          <w:rFonts w:cs="Arial"/>
          <w:color w:val="000000" w:themeColor="text1"/>
          <w:sz w:val="20"/>
        </w:rPr>
        <w:t>(Appointment</w:t>
      </w:r>
      <w:r w:rsidR="00677E99">
        <w:rPr>
          <w:rFonts w:cs="Arial"/>
          <w:color w:val="000000" w:themeColor="text1"/>
          <w:sz w:val="20"/>
        </w:rPr>
        <w:t xml:space="preserve"> of </w:t>
      </w:r>
      <w:r>
        <w:rPr>
          <w:rFonts w:cs="Arial"/>
          <w:color w:val="000000" w:themeColor="text1"/>
          <w:sz w:val="20"/>
        </w:rPr>
        <w:t>Solicitor-General</w:t>
      </w:r>
      <w:r w:rsidR="003E5EF1" w:rsidRPr="0019680A">
        <w:rPr>
          <w:rFonts w:cs="Arial"/>
          <w:color w:val="000000" w:themeColor="text1"/>
          <w:sz w:val="20"/>
        </w:rPr>
        <w:t>)</w:t>
      </w:r>
      <w:r>
        <w:rPr>
          <w:rFonts w:cs="Arial"/>
          <w:color w:val="000000" w:themeColor="text1"/>
          <w:sz w:val="20"/>
        </w:rPr>
        <w:t>, section 17 (Solicitor-General’s functions and entitlements)</w:t>
      </w:r>
      <w:r w:rsidR="003E5EF1" w:rsidRPr="0019680A">
        <w:rPr>
          <w:rFonts w:cs="Arial"/>
          <w:color w:val="000000" w:themeColor="text1"/>
          <w:sz w:val="20"/>
        </w:rPr>
        <w:br/>
      </w:r>
    </w:p>
    <w:p w14:paraId="7D1AF517" w14:textId="77777777" w:rsidR="003E5EF1" w:rsidRPr="0019680A" w:rsidRDefault="003E5EF1" w:rsidP="003E5EF1">
      <w:pPr>
        <w:pStyle w:val="N-line3"/>
        <w:pBdr>
          <w:top w:val="single" w:sz="12" w:space="1" w:color="auto"/>
          <w:bottom w:val="none" w:sz="0" w:space="0" w:color="auto"/>
        </w:pBdr>
        <w:rPr>
          <w:color w:val="000000" w:themeColor="text1"/>
        </w:rPr>
      </w:pPr>
    </w:p>
    <w:p w14:paraId="0E3970DD" w14:textId="77777777" w:rsidR="003E5EF1" w:rsidRPr="0019680A" w:rsidRDefault="003E5EF1" w:rsidP="003E5EF1">
      <w:pPr>
        <w:spacing w:before="60" w:after="6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1</w:t>
      </w:r>
      <w:r w:rsidRPr="0019680A">
        <w:rPr>
          <w:rFonts w:ascii="Arial" w:hAnsi="Arial" w:cs="Arial"/>
          <w:b/>
          <w:bCs/>
          <w:color w:val="000000" w:themeColor="text1"/>
        </w:rPr>
        <w:tab/>
        <w:t>Name of instrument</w:t>
      </w:r>
    </w:p>
    <w:p w14:paraId="4CAB8B5A" w14:textId="63217946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is the </w:t>
      </w:r>
      <w:r w:rsidR="007D6834">
        <w:rPr>
          <w:i/>
          <w:color w:val="000000" w:themeColor="text1"/>
        </w:rPr>
        <w:t>Law Officers</w:t>
      </w:r>
      <w:r w:rsidR="00677E99">
        <w:rPr>
          <w:i/>
          <w:color w:val="000000" w:themeColor="text1"/>
        </w:rPr>
        <w:t xml:space="preserve"> (</w:t>
      </w:r>
      <w:r w:rsidR="007D6834">
        <w:rPr>
          <w:i/>
          <w:color w:val="000000" w:themeColor="text1"/>
        </w:rPr>
        <w:t>Solicitor-General</w:t>
      </w:r>
      <w:r w:rsidR="00677E99">
        <w:rPr>
          <w:i/>
          <w:color w:val="000000" w:themeColor="text1"/>
        </w:rPr>
        <w:t>)</w:t>
      </w:r>
      <w:r w:rsidRPr="0019680A">
        <w:rPr>
          <w:i/>
          <w:color w:val="000000" w:themeColor="text1"/>
        </w:rPr>
        <w:t xml:space="preserve"> Appointment 202</w:t>
      </w:r>
      <w:r w:rsidR="007D6834">
        <w:rPr>
          <w:i/>
          <w:color w:val="000000" w:themeColor="text1"/>
        </w:rPr>
        <w:t>5</w:t>
      </w:r>
      <w:r w:rsidRPr="0019680A">
        <w:rPr>
          <w:i/>
          <w:color w:val="000000" w:themeColor="text1"/>
        </w:rPr>
        <w:t>.</w:t>
      </w:r>
    </w:p>
    <w:p w14:paraId="6C0DD6F5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2</w:t>
      </w:r>
      <w:r w:rsidRPr="0019680A">
        <w:rPr>
          <w:rFonts w:ascii="Arial" w:hAnsi="Arial" w:cs="Arial"/>
          <w:b/>
          <w:bCs/>
          <w:color w:val="000000" w:themeColor="text1"/>
        </w:rPr>
        <w:tab/>
        <w:t xml:space="preserve">Commencement </w:t>
      </w:r>
    </w:p>
    <w:p w14:paraId="69FC57FB" w14:textId="37FFF60D" w:rsidR="003E5EF1" w:rsidRPr="0019680A" w:rsidRDefault="003E5EF1" w:rsidP="003E5EF1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This instrument commences </w:t>
      </w:r>
      <w:r w:rsidR="004B0C7E">
        <w:rPr>
          <w:color w:val="000000" w:themeColor="text1"/>
        </w:rPr>
        <w:t xml:space="preserve">on </w:t>
      </w:r>
      <w:r w:rsidR="007D6834">
        <w:rPr>
          <w:color w:val="000000" w:themeColor="text1"/>
        </w:rPr>
        <w:t>31</w:t>
      </w:r>
      <w:r w:rsidR="004B0C7E">
        <w:rPr>
          <w:color w:val="000000" w:themeColor="text1"/>
        </w:rPr>
        <w:t xml:space="preserve"> </w:t>
      </w:r>
      <w:r w:rsidR="003601C4">
        <w:rPr>
          <w:color w:val="000000" w:themeColor="text1"/>
        </w:rPr>
        <w:t>August</w:t>
      </w:r>
      <w:r w:rsidR="004B0C7E">
        <w:rPr>
          <w:color w:val="000000" w:themeColor="text1"/>
        </w:rPr>
        <w:t xml:space="preserve"> 202</w:t>
      </w:r>
      <w:r w:rsidR="00AA604A">
        <w:rPr>
          <w:color w:val="000000" w:themeColor="text1"/>
        </w:rPr>
        <w:t>5</w:t>
      </w:r>
      <w:r w:rsidR="00E76973">
        <w:rPr>
          <w:color w:val="000000" w:themeColor="text1"/>
        </w:rPr>
        <w:t>.</w:t>
      </w:r>
    </w:p>
    <w:p w14:paraId="10C83671" w14:textId="77777777" w:rsidR="003E5EF1" w:rsidRPr="0019680A" w:rsidRDefault="003E5EF1" w:rsidP="003E5EF1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 w:rsidRPr="0019680A">
        <w:rPr>
          <w:rFonts w:ascii="Arial" w:hAnsi="Arial" w:cs="Arial"/>
          <w:b/>
          <w:bCs/>
          <w:color w:val="000000" w:themeColor="text1"/>
        </w:rPr>
        <w:t>3</w:t>
      </w:r>
      <w:r w:rsidRPr="0019680A">
        <w:rPr>
          <w:rFonts w:ascii="Arial" w:hAnsi="Arial" w:cs="Arial"/>
          <w:b/>
          <w:bCs/>
          <w:color w:val="000000" w:themeColor="text1"/>
        </w:rPr>
        <w:tab/>
        <w:t>Appointment</w:t>
      </w:r>
    </w:p>
    <w:p w14:paraId="6BDD42FF" w14:textId="56F5A9F0" w:rsidR="003E5EF1" w:rsidRPr="002A6682" w:rsidRDefault="003E5EF1" w:rsidP="002A6682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Executive appoints </w:t>
      </w:r>
      <w:r w:rsidR="007D6834">
        <w:rPr>
          <w:color w:val="000000" w:themeColor="text1"/>
        </w:rPr>
        <w:t xml:space="preserve">Peter John </w:t>
      </w:r>
      <w:proofErr w:type="spellStart"/>
      <w:r w:rsidR="007D6834">
        <w:rPr>
          <w:color w:val="000000" w:themeColor="text1"/>
        </w:rPr>
        <w:t>Fawckner</w:t>
      </w:r>
      <w:proofErr w:type="spellEnd"/>
      <w:r w:rsidR="007D6834">
        <w:rPr>
          <w:color w:val="000000" w:themeColor="text1"/>
        </w:rPr>
        <w:t xml:space="preserve"> Garrisson AM SC</w:t>
      </w:r>
      <w:r w:rsidRPr="0019680A">
        <w:rPr>
          <w:color w:val="000000" w:themeColor="text1"/>
        </w:rPr>
        <w:t xml:space="preserve"> to </w:t>
      </w:r>
      <w:r w:rsidR="003601C4">
        <w:rPr>
          <w:color w:val="000000" w:themeColor="text1"/>
        </w:rPr>
        <w:t xml:space="preserve">be the </w:t>
      </w:r>
      <w:r w:rsidR="007D6834">
        <w:rPr>
          <w:color w:val="000000" w:themeColor="text1"/>
        </w:rPr>
        <w:t>Solicitor-General for the Australian Capital Territory</w:t>
      </w:r>
      <w:r w:rsidR="00F05106">
        <w:rPr>
          <w:color w:val="000000" w:themeColor="text1"/>
        </w:rPr>
        <w:t xml:space="preserve"> until </w:t>
      </w:r>
      <w:r w:rsidR="007D6834">
        <w:rPr>
          <w:color w:val="000000" w:themeColor="text1"/>
        </w:rPr>
        <w:t>30 August</w:t>
      </w:r>
      <w:r w:rsidR="00F05106">
        <w:rPr>
          <w:color w:val="000000" w:themeColor="text1"/>
        </w:rPr>
        <w:t xml:space="preserve"> 2030</w:t>
      </w:r>
      <w:r w:rsidR="003601C4">
        <w:rPr>
          <w:color w:val="000000" w:themeColor="text1"/>
        </w:rPr>
        <w:t>.</w:t>
      </w:r>
    </w:p>
    <w:p w14:paraId="1C73CE46" w14:textId="6B63A7DE" w:rsidR="003601C4" w:rsidRPr="0019680A" w:rsidRDefault="00F05106" w:rsidP="003601C4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bookmarkStart w:id="1" w:name="_Hlk184038555"/>
      <w:r>
        <w:rPr>
          <w:rFonts w:ascii="Arial" w:hAnsi="Arial" w:cs="Arial"/>
          <w:b/>
          <w:bCs/>
          <w:color w:val="000000" w:themeColor="text1"/>
        </w:rPr>
        <w:t>4</w:t>
      </w:r>
      <w:r w:rsidR="003601C4" w:rsidRPr="0019680A">
        <w:rPr>
          <w:rFonts w:ascii="Arial" w:hAnsi="Arial" w:cs="Arial"/>
          <w:b/>
          <w:bCs/>
          <w:color w:val="000000" w:themeColor="text1"/>
        </w:rPr>
        <w:tab/>
      </w:r>
      <w:bookmarkStart w:id="2" w:name="_Hlk184038536"/>
      <w:r w:rsidR="003601C4">
        <w:rPr>
          <w:rFonts w:ascii="Arial" w:hAnsi="Arial" w:cs="Arial"/>
          <w:b/>
          <w:bCs/>
          <w:color w:val="000000" w:themeColor="text1"/>
        </w:rPr>
        <w:t>Conditions</w:t>
      </w:r>
    </w:p>
    <w:p w14:paraId="23664308" w14:textId="76BA25F8" w:rsidR="00576200" w:rsidRDefault="003601C4" w:rsidP="00F05106">
      <w:pPr>
        <w:spacing w:before="140"/>
        <w:ind w:left="720"/>
        <w:rPr>
          <w:color w:val="000000" w:themeColor="text1"/>
        </w:rPr>
      </w:pPr>
      <w:r w:rsidRPr="0019680A">
        <w:rPr>
          <w:color w:val="000000" w:themeColor="text1"/>
        </w:rPr>
        <w:t xml:space="preserve">The </w:t>
      </w:r>
      <w:r>
        <w:rPr>
          <w:color w:val="000000" w:themeColor="text1"/>
        </w:rPr>
        <w:t xml:space="preserve">conditions of the appointment </w:t>
      </w:r>
      <w:r w:rsidR="00AF27E2">
        <w:rPr>
          <w:color w:val="000000" w:themeColor="text1"/>
        </w:rPr>
        <w:t>are</w:t>
      </w:r>
      <w:r w:rsidR="007D6834">
        <w:rPr>
          <w:color w:val="000000" w:themeColor="text1"/>
        </w:rPr>
        <w:t xml:space="preserve"> the same conditions as attached to the Director of Public Prosecutions as specified in</w:t>
      </w:r>
      <w:r>
        <w:rPr>
          <w:color w:val="000000" w:themeColor="text1"/>
        </w:rPr>
        <w:t xml:space="preserve"> Remuneration Tribunal Determination 1</w:t>
      </w:r>
      <w:r w:rsidR="007D6834">
        <w:rPr>
          <w:color w:val="000000" w:themeColor="text1"/>
        </w:rPr>
        <w:t>4</w:t>
      </w:r>
      <w:r>
        <w:rPr>
          <w:color w:val="000000" w:themeColor="text1"/>
        </w:rPr>
        <w:t xml:space="preserve"> of 2024, or any determination that amends or replaces it.</w:t>
      </w:r>
    </w:p>
    <w:p w14:paraId="54C95238" w14:textId="69CF5616" w:rsidR="007D6834" w:rsidRPr="0019680A" w:rsidRDefault="007D6834" w:rsidP="007D6834">
      <w:pPr>
        <w:spacing w:before="300"/>
        <w:ind w:left="720" w:hanging="720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>5</w:t>
      </w:r>
      <w:r w:rsidRPr="0019680A">
        <w:rPr>
          <w:rFonts w:ascii="Arial" w:hAnsi="Arial" w:cs="Arial"/>
          <w:b/>
          <w:bCs/>
          <w:color w:val="000000" w:themeColor="text1"/>
        </w:rPr>
        <w:tab/>
      </w:r>
      <w:r>
        <w:rPr>
          <w:rFonts w:ascii="Arial" w:hAnsi="Arial" w:cs="Arial"/>
          <w:b/>
          <w:bCs/>
          <w:color w:val="000000" w:themeColor="text1"/>
        </w:rPr>
        <w:t>Direction</w:t>
      </w:r>
    </w:p>
    <w:p w14:paraId="4A641D2A" w14:textId="1E3EB3CC" w:rsidR="007D6834" w:rsidRDefault="007D6834" w:rsidP="007D6834">
      <w:pPr>
        <w:spacing w:before="140"/>
        <w:ind w:left="720"/>
        <w:rPr>
          <w:color w:val="000000" w:themeColor="text1"/>
        </w:rPr>
      </w:pPr>
      <w:r>
        <w:rPr>
          <w:color w:val="000000" w:themeColor="text1"/>
        </w:rPr>
        <w:t xml:space="preserve">I, Tara Cheyne MLA, Attorney-General, direct Peter John </w:t>
      </w:r>
      <w:proofErr w:type="spellStart"/>
      <w:r>
        <w:rPr>
          <w:color w:val="000000" w:themeColor="text1"/>
        </w:rPr>
        <w:t>Fawckner</w:t>
      </w:r>
      <w:proofErr w:type="spellEnd"/>
      <w:r>
        <w:rPr>
          <w:color w:val="000000" w:themeColor="text1"/>
        </w:rPr>
        <w:t xml:space="preserve"> Garrisson to exercise the chief solicitor’s functions while he is Solicitor-General.</w:t>
      </w:r>
    </w:p>
    <w:p w14:paraId="23CF72F7" w14:textId="77777777" w:rsidR="007D6834" w:rsidRDefault="007D6834" w:rsidP="00F05106">
      <w:pPr>
        <w:spacing w:before="140"/>
        <w:ind w:left="720"/>
      </w:pPr>
    </w:p>
    <w:bookmarkEnd w:id="1"/>
    <w:bookmarkEnd w:id="2"/>
    <w:p w14:paraId="4B325A8D" w14:textId="7A91CD14" w:rsidR="00576200" w:rsidRPr="00057D9C" w:rsidRDefault="00AA604A" w:rsidP="002A6682">
      <w:pPr>
        <w:tabs>
          <w:tab w:val="left" w:pos="4320"/>
        </w:tabs>
        <w:spacing w:before="1440"/>
        <w:rPr>
          <w:szCs w:val="24"/>
        </w:rPr>
      </w:pPr>
      <w:r>
        <w:rPr>
          <w:szCs w:val="24"/>
        </w:rPr>
        <w:t>Tara Cheyne</w:t>
      </w:r>
      <w:r w:rsidR="00576200" w:rsidRPr="00057D9C">
        <w:rPr>
          <w:szCs w:val="24"/>
        </w:rPr>
        <w:t xml:space="preserve"> MLA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  <w:t>Andrew Barr MLA</w:t>
      </w:r>
    </w:p>
    <w:p w14:paraId="65C8BA79" w14:textId="77777777" w:rsidR="00576200" w:rsidRPr="00057D9C" w:rsidRDefault="00576200" w:rsidP="00576200">
      <w:pPr>
        <w:tabs>
          <w:tab w:val="left" w:pos="4320"/>
        </w:tabs>
        <w:rPr>
          <w:szCs w:val="24"/>
        </w:rPr>
      </w:pPr>
      <w:r w:rsidRPr="00057D9C">
        <w:rPr>
          <w:szCs w:val="24"/>
        </w:rPr>
        <w:t>Attorney-General</w:t>
      </w:r>
      <w:r w:rsidRPr="00057D9C">
        <w:rPr>
          <w:szCs w:val="24"/>
        </w:rPr>
        <w:tab/>
      </w:r>
      <w:r w:rsidRPr="00057D9C">
        <w:rPr>
          <w:szCs w:val="24"/>
        </w:rPr>
        <w:tab/>
      </w:r>
      <w:r w:rsidRPr="00057D9C">
        <w:rPr>
          <w:szCs w:val="24"/>
        </w:rPr>
        <w:tab/>
        <w:t>Chief Minister</w:t>
      </w:r>
    </w:p>
    <w:bookmarkEnd w:id="0"/>
    <w:p w14:paraId="60A69955" w14:textId="5E1E198A" w:rsidR="00576200" w:rsidRPr="00057D9C" w:rsidRDefault="00FF6CD7" w:rsidP="00576200">
      <w:pPr>
        <w:tabs>
          <w:tab w:val="left" w:pos="4320"/>
        </w:tabs>
        <w:rPr>
          <w:szCs w:val="24"/>
        </w:rPr>
      </w:pPr>
      <w:r>
        <w:rPr>
          <w:szCs w:val="24"/>
        </w:rPr>
        <w:t xml:space="preserve">24 </w:t>
      </w:r>
      <w:r w:rsidR="00C951AC">
        <w:rPr>
          <w:szCs w:val="24"/>
        </w:rPr>
        <w:t xml:space="preserve">March </w:t>
      </w:r>
      <w:r w:rsidR="007D6834">
        <w:rPr>
          <w:szCs w:val="24"/>
        </w:rPr>
        <w:t>2025</w:t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 w:rsidR="00576200" w:rsidRPr="00057D9C">
        <w:rPr>
          <w:szCs w:val="24"/>
        </w:rPr>
        <w:tab/>
      </w:r>
      <w:r>
        <w:rPr>
          <w:szCs w:val="24"/>
        </w:rPr>
        <w:t>4 April</w:t>
      </w:r>
      <w:r w:rsidR="007D6834">
        <w:rPr>
          <w:szCs w:val="24"/>
        </w:rPr>
        <w:t xml:space="preserve"> 2025</w:t>
      </w:r>
    </w:p>
    <w:p w14:paraId="2EE46E7C" w14:textId="6F048800" w:rsidR="001440B3" w:rsidRPr="00B2253D" w:rsidRDefault="001440B3" w:rsidP="00B2253D"/>
    <w:sectPr w:rsidR="001440B3" w:rsidRPr="00B2253D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844821" w14:textId="77777777" w:rsidR="008A55EA" w:rsidRDefault="008A55EA" w:rsidP="001440B3">
      <w:r>
        <w:separator/>
      </w:r>
    </w:p>
  </w:endnote>
  <w:endnote w:type="continuationSeparator" w:id="0">
    <w:p w14:paraId="77C3F26F" w14:textId="77777777" w:rsidR="008A55EA" w:rsidRDefault="008A55EA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C91EAE" w14:textId="77777777" w:rsidR="00FE0E79" w:rsidRDefault="00FE0E7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A20AC4" w14:textId="3414075E" w:rsidR="00B85E51" w:rsidRPr="00FE0E79" w:rsidRDefault="00FE0E79" w:rsidP="00FE0E79">
    <w:pPr>
      <w:pStyle w:val="Footer"/>
      <w:jc w:val="center"/>
      <w:rPr>
        <w:rFonts w:cs="Arial"/>
        <w:sz w:val="14"/>
      </w:rPr>
    </w:pPr>
    <w:r w:rsidRPr="00FE0E79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E4F190" w14:textId="77777777" w:rsidR="00FE0E79" w:rsidRDefault="00FE0E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EE4F30" w14:textId="77777777" w:rsidR="008A55EA" w:rsidRDefault="008A55EA" w:rsidP="001440B3">
      <w:r>
        <w:separator/>
      </w:r>
    </w:p>
  </w:footnote>
  <w:footnote w:type="continuationSeparator" w:id="0">
    <w:p w14:paraId="1065277F" w14:textId="77777777" w:rsidR="008A55EA" w:rsidRDefault="008A55EA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5572" w14:textId="77777777" w:rsidR="00FE0E79" w:rsidRDefault="00FE0E7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A87036" w14:textId="77777777" w:rsidR="00FE0E79" w:rsidRDefault="00FE0E7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19F1F" w14:textId="77777777" w:rsidR="00FE0E79" w:rsidRDefault="00FE0E7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5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6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7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625499823">
    <w:abstractNumId w:val="2"/>
  </w:num>
  <w:num w:numId="2" w16cid:durableId="1962033515">
    <w:abstractNumId w:val="0"/>
  </w:num>
  <w:num w:numId="3" w16cid:durableId="16664260">
    <w:abstractNumId w:val="3"/>
  </w:num>
  <w:num w:numId="4" w16cid:durableId="292910536">
    <w:abstractNumId w:val="6"/>
  </w:num>
  <w:num w:numId="5" w16cid:durableId="1966427472">
    <w:abstractNumId w:val="7"/>
  </w:num>
  <w:num w:numId="6" w16cid:durableId="152573600">
    <w:abstractNumId w:val="1"/>
  </w:num>
  <w:num w:numId="7" w16cid:durableId="1803379156">
    <w:abstractNumId w:val="4"/>
  </w:num>
  <w:num w:numId="8" w16cid:durableId="589773806">
    <w:abstractNumId w:val="5"/>
  </w:num>
  <w:num w:numId="9" w16cid:durableId="41209343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proofState w:spelling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719"/>
    <w:rsid w:val="00023C43"/>
    <w:rsid w:val="000628D5"/>
    <w:rsid w:val="000A2FC6"/>
    <w:rsid w:val="000C3067"/>
    <w:rsid w:val="0012355D"/>
    <w:rsid w:val="00136BE2"/>
    <w:rsid w:val="00142492"/>
    <w:rsid w:val="001440B3"/>
    <w:rsid w:val="00165048"/>
    <w:rsid w:val="00222933"/>
    <w:rsid w:val="00283719"/>
    <w:rsid w:val="002A6682"/>
    <w:rsid w:val="00310FB1"/>
    <w:rsid w:val="003601C4"/>
    <w:rsid w:val="003A03D5"/>
    <w:rsid w:val="003D15D9"/>
    <w:rsid w:val="003E5EF1"/>
    <w:rsid w:val="00401AE1"/>
    <w:rsid w:val="0042011A"/>
    <w:rsid w:val="0044453F"/>
    <w:rsid w:val="00456BC9"/>
    <w:rsid w:val="00465234"/>
    <w:rsid w:val="004A0906"/>
    <w:rsid w:val="004B0C7E"/>
    <w:rsid w:val="004C1862"/>
    <w:rsid w:val="00525963"/>
    <w:rsid w:val="00576200"/>
    <w:rsid w:val="005A5922"/>
    <w:rsid w:val="005D4398"/>
    <w:rsid w:val="005F66EF"/>
    <w:rsid w:val="00600732"/>
    <w:rsid w:val="00620EBE"/>
    <w:rsid w:val="00630F64"/>
    <w:rsid w:val="00646786"/>
    <w:rsid w:val="0065461A"/>
    <w:rsid w:val="00677E99"/>
    <w:rsid w:val="0068272F"/>
    <w:rsid w:val="006876B1"/>
    <w:rsid w:val="00732D55"/>
    <w:rsid w:val="007830FD"/>
    <w:rsid w:val="007947E6"/>
    <w:rsid w:val="007D6834"/>
    <w:rsid w:val="00800239"/>
    <w:rsid w:val="00855ABE"/>
    <w:rsid w:val="008607AF"/>
    <w:rsid w:val="00866D5E"/>
    <w:rsid w:val="008A482F"/>
    <w:rsid w:val="008A55EA"/>
    <w:rsid w:val="008D6F89"/>
    <w:rsid w:val="008D75C8"/>
    <w:rsid w:val="008E3958"/>
    <w:rsid w:val="0092260A"/>
    <w:rsid w:val="00935A10"/>
    <w:rsid w:val="00936364"/>
    <w:rsid w:val="0096096E"/>
    <w:rsid w:val="0098545E"/>
    <w:rsid w:val="009B6207"/>
    <w:rsid w:val="00A42D61"/>
    <w:rsid w:val="00A61E23"/>
    <w:rsid w:val="00A9774E"/>
    <w:rsid w:val="00AA35F7"/>
    <w:rsid w:val="00AA4C5B"/>
    <w:rsid w:val="00AA604A"/>
    <w:rsid w:val="00AB5C65"/>
    <w:rsid w:val="00AF27E2"/>
    <w:rsid w:val="00B17DED"/>
    <w:rsid w:val="00B2253D"/>
    <w:rsid w:val="00B31361"/>
    <w:rsid w:val="00B47A64"/>
    <w:rsid w:val="00B85E51"/>
    <w:rsid w:val="00BB05C3"/>
    <w:rsid w:val="00BF18A1"/>
    <w:rsid w:val="00C1397D"/>
    <w:rsid w:val="00C13E06"/>
    <w:rsid w:val="00C4412E"/>
    <w:rsid w:val="00C75A35"/>
    <w:rsid w:val="00C951AC"/>
    <w:rsid w:val="00CC2507"/>
    <w:rsid w:val="00D4649B"/>
    <w:rsid w:val="00D50689"/>
    <w:rsid w:val="00D65267"/>
    <w:rsid w:val="00DB63A1"/>
    <w:rsid w:val="00DD3DB2"/>
    <w:rsid w:val="00DE3343"/>
    <w:rsid w:val="00DF1513"/>
    <w:rsid w:val="00E76973"/>
    <w:rsid w:val="00EB1689"/>
    <w:rsid w:val="00F05106"/>
    <w:rsid w:val="00F12E4F"/>
    <w:rsid w:val="00F27D38"/>
    <w:rsid w:val="00F94DCD"/>
    <w:rsid w:val="00FC7B48"/>
    <w:rsid w:val="00FE0E79"/>
    <w:rsid w:val="00FF6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9E59D40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BalloonText">
    <w:name w:val="Balloon Text"/>
    <w:basedOn w:val="Normal"/>
    <w:link w:val="BalloonTextChar"/>
    <w:uiPriority w:val="99"/>
    <w:semiHidden/>
    <w:unhideWhenUsed/>
    <w:rsid w:val="00630F6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0F64"/>
    <w:rPr>
      <w:rFonts w:ascii="Segoe UI" w:hAnsi="Segoe UI" w:cs="Segoe UI"/>
      <w:sz w:val="18"/>
      <w:szCs w:val="18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3E5EF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E5EF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E5EF1"/>
    <w:rPr>
      <w:lang w:eastAsia="en-US"/>
    </w:rPr>
  </w:style>
  <w:style w:type="paragraph" w:styleId="Revision">
    <w:name w:val="Revision"/>
    <w:hidden/>
    <w:uiPriority w:val="99"/>
    <w:semiHidden/>
    <w:rsid w:val="00F05106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906</Characters>
  <Application>Microsoft Office Word</Application>
  <DocSecurity>0</DocSecurity>
  <Lines>27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InTACT</Company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2018-12-10T06:09:00Z</cp:lastPrinted>
  <dcterms:created xsi:type="dcterms:W3CDTF">2025-04-10T04:52:00Z</dcterms:created>
  <dcterms:modified xsi:type="dcterms:W3CDTF">2025-04-10T04:52:00Z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2024-11-25T23:10:19Z</vt:lpwstr>
  </property>
  <property fmtid="{D5CDD505-2E9C-101B-9397-08002B2CF9AE}" pid="4" name="MSIP_Label_69af8531-eb46-4968-8cb3-105d2f5ea87e_Method">
    <vt:lpwstr>Standard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2bd317e1-03d8-43f8-8313-da45b10fbb2a</vt:lpwstr>
  </property>
  <property fmtid="{D5CDD505-2E9C-101B-9397-08002B2CF9AE}" pid="8" name="MSIP_Label_69af8531-eb46-4968-8cb3-105d2f5ea87e_ContentBits">
    <vt:lpwstr>0</vt:lpwstr>
  </property>
</Properties>
</file>