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CEDF" w14:textId="77777777" w:rsidR="00430088" w:rsidRPr="00430088" w:rsidRDefault="00430088" w:rsidP="0043008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430088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299B2B43" w14:textId="77777777" w:rsidR="00430088" w:rsidRPr="00430088" w:rsidRDefault="00430088" w:rsidP="00430088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color w:val="000000" w:themeColor="text1"/>
          <w:sz w:val="40"/>
          <w:szCs w:val="20"/>
        </w:rPr>
      </w:pPr>
      <w:r w:rsidRPr="00430088">
        <w:rPr>
          <w:rFonts w:ascii="Arial" w:eastAsia="Times New Roman" w:hAnsi="Arial" w:cs="Times New Roman"/>
          <w:b/>
          <w:color w:val="000000" w:themeColor="text1"/>
          <w:sz w:val="40"/>
          <w:szCs w:val="20"/>
        </w:rPr>
        <w:t xml:space="preserve">Corrections Management (Detainee Distance Education) Operating Procedure 2025 </w:t>
      </w:r>
    </w:p>
    <w:p w14:paraId="40D7728C" w14:textId="77777777" w:rsidR="00430088" w:rsidRPr="00430088" w:rsidRDefault="00430088" w:rsidP="00430088">
      <w:pPr>
        <w:spacing w:before="340"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</w:pPr>
      <w:r w:rsidRPr="00430088">
        <w:rPr>
          <w:rFonts w:ascii="Arial" w:eastAsia="Times New Roman" w:hAnsi="Arial" w:cs="Arial"/>
          <w:b/>
          <w:bCs/>
          <w:sz w:val="24"/>
          <w:szCs w:val="20"/>
        </w:rPr>
        <w:t xml:space="preserve">Notifiable instrument </w:t>
      </w:r>
      <w:r w:rsidRPr="00430088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NI2025–395</w:t>
      </w:r>
    </w:p>
    <w:p w14:paraId="24522A18" w14:textId="77777777" w:rsidR="00430088" w:rsidRPr="00430088" w:rsidRDefault="00430088" w:rsidP="00430088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30088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7F25AE43" w14:textId="77777777" w:rsidR="00430088" w:rsidRPr="00430088" w:rsidRDefault="00430088" w:rsidP="00430088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30088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639B2E7C" w14:textId="77777777" w:rsidR="00430088" w:rsidRPr="00430088" w:rsidRDefault="00430088" w:rsidP="00430088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</w:rPr>
      </w:pPr>
    </w:p>
    <w:p w14:paraId="5353257C" w14:textId="77777777" w:rsidR="00430088" w:rsidRPr="00430088" w:rsidRDefault="00430088" w:rsidP="00430088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7D1E91A" w14:textId="77777777" w:rsidR="00430088" w:rsidRPr="00430088" w:rsidRDefault="00430088" w:rsidP="00430088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430088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430088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AE8693C" w14:textId="77777777" w:rsidR="00430088" w:rsidRPr="00430088" w:rsidRDefault="00430088" w:rsidP="0043008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430088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43008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Corrections </w:t>
      </w:r>
      <w:r w:rsidRPr="004300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</w:rPr>
        <w:t>Management (Detainee Distance Education) Operating Procedure 2025</w:t>
      </w:r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.</w:t>
      </w:r>
    </w:p>
    <w:p w14:paraId="1119CDA9" w14:textId="77777777" w:rsidR="00430088" w:rsidRPr="00430088" w:rsidRDefault="00430088" w:rsidP="0043008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</w:pPr>
      <w:r w:rsidRPr="00430088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2</w:t>
      </w:r>
      <w:r w:rsidRPr="00430088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25F37BFA" w14:textId="77777777" w:rsidR="00430088" w:rsidRPr="00430088" w:rsidRDefault="00430088" w:rsidP="0043008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430088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notification. </w:t>
      </w:r>
    </w:p>
    <w:p w14:paraId="08E7E66A" w14:textId="77777777" w:rsidR="00430088" w:rsidRPr="00430088" w:rsidRDefault="00430088" w:rsidP="0043008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430088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430088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430088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Operating Procedure</w:t>
      </w:r>
    </w:p>
    <w:p w14:paraId="437F13A6" w14:textId="77777777" w:rsidR="00430088" w:rsidRPr="00430088" w:rsidRDefault="00430088" w:rsidP="00430088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430088">
        <w:rPr>
          <w:rFonts w:ascii="Times New Roman" w:eastAsia="Times New Roman" w:hAnsi="Times New Roman" w:cs="Times New Roman"/>
          <w:sz w:val="24"/>
          <w:szCs w:val="20"/>
        </w:rPr>
        <w:t>I make this</w:t>
      </w:r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operating procedure </w:t>
      </w:r>
      <w:r w:rsidRPr="00430088">
        <w:rPr>
          <w:rFonts w:ascii="Times New Roman" w:eastAsia="Times New Roman" w:hAnsi="Times New Roman" w:cs="Times New Roman"/>
          <w:sz w:val="24"/>
          <w:szCs w:val="20"/>
        </w:rPr>
        <w:t>to facilitate the effective and efficient management of correctional services.</w:t>
      </w:r>
      <w:r w:rsidRPr="00430088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7D21A869" w14:textId="77777777" w:rsidR="00430088" w:rsidRPr="00430088" w:rsidRDefault="00430088" w:rsidP="00430088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14:paraId="0F46AD92" w14:textId="77777777" w:rsidR="00430088" w:rsidRPr="00430088" w:rsidRDefault="00430088" w:rsidP="00430088">
      <w:pPr>
        <w:spacing w:after="0" w:line="240" w:lineRule="auto"/>
        <w:rPr>
          <w:rFonts w:ascii="Calibri" w:eastAsia="Calibri" w:hAnsi="Calibri" w:cs="Times New Roman"/>
        </w:rPr>
      </w:pPr>
    </w:p>
    <w:p w14:paraId="257D8365" w14:textId="77777777" w:rsidR="00430088" w:rsidRPr="00430088" w:rsidRDefault="00430088" w:rsidP="00430088">
      <w:pPr>
        <w:spacing w:after="0" w:line="240" w:lineRule="auto"/>
        <w:rPr>
          <w:rFonts w:ascii="Calibri" w:eastAsia="Calibri" w:hAnsi="Calibri" w:cs="Times New Roman"/>
        </w:rPr>
      </w:pPr>
    </w:p>
    <w:p w14:paraId="5B268CDC" w14:textId="77777777" w:rsidR="00430088" w:rsidRPr="00430088" w:rsidRDefault="00430088" w:rsidP="004300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bookmarkStart w:id="1" w:name="_Hlk138929847"/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Leanne Close </w:t>
      </w:r>
      <w:r w:rsidRPr="0043008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APM</w:t>
      </w:r>
    </w:p>
    <w:p w14:paraId="70F6C596" w14:textId="77777777" w:rsidR="00430088" w:rsidRPr="00430088" w:rsidRDefault="00430088" w:rsidP="004300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Commissioner</w:t>
      </w:r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br/>
        <w:t>ACT Corrective Services</w:t>
      </w:r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br/>
      </w:r>
      <w:bookmarkEnd w:id="1"/>
    </w:p>
    <w:p w14:paraId="4606FA63" w14:textId="77777777" w:rsidR="00430088" w:rsidRPr="00430088" w:rsidRDefault="00430088" w:rsidP="004300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43008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26 June 2025</w:t>
      </w:r>
    </w:p>
    <w:bookmarkEnd w:id="0"/>
    <w:p w14:paraId="66F46ABB" w14:textId="77777777" w:rsidR="00430088" w:rsidRDefault="00430088" w:rsidP="004D1932">
      <w:pPr>
        <w:spacing w:before="120" w:after="120"/>
        <w:rPr>
          <w:rFonts w:cs="Arial"/>
          <w:b/>
        </w:rPr>
        <w:sectPr w:rsidR="00430088" w:rsidSect="007056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127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7B3718" w:rsidRPr="00586F66" w14:paraId="3F363F6A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4E8142B6" w14:textId="77777777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4FE92B7D" w14:textId="5EBF5E1C" w:rsidR="007B3718" w:rsidRPr="00202B3A" w:rsidRDefault="0097591F" w:rsidP="004740A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Detainee </w:t>
            </w:r>
            <w:r w:rsidR="001B11C3">
              <w:rPr>
                <w:rFonts w:cs="Arial"/>
                <w:b/>
              </w:rPr>
              <w:t>Distance Education</w:t>
            </w:r>
          </w:p>
        </w:tc>
      </w:tr>
      <w:tr w:rsidR="003A3CF7" w:rsidRPr="00586F66" w14:paraId="6738EF0F" w14:textId="77777777" w:rsidTr="00586F66">
        <w:tc>
          <w:tcPr>
            <w:tcW w:w="3085" w:type="dxa"/>
          </w:tcPr>
          <w:p w14:paraId="1F2B99A8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66B274D5" w14:textId="6DCB0E5F" w:rsidR="003A3CF7" w:rsidRPr="00586F66" w:rsidRDefault="006E5B0A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25.1</w:t>
            </w:r>
          </w:p>
        </w:tc>
      </w:tr>
      <w:tr w:rsidR="00510017" w:rsidRPr="00586F66" w14:paraId="2AE5F983" w14:textId="77777777" w:rsidTr="008C1D7D">
        <w:tc>
          <w:tcPr>
            <w:tcW w:w="3085" w:type="dxa"/>
          </w:tcPr>
          <w:p w14:paraId="0E3810EE" w14:textId="77777777" w:rsidR="00510017" w:rsidRPr="00586F66" w:rsidRDefault="00586F66" w:rsidP="0051001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17EE4551" w14:textId="0E420669" w:rsidR="00510017" w:rsidRPr="00A4017C" w:rsidRDefault="002B3CE1" w:rsidP="00132DBB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B41869">
              <w:rPr>
                <w:rFonts w:cs="Arial"/>
                <w:b/>
              </w:rPr>
              <w:t>Alexander Maconochie Centre</w:t>
            </w:r>
          </w:p>
        </w:tc>
      </w:tr>
    </w:tbl>
    <w:p w14:paraId="53A1DC33" w14:textId="37AC6F27" w:rsidR="008C1D7D" w:rsidRDefault="00E62FBC" w:rsidP="006D6455">
      <w:pPr>
        <w:pStyle w:val="Heading11"/>
      </w:pPr>
      <w:r w:rsidRPr="00586F66">
        <w:t>PURPOSE</w:t>
      </w:r>
    </w:p>
    <w:p w14:paraId="1EC02649" w14:textId="2F2D8C0E" w:rsidR="008445F4" w:rsidRDefault="00E21D79" w:rsidP="006D6455">
      <w:pPr>
        <w:pStyle w:val="Normaltext"/>
      </w:pPr>
      <w:r>
        <w:t>T</w:t>
      </w:r>
      <w:r w:rsidR="00C95A3D">
        <w:t xml:space="preserve">o provide instructions </w:t>
      </w:r>
      <w:r w:rsidR="007438AE">
        <w:t xml:space="preserve">to </w:t>
      </w:r>
      <w:r>
        <w:t>ACT</w:t>
      </w:r>
      <w:r w:rsidR="0042358F">
        <w:t xml:space="preserve"> </w:t>
      </w:r>
      <w:r w:rsidR="00E829DC">
        <w:t>Corrective</w:t>
      </w:r>
      <w:r w:rsidR="0042358F">
        <w:t xml:space="preserve"> </w:t>
      </w:r>
      <w:r>
        <w:t>S</w:t>
      </w:r>
      <w:r w:rsidR="0042358F">
        <w:t>ervices (ACTCS)</w:t>
      </w:r>
      <w:r>
        <w:t xml:space="preserve"> staff </w:t>
      </w:r>
      <w:r w:rsidR="00273858">
        <w:t>on</w:t>
      </w:r>
      <w:r w:rsidR="00C95A3D">
        <w:t xml:space="preserve"> </w:t>
      </w:r>
      <w:r w:rsidR="0042358F">
        <w:t xml:space="preserve">the </w:t>
      </w:r>
      <w:r w:rsidR="0076779B">
        <w:t>provi</w:t>
      </w:r>
      <w:r w:rsidR="0042358F">
        <w:t>sion</w:t>
      </w:r>
      <w:r w:rsidR="0076779B">
        <w:t xml:space="preserve"> </w:t>
      </w:r>
      <w:r w:rsidR="003A66C4">
        <w:t xml:space="preserve">of </w:t>
      </w:r>
      <w:r w:rsidR="0076779B">
        <w:t>administrative</w:t>
      </w:r>
      <w:r w:rsidR="00C95A3D" w:rsidRPr="00C95A3D">
        <w:t xml:space="preserve"> support to detainees approved to study via </w:t>
      </w:r>
      <w:r w:rsidR="008445F4">
        <w:t>d</w:t>
      </w:r>
      <w:r w:rsidR="00C95A3D" w:rsidRPr="00C95A3D">
        <w:t xml:space="preserve">istance </w:t>
      </w:r>
      <w:r w:rsidR="008445F4">
        <w:t>e</w:t>
      </w:r>
      <w:r w:rsidR="00C95A3D" w:rsidRPr="00C95A3D">
        <w:t>ducation</w:t>
      </w:r>
      <w:r w:rsidR="00372390">
        <w:t xml:space="preserve"> by the Senior Director Detainee Services</w:t>
      </w:r>
      <w:r w:rsidR="008445F4">
        <w:t>.</w:t>
      </w:r>
    </w:p>
    <w:p w14:paraId="2703E43F" w14:textId="45724D04" w:rsidR="004404BE" w:rsidRPr="003517F3" w:rsidRDefault="00F9034E" w:rsidP="004858B1">
      <w:pPr>
        <w:pStyle w:val="SectionHeading"/>
        <w:ind w:left="567" w:hanging="567"/>
      </w:pPr>
      <w:r>
        <w:t>R</w:t>
      </w:r>
      <w:r w:rsidR="008D4546">
        <w:t xml:space="preserve">oles and </w:t>
      </w:r>
      <w:r w:rsidR="003A3DA0">
        <w:t>r</w:t>
      </w:r>
      <w:r w:rsidR="008D4546">
        <w:t>esponsibilities</w:t>
      </w:r>
    </w:p>
    <w:p w14:paraId="763DB618" w14:textId="3041A7F6" w:rsidR="008D4546" w:rsidRDefault="008D4546" w:rsidP="004858B1">
      <w:pPr>
        <w:pStyle w:val="Indenttext1"/>
        <w:ind w:left="567" w:hanging="567"/>
      </w:pPr>
      <w:r>
        <w:t xml:space="preserve">The </w:t>
      </w:r>
      <w:r w:rsidR="000C7055">
        <w:t>Education Team</w:t>
      </w:r>
      <w:r>
        <w:t xml:space="preserve"> will:</w:t>
      </w:r>
    </w:p>
    <w:p w14:paraId="387FB7F9" w14:textId="0D685B96" w:rsidR="008D4546" w:rsidRDefault="00163A84" w:rsidP="008C37DA">
      <w:pPr>
        <w:pStyle w:val="Style1"/>
        <w:numPr>
          <w:ilvl w:val="0"/>
          <w:numId w:val="5"/>
        </w:numPr>
      </w:pPr>
      <w:r>
        <w:t>p</w:t>
      </w:r>
      <w:r w:rsidR="008D4546">
        <w:t xml:space="preserve">rovide advice to detainees seeking to undertake </w:t>
      </w:r>
      <w:r w:rsidR="008D11F9">
        <w:t>supported distance education</w:t>
      </w:r>
      <w:r w:rsidR="00D35C47">
        <w:t>,</w:t>
      </w:r>
      <w:r w:rsidR="008D4546">
        <w:t xml:space="preserve"> including requirements</w:t>
      </w:r>
      <w:r>
        <w:t>,</w:t>
      </w:r>
      <w:r w:rsidR="008D4546">
        <w:t xml:space="preserve"> eligibility criteria</w:t>
      </w:r>
      <w:r>
        <w:t xml:space="preserve"> and </w:t>
      </w:r>
      <w:r w:rsidR="003B0497">
        <w:t xml:space="preserve">entrance </w:t>
      </w:r>
      <w:r>
        <w:t>fee</w:t>
      </w:r>
      <w:r w:rsidR="003B0497">
        <w:t>s</w:t>
      </w:r>
    </w:p>
    <w:p w14:paraId="16C18BAC" w14:textId="5CB7E584" w:rsidR="008D4546" w:rsidRDefault="00163A84" w:rsidP="008C37DA">
      <w:pPr>
        <w:pStyle w:val="Style1"/>
        <w:numPr>
          <w:ilvl w:val="0"/>
          <w:numId w:val="5"/>
        </w:numPr>
      </w:pPr>
      <w:r>
        <w:t>c</w:t>
      </w:r>
      <w:r w:rsidR="008D4546">
        <w:t xml:space="preserve">ollaborate with </w:t>
      </w:r>
      <w:r w:rsidR="008C37DA" w:rsidRPr="008C37DA">
        <w:t xml:space="preserve">Alexander Maconochie Centre </w:t>
      </w:r>
      <w:r w:rsidR="008C37DA">
        <w:t>(</w:t>
      </w:r>
      <w:r w:rsidR="008D4546">
        <w:t>AMC</w:t>
      </w:r>
      <w:r w:rsidR="008C37DA">
        <w:t>)</w:t>
      </w:r>
      <w:r w:rsidR="008D4546">
        <w:t xml:space="preserve"> </w:t>
      </w:r>
      <w:r w:rsidR="00D35C47">
        <w:t>e</w:t>
      </w:r>
      <w:r w:rsidR="008D4546">
        <w:t xml:space="preserve">ducation providers to ensure </w:t>
      </w:r>
      <w:r w:rsidR="00A95C80">
        <w:t xml:space="preserve">the </w:t>
      </w:r>
      <w:r w:rsidR="008D4546">
        <w:t xml:space="preserve">capacity to participate in </w:t>
      </w:r>
      <w:r>
        <w:t>distance education</w:t>
      </w:r>
      <w:r w:rsidR="00693BC1">
        <w:t xml:space="preserve"> </w:t>
      </w:r>
      <w:r w:rsidR="008D4546">
        <w:t>has been a</w:t>
      </w:r>
      <w:r w:rsidR="00A95C80">
        <w:t>ppraised</w:t>
      </w:r>
      <w:r w:rsidR="008D4546">
        <w:t xml:space="preserve"> via the appropriate Language, Literacy and Numeracy </w:t>
      </w:r>
      <w:r w:rsidR="00A95C80">
        <w:t xml:space="preserve">(LLN) </w:t>
      </w:r>
      <w:r w:rsidR="008D4546">
        <w:t>assessment</w:t>
      </w:r>
      <w:r w:rsidR="00A95C80">
        <w:t xml:space="preserve"> </w:t>
      </w:r>
    </w:p>
    <w:p w14:paraId="1A181283" w14:textId="4E15C3AE" w:rsidR="008D4546" w:rsidRDefault="00163A84" w:rsidP="008C37DA">
      <w:pPr>
        <w:pStyle w:val="Style1"/>
        <w:numPr>
          <w:ilvl w:val="0"/>
          <w:numId w:val="5"/>
        </w:numPr>
      </w:pPr>
      <w:r>
        <w:t>a</w:t>
      </w:r>
      <w:r w:rsidR="008D4546">
        <w:t xml:space="preserve">ssist eligible detainees with </w:t>
      </w:r>
      <w:r w:rsidR="00A95C80">
        <w:t xml:space="preserve">their </w:t>
      </w:r>
      <w:r>
        <w:t>distance education</w:t>
      </w:r>
      <w:r w:rsidR="008D4546">
        <w:t xml:space="preserve"> application</w:t>
      </w:r>
    </w:p>
    <w:p w14:paraId="288AFAF1" w14:textId="11BA988C" w:rsidR="008D4546" w:rsidRDefault="00B42FB2" w:rsidP="008C37DA">
      <w:pPr>
        <w:pStyle w:val="Style1"/>
        <w:numPr>
          <w:ilvl w:val="0"/>
          <w:numId w:val="5"/>
        </w:numPr>
      </w:pPr>
      <w:r w:rsidRPr="00B42FB2">
        <w:t>provide administrative support</w:t>
      </w:r>
      <w:r w:rsidRPr="00B42FB2" w:rsidDel="00B42FB2">
        <w:t xml:space="preserve"> </w:t>
      </w:r>
      <w:r>
        <w:t xml:space="preserve">for </w:t>
      </w:r>
      <w:r w:rsidR="008D4546">
        <w:t xml:space="preserve">detainees who have been approved to study </w:t>
      </w:r>
      <w:r w:rsidR="00273858">
        <w:t>via distance education</w:t>
      </w:r>
    </w:p>
    <w:p w14:paraId="4E3AAB30" w14:textId="1ACAA301" w:rsidR="004404BE" w:rsidRDefault="00163A84" w:rsidP="008C37DA">
      <w:pPr>
        <w:pStyle w:val="Style1"/>
        <w:numPr>
          <w:ilvl w:val="0"/>
          <w:numId w:val="5"/>
        </w:numPr>
      </w:pPr>
      <w:r>
        <w:t>m</w:t>
      </w:r>
      <w:r w:rsidR="008D4546">
        <w:t>aintain</w:t>
      </w:r>
      <w:r w:rsidR="00A014F8">
        <w:t xml:space="preserve"> </w:t>
      </w:r>
      <w:r>
        <w:t>a</w:t>
      </w:r>
      <w:r w:rsidR="008D4546">
        <w:t xml:space="preserve"> </w:t>
      </w:r>
      <w:r>
        <w:t>distance education</w:t>
      </w:r>
      <w:r w:rsidR="008D4546">
        <w:t xml:space="preserve"> database and provide quarterly summary and data reports</w:t>
      </w:r>
      <w:r w:rsidR="00273858">
        <w:t xml:space="preserve"> to the Assistant Commissioner Custodial Operations</w:t>
      </w:r>
      <w:r w:rsidR="008D4546">
        <w:t>.</w:t>
      </w:r>
    </w:p>
    <w:p w14:paraId="3C158C3D" w14:textId="51F569CF" w:rsidR="00194B7F" w:rsidRDefault="008445F4" w:rsidP="004858B1">
      <w:pPr>
        <w:pStyle w:val="Indenttext1"/>
        <w:ind w:left="567" w:hanging="567"/>
      </w:pPr>
      <w:r>
        <w:t xml:space="preserve">The education team </w:t>
      </w:r>
      <w:r w:rsidR="001177FB">
        <w:t>will</w:t>
      </w:r>
      <w:r w:rsidR="00163A84">
        <w:t xml:space="preserve"> </w:t>
      </w:r>
      <w:r>
        <w:t>assist detainees with</w:t>
      </w:r>
      <w:r w:rsidR="00194B7F">
        <w:t>:</w:t>
      </w:r>
    </w:p>
    <w:p w14:paraId="3EA907D0" w14:textId="44418443" w:rsidR="00194B7F" w:rsidRDefault="00163A84" w:rsidP="008C37DA">
      <w:pPr>
        <w:pStyle w:val="Style1"/>
        <w:numPr>
          <w:ilvl w:val="0"/>
          <w:numId w:val="24"/>
        </w:numPr>
      </w:pPr>
      <w:r>
        <w:t>LLN a</w:t>
      </w:r>
      <w:r w:rsidR="008445F4">
        <w:t>ssessments to Level 4</w:t>
      </w:r>
      <w:r w:rsidR="00194B7F">
        <w:t xml:space="preserve"> and TPP assessments</w:t>
      </w:r>
    </w:p>
    <w:p w14:paraId="759D7A5F" w14:textId="71DE4513" w:rsidR="00194B7F" w:rsidRPr="00C1729D" w:rsidRDefault="008445F4" w:rsidP="008C37DA">
      <w:pPr>
        <w:pStyle w:val="Style1"/>
        <w:numPr>
          <w:ilvl w:val="0"/>
          <w:numId w:val="24"/>
        </w:numPr>
      </w:pPr>
      <w:r w:rsidRPr="008445F4">
        <w:t>completing application forms</w:t>
      </w:r>
      <w:r>
        <w:t xml:space="preserve"> and providing details on </w:t>
      </w:r>
      <w:r w:rsidR="003B0497">
        <w:t>entrance fees</w:t>
      </w:r>
    </w:p>
    <w:p w14:paraId="56B94D4D" w14:textId="22230110" w:rsidR="00194B7F" w:rsidRPr="00C1729D" w:rsidRDefault="008445F4" w:rsidP="008C37DA">
      <w:pPr>
        <w:pStyle w:val="Style1"/>
        <w:numPr>
          <w:ilvl w:val="0"/>
          <w:numId w:val="24"/>
        </w:numPr>
      </w:pPr>
      <w:r>
        <w:t xml:space="preserve">use of </w:t>
      </w:r>
      <w:r w:rsidR="00194B7F">
        <w:t>Prison PC</w:t>
      </w:r>
      <w:r>
        <w:t xml:space="preserve">, </w:t>
      </w:r>
      <w:r w:rsidR="00273858">
        <w:t>I</w:t>
      </w:r>
      <w:r w:rsidR="00194B7F">
        <w:t>nternet and software requirements</w:t>
      </w:r>
    </w:p>
    <w:p w14:paraId="1DD771DE" w14:textId="6E3F8FFF" w:rsidR="00194B7F" w:rsidRPr="00C1729D" w:rsidRDefault="00194B7F" w:rsidP="008C37DA">
      <w:pPr>
        <w:pStyle w:val="Style1"/>
        <w:numPr>
          <w:ilvl w:val="0"/>
          <w:numId w:val="24"/>
        </w:numPr>
      </w:pPr>
      <w:r>
        <w:t>student email accounts</w:t>
      </w:r>
      <w:r w:rsidR="008445F4">
        <w:t xml:space="preserve"> </w:t>
      </w:r>
      <w:r w:rsidR="00163A84">
        <w:t xml:space="preserve">and </w:t>
      </w:r>
      <w:r w:rsidR="008445F4">
        <w:t>online learning</w:t>
      </w:r>
      <w:r w:rsidR="00163A84">
        <w:t xml:space="preserve"> procedures</w:t>
      </w:r>
    </w:p>
    <w:p w14:paraId="714A35ED" w14:textId="6ADC2F55" w:rsidR="0090262B" w:rsidRDefault="00194B7F" w:rsidP="008C37DA">
      <w:pPr>
        <w:pStyle w:val="Style1"/>
        <w:numPr>
          <w:ilvl w:val="0"/>
          <w:numId w:val="24"/>
        </w:numPr>
      </w:pPr>
      <w:r>
        <w:t>supervision of exams</w:t>
      </w:r>
    </w:p>
    <w:p w14:paraId="0A1894CB" w14:textId="4532B946" w:rsidR="00194B7F" w:rsidRDefault="009C52E4" w:rsidP="008C37DA">
      <w:pPr>
        <w:pStyle w:val="Style1"/>
        <w:numPr>
          <w:ilvl w:val="0"/>
          <w:numId w:val="24"/>
        </w:numPr>
      </w:pPr>
      <w:r>
        <w:t xml:space="preserve">answering </w:t>
      </w:r>
      <w:r w:rsidR="00676FB6">
        <w:t xml:space="preserve">questions about </w:t>
      </w:r>
      <w:r w:rsidR="0090262B">
        <w:t>education</w:t>
      </w:r>
      <w:r w:rsidR="00194B7F">
        <w:t>.</w:t>
      </w:r>
    </w:p>
    <w:p w14:paraId="28D1CCC0" w14:textId="77777777" w:rsidR="009B25C1" w:rsidRDefault="009B25C1" w:rsidP="00007048">
      <w:pPr>
        <w:pStyle w:val="SectionHeading"/>
        <w:numPr>
          <w:ilvl w:val="0"/>
          <w:numId w:val="0"/>
        </w:numPr>
        <w:spacing w:before="0"/>
        <w:ind w:left="360"/>
      </w:pPr>
    </w:p>
    <w:p w14:paraId="3D773FE2" w14:textId="334938D4" w:rsidR="00C84446" w:rsidRPr="009D43B9" w:rsidRDefault="00D6078E" w:rsidP="006E5B0A">
      <w:pPr>
        <w:pStyle w:val="SectionHeading"/>
        <w:spacing w:before="0"/>
        <w:ind w:left="567" w:hanging="567"/>
      </w:pPr>
      <w:r>
        <w:t>A</w:t>
      </w:r>
      <w:r w:rsidR="00C84446">
        <w:t>ssessmen</w:t>
      </w:r>
      <w:r>
        <w:t>t requirements</w:t>
      </w:r>
    </w:p>
    <w:p w14:paraId="1A76139B" w14:textId="025B04CD" w:rsidR="004D3541" w:rsidRDefault="00C84446" w:rsidP="006E5B0A">
      <w:pPr>
        <w:pStyle w:val="Indenttext1"/>
        <w:ind w:left="567" w:hanging="567"/>
      </w:pPr>
      <w:r w:rsidRPr="009D43B9">
        <w:t xml:space="preserve">All detainees wishing to study via </w:t>
      </w:r>
      <w:r>
        <w:t>distance education</w:t>
      </w:r>
      <w:r w:rsidRPr="009D43B9">
        <w:t xml:space="preserve"> are required to </w:t>
      </w:r>
      <w:r w:rsidR="002D2962">
        <w:t xml:space="preserve">first </w:t>
      </w:r>
      <w:r w:rsidRPr="009D43B9">
        <w:t xml:space="preserve">undertake </w:t>
      </w:r>
      <w:r>
        <w:t>a</w:t>
      </w:r>
      <w:r w:rsidR="00AC316A">
        <w:t xml:space="preserve"> </w:t>
      </w:r>
      <w:r w:rsidRPr="009D43B9">
        <w:t xml:space="preserve">LLN </w:t>
      </w:r>
      <w:r>
        <w:t>assessment</w:t>
      </w:r>
      <w:r w:rsidRPr="009D43B9">
        <w:t xml:space="preserve"> </w:t>
      </w:r>
      <w:r w:rsidR="002D2962" w:rsidRPr="009D43B9">
        <w:t>to determine their capacity to study at higher education levels</w:t>
      </w:r>
      <w:r w:rsidR="004D3541">
        <w:t>.</w:t>
      </w:r>
    </w:p>
    <w:p w14:paraId="0C4F4872" w14:textId="0C9F690C" w:rsidR="00CF01FC" w:rsidRDefault="00E77D7F" w:rsidP="00880ECE">
      <w:pPr>
        <w:pStyle w:val="Indenttext1"/>
        <w:ind w:left="567" w:hanging="567"/>
      </w:pPr>
      <w:r>
        <w:t xml:space="preserve">If a detainee </w:t>
      </w:r>
      <w:r w:rsidR="003D4188">
        <w:t xml:space="preserve">wishes to study </w:t>
      </w:r>
      <w:r w:rsidR="00B91D91">
        <w:t>through</w:t>
      </w:r>
      <w:r w:rsidR="003D4188">
        <w:t xml:space="preserve"> a university and </w:t>
      </w:r>
      <w:r>
        <w:t>successfully meets</w:t>
      </w:r>
      <w:r w:rsidR="00722876">
        <w:t xml:space="preserve"> at least</w:t>
      </w:r>
      <w:r w:rsidR="00223C02">
        <w:t xml:space="preserve"> the</w:t>
      </w:r>
      <w:r w:rsidR="00722876">
        <w:t xml:space="preserve"> </w:t>
      </w:r>
      <w:r w:rsidR="00722876" w:rsidRPr="00014C48">
        <w:rPr>
          <w:i/>
          <w:iCs/>
          <w:u w:val="single"/>
        </w:rPr>
        <w:t>Australian Core Skills Framework</w:t>
      </w:r>
      <w:r w:rsidR="00722876">
        <w:t xml:space="preserve"> (ACSF)</w:t>
      </w:r>
      <w:r w:rsidR="00722876" w:rsidRPr="009D43B9">
        <w:t xml:space="preserve"> leve</w:t>
      </w:r>
      <w:r w:rsidR="00722876">
        <w:t>l 4</w:t>
      </w:r>
      <w:r w:rsidR="00722876" w:rsidRPr="009D43B9">
        <w:t xml:space="preserve"> </w:t>
      </w:r>
      <w:r w:rsidR="00A07590">
        <w:t>in the LNN assessment</w:t>
      </w:r>
      <w:r>
        <w:t>,</w:t>
      </w:r>
      <w:r w:rsidR="00A07590">
        <w:t xml:space="preserve"> they </w:t>
      </w:r>
      <w:r w:rsidR="00880ECE">
        <w:t>may</w:t>
      </w:r>
      <w:r w:rsidR="00A07590">
        <w:t xml:space="preserve"> </w:t>
      </w:r>
      <w:r w:rsidR="00F856D3">
        <w:t xml:space="preserve">also </w:t>
      </w:r>
      <w:r w:rsidR="00B92A14">
        <w:t xml:space="preserve">be required </w:t>
      </w:r>
      <w:r w:rsidR="00F856D3">
        <w:t xml:space="preserve">by the university </w:t>
      </w:r>
      <w:r w:rsidR="00A07590">
        <w:t xml:space="preserve">to </w:t>
      </w:r>
      <w:r w:rsidR="00B92A14">
        <w:t xml:space="preserve">complete </w:t>
      </w:r>
      <w:r w:rsidR="00A07590">
        <w:t xml:space="preserve">a </w:t>
      </w:r>
      <w:r w:rsidR="00C926DE">
        <w:t>Tertiary Preparation Program (</w:t>
      </w:r>
      <w:r w:rsidR="00CF01FC">
        <w:t>TPP</w:t>
      </w:r>
      <w:r w:rsidR="00C926DE">
        <w:t>), who will make their own assessment on the learner’s capacity to undertake study via distance education</w:t>
      </w:r>
      <w:r w:rsidR="00A07590">
        <w:t>.</w:t>
      </w:r>
    </w:p>
    <w:p w14:paraId="36E727B1" w14:textId="42D4E3CA" w:rsidR="00C84446" w:rsidRDefault="00C84446" w:rsidP="004858B1">
      <w:pPr>
        <w:pStyle w:val="Indenttext1"/>
        <w:ind w:left="567" w:hanging="567"/>
      </w:pPr>
      <w:r w:rsidRPr="009D43B9">
        <w:lastRenderedPageBreak/>
        <w:t xml:space="preserve">Detainees who do not meet the recommended ACSF level </w:t>
      </w:r>
      <w:r w:rsidR="00A07590">
        <w:t>in the LNN assessment</w:t>
      </w:r>
      <w:r w:rsidRPr="009D43B9">
        <w:t xml:space="preserve"> </w:t>
      </w:r>
      <w:r w:rsidR="003E5200">
        <w:t>or who do not successfully complete a TPP</w:t>
      </w:r>
      <w:r w:rsidR="006E14CB">
        <w:t xml:space="preserve"> will</w:t>
      </w:r>
      <w:r w:rsidRPr="009D43B9">
        <w:t xml:space="preserve"> be referred to the onsite education providers to enrol in applicable coursework for an opportunity to improve</w:t>
      </w:r>
      <w:r w:rsidR="006E14CB">
        <w:t xml:space="preserve"> </w:t>
      </w:r>
      <w:r w:rsidR="006E14CB" w:rsidRPr="001D176B">
        <w:t>their LLN and/or study skills</w:t>
      </w:r>
      <w:r w:rsidRPr="009D43B9">
        <w:t>.</w:t>
      </w:r>
    </w:p>
    <w:p w14:paraId="477BFB6D" w14:textId="77777777" w:rsidR="00B42FB2" w:rsidRDefault="00B42FB2" w:rsidP="00007048">
      <w:pPr>
        <w:pStyle w:val="SectionHeading"/>
        <w:numPr>
          <w:ilvl w:val="0"/>
          <w:numId w:val="0"/>
        </w:numPr>
        <w:spacing w:before="0"/>
        <w:ind w:left="360" w:hanging="360"/>
      </w:pPr>
    </w:p>
    <w:p w14:paraId="4232E7E2" w14:textId="27CA00CA" w:rsidR="00B42FB2" w:rsidRDefault="00B42FB2" w:rsidP="006E5B0A">
      <w:pPr>
        <w:pStyle w:val="SectionHeading"/>
        <w:spacing w:before="0"/>
        <w:ind w:left="567" w:hanging="567"/>
      </w:pPr>
      <w:r>
        <w:t xml:space="preserve">Distance </w:t>
      </w:r>
      <w:r w:rsidR="00273858">
        <w:t>e</w:t>
      </w:r>
      <w:r>
        <w:t>ducation application process</w:t>
      </w:r>
    </w:p>
    <w:p w14:paraId="3BF64414" w14:textId="6940CEE1" w:rsidR="00B42FB2" w:rsidRDefault="00E34DDD" w:rsidP="002A5A1C">
      <w:pPr>
        <w:pStyle w:val="Indenttext1"/>
        <w:ind w:left="567" w:hanging="567"/>
      </w:pPr>
      <w:r w:rsidRPr="00E34DDD">
        <w:t>Detainees who wish to apply for distance education and have successfully completed an LNN assessment must submit an application</w:t>
      </w:r>
      <w:r w:rsidR="00B42FB2" w:rsidRPr="00B42FB2">
        <w:t xml:space="preserve"> to the </w:t>
      </w:r>
      <w:r w:rsidR="000C7055">
        <w:t>Education Team</w:t>
      </w:r>
      <w:r w:rsidR="000C7055" w:rsidRPr="00B42FB2">
        <w:t xml:space="preserve"> </w:t>
      </w:r>
      <w:r w:rsidR="00B42FB2" w:rsidRPr="00B42FB2">
        <w:t>for the approval of the Senior Director Detainee Services</w:t>
      </w:r>
      <w:r w:rsidR="00B42FB2">
        <w:t>.</w:t>
      </w:r>
    </w:p>
    <w:p w14:paraId="719E7C51" w14:textId="722AEFD7" w:rsidR="00B42FB2" w:rsidRDefault="00B42FB2" w:rsidP="002A5A1C">
      <w:pPr>
        <w:pStyle w:val="Indenttext1"/>
        <w:ind w:left="567" w:hanging="567"/>
      </w:pPr>
      <w:r>
        <w:t>A detainee’s application must include the following:</w:t>
      </w:r>
    </w:p>
    <w:p w14:paraId="68143373" w14:textId="5F9C3230" w:rsidR="00B42FB2" w:rsidRPr="006E5B0A" w:rsidRDefault="006116C8" w:rsidP="008C37DA">
      <w:pPr>
        <w:pStyle w:val="Style1"/>
        <w:numPr>
          <w:ilvl w:val="0"/>
          <w:numId w:val="25"/>
        </w:numPr>
      </w:pPr>
      <w:r w:rsidRPr="006E5B0A">
        <w:t>R</w:t>
      </w:r>
      <w:r w:rsidR="00B42FB2" w:rsidRPr="006E5B0A">
        <w:t>equest for Administrative Support Form</w:t>
      </w:r>
    </w:p>
    <w:p w14:paraId="6A069EB6" w14:textId="7D1DE8AE" w:rsidR="00B42FB2" w:rsidRPr="006E5B0A" w:rsidRDefault="00B42FB2" w:rsidP="008C37DA">
      <w:pPr>
        <w:pStyle w:val="Style1"/>
        <w:numPr>
          <w:ilvl w:val="0"/>
          <w:numId w:val="25"/>
        </w:numPr>
      </w:pPr>
      <w:r w:rsidRPr="006E5B0A">
        <w:t>AMC Distance Education Eligibility Form</w:t>
      </w:r>
    </w:p>
    <w:p w14:paraId="1B03A774" w14:textId="1A0FDB69" w:rsidR="00B42FB2" w:rsidRPr="006E5B0A" w:rsidRDefault="00B42FB2" w:rsidP="008C37DA">
      <w:pPr>
        <w:pStyle w:val="Style1"/>
        <w:numPr>
          <w:ilvl w:val="0"/>
          <w:numId w:val="25"/>
        </w:numPr>
      </w:pPr>
      <w:r w:rsidRPr="006E5B0A">
        <w:t>Detainee Supported Distance Education Notice</w:t>
      </w:r>
    </w:p>
    <w:p w14:paraId="763BBFDD" w14:textId="7909F8C8" w:rsidR="00B42FB2" w:rsidRDefault="00B42FB2" w:rsidP="008C37DA">
      <w:pPr>
        <w:pStyle w:val="Style1"/>
        <w:numPr>
          <w:ilvl w:val="0"/>
          <w:numId w:val="25"/>
        </w:numPr>
      </w:pPr>
      <w:bookmarkStart w:id="2" w:name="_Hlk164863626"/>
      <w:r w:rsidRPr="006E5B0A">
        <w:t>Detainee Distance Education Agreement</w:t>
      </w:r>
      <w:r>
        <w:t>.</w:t>
      </w:r>
      <w:bookmarkEnd w:id="2"/>
    </w:p>
    <w:p w14:paraId="6D3C805C" w14:textId="5F2A3EC1" w:rsidR="00B42FB2" w:rsidRDefault="003D4188" w:rsidP="00B42FB2">
      <w:pPr>
        <w:pStyle w:val="Indenttext1"/>
        <w:ind w:left="567" w:hanging="567"/>
      </w:pPr>
      <w:r>
        <w:t>N</w:t>
      </w:r>
      <w:r w:rsidRPr="003D4188">
        <w:t>oting the detainee’s right to access education,</w:t>
      </w:r>
      <w:r>
        <w:t xml:space="preserve"> the </w:t>
      </w:r>
      <w:r w:rsidR="00880ECE">
        <w:t>Assistant Director, Detainee Services</w:t>
      </w:r>
      <w:r w:rsidR="000C7055">
        <w:t xml:space="preserve"> </w:t>
      </w:r>
      <w:r w:rsidR="00B42FB2">
        <w:t>and</w:t>
      </w:r>
      <w:r w:rsidR="000C7055">
        <w:t xml:space="preserve"> the</w:t>
      </w:r>
      <w:r w:rsidR="00B42FB2">
        <w:t xml:space="preserve"> Senior Director</w:t>
      </w:r>
      <w:r w:rsidR="00880ECE">
        <w:t>,</w:t>
      </w:r>
      <w:r w:rsidR="00B42FB2">
        <w:t xml:space="preserve"> Detainee Services will assess the detainee’s application and consider the following factors</w:t>
      </w:r>
      <w:r w:rsidR="007968C1">
        <w:t xml:space="preserve"> prior to approving </w:t>
      </w:r>
      <w:r w:rsidR="00A47040">
        <w:t>support for the detainee’s enrolment:</w:t>
      </w:r>
    </w:p>
    <w:p w14:paraId="21774286" w14:textId="168D3223" w:rsidR="00F33DFD" w:rsidRDefault="008F36A2" w:rsidP="008C37DA">
      <w:pPr>
        <w:pStyle w:val="Style1"/>
        <w:numPr>
          <w:ilvl w:val="0"/>
          <w:numId w:val="19"/>
        </w:numPr>
      </w:pPr>
      <w:r>
        <w:t xml:space="preserve">the suitability of the area of study given the </w:t>
      </w:r>
      <w:r w:rsidR="00F33DFD">
        <w:t>detainee</w:t>
      </w:r>
      <w:r>
        <w:t>’s offending behaviour and current incarceration</w:t>
      </w:r>
    </w:p>
    <w:p w14:paraId="02864787" w14:textId="1D5C0B51" w:rsidR="00F33DFD" w:rsidRDefault="004B68FF" w:rsidP="008C37DA">
      <w:pPr>
        <w:pStyle w:val="Style1"/>
        <w:numPr>
          <w:ilvl w:val="0"/>
          <w:numId w:val="19"/>
        </w:numPr>
      </w:pPr>
      <w:r>
        <w:t xml:space="preserve">the benefits to the </w:t>
      </w:r>
      <w:r w:rsidR="00911EB4">
        <w:t>detainee</w:t>
      </w:r>
      <w:r>
        <w:t xml:space="preserve"> and likelihood of gaining suitable employment or post-release full-time study</w:t>
      </w:r>
    </w:p>
    <w:p w14:paraId="34C8FCF6" w14:textId="7185E681" w:rsidR="00911EB4" w:rsidRPr="00B42FB2" w:rsidRDefault="00911EB4" w:rsidP="008C37DA">
      <w:pPr>
        <w:pStyle w:val="Style1"/>
        <w:numPr>
          <w:ilvl w:val="0"/>
          <w:numId w:val="19"/>
        </w:numPr>
      </w:pPr>
      <w:r>
        <w:t>whether learning activities can be safely and practicably undertaken at the AMC</w:t>
      </w:r>
    </w:p>
    <w:p w14:paraId="5C5EE380" w14:textId="77777777" w:rsidR="00911EB4" w:rsidRDefault="00911EB4" w:rsidP="008C37DA">
      <w:pPr>
        <w:pStyle w:val="Style1"/>
        <w:numPr>
          <w:ilvl w:val="0"/>
          <w:numId w:val="19"/>
        </w:numPr>
      </w:pPr>
      <w:r>
        <w:t>any limits to access imposed by a detainee’s case management plan</w:t>
      </w:r>
    </w:p>
    <w:p w14:paraId="04FE571D" w14:textId="41162393" w:rsidR="00911EB4" w:rsidRPr="00B42FB2" w:rsidRDefault="00911EB4" w:rsidP="008C37DA">
      <w:pPr>
        <w:pStyle w:val="Style1"/>
        <w:numPr>
          <w:ilvl w:val="0"/>
          <w:numId w:val="19"/>
        </w:numPr>
      </w:pPr>
      <w:r>
        <w:t>educational qualifications already held by the detainee</w:t>
      </w:r>
    </w:p>
    <w:p w14:paraId="5C098EFF" w14:textId="77777777" w:rsidR="00F33DFD" w:rsidRDefault="00911EB4" w:rsidP="008C37DA">
      <w:pPr>
        <w:pStyle w:val="Style1"/>
        <w:numPr>
          <w:ilvl w:val="0"/>
          <w:numId w:val="19"/>
        </w:numPr>
      </w:pPr>
      <w:r>
        <w:t>the ability of ACTCS to operationally support the detainee based on the degree of assistance required</w:t>
      </w:r>
    </w:p>
    <w:p w14:paraId="72BC0655" w14:textId="585C6CCE" w:rsidR="00B42FB2" w:rsidRDefault="00E34DDD" w:rsidP="008C37DA">
      <w:pPr>
        <w:pStyle w:val="Style1"/>
        <w:numPr>
          <w:ilvl w:val="0"/>
          <w:numId w:val="19"/>
        </w:numPr>
      </w:pPr>
      <w:r>
        <w:t xml:space="preserve">the </w:t>
      </w:r>
      <w:r w:rsidR="004B68FF">
        <w:t xml:space="preserve">ability to access supportive technology (i.e. digital copies of course materials) provided by learning institutions which removes the need for </w:t>
      </w:r>
      <w:r w:rsidR="00911EB4">
        <w:t xml:space="preserve">Detainee Services </w:t>
      </w:r>
      <w:r w:rsidR="004B68FF">
        <w:t>to download or source materials</w:t>
      </w:r>
      <w:r w:rsidR="00B42FB2">
        <w:t>.</w:t>
      </w:r>
    </w:p>
    <w:p w14:paraId="4010BFE4" w14:textId="2E401CC6" w:rsidR="00F06CD0" w:rsidRDefault="00F06CD0" w:rsidP="008C37DA">
      <w:pPr>
        <w:pStyle w:val="Indenttext1"/>
        <w:ind w:left="567" w:hanging="567"/>
      </w:pPr>
      <w:r>
        <w:t>As a part of the assessment at section 3.3,</w:t>
      </w:r>
      <w:r w:rsidDel="00A47040">
        <w:t xml:space="preserve"> </w:t>
      </w:r>
      <w:r>
        <w:t>t</w:t>
      </w:r>
      <w:r w:rsidR="00A47040">
        <w:t xml:space="preserve">he </w:t>
      </w:r>
      <w:r w:rsidR="00360317">
        <w:t xml:space="preserve">Education Team </w:t>
      </w:r>
      <w:r w:rsidR="00A47040">
        <w:t>will</w:t>
      </w:r>
      <w:r w:rsidR="00360317">
        <w:t xml:space="preserve"> discuss with </w:t>
      </w:r>
      <w:r w:rsidR="00495BF3">
        <w:t>the</w:t>
      </w:r>
      <w:r>
        <w:t xml:space="preserve"> detainee:</w:t>
      </w:r>
    </w:p>
    <w:p w14:paraId="1E8B96FD" w14:textId="79D4CE33" w:rsidR="00F06CD0" w:rsidRDefault="00F06CD0" w:rsidP="00F06CD0">
      <w:pPr>
        <w:pStyle w:val="Style1"/>
        <w:numPr>
          <w:ilvl w:val="0"/>
          <w:numId w:val="20"/>
        </w:numPr>
      </w:pPr>
      <w:r>
        <w:t>the detainee’s educational goals and if employment</w:t>
      </w:r>
      <w:r w:rsidR="00662F09">
        <w:t xml:space="preserve"> is a goal</w:t>
      </w:r>
      <w:r>
        <w:t>, possible impediments</w:t>
      </w:r>
      <w:r w:rsidR="00A47040">
        <w:t xml:space="preserve"> to </w:t>
      </w:r>
      <w:r w:rsidR="00AE4E51" w:rsidRPr="00AE4E51">
        <w:t>us</w:t>
      </w:r>
      <w:r>
        <w:t>ing</w:t>
      </w:r>
      <w:r w:rsidR="00AE4E51" w:rsidRPr="00AE4E51">
        <w:t xml:space="preserve"> the qualification</w:t>
      </w:r>
      <w:r w:rsidR="00A47040">
        <w:t xml:space="preserve"> they are seeking </w:t>
      </w:r>
      <w:r w:rsidR="00AE4E51" w:rsidRPr="00AE4E51">
        <w:t>with a criminal record</w:t>
      </w:r>
      <w:r w:rsidR="00662F09">
        <w:t>. Areas of conflict with criminal history may include, but are not limited to:</w:t>
      </w:r>
    </w:p>
    <w:p w14:paraId="0A725898" w14:textId="77777777" w:rsidR="00662F09" w:rsidRDefault="00662F09" w:rsidP="008C37DA">
      <w:pPr>
        <w:pStyle w:val="Indenttext2"/>
        <w:numPr>
          <w:ilvl w:val="3"/>
          <w:numId w:val="22"/>
        </w:numPr>
        <w:ind w:left="2694"/>
      </w:pPr>
      <w:r>
        <w:t>accounting and financial planning services</w:t>
      </w:r>
    </w:p>
    <w:p w14:paraId="5FBD6DBF" w14:textId="77777777" w:rsidR="00662F09" w:rsidRDefault="00662F09" w:rsidP="008C37DA">
      <w:pPr>
        <w:pStyle w:val="Indenttext2"/>
        <w:numPr>
          <w:ilvl w:val="3"/>
          <w:numId w:val="22"/>
        </w:numPr>
        <w:ind w:left="2694"/>
      </w:pPr>
      <w:r>
        <w:t>aged care, childcare and health professions</w:t>
      </w:r>
    </w:p>
    <w:p w14:paraId="012830E0" w14:textId="77777777" w:rsidR="00662F09" w:rsidRDefault="00662F09" w:rsidP="008C37DA">
      <w:pPr>
        <w:pStyle w:val="Indenttext2"/>
        <w:numPr>
          <w:ilvl w:val="3"/>
          <w:numId w:val="22"/>
        </w:numPr>
        <w:ind w:left="2694"/>
      </w:pPr>
      <w:r>
        <w:t>legal professions</w:t>
      </w:r>
    </w:p>
    <w:p w14:paraId="7DE7B7D8" w14:textId="77777777" w:rsidR="00662F09" w:rsidRDefault="00662F09" w:rsidP="008C37DA">
      <w:pPr>
        <w:pStyle w:val="Indenttext2"/>
        <w:numPr>
          <w:ilvl w:val="3"/>
          <w:numId w:val="22"/>
        </w:numPr>
        <w:ind w:left="2694"/>
      </w:pPr>
      <w:r>
        <w:t>education</w:t>
      </w:r>
    </w:p>
    <w:p w14:paraId="3D84DBB2" w14:textId="77777777" w:rsidR="00662F09" w:rsidRPr="004E730A" w:rsidRDefault="00662F09" w:rsidP="008C37DA">
      <w:pPr>
        <w:pStyle w:val="Indenttext2"/>
        <w:numPr>
          <w:ilvl w:val="3"/>
          <w:numId w:val="22"/>
        </w:numPr>
        <w:ind w:left="2694"/>
      </w:pPr>
      <w:r>
        <w:t>psychology and behavioural sciences.</w:t>
      </w:r>
    </w:p>
    <w:p w14:paraId="60510360" w14:textId="162DF93A" w:rsidR="00F06CD0" w:rsidRDefault="00816CD6" w:rsidP="00F06CD0">
      <w:pPr>
        <w:pStyle w:val="Style1"/>
        <w:numPr>
          <w:ilvl w:val="0"/>
          <w:numId w:val="20"/>
        </w:numPr>
      </w:pPr>
      <w:r>
        <w:t>any</w:t>
      </w:r>
      <w:r w:rsidR="00AE4E51" w:rsidRPr="00AE4E51">
        <w:t xml:space="preserve"> practical components </w:t>
      </w:r>
      <w:r w:rsidR="00A47040">
        <w:t xml:space="preserve">of the study program </w:t>
      </w:r>
      <w:r w:rsidR="00AE4E51" w:rsidRPr="00AE4E51">
        <w:t>that</w:t>
      </w:r>
      <w:r w:rsidR="00A47040">
        <w:t xml:space="preserve"> </w:t>
      </w:r>
      <w:r w:rsidR="00F06CD0">
        <w:t>cannot be</w:t>
      </w:r>
      <w:r w:rsidR="00AE4E51" w:rsidRPr="00AE4E51">
        <w:t xml:space="preserve"> complete</w:t>
      </w:r>
      <w:r w:rsidR="00F06CD0">
        <w:t>d</w:t>
      </w:r>
      <w:r w:rsidR="00AE4E51" w:rsidRPr="00AE4E51">
        <w:t xml:space="preserve"> from inside the AMC</w:t>
      </w:r>
      <w:r w:rsidR="00F06CD0">
        <w:t>.</w:t>
      </w:r>
    </w:p>
    <w:p w14:paraId="5A37AAE0" w14:textId="1A6F37B4" w:rsidR="00AE4E51" w:rsidRDefault="00F06CD0" w:rsidP="008C37DA">
      <w:pPr>
        <w:pStyle w:val="Style1"/>
        <w:ind w:left="720"/>
      </w:pPr>
      <w:r>
        <w:lastRenderedPageBreak/>
        <w:t>I</w:t>
      </w:r>
      <w:r w:rsidR="00A47040">
        <w:t>f the study program is not practically possible to complete, the</w:t>
      </w:r>
      <w:r>
        <w:t xml:space="preserve"> detainee’s</w:t>
      </w:r>
      <w:r w:rsidR="00A47040">
        <w:t xml:space="preserve"> application</w:t>
      </w:r>
      <w:r>
        <w:t xml:space="preserve"> may not be approved</w:t>
      </w:r>
      <w:r w:rsidR="00AE4E51" w:rsidRPr="00AE4E51">
        <w:t>.</w:t>
      </w:r>
    </w:p>
    <w:p w14:paraId="6CDC3B8B" w14:textId="4F455FC3" w:rsidR="00E34DDD" w:rsidRDefault="00495BF3" w:rsidP="008C37DA">
      <w:pPr>
        <w:pStyle w:val="Indenttext1"/>
        <w:ind w:left="567" w:hanging="567"/>
      </w:pPr>
      <w:r>
        <w:t>The requirements of section 3.</w:t>
      </w:r>
      <w:r w:rsidR="00256A0D">
        <w:t>4</w:t>
      </w:r>
      <w:r>
        <w:t xml:space="preserve"> </w:t>
      </w:r>
      <w:r w:rsidR="00662F09">
        <w:t>aim</w:t>
      </w:r>
      <w:r>
        <w:t xml:space="preserve"> to </w:t>
      </w:r>
      <w:r w:rsidR="00E34DDD">
        <w:t xml:space="preserve">ensure that detainees </w:t>
      </w:r>
      <w:r w:rsidR="00662F09">
        <w:t xml:space="preserve">make fully informed decisions about possible </w:t>
      </w:r>
      <w:r w:rsidR="00B0337D">
        <w:t xml:space="preserve">tertiary study </w:t>
      </w:r>
      <w:r w:rsidR="00E34DDD">
        <w:t>debts</w:t>
      </w:r>
      <w:r w:rsidR="00B0337D">
        <w:t>, course completion while in custody and employment prospects after release from custody</w:t>
      </w:r>
      <w:r w:rsidR="00E34DDD">
        <w:t>.</w:t>
      </w:r>
    </w:p>
    <w:p w14:paraId="553ED1BF" w14:textId="77777777" w:rsidR="009B25C1" w:rsidRPr="004858B1" w:rsidRDefault="009B25C1" w:rsidP="00007048">
      <w:pPr>
        <w:pStyle w:val="ListParagraph"/>
        <w:spacing w:after="0"/>
        <w:ind w:left="567"/>
        <w:contextualSpacing w:val="0"/>
      </w:pPr>
    </w:p>
    <w:p w14:paraId="390DB305" w14:textId="1FD83FC8" w:rsidR="00D35C47" w:rsidRPr="00DD430E" w:rsidRDefault="00D35C47" w:rsidP="006E5B0A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</w:pPr>
      <w:r w:rsidRPr="00AB7587">
        <w:rPr>
          <w:b/>
          <w:bCs/>
        </w:rPr>
        <w:t xml:space="preserve">Fee </w:t>
      </w:r>
      <w:r w:rsidR="00155D67">
        <w:rPr>
          <w:rFonts w:cs="Arial"/>
          <w:b/>
          <w:bCs/>
        </w:rPr>
        <w:t>s</w:t>
      </w:r>
      <w:r w:rsidRPr="002C5931">
        <w:rPr>
          <w:rFonts w:cs="Arial"/>
          <w:b/>
          <w:bCs/>
        </w:rPr>
        <w:t>upport</w:t>
      </w:r>
      <w:r w:rsidRPr="00AB7587">
        <w:rPr>
          <w:b/>
          <w:bCs/>
        </w:rPr>
        <w:t xml:space="preserve"> for </w:t>
      </w:r>
      <w:r w:rsidR="00155D67">
        <w:rPr>
          <w:b/>
          <w:bCs/>
        </w:rPr>
        <w:t>d</w:t>
      </w:r>
      <w:r w:rsidRPr="00AB7587">
        <w:rPr>
          <w:b/>
          <w:bCs/>
        </w:rPr>
        <w:t>etainees</w:t>
      </w:r>
    </w:p>
    <w:p w14:paraId="5D999710" w14:textId="60611F4F" w:rsidR="00D35C47" w:rsidRDefault="00EB48EA" w:rsidP="004858B1">
      <w:pPr>
        <w:pStyle w:val="Indenttext1"/>
        <w:ind w:left="567" w:hanging="567"/>
      </w:pPr>
      <w:r>
        <w:t>Higher Education Loan Program (</w:t>
      </w:r>
      <w:r w:rsidR="00D35C47">
        <w:t>HELP</w:t>
      </w:r>
      <w:r>
        <w:t>)</w:t>
      </w:r>
      <w:r w:rsidR="00D35C47">
        <w:t xml:space="preserve"> </w:t>
      </w:r>
      <w:r>
        <w:t>l</w:t>
      </w:r>
      <w:r w:rsidR="00D35C47">
        <w:t xml:space="preserve">oans are available </w:t>
      </w:r>
      <w:r w:rsidR="00413D15">
        <w:t xml:space="preserve">from the Commonwealth government </w:t>
      </w:r>
      <w:r w:rsidR="00D35C47">
        <w:t xml:space="preserve">to assist eligible students studying at tertiary level to pay tuition fees. </w:t>
      </w:r>
      <w:r w:rsidR="00AB7587">
        <w:t xml:space="preserve">The </w:t>
      </w:r>
      <w:r w:rsidR="000C7055">
        <w:t xml:space="preserve">Education Team </w:t>
      </w:r>
      <w:r w:rsidR="00AB7587">
        <w:t xml:space="preserve">will </w:t>
      </w:r>
      <w:r w:rsidR="00907B80">
        <w:t>advise</w:t>
      </w:r>
      <w:r w:rsidR="00AB7587">
        <w:t xml:space="preserve"> detainees </w:t>
      </w:r>
      <w:r w:rsidR="00907B80">
        <w:t>about</w:t>
      </w:r>
      <w:r w:rsidR="00AB7587">
        <w:t xml:space="preserve"> the eligibility criteria</w:t>
      </w:r>
      <w:r w:rsidR="00907B80">
        <w:t xml:space="preserve"> and entrance fees</w:t>
      </w:r>
      <w:r w:rsidR="00AB7587">
        <w:t>.</w:t>
      </w:r>
    </w:p>
    <w:p w14:paraId="66C6329E" w14:textId="2C3B7626" w:rsidR="003B0497" w:rsidRDefault="003B0497" w:rsidP="004858B1">
      <w:pPr>
        <w:pStyle w:val="Indenttext1"/>
        <w:ind w:left="567" w:hanging="567"/>
      </w:pPr>
      <w:r w:rsidRPr="003B0497">
        <w:t xml:space="preserve">If detainees are eligible and commence studying, they </w:t>
      </w:r>
      <w:r w:rsidR="00C34155" w:rsidRPr="0085355F">
        <w:t>may</w:t>
      </w:r>
      <w:r w:rsidRPr="003B0497">
        <w:t xml:space="preserve"> incur a debt through</w:t>
      </w:r>
      <w:r w:rsidR="00861966">
        <w:t xml:space="preserve"> HECS or</w:t>
      </w:r>
      <w:r w:rsidRPr="003B0497">
        <w:t xml:space="preserve"> </w:t>
      </w:r>
      <w:r w:rsidR="00861966">
        <w:br/>
      </w:r>
      <w:r w:rsidRPr="003B0497">
        <w:t xml:space="preserve">FEE-HELP. The </w:t>
      </w:r>
      <w:r w:rsidR="000C7055">
        <w:t>Education Team</w:t>
      </w:r>
      <w:r w:rsidR="000C7055" w:rsidRPr="003B0497">
        <w:t xml:space="preserve"> </w:t>
      </w:r>
      <w:r w:rsidRPr="003B0497">
        <w:t xml:space="preserve">will explain to each detainee annually what their debt accrual </w:t>
      </w:r>
      <w:r w:rsidR="00E67A4F">
        <w:t>is</w:t>
      </w:r>
      <w:r w:rsidRPr="003B0497">
        <w:t>.</w:t>
      </w:r>
    </w:p>
    <w:p w14:paraId="68452F41" w14:textId="17D4F4D6" w:rsidR="00D35C47" w:rsidRDefault="00D35C47" w:rsidP="004858B1">
      <w:pPr>
        <w:pStyle w:val="Indenttext1"/>
        <w:ind w:left="567" w:hanging="567"/>
      </w:pPr>
      <w:r>
        <w:t xml:space="preserve">Detainees using </w:t>
      </w:r>
      <w:r w:rsidR="00EB48EA">
        <w:t xml:space="preserve">a </w:t>
      </w:r>
      <w:r w:rsidR="00861966">
        <w:t xml:space="preserve">HECS or </w:t>
      </w:r>
      <w:r w:rsidRPr="00D54889">
        <w:t>FEE-HELP</w:t>
      </w:r>
      <w:r>
        <w:t xml:space="preserve"> </w:t>
      </w:r>
      <w:r w:rsidR="00EB48EA" w:rsidRPr="00EB48EA">
        <w:t xml:space="preserve">loan to pay </w:t>
      </w:r>
      <w:r w:rsidR="0029228A" w:rsidRPr="00EB48EA">
        <w:t>all,</w:t>
      </w:r>
      <w:r w:rsidR="00EB48EA" w:rsidRPr="00EB48EA">
        <w:t xml:space="preserve"> or part</w:t>
      </w:r>
      <w:r w:rsidR="00B837F2">
        <w:t>,</w:t>
      </w:r>
      <w:r w:rsidR="00EB48EA" w:rsidRPr="00EB48EA">
        <w:t xml:space="preserve"> of </w:t>
      </w:r>
      <w:r w:rsidR="00EB48EA">
        <w:t>their</w:t>
      </w:r>
      <w:r w:rsidR="00EB48EA" w:rsidRPr="00EB48EA">
        <w:t xml:space="preserve"> tuition fees</w:t>
      </w:r>
      <w:r w:rsidR="00EB48EA">
        <w:t xml:space="preserve"> </w:t>
      </w:r>
      <w:r>
        <w:t xml:space="preserve">will be subject to the current eligibility criteria as outlined on </w:t>
      </w:r>
      <w:hyperlink r:id="rId14" w:history="1">
        <w:r w:rsidRPr="00861966">
          <w:rPr>
            <w:color w:val="548DD4" w:themeColor="text2" w:themeTint="99"/>
            <w:u w:val="single"/>
          </w:rPr>
          <w:t>www.studyassist.gov.au</w:t>
        </w:r>
      </w:hyperlink>
      <w:r w:rsidR="00861966">
        <w:t>.</w:t>
      </w:r>
    </w:p>
    <w:p w14:paraId="4132C6C7" w14:textId="26C8458E" w:rsidR="00D35C47" w:rsidRDefault="00D35C47" w:rsidP="004858B1">
      <w:pPr>
        <w:pStyle w:val="Indenttext1"/>
        <w:ind w:left="567" w:hanging="567"/>
      </w:pPr>
      <w:r>
        <w:t>T</w:t>
      </w:r>
      <w:r w:rsidRPr="00D54889">
        <w:t>o be eligible for a</w:t>
      </w:r>
      <w:r w:rsidR="00861966">
        <w:t xml:space="preserve"> HECS or</w:t>
      </w:r>
      <w:r w:rsidRPr="00D54889">
        <w:t xml:space="preserve"> FEE-HELP loan students must maintain a </w:t>
      </w:r>
      <w:r w:rsidR="00FB795A">
        <w:t xml:space="preserve">successful </w:t>
      </w:r>
      <w:r w:rsidRPr="00D54889">
        <w:t>completion rate</w:t>
      </w:r>
      <w:r w:rsidR="00B837F2">
        <w:t>.</w:t>
      </w:r>
    </w:p>
    <w:p w14:paraId="7A80BA5A" w14:textId="7AE3D6EB" w:rsidR="001A2D03" w:rsidRDefault="001A2D03" w:rsidP="004858B1">
      <w:pPr>
        <w:pStyle w:val="Indenttext1"/>
        <w:ind w:left="567" w:hanging="567"/>
      </w:pPr>
      <w:r>
        <w:t xml:space="preserve">Detainees may choose to submit a scholarship application directly to </w:t>
      </w:r>
      <w:r w:rsidR="003D3CEB">
        <w:t>a</w:t>
      </w:r>
      <w:r>
        <w:t xml:space="preserve"> distance education provider. The awarding of any scholarship to a detainee is at the discretion of the provider.</w:t>
      </w:r>
    </w:p>
    <w:p w14:paraId="3EC2CDE8" w14:textId="031E65BB" w:rsidR="001A2D03" w:rsidRDefault="001A2D03" w:rsidP="004858B1">
      <w:pPr>
        <w:pStyle w:val="Indenttext1"/>
        <w:ind w:left="567" w:hanging="567"/>
      </w:pPr>
      <w:r>
        <w:t xml:space="preserve">Detainees will not receive administrative support to either complete scholarship applications or to write letters of support as part of the scholarship application process. Any administrative assistance provided by the </w:t>
      </w:r>
      <w:r w:rsidR="000C7055">
        <w:t xml:space="preserve">Education Team </w:t>
      </w:r>
      <w:r>
        <w:t>does not imply an endorsement of the detainee’s scholarship application.</w:t>
      </w:r>
    </w:p>
    <w:p w14:paraId="3180B6B7" w14:textId="77777777" w:rsidR="009B25C1" w:rsidRDefault="009B25C1" w:rsidP="00007048">
      <w:pPr>
        <w:pStyle w:val="SectionHeading"/>
        <w:numPr>
          <w:ilvl w:val="0"/>
          <w:numId w:val="0"/>
        </w:numPr>
        <w:spacing w:before="0"/>
        <w:ind w:left="567"/>
      </w:pPr>
    </w:p>
    <w:p w14:paraId="0D94218F" w14:textId="1CD9F85A" w:rsidR="002F52EA" w:rsidRDefault="002F52EA" w:rsidP="006E5B0A">
      <w:pPr>
        <w:pStyle w:val="SectionHeading"/>
        <w:spacing w:before="0"/>
        <w:ind w:left="567" w:hanging="567"/>
      </w:pPr>
      <w:r>
        <w:t>Multiple units or courses of study</w:t>
      </w:r>
    </w:p>
    <w:p w14:paraId="600D0BCB" w14:textId="1128A91F" w:rsidR="002F52EA" w:rsidRDefault="00457F56" w:rsidP="004858B1">
      <w:pPr>
        <w:pStyle w:val="Indenttext1"/>
        <w:ind w:left="567" w:hanging="567"/>
      </w:pPr>
      <w:r>
        <w:t>D</w:t>
      </w:r>
      <w:r w:rsidR="002F52EA">
        <w:t xml:space="preserve">etainees </w:t>
      </w:r>
      <w:r w:rsidR="00654DA9">
        <w:t xml:space="preserve">studying via distance education </w:t>
      </w:r>
      <w:r w:rsidR="002F52EA">
        <w:t xml:space="preserve">are restricted to one course of study and a maximum of two units per semester </w:t>
      </w:r>
      <w:r w:rsidR="00B71B1F">
        <w:t xml:space="preserve">at a time </w:t>
      </w:r>
      <w:r w:rsidR="007C60CC">
        <w:t>to support</w:t>
      </w:r>
      <w:r w:rsidR="002F52EA">
        <w:t xml:space="preserve"> equitable access </w:t>
      </w:r>
      <w:r w:rsidR="00637619">
        <w:t>at the AMC</w:t>
      </w:r>
      <w:r w:rsidR="002F52EA">
        <w:t>.</w:t>
      </w:r>
    </w:p>
    <w:p w14:paraId="602E5A13" w14:textId="30E1775C" w:rsidR="006E6F8B" w:rsidRDefault="002F52EA" w:rsidP="004858B1">
      <w:pPr>
        <w:pStyle w:val="Indenttext1"/>
        <w:ind w:left="567" w:hanging="567"/>
      </w:pPr>
      <w:r>
        <w:t>Detainees wishing to undertake more than one course of study</w:t>
      </w:r>
      <w:r w:rsidR="00654DA9">
        <w:t>,</w:t>
      </w:r>
      <w:r>
        <w:t xml:space="preserve"> or more than two units per semester</w:t>
      </w:r>
      <w:r w:rsidR="00C34155">
        <w:t>,</w:t>
      </w:r>
      <w:r>
        <w:t xml:space="preserve"> must make a formal application to the </w:t>
      </w:r>
      <w:r w:rsidR="00C34155" w:rsidRPr="0085355F">
        <w:t>relevant university</w:t>
      </w:r>
      <w:r w:rsidR="00E74E6F" w:rsidRPr="0085355F">
        <w:t xml:space="preserve"> in the first instance</w:t>
      </w:r>
      <w:r w:rsidRPr="0085355F">
        <w:t>.</w:t>
      </w:r>
    </w:p>
    <w:p w14:paraId="25408B09" w14:textId="77777777" w:rsidR="009B25C1" w:rsidRDefault="009B25C1" w:rsidP="00007048">
      <w:pPr>
        <w:pStyle w:val="SectionHeading"/>
        <w:numPr>
          <w:ilvl w:val="0"/>
          <w:numId w:val="0"/>
        </w:numPr>
        <w:spacing w:before="0"/>
        <w:ind w:left="567"/>
      </w:pPr>
    </w:p>
    <w:p w14:paraId="7B780FCD" w14:textId="11E3B55E" w:rsidR="00D3697D" w:rsidRDefault="00FE01D9" w:rsidP="006E5B0A">
      <w:pPr>
        <w:pStyle w:val="SectionHeading"/>
        <w:spacing w:before="0"/>
        <w:ind w:left="567" w:hanging="567"/>
      </w:pPr>
      <w:r>
        <w:t xml:space="preserve">Distance </w:t>
      </w:r>
      <w:r w:rsidR="004E730A">
        <w:t>e</w:t>
      </w:r>
      <w:r>
        <w:t xml:space="preserve">ducation </w:t>
      </w:r>
      <w:r w:rsidR="004E730A">
        <w:t>p</w:t>
      </w:r>
      <w:r>
        <w:t>roviders</w:t>
      </w:r>
    </w:p>
    <w:p w14:paraId="586C1BA0" w14:textId="366B91DA" w:rsidR="0045302E" w:rsidRDefault="008476C9" w:rsidP="00551E33">
      <w:pPr>
        <w:pStyle w:val="Indenttext1"/>
        <w:ind w:left="567" w:hanging="567"/>
      </w:pPr>
      <w:r>
        <w:t>T</w:t>
      </w:r>
      <w:r w:rsidR="00FE01D9">
        <w:t xml:space="preserve">he </w:t>
      </w:r>
      <w:r w:rsidR="000C7055">
        <w:t xml:space="preserve">Education Team </w:t>
      </w:r>
      <w:r>
        <w:t>w</w:t>
      </w:r>
      <w:r w:rsidRPr="008476C9">
        <w:t xml:space="preserve">ill </w:t>
      </w:r>
      <w:r>
        <w:t>endeavour</w:t>
      </w:r>
      <w:r w:rsidRPr="008476C9">
        <w:t xml:space="preserve"> to find a provider that meets the requirements and interests of the detainee</w:t>
      </w:r>
      <w:r>
        <w:t xml:space="preserve"> t</w:t>
      </w:r>
      <w:r w:rsidR="00FE01D9">
        <w:t>o deliver the specific tertiary or higher education course</w:t>
      </w:r>
      <w:r w:rsidR="0025397C">
        <w:t xml:space="preserve"> </w:t>
      </w:r>
      <w:r w:rsidR="00736859">
        <w:t>the</w:t>
      </w:r>
      <w:r w:rsidR="0025397C">
        <w:t xml:space="preserve"> detainee wishes to study</w:t>
      </w:r>
      <w:r>
        <w:t>. C</w:t>
      </w:r>
      <w:r w:rsidR="00562DDF">
        <w:t>onsider</w:t>
      </w:r>
      <w:r>
        <w:t xml:space="preserve">ation will be given </w:t>
      </w:r>
      <w:r w:rsidR="001A5C8A">
        <w:t>to</w:t>
      </w:r>
      <w:r w:rsidR="00562DDF">
        <w:t xml:space="preserve"> the provider </w:t>
      </w:r>
      <w:r w:rsidR="00B56FB9">
        <w:t>be</w:t>
      </w:r>
      <w:r w:rsidR="001A5C8A">
        <w:t>ing</w:t>
      </w:r>
      <w:r w:rsidR="00B56FB9">
        <w:t xml:space="preserve"> able to</w:t>
      </w:r>
      <w:r w:rsidR="00562DDF">
        <w:t>:</w:t>
      </w:r>
    </w:p>
    <w:p w14:paraId="72A087E8" w14:textId="793F5826" w:rsidR="00D3697D" w:rsidRDefault="00D3697D" w:rsidP="001B5947">
      <w:pPr>
        <w:pStyle w:val="Indenttext1"/>
        <w:numPr>
          <w:ilvl w:val="2"/>
          <w:numId w:val="11"/>
        </w:numPr>
      </w:pPr>
      <w:r>
        <w:t xml:space="preserve">deliver alternative resources and assessments </w:t>
      </w:r>
      <w:r w:rsidR="0045302E">
        <w:t xml:space="preserve">where required </w:t>
      </w:r>
      <w:r>
        <w:t xml:space="preserve">to ensure </w:t>
      </w:r>
      <w:r w:rsidR="00F20CC2">
        <w:t xml:space="preserve">the </w:t>
      </w:r>
      <w:r>
        <w:t xml:space="preserve">operational constraints </w:t>
      </w:r>
      <w:r w:rsidR="0036533B">
        <w:t xml:space="preserve">of the </w:t>
      </w:r>
      <w:r w:rsidR="00457F56">
        <w:t>c</w:t>
      </w:r>
      <w:r w:rsidR="0036533B">
        <w:t xml:space="preserve">orrectional </w:t>
      </w:r>
      <w:r>
        <w:t xml:space="preserve">environment </w:t>
      </w:r>
      <w:r w:rsidR="00F20CC2">
        <w:t>are</w:t>
      </w:r>
      <w:r>
        <w:t xml:space="preserve"> met</w:t>
      </w:r>
    </w:p>
    <w:p w14:paraId="3D3C2AAE" w14:textId="2EB4CB5C" w:rsidR="00736859" w:rsidRDefault="00562DDF" w:rsidP="001B5947">
      <w:pPr>
        <w:pStyle w:val="Indenttext1"/>
        <w:numPr>
          <w:ilvl w:val="2"/>
          <w:numId w:val="11"/>
        </w:numPr>
      </w:pPr>
      <w:r>
        <w:t>consider</w:t>
      </w:r>
      <w:r w:rsidR="0045302E">
        <w:t xml:space="preserve"> the principles of universal access and make </w:t>
      </w:r>
      <w:r w:rsidR="00736859" w:rsidRPr="00736859">
        <w:t>adjust</w:t>
      </w:r>
      <w:r w:rsidR="0045302E">
        <w:t>ments</w:t>
      </w:r>
      <w:r w:rsidR="00736859" w:rsidRPr="00736859">
        <w:t xml:space="preserve"> </w:t>
      </w:r>
      <w:r w:rsidR="00457F56">
        <w:t>for</w:t>
      </w:r>
      <w:r w:rsidR="00736859" w:rsidRPr="00736859">
        <w:t xml:space="preserve"> individual need</w:t>
      </w:r>
      <w:r w:rsidR="00822F61">
        <w:t>s</w:t>
      </w:r>
      <w:r w:rsidR="00736859" w:rsidRPr="00736859">
        <w:t xml:space="preserve"> (</w:t>
      </w:r>
      <w:r w:rsidR="00822F61">
        <w:t xml:space="preserve">for example detainees with </w:t>
      </w:r>
      <w:r w:rsidR="00736859" w:rsidRPr="00736859">
        <w:t>disability)</w:t>
      </w:r>
      <w:r>
        <w:t>, where required</w:t>
      </w:r>
      <w:r w:rsidR="00822F61" w:rsidRPr="00822F61">
        <w:t>.</w:t>
      </w:r>
    </w:p>
    <w:p w14:paraId="7118AB7F" w14:textId="77777777" w:rsidR="009B25C1" w:rsidRDefault="009B25C1" w:rsidP="00007048">
      <w:pPr>
        <w:pStyle w:val="SectionHeading"/>
        <w:numPr>
          <w:ilvl w:val="0"/>
          <w:numId w:val="0"/>
        </w:numPr>
        <w:spacing w:before="0"/>
        <w:ind w:left="567"/>
      </w:pPr>
    </w:p>
    <w:p w14:paraId="18339747" w14:textId="77777777" w:rsidR="00E36432" w:rsidRDefault="00E36432" w:rsidP="00007048">
      <w:pPr>
        <w:pStyle w:val="SectionHeading"/>
        <w:numPr>
          <w:ilvl w:val="0"/>
          <w:numId w:val="0"/>
        </w:numPr>
        <w:spacing w:before="0"/>
        <w:ind w:left="567"/>
      </w:pPr>
    </w:p>
    <w:p w14:paraId="2C5271E4" w14:textId="77777777" w:rsidR="00E36432" w:rsidRDefault="00E36432" w:rsidP="00007048">
      <w:pPr>
        <w:pStyle w:val="SectionHeading"/>
        <w:numPr>
          <w:ilvl w:val="0"/>
          <w:numId w:val="0"/>
        </w:numPr>
        <w:spacing w:before="0"/>
        <w:ind w:left="567"/>
      </w:pPr>
    </w:p>
    <w:p w14:paraId="74BF164D" w14:textId="630B63E5" w:rsidR="00976A63" w:rsidRDefault="00422772" w:rsidP="00611EDF">
      <w:pPr>
        <w:pStyle w:val="SectionHeading"/>
        <w:keepNext/>
        <w:spacing w:before="0"/>
        <w:ind w:left="567" w:hanging="567"/>
      </w:pPr>
      <w:r>
        <w:lastRenderedPageBreak/>
        <w:t xml:space="preserve">Information and Communications technology </w:t>
      </w:r>
      <w:r w:rsidR="006E6733">
        <w:t xml:space="preserve">(ICT) </w:t>
      </w:r>
      <w:r w:rsidR="00976A63">
        <w:t>access</w:t>
      </w:r>
    </w:p>
    <w:p w14:paraId="7374B32C" w14:textId="1FD15337" w:rsidR="00422772" w:rsidRDefault="00007048" w:rsidP="004858B1">
      <w:pPr>
        <w:pStyle w:val="Indenttext1"/>
        <w:ind w:left="567" w:hanging="567"/>
      </w:pPr>
      <w:r>
        <w:t>Detainee access to ICT is managed in accordance with the</w:t>
      </w:r>
      <w:r w:rsidR="00422772">
        <w:t xml:space="preserve"> </w:t>
      </w:r>
      <w:r w:rsidR="00422772" w:rsidRPr="00007048">
        <w:rPr>
          <w:i/>
          <w:iCs/>
          <w:u w:val="single"/>
        </w:rPr>
        <w:t>Information and Communications Technology Operating Procedure</w:t>
      </w:r>
      <w:r w:rsidR="00422772">
        <w:t>.</w:t>
      </w:r>
    </w:p>
    <w:p w14:paraId="61C77810" w14:textId="690246E7" w:rsidR="00976A63" w:rsidRDefault="00BD7721" w:rsidP="004858B1">
      <w:pPr>
        <w:pStyle w:val="Indenttext1"/>
        <w:ind w:left="567" w:hanging="567"/>
      </w:pPr>
      <w:r>
        <w:t xml:space="preserve">Some universities may provide a device </w:t>
      </w:r>
      <w:r w:rsidR="00976A63" w:rsidRPr="00701D4D">
        <w:t xml:space="preserve">to </w:t>
      </w:r>
      <w:r w:rsidR="00976A63">
        <w:t>complete the</w:t>
      </w:r>
      <w:r>
        <w:t>ir</w:t>
      </w:r>
      <w:r w:rsidR="00976A63">
        <w:t xml:space="preserve"> program</w:t>
      </w:r>
      <w:r>
        <w:t>s</w:t>
      </w:r>
      <w:r w:rsidR="00976A63">
        <w:t>.</w:t>
      </w:r>
    </w:p>
    <w:p w14:paraId="3C55F3D3" w14:textId="5FF4AC89" w:rsidR="00976A63" w:rsidRDefault="00976A63" w:rsidP="004858B1">
      <w:pPr>
        <w:pStyle w:val="Indenttext1"/>
        <w:ind w:left="567" w:hanging="567"/>
      </w:pPr>
      <w:r>
        <w:t xml:space="preserve">All requests by distance education enrolled detainees for a Prison PC </w:t>
      </w:r>
      <w:r w:rsidR="00393151">
        <w:t xml:space="preserve">must </w:t>
      </w:r>
      <w:r w:rsidR="00F21EC0">
        <w:t>be provided to</w:t>
      </w:r>
      <w:r>
        <w:t xml:space="preserve"> the Education </w:t>
      </w:r>
      <w:r w:rsidR="00422772">
        <w:t>t</w:t>
      </w:r>
      <w:r>
        <w:t xml:space="preserve">eam. Detainees should be directed to this team if they are </w:t>
      </w:r>
      <w:r w:rsidR="002334F8">
        <w:t>requesting</w:t>
      </w:r>
      <w:r>
        <w:t xml:space="preserve"> a Prison PC.</w:t>
      </w:r>
    </w:p>
    <w:p w14:paraId="3575B0E3" w14:textId="54D0D501" w:rsidR="00976A63" w:rsidRDefault="00E4079A" w:rsidP="004858B1">
      <w:pPr>
        <w:pStyle w:val="Indenttext1"/>
        <w:ind w:left="567" w:hanging="567"/>
      </w:pPr>
      <w:r>
        <w:t xml:space="preserve">ACTCS may review </w:t>
      </w:r>
      <w:r w:rsidR="00CA3026">
        <w:t xml:space="preserve">a detainee’s </w:t>
      </w:r>
      <w:r>
        <w:t>access to technology</w:t>
      </w:r>
      <w:r w:rsidR="007475C8">
        <w:t xml:space="preserve"> and educational material accessed at any time.</w:t>
      </w:r>
    </w:p>
    <w:p w14:paraId="1BA20EF6" w14:textId="77777777" w:rsidR="00976A63" w:rsidRDefault="00976A63" w:rsidP="00007048">
      <w:pPr>
        <w:pStyle w:val="Indenttext1"/>
        <w:numPr>
          <w:ilvl w:val="0"/>
          <w:numId w:val="0"/>
        </w:numPr>
        <w:spacing w:before="0"/>
        <w:ind w:left="567"/>
      </w:pPr>
    </w:p>
    <w:p w14:paraId="573801D3" w14:textId="220B14EF" w:rsidR="00E331F2" w:rsidRDefault="00E331F2" w:rsidP="006E5B0A">
      <w:pPr>
        <w:pStyle w:val="SectionHeading"/>
        <w:spacing w:before="0"/>
        <w:ind w:left="567" w:hanging="567"/>
      </w:pPr>
      <w:r>
        <w:t>Course completion</w:t>
      </w:r>
    </w:p>
    <w:p w14:paraId="1AAAE0A9" w14:textId="2B4CB71F" w:rsidR="00E331F2" w:rsidRDefault="00E331F2" w:rsidP="004858B1">
      <w:pPr>
        <w:pStyle w:val="Indenttext1"/>
        <w:ind w:left="567" w:hanging="567"/>
      </w:pPr>
      <w:r>
        <w:t xml:space="preserve">At the completion of the enrolled course the </w:t>
      </w:r>
      <w:r w:rsidR="000C7055">
        <w:t xml:space="preserve">Education Team </w:t>
      </w:r>
      <w:r>
        <w:t>will assist the detainee to receive their final accreditation and certificates.</w:t>
      </w:r>
    </w:p>
    <w:p w14:paraId="0B57B789" w14:textId="7504144F" w:rsidR="00E331F2" w:rsidRDefault="00E331F2" w:rsidP="004858B1">
      <w:pPr>
        <w:pStyle w:val="Indenttext1"/>
        <w:ind w:left="567" w:hanging="567"/>
      </w:pPr>
      <w:r>
        <w:t xml:space="preserve">There is no entitlement to automatically continue </w:t>
      </w:r>
      <w:r w:rsidR="00637619">
        <w:t>distance education</w:t>
      </w:r>
      <w:r>
        <w:t xml:space="preserve"> at the completion of one level of study or course. Further continuation of study will be subject to </w:t>
      </w:r>
      <w:r w:rsidR="00CA3026">
        <w:t xml:space="preserve">a new application and </w:t>
      </w:r>
      <w:r>
        <w:t xml:space="preserve">the same approval process </w:t>
      </w:r>
      <w:r w:rsidR="006736FA">
        <w:t>outlined</w:t>
      </w:r>
      <w:r>
        <w:t xml:space="preserve"> above.</w:t>
      </w:r>
    </w:p>
    <w:p w14:paraId="799F0CA0" w14:textId="77777777" w:rsidR="009B25C1" w:rsidRDefault="009B25C1" w:rsidP="00007048">
      <w:pPr>
        <w:pStyle w:val="SectionHeading"/>
        <w:numPr>
          <w:ilvl w:val="0"/>
          <w:numId w:val="0"/>
        </w:numPr>
        <w:spacing w:before="0"/>
        <w:ind w:left="567"/>
      </w:pPr>
    </w:p>
    <w:p w14:paraId="6C546C6D" w14:textId="6B60BF7D" w:rsidR="00FE01D9" w:rsidRDefault="00FE01D9" w:rsidP="006E5B0A">
      <w:pPr>
        <w:pStyle w:val="SectionHeading"/>
        <w:spacing w:before="0"/>
        <w:ind w:left="567" w:hanging="567"/>
      </w:pPr>
      <w:r>
        <w:t>Review of study via distance education</w:t>
      </w:r>
    </w:p>
    <w:p w14:paraId="7DD08EA6" w14:textId="6E1B813A" w:rsidR="00FE01D9" w:rsidRDefault="003F66C0" w:rsidP="004858B1">
      <w:pPr>
        <w:pStyle w:val="Indenttext1"/>
        <w:ind w:left="567" w:hanging="567"/>
      </w:pPr>
      <w:r>
        <w:t>A d</w:t>
      </w:r>
      <w:r w:rsidR="00FE01D9">
        <w:t>etainee</w:t>
      </w:r>
      <w:r>
        <w:t>’s</w:t>
      </w:r>
      <w:r w:rsidR="00FE01D9">
        <w:t xml:space="preserve"> participation in </w:t>
      </w:r>
      <w:r w:rsidR="00637619">
        <w:t>distance</w:t>
      </w:r>
      <w:r w:rsidR="00FE01D9">
        <w:t xml:space="preserve"> </w:t>
      </w:r>
      <w:r w:rsidR="00052CE5">
        <w:t xml:space="preserve">education </w:t>
      </w:r>
      <w:r w:rsidR="00FE01D9">
        <w:t xml:space="preserve">will be reviewed by the </w:t>
      </w:r>
      <w:r w:rsidR="008737B6">
        <w:t xml:space="preserve">Education Team </w:t>
      </w:r>
      <w:r w:rsidR="00FE01D9">
        <w:t>in the following circumstances:</w:t>
      </w:r>
    </w:p>
    <w:p w14:paraId="44FD7CA7" w14:textId="0E6A2C56" w:rsidR="00FE01D9" w:rsidRPr="006116C8" w:rsidRDefault="003F66C0" w:rsidP="00F06CD0">
      <w:pPr>
        <w:pStyle w:val="Style1"/>
        <w:numPr>
          <w:ilvl w:val="0"/>
          <w:numId w:val="6"/>
        </w:numPr>
      </w:pPr>
      <w:r w:rsidRPr="006116C8">
        <w:t>f</w:t>
      </w:r>
      <w:r w:rsidR="00FE01D9" w:rsidRPr="006116C8">
        <w:t>ollowing completion of a TPP or equivalent preparatory course</w:t>
      </w:r>
    </w:p>
    <w:p w14:paraId="4BA3E05E" w14:textId="517BDA89" w:rsidR="00FE01D9" w:rsidRPr="006116C8" w:rsidRDefault="003F66C0" w:rsidP="00F06CD0">
      <w:pPr>
        <w:pStyle w:val="Style1"/>
        <w:numPr>
          <w:ilvl w:val="0"/>
          <w:numId w:val="6"/>
        </w:numPr>
      </w:pPr>
      <w:r w:rsidRPr="006116C8">
        <w:t>a</w:t>
      </w:r>
      <w:r w:rsidR="00FE01D9" w:rsidRPr="006116C8">
        <w:t>t the conclusion of each semester</w:t>
      </w:r>
    </w:p>
    <w:p w14:paraId="68E35DD9" w14:textId="37A92E5F" w:rsidR="00FE01D9" w:rsidRPr="006116C8" w:rsidRDefault="003F66C0" w:rsidP="00F06CD0">
      <w:pPr>
        <w:pStyle w:val="Style1"/>
        <w:numPr>
          <w:ilvl w:val="0"/>
          <w:numId w:val="6"/>
        </w:numPr>
      </w:pPr>
      <w:r w:rsidRPr="006116C8">
        <w:t>i</w:t>
      </w:r>
      <w:r w:rsidR="00637619" w:rsidRPr="006116C8">
        <w:t>f</w:t>
      </w:r>
      <w:r w:rsidR="00FE01D9" w:rsidRPr="006116C8">
        <w:t xml:space="preserve"> a detainee fails or withdraws without sufficient explanation</w:t>
      </w:r>
    </w:p>
    <w:p w14:paraId="5201A94A" w14:textId="4A56C333" w:rsidR="00FE01D9" w:rsidRDefault="003F66C0" w:rsidP="00F06CD0">
      <w:pPr>
        <w:pStyle w:val="Style1"/>
        <w:numPr>
          <w:ilvl w:val="0"/>
          <w:numId w:val="6"/>
        </w:numPr>
      </w:pPr>
      <w:r w:rsidRPr="006116C8">
        <w:t>p</w:t>
      </w:r>
      <w:r w:rsidR="00FE01D9" w:rsidRPr="006116C8">
        <w:t>rior to release or transfer</w:t>
      </w:r>
      <w:r w:rsidR="00BD7721">
        <w:t>.</w:t>
      </w:r>
    </w:p>
    <w:p w14:paraId="294ADDBE" w14:textId="71F36A2F" w:rsidR="003F66C0" w:rsidRDefault="003F66C0" w:rsidP="004858B1">
      <w:pPr>
        <w:pStyle w:val="Indenttext1"/>
        <w:ind w:left="567" w:hanging="567"/>
      </w:pPr>
      <w:r>
        <w:t>A r</w:t>
      </w:r>
      <w:r w:rsidR="00FE01D9">
        <w:t xml:space="preserve">eview of a detainee’s participation in </w:t>
      </w:r>
      <w:r w:rsidR="00637619">
        <w:t>distance education</w:t>
      </w:r>
      <w:r w:rsidR="00FE01D9">
        <w:t xml:space="preserve"> should include, but is not limited to</w:t>
      </w:r>
      <w:r>
        <w:t>, a</w:t>
      </w:r>
      <w:r w:rsidR="00FE01D9">
        <w:t xml:space="preserve"> discussion between the detainee, case manager and </w:t>
      </w:r>
      <w:r w:rsidR="008737B6">
        <w:t xml:space="preserve">Education Team </w:t>
      </w:r>
      <w:r w:rsidR="00FE01D9">
        <w:t>regarding the detainee’s progress, behaviour</w:t>
      </w:r>
      <w:r w:rsidR="005D6E4E">
        <w:t xml:space="preserve"> and</w:t>
      </w:r>
      <w:r w:rsidR="00FE01D9">
        <w:t xml:space="preserve"> remaining time of sentence.</w:t>
      </w:r>
    </w:p>
    <w:p w14:paraId="5CDB0920" w14:textId="2223FBED" w:rsidR="00FE01D9" w:rsidRDefault="003F66C0" w:rsidP="004858B1">
      <w:pPr>
        <w:pStyle w:val="Indenttext1"/>
        <w:ind w:left="567" w:hanging="567"/>
      </w:pPr>
      <w:r>
        <w:t>The o</w:t>
      </w:r>
      <w:r w:rsidR="00FE01D9">
        <w:t xml:space="preserve">utcome of reviews will be recorded on </w:t>
      </w:r>
      <w:r w:rsidR="00BC0E34">
        <w:t>the detainee’s electronic record</w:t>
      </w:r>
      <w:r w:rsidR="00FE01D9">
        <w:t>.</w:t>
      </w:r>
    </w:p>
    <w:p w14:paraId="0633685A" w14:textId="77777777" w:rsidR="00007048" w:rsidRDefault="00007048" w:rsidP="00007048">
      <w:pPr>
        <w:pStyle w:val="Heading11"/>
        <w:spacing w:before="0" w:after="0"/>
      </w:pPr>
    </w:p>
    <w:p w14:paraId="44B4AB4D" w14:textId="6B3CBC21" w:rsidR="00CF03FA" w:rsidRDefault="007B3718" w:rsidP="00007048">
      <w:pPr>
        <w:pStyle w:val="Heading11"/>
        <w:spacing w:before="0"/>
      </w:pPr>
      <w:r w:rsidRPr="00F81FF3">
        <w:t>RELATED DOCUMENTS</w:t>
      </w:r>
    </w:p>
    <w:p w14:paraId="57F2ABD9" w14:textId="77777777" w:rsidR="008A7862" w:rsidRDefault="008A7862" w:rsidP="00AE4777">
      <w:pPr>
        <w:pStyle w:val="RelatedDocuments"/>
      </w:pPr>
      <w:r w:rsidRPr="006116C8">
        <w:t>AMC Distance Education Eligibility Form</w:t>
      </w:r>
    </w:p>
    <w:p w14:paraId="4510CF7B" w14:textId="77777777" w:rsidR="008A7862" w:rsidRDefault="008A7862" w:rsidP="00AE4777">
      <w:pPr>
        <w:pStyle w:val="RelatedDocuments"/>
      </w:pPr>
      <w:r w:rsidRPr="006116C8">
        <w:t>Australian Core Skills Framework</w:t>
      </w:r>
    </w:p>
    <w:p w14:paraId="7D425094" w14:textId="37840323" w:rsidR="008C37DA" w:rsidRDefault="008C37DA" w:rsidP="00AE4777">
      <w:pPr>
        <w:pStyle w:val="RelatedDocuments"/>
      </w:pPr>
      <w:r>
        <w:t>Corrections Management Act 2007</w:t>
      </w:r>
    </w:p>
    <w:p w14:paraId="4E870994" w14:textId="0308A22D" w:rsidR="008A7862" w:rsidRDefault="008A7862" w:rsidP="00AE4777">
      <w:pPr>
        <w:pStyle w:val="RelatedDocuments"/>
      </w:pPr>
      <w:r w:rsidRPr="006116C8">
        <w:t>Detainee Distance Education Agreement</w:t>
      </w:r>
    </w:p>
    <w:p w14:paraId="0FE501B0" w14:textId="389D6F91" w:rsidR="00B84A5B" w:rsidRPr="00157CCE" w:rsidRDefault="00637619" w:rsidP="00AE4777">
      <w:pPr>
        <w:pStyle w:val="RelatedDocuments"/>
      </w:pPr>
      <w:r>
        <w:t xml:space="preserve">Detainee </w:t>
      </w:r>
      <w:r w:rsidR="0051165E" w:rsidRPr="00157CCE">
        <w:t>Education</w:t>
      </w:r>
      <w:r w:rsidR="00B87B32" w:rsidRPr="00157CCE">
        <w:t>, Employment and Purposeful Activities</w:t>
      </w:r>
      <w:r w:rsidR="0051165E" w:rsidRPr="00157CCE">
        <w:t xml:space="preserve"> Policy</w:t>
      </w:r>
    </w:p>
    <w:p w14:paraId="3BA01221" w14:textId="5C0E44C8" w:rsidR="00157CCE" w:rsidRDefault="00157CCE" w:rsidP="00AE4777">
      <w:pPr>
        <w:pStyle w:val="RelatedDocuments"/>
      </w:pPr>
      <w:r w:rsidRPr="00157CCE">
        <w:t xml:space="preserve">Detainee </w:t>
      </w:r>
      <w:r>
        <w:t>Employment</w:t>
      </w:r>
      <w:r w:rsidRPr="00157CCE">
        <w:t xml:space="preserve"> Operating Procedure</w:t>
      </w:r>
    </w:p>
    <w:p w14:paraId="6B274701" w14:textId="77777777" w:rsidR="008A7862" w:rsidRDefault="008A7862" w:rsidP="00AE4777">
      <w:pPr>
        <w:pStyle w:val="RelatedDocuments"/>
      </w:pPr>
      <w:r w:rsidRPr="006116C8">
        <w:t>Detainee Supported Distance Education Notice</w:t>
      </w:r>
    </w:p>
    <w:p w14:paraId="5643AC11" w14:textId="7566BADD" w:rsidR="0038013E" w:rsidRDefault="0038013E" w:rsidP="00AE4777">
      <w:pPr>
        <w:pStyle w:val="RelatedDocuments"/>
      </w:pPr>
      <w:r w:rsidRPr="0038013E">
        <w:t>Employment and Full-time Education Payments</w:t>
      </w:r>
      <w:r>
        <w:t xml:space="preserve"> </w:t>
      </w:r>
      <w:r w:rsidR="005A1EA3">
        <w:t>Form</w:t>
      </w:r>
    </w:p>
    <w:p w14:paraId="6B64CFAC" w14:textId="77777777" w:rsidR="008A7862" w:rsidRDefault="008A7862" w:rsidP="00AE4777">
      <w:pPr>
        <w:pStyle w:val="RelatedDocuments"/>
      </w:pPr>
      <w:r>
        <w:t>Information and Communications Technology Operating Procedure</w:t>
      </w:r>
    </w:p>
    <w:p w14:paraId="56EC0DD3" w14:textId="6844F4B4" w:rsidR="006116C8" w:rsidRDefault="006116C8" w:rsidP="00AE4777">
      <w:pPr>
        <w:pStyle w:val="RelatedDocuments"/>
      </w:pPr>
      <w:r w:rsidRPr="006116C8">
        <w:t>Request for Administrative Support Form</w:t>
      </w:r>
    </w:p>
    <w:p w14:paraId="77D228F5" w14:textId="77777777" w:rsidR="00AE4777" w:rsidRDefault="00AE4777" w:rsidP="00CA3026">
      <w:pPr>
        <w:pStyle w:val="Indenttext1"/>
        <w:numPr>
          <w:ilvl w:val="0"/>
          <w:numId w:val="0"/>
        </w:numPr>
        <w:spacing w:before="0"/>
      </w:pPr>
    </w:p>
    <w:p w14:paraId="7F12B575" w14:textId="77777777" w:rsidR="00CA3026" w:rsidRDefault="00CA3026" w:rsidP="00B71B1F">
      <w:pPr>
        <w:pStyle w:val="Indenttext1"/>
        <w:numPr>
          <w:ilvl w:val="0"/>
          <w:numId w:val="0"/>
        </w:numPr>
        <w:spacing w:before="0"/>
      </w:pPr>
    </w:p>
    <w:p w14:paraId="656E241F" w14:textId="77777777" w:rsidR="00007048" w:rsidRDefault="00007048" w:rsidP="00B71B1F">
      <w:pPr>
        <w:pStyle w:val="Indenttext1"/>
        <w:numPr>
          <w:ilvl w:val="0"/>
          <w:numId w:val="0"/>
        </w:numPr>
        <w:spacing w:before="0"/>
      </w:pPr>
    </w:p>
    <w:p w14:paraId="28CFFA0B" w14:textId="77777777" w:rsidR="00360317" w:rsidRDefault="00360317" w:rsidP="00B71B1F">
      <w:pPr>
        <w:pStyle w:val="Indenttext1"/>
        <w:numPr>
          <w:ilvl w:val="0"/>
          <w:numId w:val="0"/>
        </w:numPr>
        <w:spacing w:before="0"/>
      </w:pPr>
    </w:p>
    <w:p w14:paraId="6D02ED93" w14:textId="77777777" w:rsidR="00B71B1F" w:rsidRDefault="00B71B1F" w:rsidP="00B71B1F">
      <w:pPr>
        <w:pStyle w:val="Indenttext1"/>
        <w:numPr>
          <w:ilvl w:val="0"/>
          <w:numId w:val="0"/>
        </w:numPr>
        <w:spacing w:before="0"/>
      </w:pPr>
    </w:p>
    <w:p w14:paraId="12C215C6" w14:textId="77777777" w:rsidR="00F6167B" w:rsidRDefault="00F6167B" w:rsidP="00E4484A">
      <w:pPr>
        <w:pStyle w:val="NoSpacing"/>
        <w:spacing w:line="276" w:lineRule="auto"/>
      </w:pPr>
    </w:p>
    <w:p w14:paraId="2D6ADF9F" w14:textId="77777777" w:rsidR="00F6167B" w:rsidRDefault="00F6167B" w:rsidP="00E4484A">
      <w:pPr>
        <w:pStyle w:val="NoSpacing"/>
        <w:spacing w:line="276" w:lineRule="auto"/>
      </w:pPr>
    </w:p>
    <w:p w14:paraId="75D4205C" w14:textId="77777777" w:rsidR="00F6167B" w:rsidRDefault="00F6167B" w:rsidP="00E4484A">
      <w:pPr>
        <w:pStyle w:val="NoSpacing"/>
        <w:spacing w:line="276" w:lineRule="auto"/>
      </w:pPr>
    </w:p>
    <w:p w14:paraId="18B69CF0" w14:textId="77777777" w:rsidR="00F6167B" w:rsidRDefault="00F6167B" w:rsidP="00E4484A">
      <w:pPr>
        <w:pStyle w:val="NoSpacing"/>
        <w:spacing w:line="276" w:lineRule="auto"/>
      </w:pPr>
    </w:p>
    <w:p w14:paraId="40BC7BCC" w14:textId="77777777" w:rsidR="00F6167B" w:rsidRDefault="00F6167B" w:rsidP="00E4484A">
      <w:pPr>
        <w:pStyle w:val="NoSpacing"/>
        <w:spacing w:line="276" w:lineRule="auto"/>
      </w:pPr>
    </w:p>
    <w:p w14:paraId="0B4ABB24" w14:textId="77777777" w:rsidR="00F6167B" w:rsidRDefault="00F6167B" w:rsidP="00E4484A">
      <w:pPr>
        <w:pStyle w:val="NoSpacing"/>
        <w:spacing w:line="276" w:lineRule="auto"/>
      </w:pPr>
    </w:p>
    <w:p w14:paraId="5187C628" w14:textId="67A3A055" w:rsidR="00B84A5B" w:rsidRDefault="0035143B" w:rsidP="00E4484A">
      <w:pPr>
        <w:pStyle w:val="NoSpacing"/>
        <w:spacing w:line="276" w:lineRule="auto"/>
      </w:pPr>
      <w:r>
        <w:t>J</w:t>
      </w:r>
      <w:r w:rsidR="00AE4777">
        <w:t>ames Taylor-Dayus</w:t>
      </w:r>
    </w:p>
    <w:p w14:paraId="60C9BA74" w14:textId="2F193B90" w:rsidR="00925989" w:rsidRDefault="00B71B1F" w:rsidP="00E4484A">
      <w:pPr>
        <w:pStyle w:val="NoSpacing"/>
        <w:spacing w:line="276" w:lineRule="auto"/>
      </w:pPr>
      <w:r>
        <w:t xml:space="preserve">A/g </w:t>
      </w:r>
      <w:r w:rsidR="0035143B">
        <w:t>Assistant Commissioner Custodial Operations</w:t>
      </w:r>
      <w:r w:rsidR="00202B3A">
        <w:br/>
        <w:t xml:space="preserve">ACT Corrective Services </w:t>
      </w:r>
    </w:p>
    <w:p w14:paraId="758FC227" w14:textId="6309F583" w:rsidR="00F6167B" w:rsidRDefault="007B3310" w:rsidP="00E4484A">
      <w:pPr>
        <w:pStyle w:val="NoSpacing"/>
        <w:spacing w:line="276" w:lineRule="auto"/>
      </w:pPr>
      <w:r>
        <w:t>1</w:t>
      </w:r>
      <w:r w:rsidR="00B02138">
        <w:t>7</w:t>
      </w:r>
      <w:r w:rsidR="007D6976">
        <w:t xml:space="preserve"> </w:t>
      </w:r>
      <w:r w:rsidR="00360317">
        <w:t>June</w:t>
      </w:r>
      <w:r w:rsidR="00781939">
        <w:t xml:space="preserve"> 2025</w:t>
      </w:r>
    </w:p>
    <w:p w14:paraId="1959B797" w14:textId="77777777" w:rsidR="00E4484A" w:rsidRDefault="00E4484A" w:rsidP="008C37DA">
      <w:pPr>
        <w:pStyle w:val="NoSpacing"/>
        <w:spacing w:line="276" w:lineRule="auto"/>
      </w:pPr>
    </w:p>
    <w:p w14:paraId="21E4D0D5" w14:textId="77777777"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008"/>
      </w:tblGrid>
      <w:tr w:rsidR="005E011D" w:rsidRPr="00586F66" w14:paraId="62A4F450" w14:textId="77777777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2C3EF6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785D6D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5E011D" w:rsidRPr="00586F66" w14:paraId="74685AC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3D997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358CD3" w14:textId="5D34925F" w:rsidR="005E011D" w:rsidRPr="00A81503" w:rsidRDefault="008C37DA" w:rsidP="000C15FB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Corrections Management (</w:t>
            </w:r>
            <w:r w:rsidR="001A34C8">
              <w:rPr>
                <w:rFonts w:ascii="Calibri" w:hAnsi="Calibri"/>
                <w:i/>
                <w:iCs/>
                <w:sz w:val="20"/>
                <w:szCs w:val="20"/>
              </w:rPr>
              <w:t xml:space="preserve">Detainee </w:t>
            </w:r>
            <w:r w:rsidR="000D1B7A">
              <w:rPr>
                <w:rFonts w:ascii="Calibri" w:hAnsi="Calibri"/>
                <w:i/>
                <w:iCs/>
                <w:sz w:val="20"/>
                <w:szCs w:val="20"/>
              </w:rPr>
              <w:t>Distance Education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="007D6976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641860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Operating </w:t>
            </w:r>
            <w:r w:rsidR="004D1932" w:rsidRPr="00A81503">
              <w:rPr>
                <w:rFonts w:ascii="Calibri" w:hAnsi="Calibri"/>
                <w:i/>
                <w:iCs/>
                <w:sz w:val="20"/>
                <w:szCs w:val="20"/>
              </w:rPr>
              <w:t>Procedure</w:t>
            </w:r>
            <w:r w:rsidR="00895F9F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C629AB" w:rsidRPr="00A81503">
              <w:rPr>
                <w:rFonts w:ascii="Calibri" w:hAnsi="Calibri"/>
                <w:i/>
                <w:iCs/>
                <w:sz w:val="20"/>
                <w:szCs w:val="20"/>
              </w:rPr>
              <w:t>202</w:t>
            </w:r>
            <w:r w:rsidR="00781939">
              <w:rPr>
                <w:rFonts w:ascii="Calibri" w:hAnsi="Calibri"/>
                <w:i/>
                <w:iCs/>
                <w:sz w:val="20"/>
                <w:szCs w:val="20"/>
              </w:rPr>
              <w:t>5</w:t>
            </w:r>
          </w:p>
        </w:tc>
      </w:tr>
      <w:tr w:rsidR="005E011D" w:rsidRPr="00586F66" w14:paraId="2D66ECDB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6FACA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3F8890" w14:textId="70CA9D33" w:rsidR="005E011D" w:rsidRPr="00586F66" w:rsidRDefault="0035143B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 Commissioner Custodial Operations</w:t>
            </w:r>
            <w:r w:rsidR="000D1B7A">
              <w:rPr>
                <w:rFonts w:ascii="Calibri" w:hAnsi="Calibri"/>
                <w:sz w:val="20"/>
                <w:szCs w:val="20"/>
              </w:rPr>
              <w:t>,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ACT Corrective Services</w:t>
            </w:r>
          </w:p>
        </w:tc>
      </w:tr>
      <w:tr w:rsidR="005E011D" w:rsidRPr="00586F66" w14:paraId="2A82A39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9960CD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3911B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586F66" w14:paraId="2BC3008F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CA5ED2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A49A5F" w14:textId="6BE4BEAC" w:rsidR="005E011D" w:rsidRPr="00586F66" w:rsidRDefault="000D261F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Five (5)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F85168"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586F66" w14:paraId="52B0205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F943D0" w14:textId="77777777" w:rsidR="00CF03FA" w:rsidRPr="00586F66" w:rsidRDefault="00CF03FA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B88E8" w14:textId="4361D4FD" w:rsidR="00CF03FA" w:rsidRPr="00586F66" w:rsidRDefault="0035143B" w:rsidP="007B371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</w:t>
            </w:r>
            <w:r w:rsidR="00360317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Detainee </w:t>
            </w:r>
            <w:r w:rsidR="00781939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ervices</w:t>
            </w:r>
          </w:p>
        </w:tc>
      </w:tr>
      <w:tr w:rsidR="007B3718" w:rsidRPr="00586F66" w14:paraId="7A48392C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D5B7AB" w14:textId="77777777" w:rsidR="007B3718" w:rsidRPr="00586F66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F403F3" w14:textId="10031265" w:rsidR="007B3718" w:rsidRPr="00586F66" w:rsidRDefault="007B3718" w:rsidP="00E4484A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>This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5168">
              <w:rPr>
                <w:rFonts w:asciiTheme="minorHAnsi" w:hAnsiTheme="minorHAnsi"/>
                <w:sz w:val="20"/>
                <w:szCs w:val="20"/>
              </w:rPr>
              <w:t xml:space="preserve">operating </w:t>
            </w:r>
            <w:r w:rsidR="00E4484A">
              <w:rPr>
                <w:rFonts w:asciiTheme="minorHAnsi" w:hAnsiTheme="minorHAnsi"/>
                <w:sz w:val="20"/>
                <w:szCs w:val="20"/>
              </w:rPr>
              <w:t>procedure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reflects the requirements of the 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Corrections Management (Policy</w:t>
            </w:r>
            <w:r w:rsidR="00202B3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Framework</w:t>
            </w:r>
            <w:r w:rsidR="00C20E72">
              <w:rPr>
                <w:rFonts w:asciiTheme="minorHAnsi" w:hAnsiTheme="minorHAnsi"/>
                <w:i/>
                <w:iCs/>
                <w:sz w:val="20"/>
                <w:szCs w:val="20"/>
              </w:rPr>
              <w:t>) Policy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629AB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  <w:r w:rsidR="00C629AB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B12242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  <w:tr w:rsidR="005E011D" w:rsidRPr="00586F66" w14:paraId="27FE4371" w14:textId="77777777" w:rsidTr="00840B4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0FEBDB" w14:textId="77777777" w:rsidR="005E011D" w:rsidRDefault="005E011D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  <w:tbl>
            <w:tblPr>
              <w:tblStyle w:val="TableGrid"/>
              <w:tblW w:w="85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327"/>
              <w:gridCol w:w="2081"/>
              <w:gridCol w:w="2335"/>
              <w:gridCol w:w="1813"/>
            </w:tblGrid>
            <w:tr w:rsidR="00EF4141" w:rsidRPr="00B11C0C" w14:paraId="26B7955B" w14:textId="77777777" w:rsidTr="00EF4141">
              <w:trPr>
                <w:trHeight w:val="395"/>
              </w:trPr>
              <w:tc>
                <w:tcPr>
                  <w:tcW w:w="0" w:type="auto"/>
                  <w:gridSpan w:val="4"/>
                  <w:shd w:val="clear" w:color="auto" w:fill="F2F2F2" w:themeFill="background1" w:themeFillShade="F2"/>
                </w:tcPr>
                <w:p w14:paraId="27D80EAC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Control </w:t>
                  </w:r>
                </w:p>
              </w:tc>
            </w:tr>
            <w:tr w:rsidR="00AE4777" w:rsidRPr="00B11C0C" w14:paraId="1D44FEC6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6BE998BA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no. </w:t>
                  </w:r>
                </w:p>
              </w:tc>
              <w:tc>
                <w:tcPr>
                  <w:tcW w:w="0" w:type="auto"/>
                </w:tcPr>
                <w:p w14:paraId="7B94FB26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0" w:type="auto"/>
                </w:tcPr>
                <w:p w14:paraId="1D73CA15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</w:tcPr>
                <w:p w14:paraId="7E1C430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Author</w:t>
                  </w:r>
                </w:p>
              </w:tc>
            </w:tr>
            <w:tr w:rsidR="00AE4777" w:rsidRPr="00B11C0C" w14:paraId="78C62208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7AEEBC7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V1</w:t>
                  </w:r>
                </w:p>
              </w:tc>
              <w:tc>
                <w:tcPr>
                  <w:tcW w:w="0" w:type="auto"/>
                </w:tcPr>
                <w:p w14:paraId="33C1B09F" w14:textId="56644279" w:rsidR="00EF4141" w:rsidRPr="00B11C0C" w:rsidRDefault="00360317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June</w:t>
                  </w:r>
                  <w:r w:rsidR="00781939">
                    <w:rPr>
                      <w:rFonts w:eastAsia="Calibri" w:cs="Times New Roman"/>
                      <w:sz w:val="20"/>
                      <w:szCs w:val="24"/>
                    </w:rPr>
                    <w:t xml:space="preserve"> 2025</w:t>
                  </w:r>
                </w:p>
              </w:tc>
              <w:tc>
                <w:tcPr>
                  <w:tcW w:w="0" w:type="auto"/>
                </w:tcPr>
                <w:p w14:paraId="28A19A02" w14:textId="64ABF7BC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First Issued</w:t>
                  </w:r>
                </w:p>
              </w:tc>
              <w:tc>
                <w:tcPr>
                  <w:tcW w:w="0" w:type="auto"/>
                </w:tcPr>
                <w:p w14:paraId="5A9DF4D3" w14:textId="45E4DB37" w:rsidR="00EF4141" w:rsidRPr="00B11C0C" w:rsidRDefault="00E4132B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Y Jansen</w:t>
                  </w:r>
                </w:p>
              </w:tc>
            </w:tr>
          </w:tbl>
          <w:p w14:paraId="087913EE" w14:textId="1B33ECCB" w:rsidR="00EF4141" w:rsidRPr="00586F66" w:rsidRDefault="00EF4141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76ED977F" w14:textId="77777777" w:rsidR="005E011D" w:rsidRDefault="005E011D" w:rsidP="005E011D">
      <w:pPr>
        <w:rPr>
          <w:rFonts w:ascii="Arial" w:hAnsi="Arial" w:cs="Arial"/>
          <w:sz w:val="24"/>
          <w:szCs w:val="24"/>
        </w:rPr>
      </w:pPr>
    </w:p>
    <w:sectPr w:rsidR="005E011D" w:rsidSect="00430088">
      <w:headerReference w:type="first" r:id="rId15"/>
      <w:footerReference w:type="first" r:id="rId16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0105" w14:textId="77777777" w:rsidR="00425887" w:rsidRDefault="00425887" w:rsidP="00152D5E">
      <w:pPr>
        <w:spacing w:after="0" w:line="240" w:lineRule="auto"/>
      </w:pPr>
      <w:r>
        <w:separator/>
      </w:r>
    </w:p>
  </w:endnote>
  <w:endnote w:type="continuationSeparator" w:id="0">
    <w:p w14:paraId="6E8DA628" w14:textId="77777777" w:rsidR="00425887" w:rsidRDefault="00425887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3A61" w14:textId="77777777" w:rsidR="00E21222" w:rsidRDefault="00E21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7CE0D445" w14:textId="0D74F80D" w:rsidR="004B64FC" w:rsidRPr="00CA573D" w:rsidRDefault="00FB2C79" w:rsidP="006A5E20">
            <w:pPr>
              <w:pStyle w:val="Footer"/>
              <w:jc w:val="right"/>
              <w:rPr>
                <w:rFonts w:ascii="Calibri" w:hAnsi="Calibri"/>
                <w:szCs w:val="18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   </w:t>
            </w:r>
          </w:p>
          <w:p w14:paraId="6E42C83A" w14:textId="77777777" w:rsidR="00E21222" w:rsidRDefault="00E21222" w:rsidP="00CA573D">
            <w:pPr>
              <w:pStyle w:val="Footer"/>
              <w:jc w:val="center"/>
              <w:rPr>
                <w:rFonts w:ascii="Calibri" w:hAnsi="Calibri"/>
                <w:sz w:val="14"/>
                <w:szCs w:val="14"/>
              </w:rPr>
            </w:pPr>
          </w:p>
        </w:sdtContent>
      </w:sdt>
    </w:sdtContent>
  </w:sdt>
  <w:p w14:paraId="4184CD10" w14:textId="1308542E" w:rsidR="00FB2C79" w:rsidRPr="00E21222" w:rsidRDefault="00E21222" w:rsidP="00E21222">
    <w:pPr>
      <w:pStyle w:val="Footer"/>
      <w:jc w:val="center"/>
      <w:rPr>
        <w:rFonts w:ascii="Arial" w:hAnsi="Arial" w:cs="Arial"/>
        <w:sz w:val="14"/>
        <w:szCs w:val="14"/>
      </w:rPr>
    </w:pPr>
    <w:r w:rsidRPr="00E2122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4B0C" w14:textId="38E50532" w:rsidR="00E21222" w:rsidRPr="00E21222" w:rsidRDefault="00E21222" w:rsidP="00E21222">
    <w:pPr>
      <w:pStyle w:val="Footer"/>
      <w:jc w:val="center"/>
      <w:rPr>
        <w:rFonts w:ascii="Arial" w:hAnsi="Arial" w:cs="Arial"/>
        <w:sz w:val="14"/>
      </w:rPr>
    </w:pPr>
    <w:r w:rsidRPr="00E21222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2B06" w14:textId="7A7169A8" w:rsidR="00430088" w:rsidRPr="00E21222" w:rsidRDefault="00E21222" w:rsidP="00E21222">
    <w:pPr>
      <w:pStyle w:val="Footer"/>
      <w:jc w:val="center"/>
      <w:rPr>
        <w:rFonts w:ascii="Arial" w:hAnsi="Arial" w:cs="Arial"/>
        <w:sz w:val="14"/>
        <w:szCs w:val="14"/>
      </w:rPr>
    </w:pPr>
    <w:r w:rsidRPr="00E2122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1525" w14:textId="77777777" w:rsidR="00425887" w:rsidRDefault="00425887" w:rsidP="00152D5E">
      <w:pPr>
        <w:spacing w:after="0" w:line="240" w:lineRule="auto"/>
      </w:pPr>
      <w:r>
        <w:separator/>
      </w:r>
    </w:p>
  </w:footnote>
  <w:footnote w:type="continuationSeparator" w:id="0">
    <w:p w14:paraId="2B1FAED1" w14:textId="77777777" w:rsidR="00425887" w:rsidRDefault="00425887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2545" w14:textId="77777777" w:rsidR="00E21222" w:rsidRDefault="00E21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D03C" w14:textId="1CBC5270" w:rsidR="00FB2C79" w:rsidRPr="00B13060" w:rsidRDefault="00FB2C79" w:rsidP="004C28FE">
    <w:pPr>
      <w:pStyle w:val="Header"/>
      <w:jc w:val="center"/>
      <w:rPr>
        <w:color w:val="808080"/>
        <w:spacing w:val="2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2BBB" w14:textId="77777777" w:rsidR="00E21222" w:rsidRDefault="00E212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B858" w14:textId="77777777" w:rsidR="00430088" w:rsidRDefault="00430088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48AC951D" wp14:editId="1FE14703">
          <wp:extent cx="2190750" cy="676275"/>
          <wp:effectExtent l="19050" t="0" r="0" b="0"/>
          <wp:docPr id="1845909254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</w:p>
  <w:p w14:paraId="27E2F3B8" w14:textId="77777777" w:rsidR="00430088" w:rsidRDefault="00430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050"/>
    <w:multiLevelType w:val="hybridMultilevel"/>
    <w:tmpl w:val="B4F22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3E56"/>
    <w:multiLevelType w:val="multilevel"/>
    <w:tmpl w:val="2DA8F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52EC5"/>
    <w:multiLevelType w:val="hybridMultilevel"/>
    <w:tmpl w:val="CD387B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9475D7"/>
    <w:multiLevelType w:val="hybridMultilevel"/>
    <w:tmpl w:val="ECD65296"/>
    <w:lvl w:ilvl="0" w:tplc="AB509BD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01340"/>
    <w:multiLevelType w:val="hybridMultilevel"/>
    <w:tmpl w:val="3570762C"/>
    <w:lvl w:ilvl="0" w:tplc="730623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9B7037"/>
    <w:multiLevelType w:val="hybridMultilevel"/>
    <w:tmpl w:val="5378B52A"/>
    <w:lvl w:ilvl="0" w:tplc="8916BB68">
      <w:start w:val="1"/>
      <w:numFmt w:val="bullet"/>
      <w:pStyle w:val="RelatedDocu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B531F"/>
    <w:multiLevelType w:val="hybridMultilevel"/>
    <w:tmpl w:val="86307E8C"/>
    <w:lvl w:ilvl="0" w:tplc="6406AE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906C95"/>
    <w:multiLevelType w:val="multilevel"/>
    <w:tmpl w:val="1308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0769A6"/>
    <w:multiLevelType w:val="hybridMultilevel"/>
    <w:tmpl w:val="5BB23F16"/>
    <w:lvl w:ilvl="0" w:tplc="11E4D7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4F4EEE"/>
    <w:multiLevelType w:val="hybridMultilevel"/>
    <w:tmpl w:val="D1ECE470"/>
    <w:lvl w:ilvl="0" w:tplc="488805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1F3EA9"/>
    <w:multiLevelType w:val="hybridMultilevel"/>
    <w:tmpl w:val="BC020F6A"/>
    <w:lvl w:ilvl="0" w:tplc="8CDA09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FD593F"/>
    <w:multiLevelType w:val="multilevel"/>
    <w:tmpl w:val="77241DE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C0592C"/>
    <w:multiLevelType w:val="hybridMultilevel"/>
    <w:tmpl w:val="835AA2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58C1"/>
    <w:multiLevelType w:val="multilevel"/>
    <w:tmpl w:val="A52C3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2723DB8"/>
    <w:multiLevelType w:val="multilevel"/>
    <w:tmpl w:val="804EBA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57C777C"/>
    <w:multiLevelType w:val="hybridMultilevel"/>
    <w:tmpl w:val="49FA78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015E4"/>
    <w:multiLevelType w:val="multilevel"/>
    <w:tmpl w:val="128CC3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512A53"/>
    <w:multiLevelType w:val="multilevel"/>
    <w:tmpl w:val="07E41428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8B622E"/>
    <w:multiLevelType w:val="multilevel"/>
    <w:tmpl w:val="7C486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7E6D7C02"/>
    <w:multiLevelType w:val="hybridMultilevel"/>
    <w:tmpl w:val="94CA9A4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C09001B">
      <w:start w:val="1"/>
      <w:numFmt w:val="lowerRoman"/>
      <w:lvlText w:val="%4."/>
      <w:lvlJc w:val="righ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7653269">
    <w:abstractNumId w:val="18"/>
  </w:num>
  <w:num w:numId="2" w16cid:durableId="1700202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945362">
    <w:abstractNumId w:val="6"/>
  </w:num>
  <w:num w:numId="4" w16cid:durableId="1652177826">
    <w:abstractNumId w:val="8"/>
  </w:num>
  <w:num w:numId="5" w16cid:durableId="1017774754">
    <w:abstractNumId w:val="4"/>
  </w:num>
  <w:num w:numId="6" w16cid:durableId="560560557">
    <w:abstractNumId w:val="10"/>
  </w:num>
  <w:num w:numId="7" w16cid:durableId="1182357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5152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3959890">
    <w:abstractNumId w:val="19"/>
  </w:num>
  <w:num w:numId="10" w16cid:durableId="464007431">
    <w:abstractNumId w:val="1"/>
  </w:num>
  <w:num w:numId="11" w16cid:durableId="432944232">
    <w:abstractNumId w:val="12"/>
  </w:num>
  <w:num w:numId="12" w16cid:durableId="2091612483">
    <w:abstractNumId w:val="15"/>
  </w:num>
  <w:num w:numId="13" w16cid:durableId="857040484">
    <w:abstractNumId w:val="14"/>
  </w:num>
  <w:num w:numId="14" w16cid:durableId="701052066">
    <w:abstractNumId w:val="17"/>
  </w:num>
  <w:num w:numId="15" w16cid:durableId="1929844233">
    <w:abstractNumId w:val="0"/>
  </w:num>
  <w:num w:numId="16" w16cid:durableId="1514110624">
    <w:abstractNumId w:val="2"/>
  </w:num>
  <w:num w:numId="17" w16cid:durableId="434983524">
    <w:abstractNumId w:val="18"/>
  </w:num>
  <w:num w:numId="18" w16cid:durableId="1240797230">
    <w:abstractNumId w:val="16"/>
  </w:num>
  <w:num w:numId="19" w16cid:durableId="1154371070">
    <w:abstractNumId w:val="11"/>
  </w:num>
  <w:num w:numId="20" w16cid:durableId="2118020097">
    <w:abstractNumId w:val="5"/>
  </w:num>
  <w:num w:numId="21" w16cid:durableId="27681054">
    <w:abstractNumId w:val="18"/>
  </w:num>
  <w:num w:numId="22" w16cid:durableId="1059062094">
    <w:abstractNumId w:val="20"/>
  </w:num>
  <w:num w:numId="23" w16cid:durableId="1650791170">
    <w:abstractNumId w:val="13"/>
  </w:num>
  <w:num w:numId="24" w16cid:durableId="723213192">
    <w:abstractNumId w:val="7"/>
  </w:num>
  <w:num w:numId="25" w16cid:durableId="86390168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A4"/>
    <w:rsid w:val="00007048"/>
    <w:rsid w:val="000100D2"/>
    <w:rsid w:val="00012A69"/>
    <w:rsid w:val="00014C48"/>
    <w:rsid w:val="000272C5"/>
    <w:rsid w:val="00027ACC"/>
    <w:rsid w:val="00033447"/>
    <w:rsid w:val="000458C7"/>
    <w:rsid w:val="000514FB"/>
    <w:rsid w:val="00052CE5"/>
    <w:rsid w:val="0005335B"/>
    <w:rsid w:val="00057DB0"/>
    <w:rsid w:val="00071198"/>
    <w:rsid w:val="000720BC"/>
    <w:rsid w:val="00090BC4"/>
    <w:rsid w:val="000A4619"/>
    <w:rsid w:val="000B4F10"/>
    <w:rsid w:val="000B7E7B"/>
    <w:rsid w:val="000C15FB"/>
    <w:rsid w:val="000C7055"/>
    <w:rsid w:val="000C7B6F"/>
    <w:rsid w:val="000D0F15"/>
    <w:rsid w:val="000D1B7A"/>
    <w:rsid w:val="000D261F"/>
    <w:rsid w:val="000F17FA"/>
    <w:rsid w:val="000F21C2"/>
    <w:rsid w:val="000F4703"/>
    <w:rsid w:val="000F73E0"/>
    <w:rsid w:val="0010638B"/>
    <w:rsid w:val="001127C2"/>
    <w:rsid w:val="00115ACD"/>
    <w:rsid w:val="001177FB"/>
    <w:rsid w:val="001215E6"/>
    <w:rsid w:val="001230CE"/>
    <w:rsid w:val="00132DBB"/>
    <w:rsid w:val="0013511E"/>
    <w:rsid w:val="00135F01"/>
    <w:rsid w:val="00140DA4"/>
    <w:rsid w:val="00141BD0"/>
    <w:rsid w:val="00141E42"/>
    <w:rsid w:val="00146833"/>
    <w:rsid w:val="001504B0"/>
    <w:rsid w:val="00152066"/>
    <w:rsid w:val="0015231B"/>
    <w:rsid w:val="00152D5E"/>
    <w:rsid w:val="00155D67"/>
    <w:rsid w:val="00157CCE"/>
    <w:rsid w:val="00162B50"/>
    <w:rsid w:val="00163A84"/>
    <w:rsid w:val="0016757D"/>
    <w:rsid w:val="00170384"/>
    <w:rsid w:val="00174EEC"/>
    <w:rsid w:val="00176148"/>
    <w:rsid w:val="001764CE"/>
    <w:rsid w:val="001823DD"/>
    <w:rsid w:val="001853B3"/>
    <w:rsid w:val="00194B7F"/>
    <w:rsid w:val="00195EC0"/>
    <w:rsid w:val="001A238C"/>
    <w:rsid w:val="001A2D03"/>
    <w:rsid w:val="001A34C8"/>
    <w:rsid w:val="001A50E7"/>
    <w:rsid w:val="001A5C8A"/>
    <w:rsid w:val="001A5DF1"/>
    <w:rsid w:val="001A677B"/>
    <w:rsid w:val="001B11C3"/>
    <w:rsid w:val="001B3F48"/>
    <w:rsid w:val="001B5947"/>
    <w:rsid w:val="001B6520"/>
    <w:rsid w:val="001C02B8"/>
    <w:rsid w:val="001C78AF"/>
    <w:rsid w:val="001C7CD4"/>
    <w:rsid w:val="001D176B"/>
    <w:rsid w:val="001D1ECC"/>
    <w:rsid w:val="001E0DC9"/>
    <w:rsid w:val="001E4E49"/>
    <w:rsid w:val="00202B3A"/>
    <w:rsid w:val="0021108E"/>
    <w:rsid w:val="00215BD6"/>
    <w:rsid w:val="00221FA3"/>
    <w:rsid w:val="00222829"/>
    <w:rsid w:val="00223C02"/>
    <w:rsid w:val="00224981"/>
    <w:rsid w:val="002334F8"/>
    <w:rsid w:val="00233749"/>
    <w:rsid w:val="00242CE5"/>
    <w:rsid w:val="00243CB6"/>
    <w:rsid w:val="002512D3"/>
    <w:rsid w:val="00252E13"/>
    <w:rsid w:val="0025397C"/>
    <w:rsid w:val="00256906"/>
    <w:rsid w:val="00256A0D"/>
    <w:rsid w:val="00260272"/>
    <w:rsid w:val="00272CE7"/>
    <w:rsid w:val="00273858"/>
    <w:rsid w:val="00277706"/>
    <w:rsid w:val="002813A4"/>
    <w:rsid w:val="00282263"/>
    <w:rsid w:val="002826FB"/>
    <w:rsid w:val="00282EA7"/>
    <w:rsid w:val="00283EE0"/>
    <w:rsid w:val="00287266"/>
    <w:rsid w:val="0029228A"/>
    <w:rsid w:val="00292294"/>
    <w:rsid w:val="002A2DE1"/>
    <w:rsid w:val="002A59E1"/>
    <w:rsid w:val="002A5A1C"/>
    <w:rsid w:val="002B3CE1"/>
    <w:rsid w:val="002B482D"/>
    <w:rsid w:val="002B57BA"/>
    <w:rsid w:val="002B6847"/>
    <w:rsid w:val="002C0040"/>
    <w:rsid w:val="002C1304"/>
    <w:rsid w:val="002C23B2"/>
    <w:rsid w:val="002C5931"/>
    <w:rsid w:val="002C7846"/>
    <w:rsid w:val="002D1366"/>
    <w:rsid w:val="002D1603"/>
    <w:rsid w:val="002D2962"/>
    <w:rsid w:val="002D651D"/>
    <w:rsid w:val="002E31A9"/>
    <w:rsid w:val="002E6F19"/>
    <w:rsid w:val="002F19FD"/>
    <w:rsid w:val="002F44A1"/>
    <w:rsid w:val="002F52EA"/>
    <w:rsid w:val="002F6A3A"/>
    <w:rsid w:val="002F6E5A"/>
    <w:rsid w:val="00300B90"/>
    <w:rsid w:val="00302352"/>
    <w:rsid w:val="00302B09"/>
    <w:rsid w:val="0031002A"/>
    <w:rsid w:val="00311DC0"/>
    <w:rsid w:val="0031239E"/>
    <w:rsid w:val="00314A6D"/>
    <w:rsid w:val="00326725"/>
    <w:rsid w:val="00327284"/>
    <w:rsid w:val="0033341B"/>
    <w:rsid w:val="00335431"/>
    <w:rsid w:val="00340868"/>
    <w:rsid w:val="003449F8"/>
    <w:rsid w:val="00345311"/>
    <w:rsid w:val="0035143B"/>
    <w:rsid w:val="003517F3"/>
    <w:rsid w:val="00353E50"/>
    <w:rsid w:val="00356E8C"/>
    <w:rsid w:val="00360317"/>
    <w:rsid w:val="00361451"/>
    <w:rsid w:val="0036533B"/>
    <w:rsid w:val="0037219F"/>
    <w:rsid w:val="00372390"/>
    <w:rsid w:val="00377E97"/>
    <w:rsid w:val="0038013E"/>
    <w:rsid w:val="003845D9"/>
    <w:rsid w:val="00390390"/>
    <w:rsid w:val="00393151"/>
    <w:rsid w:val="003964A5"/>
    <w:rsid w:val="00397232"/>
    <w:rsid w:val="003A2E5D"/>
    <w:rsid w:val="003A3CF7"/>
    <w:rsid w:val="003A3DA0"/>
    <w:rsid w:val="003A66C4"/>
    <w:rsid w:val="003A6D9E"/>
    <w:rsid w:val="003A7DC3"/>
    <w:rsid w:val="003B0384"/>
    <w:rsid w:val="003B0497"/>
    <w:rsid w:val="003B2F7D"/>
    <w:rsid w:val="003C41DC"/>
    <w:rsid w:val="003C4C1C"/>
    <w:rsid w:val="003C5B88"/>
    <w:rsid w:val="003C5E5F"/>
    <w:rsid w:val="003C6EB2"/>
    <w:rsid w:val="003C7C9B"/>
    <w:rsid w:val="003D28F3"/>
    <w:rsid w:val="003D3CEB"/>
    <w:rsid w:val="003D4188"/>
    <w:rsid w:val="003E2402"/>
    <w:rsid w:val="003E2863"/>
    <w:rsid w:val="003E5200"/>
    <w:rsid w:val="003E74B1"/>
    <w:rsid w:val="003F5C7D"/>
    <w:rsid w:val="003F66C0"/>
    <w:rsid w:val="00402430"/>
    <w:rsid w:val="00405E0B"/>
    <w:rsid w:val="00406400"/>
    <w:rsid w:val="00407EE1"/>
    <w:rsid w:val="004100EB"/>
    <w:rsid w:val="004135BE"/>
    <w:rsid w:val="00413746"/>
    <w:rsid w:val="00413D15"/>
    <w:rsid w:val="00413DB6"/>
    <w:rsid w:val="00415AFC"/>
    <w:rsid w:val="0041603D"/>
    <w:rsid w:val="004175E0"/>
    <w:rsid w:val="00422772"/>
    <w:rsid w:val="0042358F"/>
    <w:rsid w:val="00425558"/>
    <w:rsid w:val="00425887"/>
    <w:rsid w:val="00430088"/>
    <w:rsid w:val="004404BE"/>
    <w:rsid w:val="0045302E"/>
    <w:rsid w:val="0045718D"/>
    <w:rsid w:val="00457F56"/>
    <w:rsid w:val="00461779"/>
    <w:rsid w:val="00461C8B"/>
    <w:rsid w:val="0046695A"/>
    <w:rsid w:val="00471864"/>
    <w:rsid w:val="004740A6"/>
    <w:rsid w:val="0047424F"/>
    <w:rsid w:val="00475C12"/>
    <w:rsid w:val="00484860"/>
    <w:rsid w:val="004858B1"/>
    <w:rsid w:val="00495BF3"/>
    <w:rsid w:val="004A0E69"/>
    <w:rsid w:val="004A2F49"/>
    <w:rsid w:val="004A7D16"/>
    <w:rsid w:val="004B121B"/>
    <w:rsid w:val="004B2F47"/>
    <w:rsid w:val="004B4856"/>
    <w:rsid w:val="004B64FC"/>
    <w:rsid w:val="004B68FF"/>
    <w:rsid w:val="004B6D81"/>
    <w:rsid w:val="004C28FE"/>
    <w:rsid w:val="004C5885"/>
    <w:rsid w:val="004D108E"/>
    <w:rsid w:val="004D1932"/>
    <w:rsid w:val="004D3541"/>
    <w:rsid w:val="004D4404"/>
    <w:rsid w:val="004E2B2A"/>
    <w:rsid w:val="004E58EA"/>
    <w:rsid w:val="004E730A"/>
    <w:rsid w:val="004F3708"/>
    <w:rsid w:val="00500EAE"/>
    <w:rsid w:val="005020AB"/>
    <w:rsid w:val="005064DA"/>
    <w:rsid w:val="00507A15"/>
    <w:rsid w:val="00510017"/>
    <w:rsid w:val="00510235"/>
    <w:rsid w:val="0051165E"/>
    <w:rsid w:val="005167F7"/>
    <w:rsid w:val="00516FDD"/>
    <w:rsid w:val="00522D99"/>
    <w:rsid w:val="00532730"/>
    <w:rsid w:val="005359F3"/>
    <w:rsid w:val="00537C32"/>
    <w:rsid w:val="005506B4"/>
    <w:rsid w:val="00551E33"/>
    <w:rsid w:val="00552D95"/>
    <w:rsid w:val="0056038A"/>
    <w:rsid w:val="00562826"/>
    <w:rsid w:val="00562DDF"/>
    <w:rsid w:val="00563752"/>
    <w:rsid w:val="00565492"/>
    <w:rsid w:val="005663C5"/>
    <w:rsid w:val="00566974"/>
    <w:rsid w:val="00566EF5"/>
    <w:rsid w:val="0057029F"/>
    <w:rsid w:val="005748B4"/>
    <w:rsid w:val="00580674"/>
    <w:rsid w:val="00580975"/>
    <w:rsid w:val="00582DD2"/>
    <w:rsid w:val="0058469A"/>
    <w:rsid w:val="0058482E"/>
    <w:rsid w:val="00586F66"/>
    <w:rsid w:val="00594E60"/>
    <w:rsid w:val="00594EFA"/>
    <w:rsid w:val="005A05BA"/>
    <w:rsid w:val="005A1EA3"/>
    <w:rsid w:val="005A4376"/>
    <w:rsid w:val="005A6F4E"/>
    <w:rsid w:val="005A794E"/>
    <w:rsid w:val="005B5031"/>
    <w:rsid w:val="005B7B6F"/>
    <w:rsid w:val="005C3E6C"/>
    <w:rsid w:val="005C4C28"/>
    <w:rsid w:val="005D2BB7"/>
    <w:rsid w:val="005D504A"/>
    <w:rsid w:val="005D6E4E"/>
    <w:rsid w:val="005E011D"/>
    <w:rsid w:val="005E33B4"/>
    <w:rsid w:val="005F3F3A"/>
    <w:rsid w:val="005F51C6"/>
    <w:rsid w:val="005F70A8"/>
    <w:rsid w:val="006010C3"/>
    <w:rsid w:val="006050B8"/>
    <w:rsid w:val="00606C1B"/>
    <w:rsid w:val="00610DF9"/>
    <w:rsid w:val="006116C8"/>
    <w:rsid w:val="00611EDF"/>
    <w:rsid w:val="00615102"/>
    <w:rsid w:val="006158C8"/>
    <w:rsid w:val="00620BBF"/>
    <w:rsid w:val="00622328"/>
    <w:rsid w:val="00622D3C"/>
    <w:rsid w:val="00624E72"/>
    <w:rsid w:val="006263E2"/>
    <w:rsid w:val="006268DA"/>
    <w:rsid w:val="00634849"/>
    <w:rsid w:val="00637619"/>
    <w:rsid w:val="00641860"/>
    <w:rsid w:val="00642C0B"/>
    <w:rsid w:val="00654DA9"/>
    <w:rsid w:val="00656AB8"/>
    <w:rsid w:val="006577CF"/>
    <w:rsid w:val="00662F09"/>
    <w:rsid w:val="0067063B"/>
    <w:rsid w:val="006736FA"/>
    <w:rsid w:val="00676FB6"/>
    <w:rsid w:val="0068272C"/>
    <w:rsid w:val="00685F05"/>
    <w:rsid w:val="00686CE7"/>
    <w:rsid w:val="00693755"/>
    <w:rsid w:val="00693BC1"/>
    <w:rsid w:val="00695299"/>
    <w:rsid w:val="006A5E20"/>
    <w:rsid w:val="006B291E"/>
    <w:rsid w:val="006C2BB5"/>
    <w:rsid w:val="006D6455"/>
    <w:rsid w:val="006E14CB"/>
    <w:rsid w:val="006E3813"/>
    <w:rsid w:val="006E5B0A"/>
    <w:rsid w:val="006E6733"/>
    <w:rsid w:val="006E6F8B"/>
    <w:rsid w:val="006F301F"/>
    <w:rsid w:val="006F3F09"/>
    <w:rsid w:val="006F6147"/>
    <w:rsid w:val="007043B5"/>
    <w:rsid w:val="00704432"/>
    <w:rsid w:val="0070561E"/>
    <w:rsid w:val="00707728"/>
    <w:rsid w:val="00707A71"/>
    <w:rsid w:val="007104EA"/>
    <w:rsid w:val="007122C1"/>
    <w:rsid w:val="00713C58"/>
    <w:rsid w:val="00720943"/>
    <w:rsid w:val="007213E4"/>
    <w:rsid w:val="00722876"/>
    <w:rsid w:val="00725E8F"/>
    <w:rsid w:val="0073163F"/>
    <w:rsid w:val="0073253B"/>
    <w:rsid w:val="00732737"/>
    <w:rsid w:val="00736859"/>
    <w:rsid w:val="00737195"/>
    <w:rsid w:val="00737D4C"/>
    <w:rsid w:val="00741C56"/>
    <w:rsid w:val="00741DC8"/>
    <w:rsid w:val="007438AE"/>
    <w:rsid w:val="007475C8"/>
    <w:rsid w:val="00747F16"/>
    <w:rsid w:val="00756BC7"/>
    <w:rsid w:val="0076023F"/>
    <w:rsid w:val="00767337"/>
    <w:rsid w:val="0076779B"/>
    <w:rsid w:val="00770018"/>
    <w:rsid w:val="00775E3C"/>
    <w:rsid w:val="00780A2D"/>
    <w:rsid w:val="00781939"/>
    <w:rsid w:val="00781AC9"/>
    <w:rsid w:val="00782A7B"/>
    <w:rsid w:val="00783EF0"/>
    <w:rsid w:val="00791154"/>
    <w:rsid w:val="007919F1"/>
    <w:rsid w:val="00791ABF"/>
    <w:rsid w:val="007968C1"/>
    <w:rsid w:val="007A4B84"/>
    <w:rsid w:val="007A55E0"/>
    <w:rsid w:val="007B2D71"/>
    <w:rsid w:val="007B3310"/>
    <w:rsid w:val="007B3718"/>
    <w:rsid w:val="007B3DD0"/>
    <w:rsid w:val="007C1DCC"/>
    <w:rsid w:val="007C4FCB"/>
    <w:rsid w:val="007C60CC"/>
    <w:rsid w:val="007D017E"/>
    <w:rsid w:val="007D1D59"/>
    <w:rsid w:val="007D3E09"/>
    <w:rsid w:val="007D6976"/>
    <w:rsid w:val="007D6F72"/>
    <w:rsid w:val="007E5269"/>
    <w:rsid w:val="007E7ADC"/>
    <w:rsid w:val="007F1321"/>
    <w:rsid w:val="007F1DAB"/>
    <w:rsid w:val="007F7091"/>
    <w:rsid w:val="008027A9"/>
    <w:rsid w:val="00803CCC"/>
    <w:rsid w:val="00804DE2"/>
    <w:rsid w:val="00804E3A"/>
    <w:rsid w:val="0080553A"/>
    <w:rsid w:val="00806FC0"/>
    <w:rsid w:val="00812ABE"/>
    <w:rsid w:val="00816CD6"/>
    <w:rsid w:val="00820911"/>
    <w:rsid w:val="00820C1B"/>
    <w:rsid w:val="00822096"/>
    <w:rsid w:val="0082259A"/>
    <w:rsid w:val="00822F61"/>
    <w:rsid w:val="00827E8A"/>
    <w:rsid w:val="00840B46"/>
    <w:rsid w:val="008445F4"/>
    <w:rsid w:val="0084612C"/>
    <w:rsid w:val="008476C9"/>
    <w:rsid w:val="008501F8"/>
    <w:rsid w:val="0085355F"/>
    <w:rsid w:val="00853BE2"/>
    <w:rsid w:val="00854BD5"/>
    <w:rsid w:val="00856433"/>
    <w:rsid w:val="00861966"/>
    <w:rsid w:val="00865278"/>
    <w:rsid w:val="008737B6"/>
    <w:rsid w:val="008739E1"/>
    <w:rsid w:val="00877E84"/>
    <w:rsid w:val="00880ECE"/>
    <w:rsid w:val="008812BA"/>
    <w:rsid w:val="00881556"/>
    <w:rsid w:val="00882AB2"/>
    <w:rsid w:val="00883B30"/>
    <w:rsid w:val="00887315"/>
    <w:rsid w:val="00892211"/>
    <w:rsid w:val="00895845"/>
    <w:rsid w:val="00895F9F"/>
    <w:rsid w:val="008A2CFA"/>
    <w:rsid w:val="008A36D1"/>
    <w:rsid w:val="008A5C93"/>
    <w:rsid w:val="008A7862"/>
    <w:rsid w:val="008B0147"/>
    <w:rsid w:val="008B164E"/>
    <w:rsid w:val="008B3ABC"/>
    <w:rsid w:val="008C07D5"/>
    <w:rsid w:val="008C1D7D"/>
    <w:rsid w:val="008C37DA"/>
    <w:rsid w:val="008D11F9"/>
    <w:rsid w:val="008D4546"/>
    <w:rsid w:val="008D626B"/>
    <w:rsid w:val="008D7964"/>
    <w:rsid w:val="008E2D31"/>
    <w:rsid w:val="008E2F14"/>
    <w:rsid w:val="008E7151"/>
    <w:rsid w:val="008F1707"/>
    <w:rsid w:val="008F18E1"/>
    <w:rsid w:val="008F36A2"/>
    <w:rsid w:val="0090050A"/>
    <w:rsid w:val="0090262B"/>
    <w:rsid w:val="009040AE"/>
    <w:rsid w:val="00907B80"/>
    <w:rsid w:val="00910C31"/>
    <w:rsid w:val="009113D4"/>
    <w:rsid w:val="00911EB4"/>
    <w:rsid w:val="009210EB"/>
    <w:rsid w:val="00921C0C"/>
    <w:rsid w:val="009227D3"/>
    <w:rsid w:val="009249DE"/>
    <w:rsid w:val="00925989"/>
    <w:rsid w:val="00936397"/>
    <w:rsid w:val="00944DC2"/>
    <w:rsid w:val="00947E61"/>
    <w:rsid w:val="00951D8F"/>
    <w:rsid w:val="0095393D"/>
    <w:rsid w:val="009545D4"/>
    <w:rsid w:val="00955EC2"/>
    <w:rsid w:val="00963193"/>
    <w:rsid w:val="00963282"/>
    <w:rsid w:val="00970387"/>
    <w:rsid w:val="00971DF3"/>
    <w:rsid w:val="00974E7D"/>
    <w:rsid w:val="0097591F"/>
    <w:rsid w:val="00976A63"/>
    <w:rsid w:val="009822BA"/>
    <w:rsid w:val="009839B3"/>
    <w:rsid w:val="009A1FBC"/>
    <w:rsid w:val="009B25C1"/>
    <w:rsid w:val="009B765D"/>
    <w:rsid w:val="009C50FE"/>
    <w:rsid w:val="009C52E4"/>
    <w:rsid w:val="009D41FC"/>
    <w:rsid w:val="009D43B9"/>
    <w:rsid w:val="009E4E29"/>
    <w:rsid w:val="009F2176"/>
    <w:rsid w:val="009F454C"/>
    <w:rsid w:val="009F6CEF"/>
    <w:rsid w:val="00A00642"/>
    <w:rsid w:val="00A014F8"/>
    <w:rsid w:val="00A04C2C"/>
    <w:rsid w:val="00A07590"/>
    <w:rsid w:val="00A128E1"/>
    <w:rsid w:val="00A135F2"/>
    <w:rsid w:val="00A14F8C"/>
    <w:rsid w:val="00A16F66"/>
    <w:rsid w:val="00A20E5C"/>
    <w:rsid w:val="00A25D1D"/>
    <w:rsid w:val="00A3290A"/>
    <w:rsid w:val="00A373D9"/>
    <w:rsid w:val="00A4017C"/>
    <w:rsid w:val="00A44DDD"/>
    <w:rsid w:val="00A47040"/>
    <w:rsid w:val="00A47978"/>
    <w:rsid w:val="00A56701"/>
    <w:rsid w:val="00A765AF"/>
    <w:rsid w:val="00A81503"/>
    <w:rsid w:val="00A83FF7"/>
    <w:rsid w:val="00A93ED3"/>
    <w:rsid w:val="00A95B39"/>
    <w:rsid w:val="00A95C80"/>
    <w:rsid w:val="00AA170B"/>
    <w:rsid w:val="00AA3CDB"/>
    <w:rsid w:val="00AB0381"/>
    <w:rsid w:val="00AB4372"/>
    <w:rsid w:val="00AB71AD"/>
    <w:rsid w:val="00AB7587"/>
    <w:rsid w:val="00AC0BF3"/>
    <w:rsid w:val="00AC316A"/>
    <w:rsid w:val="00AC365D"/>
    <w:rsid w:val="00AD5A26"/>
    <w:rsid w:val="00AE4777"/>
    <w:rsid w:val="00AE4E51"/>
    <w:rsid w:val="00B00C75"/>
    <w:rsid w:val="00B02138"/>
    <w:rsid w:val="00B0337D"/>
    <w:rsid w:val="00B0453C"/>
    <w:rsid w:val="00B11F70"/>
    <w:rsid w:val="00B12242"/>
    <w:rsid w:val="00B13060"/>
    <w:rsid w:val="00B14115"/>
    <w:rsid w:val="00B158D8"/>
    <w:rsid w:val="00B20AB2"/>
    <w:rsid w:val="00B22D99"/>
    <w:rsid w:val="00B345F6"/>
    <w:rsid w:val="00B36BB7"/>
    <w:rsid w:val="00B41869"/>
    <w:rsid w:val="00B42FB2"/>
    <w:rsid w:val="00B5255E"/>
    <w:rsid w:val="00B53319"/>
    <w:rsid w:val="00B56FB9"/>
    <w:rsid w:val="00B60E04"/>
    <w:rsid w:val="00B65FAA"/>
    <w:rsid w:val="00B71B1F"/>
    <w:rsid w:val="00B7218C"/>
    <w:rsid w:val="00B73389"/>
    <w:rsid w:val="00B77FED"/>
    <w:rsid w:val="00B809FD"/>
    <w:rsid w:val="00B816EE"/>
    <w:rsid w:val="00B837F2"/>
    <w:rsid w:val="00B84A5B"/>
    <w:rsid w:val="00B87B32"/>
    <w:rsid w:val="00B90283"/>
    <w:rsid w:val="00B90686"/>
    <w:rsid w:val="00B91D91"/>
    <w:rsid w:val="00B92218"/>
    <w:rsid w:val="00B92A14"/>
    <w:rsid w:val="00BA3A18"/>
    <w:rsid w:val="00BB1136"/>
    <w:rsid w:val="00BB38F0"/>
    <w:rsid w:val="00BB4248"/>
    <w:rsid w:val="00BB53DA"/>
    <w:rsid w:val="00BC0E34"/>
    <w:rsid w:val="00BC5B2D"/>
    <w:rsid w:val="00BD0E7C"/>
    <w:rsid w:val="00BD318F"/>
    <w:rsid w:val="00BD56C3"/>
    <w:rsid w:val="00BD7721"/>
    <w:rsid w:val="00BD7AAD"/>
    <w:rsid w:val="00BD7EB8"/>
    <w:rsid w:val="00BF5695"/>
    <w:rsid w:val="00C067A2"/>
    <w:rsid w:val="00C12697"/>
    <w:rsid w:val="00C1729D"/>
    <w:rsid w:val="00C20E16"/>
    <w:rsid w:val="00C20E72"/>
    <w:rsid w:val="00C22676"/>
    <w:rsid w:val="00C22AE9"/>
    <w:rsid w:val="00C2746E"/>
    <w:rsid w:val="00C34155"/>
    <w:rsid w:val="00C402F7"/>
    <w:rsid w:val="00C40A3A"/>
    <w:rsid w:val="00C430C6"/>
    <w:rsid w:val="00C446AD"/>
    <w:rsid w:val="00C4585B"/>
    <w:rsid w:val="00C468AC"/>
    <w:rsid w:val="00C46EA3"/>
    <w:rsid w:val="00C618E2"/>
    <w:rsid w:val="00C629AB"/>
    <w:rsid w:val="00C64BD0"/>
    <w:rsid w:val="00C66F71"/>
    <w:rsid w:val="00C74C68"/>
    <w:rsid w:val="00C7629F"/>
    <w:rsid w:val="00C81049"/>
    <w:rsid w:val="00C82283"/>
    <w:rsid w:val="00C84375"/>
    <w:rsid w:val="00C84446"/>
    <w:rsid w:val="00C84F2C"/>
    <w:rsid w:val="00C905C3"/>
    <w:rsid w:val="00C926DE"/>
    <w:rsid w:val="00C9322B"/>
    <w:rsid w:val="00C95A3D"/>
    <w:rsid w:val="00C95B2E"/>
    <w:rsid w:val="00CA16DE"/>
    <w:rsid w:val="00CA3026"/>
    <w:rsid w:val="00CA5293"/>
    <w:rsid w:val="00CA573D"/>
    <w:rsid w:val="00CA6FE9"/>
    <w:rsid w:val="00CC61C6"/>
    <w:rsid w:val="00CC6E82"/>
    <w:rsid w:val="00CD0D17"/>
    <w:rsid w:val="00CD35DF"/>
    <w:rsid w:val="00CD581E"/>
    <w:rsid w:val="00CE129E"/>
    <w:rsid w:val="00CE3CF6"/>
    <w:rsid w:val="00CF01FC"/>
    <w:rsid w:val="00CF03FA"/>
    <w:rsid w:val="00CF3FF5"/>
    <w:rsid w:val="00D001FF"/>
    <w:rsid w:val="00D060AE"/>
    <w:rsid w:val="00D07C57"/>
    <w:rsid w:val="00D124A1"/>
    <w:rsid w:val="00D12DAA"/>
    <w:rsid w:val="00D16BFE"/>
    <w:rsid w:val="00D2330E"/>
    <w:rsid w:val="00D263A6"/>
    <w:rsid w:val="00D35C47"/>
    <w:rsid w:val="00D3697D"/>
    <w:rsid w:val="00D40956"/>
    <w:rsid w:val="00D463F6"/>
    <w:rsid w:val="00D4683E"/>
    <w:rsid w:val="00D53FE7"/>
    <w:rsid w:val="00D5452A"/>
    <w:rsid w:val="00D54889"/>
    <w:rsid w:val="00D560DD"/>
    <w:rsid w:val="00D5669D"/>
    <w:rsid w:val="00D6078E"/>
    <w:rsid w:val="00D6123C"/>
    <w:rsid w:val="00D71E1F"/>
    <w:rsid w:val="00D77377"/>
    <w:rsid w:val="00D800F5"/>
    <w:rsid w:val="00D8440C"/>
    <w:rsid w:val="00D94114"/>
    <w:rsid w:val="00D9493E"/>
    <w:rsid w:val="00D95E71"/>
    <w:rsid w:val="00DA11C7"/>
    <w:rsid w:val="00DA3585"/>
    <w:rsid w:val="00DA54E8"/>
    <w:rsid w:val="00DB14CB"/>
    <w:rsid w:val="00DB6273"/>
    <w:rsid w:val="00DC4D38"/>
    <w:rsid w:val="00DD430E"/>
    <w:rsid w:val="00DE546C"/>
    <w:rsid w:val="00DE675C"/>
    <w:rsid w:val="00E01795"/>
    <w:rsid w:val="00E14FAF"/>
    <w:rsid w:val="00E152FC"/>
    <w:rsid w:val="00E17860"/>
    <w:rsid w:val="00E17BC8"/>
    <w:rsid w:val="00E21222"/>
    <w:rsid w:val="00E21D79"/>
    <w:rsid w:val="00E236DF"/>
    <w:rsid w:val="00E2443D"/>
    <w:rsid w:val="00E26C37"/>
    <w:rsid w:val="00E331F2"/>
    <w:rsid w:val="00E34DDD"/>
    <w:rsid w:val="00E3576D"/>
    <w:rsid w:val="00E36432"/>
    <w:rsid w:val="00E37B5C"/>
    <w:rsid w:val="00E4079A"/>
    <w:rsid w:val="00E4132B"/>
    <w:rsid w:val="00E4484A"/>
    <w:rsid w:val="00E458F6"/>
    <w:rsid w:val="00E51219"/>
    <w:rsid w:val="00E5743D"/>
    <w:rsid w:val="00E62838"/>
    <w:rsid w:val="00E62FBC"/>
    <w:rsid w:val="00E6311B"/>
    <w:rsid w:val="00E6330F"/>
    <w:rsid w:val="00E67A4F"/>
    <w:rsid w:val="00E74E6F"/>
    <w:rsid w:val="00E76F61"/>
    <w:rsid w:val="00E77D7F"/>
    <w:rsid w:val="00E8297D"/>
    <w:rsid w:val="00E829DC"/>
    <w:rsid w:val="00E87F94"/>
    <w:rsid w:val="00E92072"/>
    <w:rsid w:val="00E9504E"/>
    <w:rsid w:val="00EA3B34"/>
    <w:rsid w:val="00EB05BB"/>
    <w:rsid w:val="00EB09A1"/>
    <w:rsid w:val="00EB34DF"/>
    <w:rsid w:val="00EB48EA"/>
    <w:rsid w:val="00EB7FD8"/>
    <w:rsid w:val="00EC08D9"/>
    <w:rsid w:val="00EC0E76"/>
    <w:rsid w:val="00EC7B4A"/>
    <w:rsid w:val="00ED0F79"/>
    <w:rsid w:val="00ED62F5"/>
    <w:rsid w:val="00EE259A"/>
    <w:rsid w:val="00EF125D"/>
    <w:rsid w:val="00EF3E40"/>
    <w:rsid w:val="00EF4141"/>
    <w:rsid w:val="00F06CD0"/>
    <w:rsid w:val="00F14697"/>
    <w:rsid w:val="00F20CC2"/>
    <w:rsid w:val="00F21E4B"/>
    <w:rsid w:val="00F21EC0"/>
    <w:rsid w:val="00F23154"/>
    <w:rsid w:val="00F24F1C"/>
    <w:rsid w:val="00F256FF"/>
    <w:rsid w:val="00F268F0"/>
    <w:rsid w:val="00F27F56"/>
    <w:rsid w:val="00F3205F"/>
    <w:rsid w:val="00F33976"/>
    <w:rsid w:val="00F33DFD"/>
    <w:rsid w:val="00F35DEF"/>
    <w:rsid w:val="00F37F6D"/>
    <w:rsid w:val="00F40AA5"/>
    <w:rsid w:val="00F47C7A"/>
    <w:rsid w:val="00F47FCC"/>
    <w:rsid w:val="00F51C12"/>
    <w:rsid w:val="00F55835"/>
    <w:rsid w:val="00F6167B"/>
    <w:rsid w:val="00F622EA"/>
    <w:rsid w:val="00F64FF8"/>
    <w:rsid w:val="00F67D9A"/>
    <w:rsid w:val="00F744B4"/>
    <w:rsid w:val="00F7524C"/>
    <w:rsid w:val="00F75FE2"/>
    <w:rsid w:val="00F81FF3"/>
    <w:rsid w:val="00F85168"/>
    <w:rsid w:val="00F856D3"/>
    <w:rsid w:val="00F9034E"/>
    <w:rsid w:val="00F97A55"/>
    <w:rsid w:val="00FB2C79"/>
    <w:rsid w:val="00FB6330"/>
    <w:rsid w:val="00FB795A"/>
    <w:rsid w:val="00FC5257"/>
    <w:rsid w:val="00FD22D4"/>
    <w:rsid w:val="00FD43A6"/>
    <w:rsid w:val="00FE01D9"/>
    <w:rsid w:val="00FE789D"/>
    <w:rsid w:val="00FF03DE"/>
    <w:rsid w:val="00FF0408"/>
    <w:rsid w:val="00FF0DC8"/>
    <w:rsid w:val="00FF3BC0"/>
    <w:rsid w:val="00FF406E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4DFD"/>
  <w15:docId w15:val="{F47CD288-9706-4AFF-AAA4-A633D6A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00D2"/>
  </w:style>
  <w:style w:type="paragraph" w:styleId="Heading1">
    <w:name w:val="heading 1"/>
    <w:next w:val="Normal"/>
    <w:link w:val="Heading1Char"/>
    <w:rsid w:val="003517F3"/>
    <w:pPr>
      <w:keepNext/>
      <w:numPr>
        <w:numId w:val="2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3">
    <w:name w:val="heading 3"/>
    <w:next w:val="BodyText"/>
    <w:link w:val="Heading3Char"/>
    <w:unhideWhenUsed/>
    <w:qFormat/>
    <w:rsid w:val="003517F3"/>
    <w:pPr>
      <w:keepNext/>
      <w:numPr>
        <w:ilvl w:val="2"/>
        <w:numId w:val="2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unhideWhenUsed/>
    <w:qFormat/>
    <w:rsid w:val="003517F3"/>
    <w:pPr>
      <w:keepNext/>
      <w:numPr>
        <w:ilvl w:val="3"/>
        <w:numId w:val="2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17F3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517F3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3517F3"/>
    <w:rPr>
      <w:rFonts w:ascii="Calibri" w:eastAsia="Times New Roman" w:hAnsi="Calibri" w:cs="Arial"/>
      <w:b/>
      <w:color w:val="548DD4"/>
      <w:sz w:val="20"/>
      <w:szCs w:val="20"/>
    </w:rPr>
  </w:style>
  <w:style w:type="paragraph" w:customStyle="1" w:styleId="Heading11">
    <w:name w:val="Heading 11"/>
    <w:basedOn w:val="Normal"/>
    <w:link w:val="HEADING1Char0"/>
    <w:qFormat/>
    <w:rsid w:val="006268DA"/>
    <w:pPr>
      <w:spacing w:before="240"/>
    </w:pPr>
    <w:rPr>
      <w:rFonts w:cs="Arial"/>
      <w:b/>
    </w:rPr>
  </w:style>
  <w:style w:type="paragraph" w:customStyle="1" w:styleId="Normaltext">
    <w:name w:val="Normal text"/>
    <w:basedOn w:val="Normal"/>
    <w:link w:val="NormaltextChar"/>
    <w:qFormat/>
    <w:rsid w:val="006268DA"/>
    <w:pPr>
      <w:spacing w:before="240"/>
    </w:pPr>
    <w:rPr>
      <w:rFonts w:cs="Arial"/>
    </w:rPr>
  </w:style>
  <w:style w:type="character" w:customStyle="1" w:styleId="HEADING1Char0">
    <w:name w:val="HEADING 1 Char"/>
    <w:basedOn w:val="DefaultParagraphFont"/>
    <w:link w:val="Heading11"/>
    <w:rsid w:val="006268DA"/>
    <w:rPr>
      <w:rFonts w:cs="Arial"/>
      <w:b/>
    </w:rPr>
  </w:style>
  <w:style w:type="paragraph" w:customStyle="1" w:styleId="SectionHeading">
    <w:name w:val="Section Heading"/>
    <w:basedOn w:val="ListParagraph"/>
    <w:link w:val="SectionHeadingChar"/>
    <w:qFormat/>
    <w:rsid w:val="006D6455"/>
    <w:pPr>
      <w:numPr>
        <w:numId w:val="1"/>
      </w:numPr>
      <w:spacing w:before="60" w:after="0"/>
      <w:contextualSpacing w:val="0"/>
    </w:pPr>
    <w:rPr>
      <w:rFonts w:cs="Arial"/>
      <w:b/>
      <w:bCs/>
    </w:rPr>
  </w:style>
  <w:style w:type="character" w:customStyle="1" w:styleId="NormaltextChar">
    <w:name w:val="Normal text Char"/>
    <w:basedOn w:val="DefaultParagraphFont"/>
    <w:link w:val="Normaltext"/>
    <w:rsid w:val="006268DA"/>
    <w:rPr>
      <w:rFonts w:cs="Arial"/>
    </w:rPr>
  </w:style>
  <w:style w:type="paragraph" w:customStyle="1" w:styleId="Indenttext1">
    <w:name w:val="Indent text 1"/>
    <w:basedOn w:val="ListParagraph"/>
    <w:link w:val="Indenttext1Char"/>
    <w:qFormat/>
    <w:rsid w:val="006D6455"/>
    <w:pPr>
      <w:numPr>
        <w:ilvl w:val="1"/>
        <w:numId w:val="1"/>
      </w:numPr>
      <w:spacing w:before="60" w:after="0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68DA"/>
  </w:style>
  <w:style w:type="character" w:customStyle="1" w:styleId="SectionHeadingChar">
    <w:name w:val="Section Heading Char"/>
    <w:basedOn w:val="ListParagraphChar"/>
    <w:link w:val="SectionHeading"/>
    <w:rsid w:val="006D6455"/>
    <w:rPr>
      <w:rFonts w:cs="Arial"/>
      <w:b/>
      <w:bCs/>
    </w:rPr>
  </w:style>
  <w:style w:type="paragraph" w:customStyle="1" w:styleId="Indenttext2">
    <w:name w:val="Indent text 2"/>
    <w:basedOn w:val="ListParagraph"/>
    <w:link w:val="Indenttext2Char"/>
    <w:autoRedefine/>
    <w:qFormat/>
    <w:rsid w:val="00F06CD0"/>
    <w:pPr>
      <w:spacing w:before="60" w:after="0"/>
      <w:ind w:left="0"/>
      <w:contextualSpacing w:val="0"/>
    </w:pPr>
    <w:rPr>
      <w:rFonts w:cs="Arial"/>
    </w:rPr>
  </w:style>
  <w:style w:type="character" w:customStyle="1" w:styleId="Indenttext1Char">
    <w:name w:val="Indent text 1 Char"/>
    <w:basedOn w:val="ListParagraphChar"/>
    <w:link w:val="Indenttext1"/>
    <w:rsid w:val="006D6455"/>
    <w:rPr>
      <w:rFonts w:cs="Arial"/>
    </w:rPr>
  </w:style>
  <w:style w:type="paragraph" w:customStyle="1" w:styleId="RelatedDocuments">
    <w:name w:val="Related Documents"/>
    <w:basedOn w:val="ListParagraph"/>
    <w:link w:val="RelatedDocumentsChar"/>
    <w:autoRedefine/>
    <w:qFormat/>
    <w:rsid w:val="00AE4777"/>
    <w:pPr>
      <w:numPr>
        <w:numId w:val="3"/>
      </w:numPr>
      <w:spacing w:after="0"/>
      <w:ind w:left="567" w:hanging="567"/>
    </w:pPr>
    <w:rPr>
      <w:rFonts w:cs="Arial"/>
    </w:rPr>
  </w:style>
  <w:style w:type="character" w:customStyle="1" w:styleId="Indenttext2Char">
    <w:name w:val="Indent text 2 Char"/>
    <w:basedOn w:val="ListParagraphChar"/>
    <w:link w:val="Indenttext2"/>
    <w:rsid w:val="00F06CD0"/>
    <w:rPr>
      <w:rFonts w:cs="Arial"/>
    </w:rPr>
  </w:style>
  <w:style w:type="character" w:customStyle="1" w:styleId="RelatedDocumentsChar">
    <w:name w:val="Related Documents Char"/>
    <w:basedOn w:val="ListParagraphChar"/>
    <w:link w:val="RelatedDocuments"/>
    <w:rsid w:val="00AE4777"/>
    <w:rPr>
      <w:rFonts w:cs="Arial"/>
    </w:rPr>
  </w:style>
  <w:style w:type="paragraph" w:customStyle="1" w:styleId="Heading">
    <w:name w:val="Heading"/>
    <w:basedOn w:val="Heading1"/>
    <w:link w:val="HeadingChar"/>
    <w:qFormat/>
    <w:rsid w:val="00FE789D"/>
    <w:pPr>
      <w:numPr>
        <w:numId w:val="0"/>
      </w:numPr>
      <w:ind w:left="360" w:hanging="360"/>
    </w:pPr>
  </w:style>
  <w:style w:type="character" w:customStyle="1" w:styleId="HeadingChar">
    <w:name w:val="Heading Char"/>
    <w:basedOn w:val="Heading1Char"/>
    <w:link w:val="Heading"/>
    <w:rsid w:val="00FE789D"/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customStyle="1" w:styleId="Firstlevelindent">
    <w:name w:val="First level indent"/>
    <w:basedOn w:val="ListParagraph"/>
    <w:link w:val="FirstlevelindentChar"/>
    <w:qFormat/>
    <w:rsid w:val="00FE789D"/>
    <w:pPr>
      <w:tabs>
        <w:tab w:val="num" w:pos="1787"/>
      </w:tabs>
      <w:spacing w:after="0" w:line="360" w:lineRule="auto"/>
      <w:ind w:left="1787" w:hanging="794"/>
    </w:pPr>
    <w:rPr>
      <w:rFonts w:eastAsia="Times New Roman" w:cs="Times New Roman"/>
      <w:color w:val="000000" w:themeColor="text1"/>
    </w:rPr>
  </w:style>
  <w:style w:type="character" w:customStyle="1" w:styleId="FirstlevelindentChar">
    <w:name w:val="First level indent Char"/>
    <w:basedOn w:val="DefaultParagraphFont"/>
    <w:link w:val="Firstlevelindent"/>
    <w:rsid w:val="00FE789D"/>
    <w:rPr>
      <w:rFonts w:eastAsia="Times New Roman" w:cs="Times New Roman"/>
      <w:color w:val="000000" w:themeColor="text1"/>
    </w:rPr>
  </w:style>
  <w:style w:type="character" w:customStyle="1" w:styleId="cf01">
    <w:name w:val="cf01"/>
    <w:basedOn w:val="DefaultParagraphFont"/>
    <w:rsid w:val="00FE789D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2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52EA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7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7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76B"/>
    <w:rPr>
      <w:vertAlign w:val="superscript"/>
    </w:rPr>
  </w:style>
  <w:style w:type="paragraph" w:styleId="Revision">
    <w:name w:val="Revision"/>
    <w:hidden/>
    <w:uiPriority w:val="99"/>
    <w:semiHidden/>
    <w:rsid w:val="007043B5"/>
    <w:pPr>
      <w:spacing w:after="0" w:line="240" w:lineRule="auto"/>
    </w:pPr>
  </w:style>
  <w:style w:type="paragraph" w:customStyle="1" w:styleId="Style1">
    <w:name w:val="Style1"/>
    <w:basedOn w:val="Indenttext2"/>
    <w:link w:val="Style1Char"/>
    <w:qFormat/>
    <w:rsid w:val="00B42FB2"/>
  </w:style>
  <w:style w:type="character" w:customStyle="1" w:styleId="Style1Char">
    <w:name w:val="Style1 Char"/>
    <w:basedOn w:val="Indenttext2Char"/>
    <w:link w:val="Style1"/>
    <w:rsid w:val="00B42FB2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tudyassist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B4CC-9596-4D52-9DF1-5332BCA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1514</Words>
  <Characters>8860</Characters>
  <Application>Microsoft Office Word</Application>
  <DocSecurity>0</DocSecurity>
  <Lines>225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Rust, Tim</dc:creator>
  <cp:lastModifiedBy>PCODCS</cp:lastModifiedBy>
  <cp:revision>4</cp:revision>
  <cp:lastPrinted>2019-11-21T21:21:00Z</cp:lastPrinted>
  <dcterms:created xsi:type="dcterms:W3CDTF">2025-07-11T00:47:00Z</dcterms:created>
  <dcterms:modified xsi:type="dcterms:W3CDTF">2025-07-11T00:47:00Z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2024-04-19T00:29:59Z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4ce3c6d0-60f0-40da-935a-4037306c0b2a</vt:lpwstr>
  </property>
  <property fmtid="{D5CDD505-2E9C-101B-9397-08002B2CF9AE}" pid="8" name="MSIP_Label_69af8531-eb46-4968-8cb3-105d2f5ea87e_ContentBits">
    <vt:lpwstr>0</vt:lpwstr>
  </property>
</Properties>
</file>