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6EC98985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587F99">
        <w:rPr>
          <w:rFonts w:ascii="Calibri" w:eastAsia="Times New Roman" w:hAnsi="Calibri" w:cs="Calibri"/>
          <w:b/>
          <w:sz w:val="40"/>
          <w:szCs w:val="20"/>
        </w:rPr>
        <w:t>2</w:t>
      </w:r>
      <w:r w:rsidR="004C4C48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FB452C">
        <w:rPr>
          <w:rFonts w:ascii="Calibri" w:eastAsia="Times New Roman" w:hAnsi="Calibri" w:cs="Calibri"/>
          <w:b/>
          <w:sz w:val="40"/>
          <w:szCs w:val="20"/>
        </w:rPr>
        <w:t>1</w:t>
      </w:r>
      <w:r w:rsidR="004C4C48">
        <w:rPr>
          <w:rFonts w:ascii="Calibri" w:eastAsia="Times New Roman" w:hAnsi="Calibri" w:cs="Calibri"/>
          <w:b/>
          <w:sz w:val="40"/>
          <w:szCs w:val="20"/>
        </w:rPr>
        <w:t>2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1A4E777A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Notifiable instrument NI20</w:t>
      </w:r>
      <w:r w:rsidR="00587F99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4C4C48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945CA1">
        <w:rPr>
          <w:rFonts w:ascii="Calibri" w:eastAsia="Times New Roman" w:hAnsi="Calibri" w:cs="Calibri"/>
          <w:b/>
          <w:bCs/>
          <w:sz w:val="24"/>
          <w:szCs w:val="20"/>
        </w:rPr>
        <w:t>579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1277F57A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587F99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587F99" w:rsidRPr="00587F99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4C4C48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587F99">
        <w:rPr>
          <w:rFonts w:ascii="Calibri" w:eastAsia="Times New Roman" w:hAnsi="Calibri" w:cs="Calibri"/>
          <w:i/>
          <w:iCs/>
          <w:sz w:val="24"/>
          <w:szCs w:val="20"/>
        </w:rPr>
        <w:t xml:space="preserve"> (N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o</w:t>
      </w:r>
      <w:r w:rsidR="00F16111">
        <w:rPr>
          <w:rFonts w:ascii="Calibri" w:eastAsia="Times New Roman" w:hAnsi="Calibri" w:cs="Calibri"/>
          <w:i/>
          <w:iCs/>
          <w:sz w:val="24"/>
          <w:szCs w:val="20"/>
        </w:rPr>
        <w:t xml:space="preserve"> </w:t>
      </w:r>
      <w:r w:rsidR="006B3177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="004C4C4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EF397A2" w14:textId="4ED715E5" w:rsidR="007F2F1D" w:rsidRDefault="009D7265" w:rsidP="009D7265">
      <w:pPr>
        <w:spacing w:after="60" w:line="240" w:lineRule="auto"/>
        <w:ind w:left="709"/>
        <w:rPr>
          <w:noProof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033B0AF3" w14:textId="77777777" w:rsidR="00C0638E" w:rsidRPr="00910CBB" w:rsidRDefault="00C0638E" w:rsidP="00C0638E">
      <w:pPr>
        <w:numPr>
          <w:ilvl w:val="0"/>
          <w:numId w:val="2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0B1FC141" w14:textId="10513A64" w:rsidR="00C0638E" w:rsidRDefault="00C0638E" w:rsidP="00C0638E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3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>
        <w:rPr>
          <w:rFonts w:eastAsia="Times New Roman" w:cs="Calibri"/>
          <w:sz w:val="24"/>
          <w:szCs w:val="24"/>
          <w:lang w:val="en-GB"/>
        </w:rPr>
        <w:t>97 (No 1)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09DBA553" w14:textId="1F10FE4C" w:rsidR="00B332B2" w:rsidRDefault="00B332B2" w:rsidP="009D7265">
      <w:pPr>
        <w:spacing w:after="60" w:line="240" w:lineRule="auto"/>
        <w:ind w:left="709"/>
        <w:rPr>
          <w:noProof/>
        </w:rPr>
      </w:pPr>
    </w:p>
    <w:p w14:paraId="7A81EADB" w14:textId="4F4A4F72" w:rsidR="004C4C48" w:rsidRDefault="004C4C48" w:rsidP="009D7265">
      <w:pPr>
        <w:spacing w:after="60" w:line="240" w:lineRule="auto"/>
        <w:ind w:left="709"/>
        <w:rPr>
          <w:noProof/>
        </w:rPr>
      </w:pPr>
    </w:p>
    <w:p w14:paraId="4AE955E0" w14:textId="77777777" w:rsidR="00B332B2" w:rsidRDefault="00D302C7" w:rsidP="00B332B2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Karl Somers</w:t>
      </w:r>
      <w:bookmarkEnd w:id="0"/>
    </w:p>
    <w:p w14:paraId="251358D0" w14:textId="77777777" w:rsidR="00B332B2" w:rsidRDefault="009D7265" w:rsidP="00B332B2">
      <w:pPr>
        <w:spacing w:after="6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  <w:r w:rsidRPr="00587F99">
        <w:rPr>
          <w:rFonts w:ascii="Calibri" w:eastAsia="Times New Roman" w:hAnsi="Calibri" w:cs="Calibri"/>
          <w:bCs/>
          <w:sz w:val="24"/>
          <w:szCs w:val="20"/>
        </w:rPr>
        <w:t>Delegate</w:t>
      </w:r>
    </w:p>
    <w:p w14:paraId="0EE5F874" w14:textId="74561292" w:rsidR="009D7265" w:rsidRDefault="009D7265" w:rsidP="00B332B2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0"/>
        </w:rPr>
      </w:pPr>
      <w:r w:rsidRPr="00587F99">
        <w:rPr>
          <w:rFonts w:ascii="Calibri" w:eastAsia="Times New Roman" w:hAnsi="Calibri" w:cs="Calibri"/>
          <w:sz w:val="24"/>
          <w:szCs w:val="20"/>
        </w:rPr>
        <w:t>ACT Gambling and Racing Commission</w:t>
      </w:r>
    </w:p>
    <w:p w14:paraId="712ADD4C" w14:textId="3290B0DA" w:rsidR="009D7265" w:rsidRPr="00587F99" w:rsidRDefault="0040106E" w:rsidP="009D7265">
      <w:pPr>
        <w:spacing w:after="0" w:line="240" w:lineRule="auto"/>
        <w:ind w:left="709"/>
        <w:jc w:val="both"/>
        <w:rPr>
          <w:rFonts w:ascii="Calibri" w:eastAsia="Times New Roman" w:hAnsi="Calibri" w:cs="Calibri"/>
          <w:bCs/>
          <w:sz w:val="24"/>
          <w:szCs w:val="20"/>
        </w:rPr>
      </w:pPr>
      <w:r>
        <w:rPr>
          <w:rFonts w:ascii="Calibri" w:eastAsia="Times New Roman" w:hAnsi="Calibri" w:cs="Calibri"/>
          <w:sz w:val="24"/>
          <w:szCs w:val="20"/>
        </w:rPr>
        <w:t>15</w:t>
      </w:r>
      <w:r w:rsidR="00164F66">
        <w:rPr>
          <w:rFonts w:ascii="Calibri" w:eastAsia="Times New Roman" w:hAnsi="Calibri" w:cs="Calibri"/>
          <w:sz w:val="24"/>
          <w:szCs w:val="20"/>
        </w:rPr>
        <w:t xml:space="preserve"> </w:t>
      </w:r>
      <w:r w:rsidR="004C4C48">
        <w:rPr>
          <w:rFonts w:ascii="Calibri" w:eastAsia="Times New Roman" w:hAnsi="Calibri" w:cs="Calibri"/>
          <w:sz w:val="24"/>
          <w:szCs w:val="20"/>
        </w:rPr>
        <w:t xml:space="preserve">August </w:t>
      </w:r>
      <w:r w:rsidR="006B3177">
        <w:rPr>
          <w:rFonts w:ascii="Calibri" w:eastAsia="Times New Roman" w:hAnsi="Calibri" w:cs="Calibri"/>
          <w:sz w:val="24"/>
          <w:szCs w:val="20"/>
        </w:rPr>
        <w:t>202</w:t>
      </w:r>
      <w:r w:rsidR="004C4C48">
        <w:rPr>
          <w:rFonts w:ascii="Calibri" w:eastAsia="Times New Roman" w:hAnsi="Calibri" w:cs="Calibri"/>
          <w:sz w:val="24"/>
          <w:szCs w:val="20"/>
        </w:rPr>
        <w:t>5</w:t>
      </w:r>
    </w:p>
    <w:p w14:paraId="1478A34C" w14:textId="77777777" w:rsidR="009D7265" w:rsidRPr="00587F99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5D6E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4209A" w:rsidRDefault="009D7265" w:rsidP="009D7265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4209A">
        <w:rPr>
          <w:rFonts w:eastAsia="Calibri" w:cstheme="minorHAnsi"/>
          <w:sz w:val="24"/>
          <w:szCs w:val="24"/>
        </w:rPr>
        <w:lastRenderedPageBreak/>
        <w:t>For further information please contact the approved supplier.</w:t>
      </w:r>
    </w:p>
    <w:p w14:paraId="79E2265E" w14:textId="77777777" w:rsidR="001B14C3" w:rsidRPr="00E44677" w:rsidRDefault="001B14C3" w:rsidP="001B14C3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A2282" w:rsidRPr="00694F1E" w14:paraId="0077A3C8" w14:textId="77777777" w:rsidTr="00956F26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AD3" w14:textId="77777777" w:rsidR="002A2282" w:rsidRPr="00694F1E" w:rsidRDefault="002A2282" w:rsidP="00956F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2A2282" w:rsidRPr="00694F1E" w14:paraId="1CA8694E" w14:textId="77777777" w:rsidTr="00956F26">
        <w:trPr>
          <w:trHeight w:val="309"/>
        </w:trPr>
        <w:tc>
          <w:tcPr>
            <w:tcW w:w="9091" w:type="dxa"/>
            <w:gridSpan w:val="2"/>
          </w:tcPr>
          <w:p w14:paraId="08D2DE57" w14:textId="77777777" w:rsidR="002A2282" w:rsidRPr="00694F1E" w:rsidRDefault="002A2282" w:rsidP="00956F26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694F1E">
              <w:rPr>
                <w:rFonts w:asciiTheme="minorHAnsi" w:hAnsiTheme="minorHAnsi" w:cstheme="minorHAnsi"/>
                <w:color w:val="auto"/>
              </w:rPr>
              <w:t>Subject: Alternative main monitor assemblies</w:t>
            </w:r>
          </w:p>
        </w:tc>
      </w:tr>
      <w:tr w:rsidR="002A2282" w:rsidRPr="00694F1E" w14:paraId="4A25120E" w14:textId="77777777" w:rsidTr="00956F26">
        <w:trPr>
          <w:trHeight w:val="299"/>
        </w:trPr>
        <w:tc>
          <w:tcPr>
            <w:tcW w:w="3693" w:type="dxa"/>
          </w:tcPr>
          <w:p w14:paraId="03DC8F12" w14:textId="3EC90A68" w:rsidR="002A2282" w:rsidRPr="00694F1E" w:rsidRDefault="002A2282" w:rsidP="00956F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Device Name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694F1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</w:tcPr>
          <w:p w14:paraId="3F696A70" w14:textId="77777777" w:rsidR="002A2282" w:rsidRPr="00694F1E" w:rsidRDefault="002A2282" w:rsidP="00956F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Alternative Main Monitor Assemblies for Gen8 Helix+</w:t>
            </w:r>
          </w:p>
        </w:tc>
      </w:tr>
      <w:tr w:rsidR="002A2282" w:rsidRPr="00694F1E" w14:paraId="7680398E" w14:textId="77777777" w:rsidTr="00956F26">
        <w:trPr>
          <w:trHeight w:val="299"/>
        </w:trPr>
        <w:tc>
          <w:tcPr>
            <w:tcW w:w="3693" w:type="dxa"/>
          </w:tcPr>
          <w:p w14:paraId="0B3290A2" w14:textId="41A102C9" w:rsidR="002A2282" w:rsidRPr="00694F1E" w:rsidRDefault="002A2282" w:rsidP="00956F26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Device Description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694F1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</w:tcPr>
          <w:p w14:paraId="2DE35FC2" w14:textId="77777777" w:rsidR="002A2282" w:rsidRPr="00694F1E" w:rsidRDefault="002A2282" w:rsidP="00956F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Main Monitors Assembly:</w:t>
            </w:r>
          </w:p>
          <w:p w14:paraId="06DD6534" w14:textId="77777777" w:rsidR="002A2282" w:rsidRPr="00694F1E" w:rsidRDefault="002A2282" w:rsidP="00956F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27” IEM MVD LCD Monitor, Model: KTK270DPA04</w:t>
            </w:r>
          </w:p>
        </w:tc>
      </w:tr>
      <w:tr w:rsidR="002A2282" w:rsidRPr="00694F1E" w14:paraId="7EB9F3C0" w14:textId="77777777" w:rsidTr="00956F26">
        <w:trPr>
          <w:trHeight w:val="299"/>
        </w:trPr>
        <w:tc>
          <w:tcPr>
            <w:tcW w:w="3693" w:type="dxa"/>
          </w:tcPr>
          <w:p w14:paraId="302CE93C" w14:textId="58F4AC0A" w:rsidR="002A2282" w:rsidRPr="00694F1E" w:rsidRDefault="002A2282" w:rsidP="00956F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Application Reference Number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98" w:type="dxa"/>
          </w:tcPr>
          <w:p w14:paraId="45FC64F5" w14:textId="77777777" w:rsidR="002A2282" w:rsidRPr="00694F1E" w:rsidRDefault="002A2282" w:rsidP="00956F2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94F1E">
              <w:rPr>
                <w:rFonts w:cstheme="minorHAnsi"/>
                <w:sz w:val="24"/>
                <w:szCs w:val="24"/>
              </w:rPr>
              <w:t>01-A2343/S01</w:t>
            </w:r>
          </w:p>
        </w:tc>
      </w:tr>
    </w:tbl>
    <w:p w14:paraId="1AF15D53" w14:textId="77777777" w:rsidR="002A2282" w:rsidRPr="006B3177" w:rsidRDefault="002A2282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6B3177" w:rsidRPr="006B3177" w14:paraId="32316DF4" w14:textId="77777777" w:rsidTr="004D239C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8B0F" w14:textId="69C0D42C" w:rsidR="00834F13" w:rsidRPr="00837F16" w:rsidRDefault="00837F16" w:rsidP="004D23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6B3177" w:rsidRPr="006B3177" w14:paraId="0C020CC1" w14:textId="77777777" w:rsidTr="004D239C">
        <w:trPr>
          <w:trHeight w:val="309"/>
        </w:trPr>
        <w:tc>
          <w:tcPr>
            <w:tcW w:w="9091" w:type="dxa"/>
            <w:gridSpan w:val="2"/>
          </w:tcPr>
          <w:p w14:paraId="2D5409A0" w14:textId="55E5B295" w:rsidR="00834F13" w:rsidRPr="00837F16" w:rsidRDefault="00834F13" w:rsidP="004D239C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37F16">
              <w:rPr>
                <w:rFonts w:asciiTheme="minorHAnsi" w:hAnsiTheme="minorHAnsi" w:cstheme="minorHAnsi"/>
                <w:color w:val="auto"/>
              </w:rPr>
              <w:t xml:space="preserve">Subject: </w:t>
            </w:r>
            <w:r w:rsidR="00837F16" w:rsidRPr="00837F16">
              <w:rPr>
                <w:rFonts w:asciiTheme="minorHAnsi" w:hAnsiTheme="minorHAnsi" w:cstheme="minorHAnsi"/>
                <w:color w:val="auto"/>
              </w:rPr>
              <w:t>Alternative Monitor Touch Screen Controller</w:t>
            </w:r>
          </w:p>
        </w:tc>
      </w:tr>
      <w:tr w:rsidR="006B3177" w:rsidRPr="006B3177" w14:paraId="43B69F60" w14:textId="77777777" w:rsidTr="004D239C">
        <w:trPr>
          <w:trHeight w:val="299"/>
        </w:trPr>
        <w:tc>
          <w:tcPr>
            <w:tcW w:w="3693" w:type="dxa"/>
          </w:tcPr>
          <w:p w14:paraId="45B0027B" w14:textId="6BB35F5D" w:rsidR="00834F13" w:rsidRPr="00837F16" w:rsidRDefault="00837F16" w:rsidP="004D23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Device Name</w:t>
            </w:r>
            <w:r w:rsidR="0031309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98" w:type="dxa"/>
          </w:tcPr>
          <w:p w14:paraId="0C5C15A2" w14:textId="29BE0011" w:rsidR="00834F13" w:rsidRPr="00837F16" w:rsidRDefault="00837F16" w:rsidP="004D239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Alternative Monitor Touch Screen Controller</w:t>
            </w:r>
          </w:p>
        </w:tc>
      </w:tr>
      <w:tr w:rsidR="006B3177" w:rsidRPr="006B3177" w14:paraId="3FE3DBA9" w14:textId="77777777" w:rsidTr="004D239C">
        <w:trPr>
          <w:trHeight w:val="299"/>
        </w:trPr>
        <w:tc>
          <w:tcPr>
            <w:tcW w:w="3693" w:type="dxa"/>
          </w:tcPr>
          <w:p w14:paraId="500CF034" w14:textId="5020B4A8" w:rsidR="00834F13" w:rsidRPr="00837F16" w:rsidRDefault="00837F16" w:rsidP="004D239C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Device Description</w:t>
            </w:r>
            <w:r w:rsidR="0031309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98" w:type="dxa"/>
          </w:tcPr>
          <w:p w14:paraId="1ADA0C12" w14:textId="77777777" w:rsidR="00837F16" w:rsidRPr="00837F16" w:rsidRDefault="00837F16" w:rsidP="00837F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Main Monitors Assembly:</w:t>
            </w:r>
          </w:p>
          <w:p w14:paraId="33B2B7EF" w14:textId="231C0748" w:rsidR="00837F16" w:rsidRPr="00837F16" w:rsidRDefault="00837F16" w:rsidP="00837F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UHD 43inch, Model: L43EELT4AR-VC2 with</w:t>
            </w:r>
            <w:r>
              <w:rPr>
                <w:rFonts w:cstheme="minorHAnsi"/>
                <w:sz w:val="24"/>
                <w:szCs w:val="24"/>
              </w:rPr>
              <w:t xml:space="preserve"> T</w:t>
            </w:r>
            <w:r w:rsidRPr="00837F16">
              <w:rPr>
                <w:rFonts w:cstheme="minorHAnsi"/>
                <w:sz w:val="24"/>
                <w:szCs w:val="24"/>
              </w:rPr>
              <w:t>ouchscreen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37F16">
              <w:rPr>
                <w:rFonts w:cstheme="minorHAnsi"/>
                <w:sz w:val="24"/>
                <w:szCs w:val="24"/>
              </w:rPr>
              <w:t>Firmware Version V43.B9</w:t>
            </w:r>
          </w:p>
          <w:p w14:paraId="54258ECB" w14:textId="78A3BD77" w:rsidR="00834F13" w:rsidRPr="00837F16" w:rsidRDefault="00837F16" w:rsidP="00837F1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UHD 43inch, Model: L43EELT4AR-VC2 with Touchscreen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37F16">
              <w:rPr>
                <w:rFonts w:cstheme="minorHAnsi"/>
                <w:sz w:val="24"/>
                <w:szCs w:val="24"/>
              </w:rPr>
              <w:t>Firmware Version V43.</w:t>
            </w:r>
          </w:p>
        </w:tc>
      </w:tr>
      <w:tr w:rsidR="006B3177" w:rsidRPr="006B3177" w14:paraId="311C3D2D" w14:textId="77777777" w:rsidTr="004D239C">
        <w:trPr>
          <w:trHeight w:val="299"/>
        </w:trPr>
        <w:tc>
          <w:tcPr>
            <w:tcW w:w="3693" w:type="dxa"/>
          </w:tcPr>
          <w:p w14:paraId="047427CA" w14:textId="11BF8313" w:rsidR="00834F13" w:rsidRPr="00837F16" w:rsidRDefault="00834F13" w:rsidP="004D23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Application Reference Number</w:t>
            </w:r>
            <w:r w:rsidR="0031309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98" w:type="dxa"/>
          </w:tcPr>
          <w:p w14:paraId="7727134C" w14:textId="2787C2E0" w:rsidR="00834F13" w:rsidRPr="00837F16" w:rsidRDefault="00837F16" w:rsidP="004D23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37F16">
              <w:rPr>
                <w:rFonts w:cstheme="minorHAnsi"/>
                <w:sz w:val="24"/>
                <w:szCs w:val="24"/>
              </w:rPr>
              <w:t>01-A2344/S01</w:t>
            </w:r>
          </w:p>
        </w:tc>
      </w:tr>
    </w:tbl>
    <w:p w14:paraId="20ADA4A0" w14:textId="6B14E3BB" w:rsidR="00837F16" w:rsidRDefault="00837F16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694F1E" w:rsidRPr="00694F1E" w14:paraId="57D296F5" w14:textId="77777777" w:rsidTr="00060322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B577" w14:textId="77777777" w:rsidR="00694F1E" w:rsidRPr="000C02FD" w:rsidRDefault="00694F1E" w:rsidP="00060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Aristocrat Technologies Australia Pty Ltd</w:t>
            </w:r>
          </w:p>
        </w:tc>
      </w:tr>
      <w:tr w:rsidR="00694F1E" w:rsidRPr="00694F1E" w14:paraId="2EFA8243" w14:textId="77777777" w:rsidTr="00060322">
        <w:trPr>
          <w:trHeight w:val="309"/>
        </w:trPr>
        <w:tc>
          <w:tcPr>
            <w:tcW w:w="9091" w:type="dxa"/>
            <w:gridSpan w:val="2"/>
          </w:tcPr>
          <w:p w14:paraId="44F61117" w14:textId="529361C0" w:rsidR="00694F1E" w:rsidRPr="000C02FD" w:rsidRDefault="00694F1E" w:rsidP="00060322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C02FD">
              <w:rPr>
                <w:rFonts w:asciiTheme="minorHAnsi" w:hAnsiTheme="minorHAnsi" w:cstheme="minorHAnsi"/>
                <w:color w:val="auto"/>
              </w:rPr>
              <w:t>Subject: System 7000 Software Update</w:t>
            </w:r>
          </w:p>
        </w:tc>
      </w:tr>
      <w:tr w:rsidR="00694F1E" w:rsidRPr="00694F1E" w14:paraId="3B08921D" w14:textId="77777777" w:rsidTr="00060322">
        <w:trPr>
          <w:trHeight w:val="299"/>
        </w:trPr>
        <w:tc>
          <w:tcPr>
            <w:tcW w:w="3693" w:type="dxa"/>
          </w:tcPr>
          <w:p w14:paraId="5B641530" w14:textId="7B1434E8" w:rsidR="00694F1E" w:rsidRPr="000C02FD" w:rsidRDefault="00694F1E" w:rsidP="00060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System Name</w:t>
            </w:r>
            <w:r w:rsidR="0031309B">
              <w:rPr>
                <w:rFonts w:cstheme="minorHAnsi"/>
                <w:sz w:val="24"/>
                <w:szCs w:val="24"/>
              </w:rPr>
              <w:t>:</w:t>
            </w:r>
            <w:r w:rsidRPr="000C02F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98" w:type="dxa"/>
          </w:tcPr>
          <w:p w14:paraId="298DABE7" w14:textId="367EEEC2" w:rsidR="00694F1E" w:rsidRPr="000C02FD" w:rsidRDefault="00694F1E" w:rsidP="000603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System 7000 (V7.4.8.10)</w:t>
            </w:r>
          </w:p>
        </w:tc>
      </w:tr>
      <w:tr w:rsidR="00694F1E" w:rsidRPr="00694F1E" w14:paraId="154B4835" w14:textId="77777777" w:rsidTr="00060322">
        <w:trPr>
          <w:trHeight w:val="299"/>
        </w:trPr>
        <w:tc>
          <w:tcPr>
            <w:tcW w:w="3693" w:type="dxa"/>
          </w:tcPr>
          <w:p w14:paraId="52DA2A2A" w14:textId="513EB3A6" w:rsidR="00694F1E" w:rsidRPr="000C02FD" w:rsidRDefault="00694F1E" w:rsidP="00060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eastAsia="Calibri" w:cstheme="minorHAnsi"/>
                <w:sz w:val="24"/>
                <w:szCs w:val="24"/>
                <w:lang w:val="en-US"/>
              </w:rPr>
              <w:t>Specification Number</w:t>
            </w:r>
            <w:r w:rsidR="0031309B">
              <w:rPr>
                <w:rFonts w:eastAsia="Calibr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5398" w:type="dxa"/>
          </w:tcPr>
          <w:p w14:paraId="241DF145" w14:textId="77777777" w:rsidR="00694F1E" w:rsidRPr="000C02FD" w:rsidRDefault="00694F1E" w:rsidP="00694F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 xml:space="preserve">1.CAPT4 </w:t>
            </w:r>
          </w:p>
          <w:p w14:paraId="7C0A2508" w14:textId="77777777" w:rsidR="00694F1E" w:rsidRPr="000C02FD" w:rsidRDefault="00694F1E" w:rsidP="00694F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1.SET06</w:t>
            </w:r>
          </w:p>
          <w:p w14:paraId="1D18A75D" w14:textId="77777777" w:rsidR="00694F1E" w:rsidRPr="000C02FD" w:rsidRDefault="00694F1E" w:rsidP="00694F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1.SET07</w:t>
            </w:r>
          </w:p>
          <w:p w14:paraId="408A50D1" w14:textId="0FBCA4EF" w:rsidR="00694F1E" w:rsidRPr="000C02FD" w:rsidRDefault="00694F1E" w:rsidP="00694F1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1.SEZ07</w:t>
            </w:r>
          </w:p>
        </w:tc>
      </w:tr>
      <w:tr w:rsidR="00694F1E" w:rsidRPr="00694F1E" w14:paraId="1D5E8817" w14:textId="77777777" w:rsidTr="00060322">
        <w:trPr>
          <w:trHeight w:val="299"/>
        </w:trPr>
        <w:tc>
          <w:tcPr>
            <w:tcW w:w="3693" w:type="dxa"/>
          </w:tcPr>
          <w:p w14:paraId="041DCA69" w14:textId="6D7EBB72" w:rsidR="00694F1E" w:rsidRPr="000C02FD" w:rsidRDefault="00694F1E" w:rsidP="00060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Application Reference Number</w:t>
            </w:r>
            <w:r w:rsidR="0031309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398" w:type="dxa"/>
          </w:tcPr>
          <w:p w14:paraId="05EAD79E" w14:textId="378D20C8" w:rsidR="00694F1E" w:rsidRPr="000C02FD" w:rsidRDefault="00694F1E" w:rsidP="00060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C02FD">
              <w:rPr>
                <w:rFonts w:cstheme="minorHAnsi"/>
                <w:sz w:val="24"/>
                <w:szCs w:val="24"/>
              </w:rPr>
              <w:t>01-A2349/S01</w:t>
            </w:r>
          </w:p>
        </w:tc>
      </w:tr>
    </w:tbl>
    <w:p w14:paraId="16B3BC63" w14:textId="36E36DDD" w:rsidR="00EF4C3B" w:rsidRDefault="00EF4C3B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4B2EDD" w:rsidRPr="006B3177" w14:paraId="0FBC7DD7" w14:textId="77777777" w:rsidTr="00956F2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4F0C" w14:textId="79B4A52E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IGT (Australia) Pty Ltd</w:t>
            </w:r>
          </w:p>
        </w:tc>
      </w:tr>
      <w:tr w:rsidR="004B2EDD" w:rsidRPr="006B3177" w14:paraId="6F1E8173" w14:textId="77777777" w:rsidTr="00956F2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6BF5" w14:textId="0EDE7267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Subject: New Rev7 / Rev8 Link Progressive Jackpot System</w:t>
            </w:r>
          </w:p>
        </w:tc>
      </w:tr>
      <w:tr w:rsidR="004B2EDD" w:rsidRPr="006B3177" w14:paraId="4219B208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04C1" w14:textId="7F6B45E0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 xml:space="preserve">System Details </w:t>
            </w:r>
            <w:r w:rsidR="00A17ABA" w:rsidRPr="00A17ABA">
              <w:rPr>
                <w:rFonts w:eastAsia="Calibri" w:cstheme="minorHAnsi"/>
                <w:sz w:val="24"/>
                <w:szCs w:val="24"/>
                <w:lang w:val="en-US"/>
              </w:rPr>
              <w:t>-</w:t>
            </w: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1: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AA58" w14:textId="173E68E7" w:rsidR="004B2EDD" w:rsidRPr="00A17ABA" w:rsidRDefault="004B2EDD" w:rsidP="004B2ED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Rev 8 (T2E) Link Progressive Jackpot Controller System</w:t>
            </w:r>
          </w:p>
        </w:tc>
      </w:tr>
      <w:tr w:rsidR="004B2EDD" w:rsidRPr="006B3177" w14:paraId="296B8941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C97A" w14:textId="3FE6417E" w:rsidR="004B2EDD" w:rsidRPr="00A17ABA" w:rsidRDefault="00A17ABA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System Details-2: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353E" w14:textId="14480683" w:rsidR="004B2EDD" w:rsidRPr="00A17ABA" w:rsidRDefault="00A17ABA" w:rsidP="00A17ABA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Rev 7 Link Progressive Jackpot Controller System</w:t>
            </w:r>
          </w:p>
        </w:tc>
      </w:tr>
      <w:tr w:rsidR="004B2EDD" w:rsidRPr="006B3177" w14:paraId="08F928F8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25B" w14:textId="6FA33693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1B04" w14:textId="101EE9DD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18.YA016</w:t>
            </w:r>
          </w:p>
        </w:tc>
      </w:tr>
      <w:tr w:rsidR="004B2EDD" w:rsidRPr="006B3177" w14:paraId="74034034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74A1" w14:textId="21C3CD2F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cstheme="minorHAnsi"/>
                <w:sz w:val="24"/>
                <w:szCs w:val="24"/>
              </w:rPr>
              <w:t>LPJS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A89" w14:textId="146C9237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Standard LPJS – Lucky Gong Link</w:t>
            </w:r>
          </w:p>
        </w:tc>
      </w:tr>
      <w:tr w:rsidR="004B2EDD" w:rsidRPr="006B3177" w14:paraId="7AE84779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709" w14:textId="247B8075" w:rsidR="004B2EDD" w:rsidRPr="00A17ABA" w:rsidRDefault="004B2EDD" w:rsidP="00956F2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17ABA">
              <w:rPr>
                <w:rFonts w:cstheme="minorHAnsi"/>
                <w:sz w:val="24"/>
                <w:szCs w:val="24"/>
              </w:rPr>
              <w:t>LPJS Description: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055" w14:textId="77777777" w:rsidR="004B2EDD" w:rsidRPr="00A17ABA" w:rsidRDefault="004B2EDD" w:rsidP="004B2ED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Standard Linked Progressive Jackpot Controller and</w:t>
            </w:r>
          </w:p>
          <w:p w14:paraId="16C767DD" w14:textId="1180973F" w:rsidR="004B2EDD" w:rsidRPr="00A17ABA" w:rsidRDefault="004B2EDD" w:rsidP="004B2EDD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Interface Card with CCCE port sharing functionality</w:t>
            </w:r>
          </w:p>
        </w:tc>
      </w:tr>
      <w:tr w:rsidR="004B2EDD" w:rsidRPr="006B3177" w14:paraId="0FA5728D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1210" w14:textId="77777777" w:rsidR="004B2EDD" w:rsidRPr="00A17ABA" w:rsidRDefault="004B2EDD" w:rsidP="00956F26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17ABA">
              <w:rPr>
                <w:rFonts w:cstheme="minorHAnsi"/>
                <w:sz w:val="24"/>
                <w:szCs w:val="24"/>
              </w:rPr>
              <w:t>Jackpot Theme: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D5D" w14:textId="0C0C9D1E" w:rsidR="004B2EDD" w:rsidRPr="00A17ABA" w:rsidRDefault="00F13877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F13877">
              <w:rPr>
                <w:rFonts w:eastAsia="Calibri" w:cstheme="minorHAnsi"/>
                <w:sz w:val="24"/>
                <w:szCs w:val="24"/>
                <w:lang w:val="en-US"/>
              </w:rPr>
              <w:t>Lucky Gong Link</w:t>
            </w:r>
          </w:p>
        </w:tc>
      </w:tr>
      <w:tr w:rsidR="004B2EDD" w:rsidRPr="006B3177" w14:paraId="5C892885" w14:textId="77777777" w:rsidTr="00164F6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55ED" w14:textId="77777777" w:rsidR="004B2EDD" w:rsidRPr="00A17ABA" w:rsidRDefault="004B2EDD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429B" w14:textId="6CD5F848" w:rsidR="004B2EDD" w:rsidRPr="00A17ABA" w:rsidRDefault="00164F66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18-A1371/S01</w:t>
            </w:r>
          </w:p>
        </w:tc>
      </w:tr>
    </w:tbl>
    <w:p w14:paraId="615ABAF6" w14:textId="67F0A4B6" w:rsidR="004C4C48" w:rsidRDefault="004C4C48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p w14:paraId="15EBC80A" w14:textId="77777777" w:rsidR="004C4C48" w:rsidRDefault="004C4C48">
      <w:pPr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color w:val="FF0000"/>
          <w:sz w:val="24"/>
          <w:szCs w:val="24"/>
        </w:rPr>
        <w:br w:type="page"/>
      </w:r>
    </w:p>
    <w:p w14:paraId="1FE67A5A" w14:textId="77777777" w:rsidR="004B2EDD" w:rsidRDefault="004B2EDD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AC7F71" w:rsidRPr="00A17ABA" w14:paraId="5304B180" w14:textId="77777777" w:rsidTr="00956F2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198A" w14:textId="54F03DFD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Utopia Gaming Systems</w:t>
            </w:r>
          </w:p>
        </w:tc>
      </w:tr>
      <w:tr w:rsidR="00AC7F71" w:rsidRPr="00A17ABA" w14:paraId="6E7ED74A" w14:textId="77777777" w:rsidTr="00956F26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6AC4" w14:textId="3FF18539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Cash-Back Terminal Software &amp; Hardware Update</w:t>
            </w:r>
          </w:p>
        </w:tc>
      </w:tr>
      <w:tr w:rsidR="00AC7F71" w:rsidRPr="00A17ABA" w14:paraId="0A3D7722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15EA" w14:textId="1A495CDE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Device 1 Name: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785D" w14:textId="0E88C41E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QuickPay CRT</w:t>
            </w:r>
          </w:p>
        </w:tc>
      </w:tr>
      <w:tr w:rsidR="00AC7F71" w:rsidRPr="00A17ABA" w14:paraId="27130DEC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3AD" w14:textId="15B09E91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Device Description: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0A1E" w14:textId="36013038" w:rsidR="00AC7F71" w:rsidRPr="00A17ABA" w:rsidRDefault="00AC7F71" w:rsidP="00AC7F7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Gaming Machine Printed Ticket and Cards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r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edemption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Station.</w:t>
            </w:r>
          </w:p>
        </w:tc>
      </w:tr>
      <w:tr w:rsidR="00AC7F71" w:rsidRPr="00A17ABA" w14:paraId="1DAF19D6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51F" w14:textId="49B2EF2D" w:rsidR="00AC7F71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BE87" w14:textId="5ABDAB05" w:rsidR="00AC7F71" w:rsidRPr="00AC7F71" w:rsidRDefault="00AC7F71" w:rsidP="00AC7F7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81.SER00</w:t>
            </w:r>
          </w:p>
        </w:tc>
      </w:tr>
      <w:tr w:rsidR="00AC7F71" w:rsidRPr="00A17ABA" w14:paraId="34CD574C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DCCA" w14:textId="626DF335" w:rsidR="00AC7F71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Device 2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2021" w14:textId="2D91D905" w:rsidR="00AC7F71" w:rsidRPr="00AC7F71" w:rsidRDefault="00AC7F71" w:rsidP="00AC7F7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QuickPay CRT</w:t>
            </w:r>
          </w:p>
        </w:tc>
      </w:tr>
      <w:tr w:rsidR="00AC7F71" w:rsidRPr="00A17ABA" w14:paraId="3B5CDBE8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F2F" w14:textId="58C84E20" w:rsidR="00AC7F71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Device Description: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FAD" w14:textId="6EC7A7DD" w:rsidR="00AC7F71" w:rsidRPr="00AC7F71" w:rsidRDefault="00AC7F71" w:rsidP="00AC7F71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Gaming Machine Printed Ticket and Cards Redemption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 xml:space="preserve">Station with Multi-steps payment 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>f</w:t>
            </w: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unctionality.</w:t>
            </w:r>
          </w:p>
        </w:tc>
      </w:tr>
      <w:tr w:rsidR="00AC7F71" w:rsidRPr="00A17ABA" w14:paraId="3F86FD33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53A" w14:textId="77777777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D848" w14:textId="1F5AF973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81.SER01</w:t>
            </w:r>
          </w:p>
        </w:tc>
      </w:tr>
      <w:tr w:rsidR="00AC7F71" w:rsidRPr="00A17ABA" w14:paraId="22692E59" w14:textId="77777777" w:rsidTr="00956F26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3D8C" w14:textId="77777777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17ABA">
              <w:rPr>
                <w:rFonts w:eastAsia="Calibri" w:cstheme="minorHAnsi"/>
                <w:sz w:val="24"/>
                <w:szCs w:val="24"/>
                <w:lang w:val="en-US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FD53" w14:textId="6C588557" w:rsidR="00AC7F71" w:rsidRPr="00A17ABA" w:rsidRDefault="00AC7F71" w:rsidP="00956F26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AC7F71">
              <w:rPr>
                <w:rFonts w:eastAsia="Calibri" w:cstheme="minorHAnsi"/>
                <w:sz w:val="24"/>
                <w:szCs w:val="24"/>
                <w:lang w:val="en-US"/>
              </w:rPr>
              <w:t>81-A0033/S01</w:t>
            </w:r>
          </w:p>
        </w:tc>
      </w:tr>
    </w:tbl>
    <w:p w14:paraId="6DB601E8" w14:textId="51DEB005" w:rsidR="00AC7F71" w:rsidRDefault="00AC7F71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sectPr w:rsidR="00AC7F71" w:rsidSect="005D6EBA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3003" w14:textId="77777777" w:rsidR="00263D7E" w:rsidRDefault="00263D7E" w:rsidP="009D7265">
      <w:pPr>
        <w:spacing w:after="0" w:line="240" w:lineRule="auto"/>
      </w:pPr>
      <w:r>
        <w:separator/>
      </w:r>
    </w:p>
  </w:endnote>
  <w:endnote w:type="continuationSeparator" w:id="0">
    <w:p w14:paraId="5EA2E0F6" w14:textId="77777777" w:rsidR="00263D7E" w:rsidRDefault="00263D7E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136C" w14:textId="77777777" w:rsidR="001C3A9C" w:rsidRDefault="001C3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F9BA" w14:textId="51654E6F" w:rsidR="001C3A9C" w:rsidRPr="001C3A9C" w:rsidRDefault="001C3A9C" w:rsidP="001C3A9C">
    <w:pPr>
      <w:pStyle w:val="Footer"/>
      <w:jc w:val="center"/>
      <w:rPr>
        <w:rFonts w:ascii="Arial" w:hAnsi="Arial" w:cs="Arial"/>
        <w:sz w:val="14"/>
      </w:rPr>
    </w:pPr>
    <w:r w:rsidRPr="001C3A9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8CD4" w14:textId="57C59155" w:rsidR="001C3A9C" w:rsidRPr="001C3A9C" w:rsidRDefault="001C3A9C" w:rsidP="001C3A9C">
    <w:pPr>
      <w:pStyle w:val="Footer"/>
      <w:jc w:val="center"/>
      <w:rPr>
        <w:rFonts w:ascii="Arial" w:hAnsi="Arial" w:cs="Arial"/>
        <w:sz w:val="14"/>
      </w:rPr>
    </w:pPr>
    <w:r w:rsidRPr="001C3A9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E4B3" w14:textId="77777777" w:rsidR="00263D7E" w:rsidRDefault="00263D7E" w:rsidP="009D7265">
      <w:pPr>
        <w:spacing w:after="0" w:line="240" w:lineRule="auto"/>
      </w:pPr>
      <w:r>
        <w:separator/>
      </w:r>
    </w:p>
  </w:footnote>
  <w:footnote w:type="continuationSeparator" w:id="0">
    <w:p w14:paraId="4196ED74" w14:textId="77777777" w:rsidR="00263D7E" w:rsidRDefault="00263D7E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1C9C" w14:textId="77777777" w:rsidR="001C3A9C" w:rsidRDefault="001C3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F528E8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77A" w14:textId="77777777" w:rsidR="001C3A9C" w:rsidRDefault="001C3A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2E41F6B7" w:rsidR="00F528E8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BD061D">
      <w:rPr>
        <w:b/>
        <w:bCs/>
        <w:sz w:val="20"/>
      </w:rPr>
      <w:fldChar w:fldCharType="begin"/>
    </w:r>
    <w:r w:rsidRPr="00BD061D">
      <w:rPr>
        <w:b/>
        <w:bCs/>
        <w:sz w:val="20"/>
      </w:rPr>
      <w:instrText xml:space="preserve"> PAGE   \* MERGEFORMAT </w:instrText>
    </w:r>
    <w:r w:rsidRPr="00BD061D">
      <w:rPr>
        <w:b/>
        <w:bCs/>
        <w:sz w:val="20"/>
      </w:rPr>
      <w:fldChar w:fldCharType="separate"/>
    </w:r>
    <w:r w:rsidR="00CF31D8">
      <w:rPr>
        <w:b/>
        <w:bCs/>
        <w:noProof/>
        <w:sz w:val="20"/>
      </w:rPr>
      <w:t>1</w:t>
    </w:r>
    <w:r w:rsidRPr="00BD061D">
      <w:rPr>
        <w:b/>
        <w:bCs/>
        <w:sz w:val="20"/>
      </w:rPr>
      <w:fldChar w:fldCharType="end"/>
    </w:r>
    <w:r>
      <w:rPr>
        <w:b/>
        <w:bCs/>
        <w:sz w:val="20"/>
      </w:rPr>
      <w:t xml:space="preserve"> (of </w:t>
    </w:r>
    <w:r w:rsidR="00A17ABA">
      <w:rPr>
        <w:b/>
        <w:bCs/>
        <w:sz w:val="20"/>
      </w:rPr>
      <w:t>2</w:t>
    </w:r>
    <w:r w:rsidR="0070786F">
      <w:rPr>
        <w:b/>
        <w:bCs/>
        <w:sz w:val="20"/>
      </w:rPr>
      <w:t xml:space="preserve"> </w:t>
    </w:r>
    <w:r>
      <w:rPr>
        <w:b/>
        <w:bCs/>
        <w:sz w:val="20"/>
      </w:rPr>
      <w:t>page</w:t>
    </w:r>
    <w:r w:rsidR="0070786F">
      <w:rPr>
        <w:b/>
        <w:bCs/>
        <w:sz w:val="20"/>
      </w:rPr>
      <w:t>s</w:t>
    </w:r>
    <w:r>
      <w:rPr>
        <w:b/>
        <w:bCs/>
        <w:sz w:val="20"/>
      </w:rPr>
      <w:t xml:space="preserve">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Approval 2</w:t>
    </w:r>
    <w:r w:rsidRPr="00D3278E">
      <w:rPr>
        <w:b/>
        <w:bCs/>
        <w:i/>
        <w:iCs/>
        <w:sz w:val="20"/>
      </w:rPr>
      <w:t>0</w:t>
    </w:r>
    <w:r w:rsidR="00475FFB" w:rsidRPr="00D3278E">
      <w:rPr>
        <w:b/>
        <w:bCs/>
        <w:i/>
        <w:iCs/>
        <w:sz w:val="20"/>
      </w:rPr>
      <w:t>2</w:t>
    </w:r>
    <w:r w:rsidR="004C4C48">
      <w:rPr>
        <w:b/>
        <w:bCs/>
        <w:i/>
        <w:iCs/>
        <w:sz w:val="20"/>
      </w:rPr>
      <w:t>5</w:t>
    </w:r>
    <w:r w:rsidRPr="00D3278E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587F99">
      <w:rPr>
        <w:b/>
        <w:bCs/>
        <w:i/>
        <w:iCs/>
        <w:sz w:val="20"/>
      </w:rPr>
      <w:t xml:space="preserve">(No </w:t>
    </w:r>
    <w:r w:rsidR="006B3177">
      <w:rPr>
        <w:b/>
        <w:bCs/>
        <w:i/>
        <w:iCs/>
        <w:sz w:val="20"/>
      </w:rPr>
      <w:t>1</w:t>
    </w:r>
    <w:r w:rsidR="004C4C48">
      <w:rPr>
        <w:b/>
        <w:bCs/>
        <w:i/>
        <w:iCs/>
        <w:sz w:val="20"/>
      </w:rPr>
      <w:t>2</w:t>
    </w:r>
    <w:r w:rsidRPr="00587F99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17869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4209A"/>
    <w:rsid w:val="00051131"/>
    <w:rsid w:val="000730E8"/>
    <w:rsid w:val="000A6885"/>
    <w:rsid w:val="000C02FD"/>
    <w:rsid w:val="000C29C4"/>
    <w:rsid w:val="0012613D"/>
    <w:rsid w:val="00150C72"/>
    <w:rsid w:val="00151347"/>
    <w:rsid w:val="00156184"/>
    <w:rsid w:val="00164F66"/>
    <w:rsid w:val="00170A36"/>
    <w:rsid w:val="0018406A"/>
    <w:rsid w:val="001872EB"/>
    <w:rsid w:val="00191E4E"/>
    <w:rsid w:val="001B14C3"/>
    <w:rsid w:val="001C3A9C"/>
    <w:rsid w:val="001C7EB5"/>
    <w:rsid w:val="001F7108"/>
    <w:rsid w:val="0020793C"/>
    <w:rsid w:val="0022062B"/>
    <w:rsid w:val="002219C1"/>
    <w:rsid w:val="002609CA"/>
    <w:rsid w:val="00263D7E"/>
    <w:rsid w:val="00276B4C"/>
    <w:rsid w:val="002770CD"/>
    <w:rsid w:val="002A2282"/>
    <w:rsid w:val="002D42B3"/>
    <w:rsid w:val="002D4F0A"/>
    <w:rsid w:val="002D5A15"/>
    <w:rsid w:val="002F68A1"/>
    <w:rsid w:val="00303585"/>
    <w:rsid w:val="0031309B"/>
    <w:rsid w:val="00326276"/>
    <w:rsid w:val="00326680"/>
    <w:rsid w:val="00341136"/>
    <w:rsid w:val="00353DDB"/>
    <w:rsid w:val="0035402C"/>
    <w:rsid w:val="0035437F"/>
    <w:rsid w:val="0037098E"/>
    <w:rsid w:val="00370BA2"/>
    <w:rsid w:val="003A099D"/>
    <w:rsid w:val="003A70C7"/>
    <w:rsid w:val="003B13D1"/>
    <w:rsid w:val="003F0144"/>
    <w:rsid w:val="003F33F5"/>
    <w:rsid w:val="003F6AD3"/>
    <w:rsid w:val="0040106E"/>
    <w:rsid w:val="0040347C"/>
    <w:rsid w:val="00415198"/>
    <w:rsid w:val="00453136"/>
    <w:rsid w:val="00464E57"/>
    <w:rsid w:val="004721EE"/>
    <w:rsid w:val="00475FFB"/>
    <w:rsid w:val="0048633B"/>
    <w:rsid w:val="004B2EDD"/>
    <w:rsid w:val="004C4C48"/>
    <w:rsid w:val="004F787A"/>
    <w:rsid w:val="005112D6"/>
    <w:rsid w:val="00552F9A"/>
    <w:rsid w:val="00557CB1"/>
    <w:rsid w:val="00587F99"/>
    <w:rsid w:val="00590EDC"/>
    <w:rsid w:val="006101EE"/>
    <w:rsid w:val="00611934"/>
    <w:rsid w:val="006150F6"/>
    <w:rsid w:val="006235C5"/>
    <w:rsid w:val="00626244"/>
    <w:rsid w:val="00646C77"/>
    <w:rsid w:val="00647657"/>
    <w:rsid w:val="00685910"/>
    <w:rsid w:val="00694F1E"/>
    <w:rsid w:val="006B3177"/>
    <w:rsid w:val="006C65D6"/>
    <w:rsid w:val="006C6DA7"/>
    <w:rsid w:val="006F273F"/>
    <w:rsid w:val="006F5E79"/>
    <w:rsid w:val="0070786F"/>
    <w:rsid w:val="00711C4D"/>
    <w:rsid w:val="0072343B"/>
    <w:rsid w:val="007636D8"/>
    <w:rsid w:val="007827A4"/>
    <w:rsid w:val="007A15FE"/>
    <w:rsid w:val="007F2F1D"/>
    <w:rsid w:val="00830F66"/>
    <w:rsid w:val="00834F13"/>
    <w:rsid w:val="00837F16"/>
    <w:rsid w:val="00866303"/>
    <w:rsid w:val="008912BF"/>
    <w:rsid w:val="008B6D17"/>
    <w:rsid w:val="008D68A4"/>
    <w:rsid w:val="009054F9"/>
    <w:rsid w:val="00912264"/>
    <w:rsid w:val="00945CA1"/>
    <w:rsid w:val="009714C1"/>
    <w:rsid w:val="00972E1D"/>
    <w:rsid w:val="00977704"/>
    <w:rsid w:val="009A08E0"/>
    <w:rsid w:val="009C29C3"/>
    <w:rsid w:val="009D507A"/>
    <w:rsid w:val="009D7265"/>
    <w:rsid w:val="00A03042"/>
    <w:rsid w:val="00A17ABA"/>
    <w:rsid w:val="00A24285"/>
    <w:rsid w:val="00A42382"/>
    <w:rsid w:val="00A44E74"/>
    <w:rsid w:val="00A514FC"/>
    <w:rsid w:val="00A63E63"/>
    <w:rsid w:val="00A94686"/>
    <w:rsid w:val="00AC7F71"/>
    <w:rsid w:val="00AE3999"/>
    <w:rsid w:val="00B115FF"/>
    <w:rsid w:val="00B27107"/>
    <w:rsid w:val="00B332B2"/>
    <w:rsid w:val="00B4231A"/>
    <w:rsid w:val="00B537F6"/>
    <w:rsid w:val="00B61099"/>
    <w:rsid w:val="00B61C09"/>
    <w:rsid w:val="00B7538A"/>
    <w:rsid w:val="00BD0C4B"/>
    <w:rsid w:val="00BE0D71"/>
    <w:rsid w:val="00BE2BE3"/>
    <w:rsid w:val="00BF18B8"/>
    <w:rsid w:val="00C0638E"/>
    <w:rsid w:val="00C7448A"/>
    <w:rsid w:val="00CA4896"/>
    <w:rsid w:val="00CF31D8"/>
    <w:rsid w:val="00D302C7"/>
    <w:rsid w:val="00D3278E"/>
    <w:rsid w:val="00D359DB"/>
    <w:rsid w:val="00D746DF"/>
    <w:rsid w:val="00D815FA"/>
    <w:rsid w:val="00DB0D7D"/>
    <w:rsid w:val="00DB42B6"/>
    <w:rsid w:val="00E07E3E"/>
    <w:rsid w:val="00E13052"/>
    <w:rsid w:val="00E24C0E"/>
    <w:rsid w:val="00E253DA"/>
    <w:rsid w:val="00E44677"/>
    <w:rsid w:val="00E50D5E"/>
    <w:rsid w:val="00E66A41"/>
    <w:rsid w:val="00E82149"/>
    <w:rsid w:val="00EB077C"/>
    <w:rsid w:val="00EB4A55"/>
    <w:rsid w:val="00ED1E80"/>
    <w:rsid w:val="00EE5419"/>
    <w:rsid w:val="00EF4C3B"/>
    <w:rsid w:val="00F13877"/>
    <w:rsid w:val="00F16111"/>
    <w:rsid w:val="00F31DA3"/>
    <w:rsid w:val="00F3700B"/>
    <w:rsid w:val="00F4017F"/>
    <w:rsid w:val="00F528E8"/>
    <w:rsid w:val="00F93312"/>
    <w:rsid w:val="00FA21CD"/>
    <w:rsid w:val="00FA2AEA"/>
    <w:rsid w:val="00FA78F7"/>
    <w:rsid w:val="00FB452C"/>
    <w:rsid w:val="00FC3102"/>
    <w:rsid w:val="00FC5B66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paragraph" w:customStyle="1" w:styleId="Default">
    <w:name w:val="Default"/>
    <w:rsid w:val="00834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A56227799</value>
    </field>
    <field name="Objective-Title">
      <value order="0">.Gaming Machine (Peripheral Equipment) Approval 2025 No 12</value>
    </field>
    <field name="Objective-Description">
      <value order="0"/>
    </field>
    <field name="Objective-CreationStamp">
      <value order="0">2025-08-11T23:47:18Z</value>
    </field>
    <field name="Objective-IsApproved">
      <value order="0">false</value>
    </field>
    <field name="Objective-IsPublished">
      <value order="0">true</value>
    </field>
    <field name="Objective-DatePublished">
      <value order="0">2025-08-19T23:13:34Z</value>
    </field>
    <field name="Objective-ModificationStamp">
      <value order="0">2025-08-19T23:13:34Z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12  - this instrument replaces instrument 2023-97 (No 1) - waiting on approval</value>
    </field>
    <field name="Objective-Parent">
      <value order="0">Gaming Machine (Peripheral Equipment) Approval 2025 -TBA No 12  - this instrument replaces instrument 2023-97 (No 1) - waiting on approval</value>
    </field>
    <field name="Objective-State">
      <value order="0">Published</value>
    </field>
    <field name="Objective-VersionId">
      <value order="0">vA71869097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2206</Characters>
  <Application>Microsoft Office Word</Application>
  <DocSecurity>0</DocSecurity>
  <Lines>110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2025-10-22T01:22:00Z</dcterms:created>
  <dcterms:modified xsi:type="dcterms:W3CDTF">2025-10-22T01:22:00Z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A56227799</vt:lpwstr>
  </property>
  <property fmtid="{D5CDD505-2E9C-101B-9397-08002B2CF9AE}" pid="4" name="Objective-Title">
    <vt:lpwstr>.Gaming Machine (Peripheral Equipment) Approval 2025 No 12</vt:lpwstr>
  </property>
  <property fmtid="{D5CDD505-2E9C-101B-9397-08002B2CF9AE}" pid="5" name="Objective-Comment">
    <vt:lpwstr/>
  </property>
  <property fmtid="{D5CDD505-2E9C-101B-9397-08002B2CF9AE}" pid="6" name="Objective-CreationStamp">
    <vt:filetime>2025-08-11T23:47:18Z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2025-08-19T23:13:34Z</vt:filetime>
  </property>
  <property fmtid="{D5CDD505-2E9C-101B-9397-08002B2CF9AE}" pid="10" name="Objective-ModificationStamp">
    <vt:filetime>2025-08-19T23:13:34Z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12  - this instrument replaces instrument 2023-97 (No 1) - waiting on approval:</vt:lpwstr>
  </property>
  <property fmtid="{D5CDD505-2E9C-101B-9397-08002B2CF9AE}" pid="13" name="Objective-Parent">
    <vt:lpwstr>Gaming Machine (Peripheral Equipment) Approval 2025 -TBA No 12  - this instrument replaces instrument 2023-97 (No 1)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vA71869097</vt:lpwstr>
  </property>
  <property fmtid="{D5CDD505-2E9C-101B-9397-08002B2CF9AE}" pid="45" name="Objective-Status">
    <vt:lpwstr/>
  </property>
  <property fmtid="{D5CDD505-2E9C-101B-9397-08002B2CF9AE}" pid="46" name="Objective-S28 Exemption Number">
    <vt:lpwstr/>
  </property>
  <property fmtid="{D5CDD505-2E9C-101B-9397-08002B2CF9AE}" pid="47" name="Objective-S28 Exemption">
    <vt:lpwstr/>
  </property>
  <property fmtid="{D5CDD505-2E9C-101B-9397-08002B2CF9AE}" pid="48" name="Objective-S28 Exemption Reason">
    <vt:lpwstr/>
  </property>
  <property fmtid="{D5CDD505-2E9C-101B-9397-08002B2CF9AE}" pid="49" name="Objective-S28 Comments if partial exemption">
    <vt:lpwstr/>
  </property>
  <property fmtid="{D5CDD505-2E9C-101B-9397-08002B2CF9AE}" pid="50" name="Objective-S28 Date Approved">
    <vt:lpwstr/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2025-08-12T00:51:10Z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61bc8430-33e2-4740-bfe1-aa1c5db19146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MSIP_Label_69af8531-eb46-4968-8cb3-105d2f5ea87e_Tag">
    <vt:lpwstr>10, 3, 0, 1</vt:lpwstr>
  </property>
</Properties>
</file>