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899A" w14:textId="77777777" w:rsidR="00B87A7D" w:rsidRPr="00B87A7D" w:rsidRDefault="00B87A7D" w:rsidP="00B87A7D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B87A7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7C49A82" w14:textId="77777777" w:rsidR="00B87A7D" w:rsidRPr="00B87A7D" w:rsidRDefault="00B87A7D" w:rsidP="00B87A7D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B87A7D">
        <w:rPr>
          <w:rFonts w:ascii="Arial" w:eastAsia="Times New Roman" w:hAnsi="Arial" w:cs="Times New Roman"/>
          <w:b/>
          <w:sz w:val="40"/>
          <w:szCs w:val="20"/>
        </w:rPr>
        <w:t>Corrections Management (Detainee Translation Device) Operating Procedure 2025</w:t>
      </w:r>
    </w:p>
    <w:p w14:paraId="5C684497" w14:textId="0F70782D" w:rsidR="00B87A7D" w:rsidRPr="00B87A7D" w:rsidRDefault="00B87A7D" w:rsidP="00B87A7D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B87A7D">
        <w:rPr>
          <w:rFonts w:ascii="Arial" w:eastAsia="Times New Roman" w:hAnsi="Arial" w:cs="Arial"/>
          <w:b/>
          <w:bCs/>
          <w:sz w:val="24"/>
          <w:szCs w:val="20"/>
        </w:rPr>
        <w:t>Notifiable instrument NI2025–</w:t>
      </w:r>
      <w:r>
        <w:rPr>
          <w:rFonts w:ascii="Arial" w:eastAsia="Times New Roman" w:hAnsi="Arial" w:cs="Arial"/>
          <w:b/>
          <w:bCs/>
          <w:sz w:val="24"/>
          <w:szCs w:val="20"/>
        </w:rPr>
        <w:t>94</w:t>
      </w:r>
    </w:p>
    <w:p w14:paraId="271C4D1E" w14:textId="77777777" w:rsidR="00B87A7D" w:rsidRPr="00B87A7D" w:rsidRDefault="00B87A7D" w:rsidP="00B87A7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87A7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3C73FD5" w14:textId="77777777" w:rsidR="00B87A7D" w:rsidRPr="00B87A7D" w:rsidRDefault="00B87A7D" w:rsidP="00B87A7D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87A7D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0DE8903F" w14:textId="77777777" w:rsidR="00B87A7D" w:rsidRPr="00B87A7D" w:rsidRDefault="00B87A7D" w:rsidP="00B87A7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F26767" w14:textId="77777777" w:rsidR="00B87A7D" w:rsidRPr="00B87A7D" w:rsidRDefault="00B87A7D" w:rsidP="00B87A7D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7759BD5" w14:textId="77777777" w:rsidR="00B87A7D" w:rsidRPr="00B87A7D" w:rsidRDefault="00B87A7D" w:rsidP="00B87A7D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7A7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B87A7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5E803D0" w14:textId="77777777" w:rsidR="00B87A7D" w:rsidRPr="00B87A7D" w:rsidRDefault="00B87A7D" w:rsidP="00B87A7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87A7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B87A7D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(Detainee Translation Device) Operating Procedure 2025</w:t>
      </w:r>
      <w:r w:rsidRPr="00B87A7D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0E6F657" w14:textId="77777777" w:rsidR="00B87A7D" w:rsidRPr="00B87A7D" w:rsidRDefault="00B87A7D" w:rsidP="00B87A7D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7A7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B87A7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27852ECA" w14:textId="77777777" w:rsidR="00B87A7D" w:rsidRPr="00B87A7D" w:rsidRDefault="00B87A7D" w:rsidP="00B87A7D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87A7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notification. </w:t>
      </w:r>
    </w:p>
    <w:p w14:paraId="3B60C44A" w14:textId="77777777" w:rsidR="00B87A7D" w:rsidRPr="00B87A7D" w:rsidRDefault="00B87A7D" w:rsidP="00B87A7D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87A7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B87A7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Operating Procedure </w:t>
      </w:r>
    </w:p>
    <w:p w14:paraId="0A571A9C" w14:textId="77777777" w:rsidR="00B87A7D" w:rsidRPr="00B87A7D" w:rsidRDefault="00B87A7D" w:rsidP="00B87A7D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B87A7D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  <w:r w:rsidRPr="00B87A7D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4AA49056" w14:textId="77777777" w:rsidR="00B87A7D" w:rsidRPr="00B87A7D" w:rsidRDefault="00B87A7D" w:rsidP="00B87A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421FE4" w14:textId="77777777" w:rsidR="00B87A7D" w:rsidRPr="00B87A7D" w:rsidRDefault="00B87A7D" w:rsidP="00B87A7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CE2FD7" w14:textId="77777777" w:rsidR="00B87A7D" w:rsidRPr="00B87A7D" w:rsidRDefault="00B87A7D" w:rsidP="00B87A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0E25EB" w14:textId="77777777" w:rsidR="00B87A7D" w:rsidRPr="00B87A7D" w:rsidRDefault="00B87A7D" w:rsidP="00B87A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D187E8" w14:textId="77777777" w:rsidR="00B87A7D" w:rsidRPr="00B87A7D" w:rsidRDefault="00B87A7D" w:rsidP="00B87A7D">
      <w:pPr>
        <w:spacing w:after="0" w:line="360" w:lineRule="auto"/>
        <w:ind w:left="720"/>
        <w:rPr>
          <w:rFonts w:ascii="Calibri" w:eastAsia="Calibri" w:hAnsi="Calibri" w:cs="Times New Roman"/>
        </w:rPr>
      </w:pPr>
    </w:p>
    <w:p w14:paraId="1457998A" w14:textId="77777777" w:rsidR="00B87A7D" w:rsidRPr="00B87A7D" w:rsidRDefault="00B87A7D" w:rsidP="00B87A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A9F6D4" w14:textId="77777777" w:rsidR="00B87A7D" w:rsidRPr="00B87A7D" w:rsidRDefault="00B87A7D" w:rsidP="00B87A7D">
      <w:pPr>
        <w:spacing w:after="0" w:line="360" w:lineRule="auto"/>
        <w:ind w:left="720"/>
        <w:contextualSpacing/>
        <w:rPr>
          <w:rFonts w:eastAsia="Times New Roman" w:cs="Times New Roman"/>
          <w:color w:val="000000" w:themeColor="text1"/>
        </w:rPr>
      </w:pPr>
    </w:p>
    <w:p w14:paraId="366F2FF5" w14:textId="77777777" w:rsidR="00B87A7D" w:rsidRPr="00B87A7D" w:rsidRDefault="00B87A7D" w:rsidP="00B87A7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8F971A" w14:textId="77777777" w:rsidR="00B87A7D" w:rsidRPr="00B87A7D" w:rsidRDefault="00B87A7D" w:rsidP="00B8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38929847"/>
      <w:r w:rsidRPr="00B87A7D">
        <w:rPr>
          <w:rFonts w:ascii="Times New Roman" w:eastAsia="Times New Roman" w:hAnsi="Times New Roman" w:cs="Times New Roman"/>
          <w:sz w:val="24"/>
          <w:szCs w:val="20"/>
        </w:rPr>
        <w:t>Leanne Close</w:t>
      </w:r>
      <w:r w:rsidRPr="00B87A7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B87A7D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APM</w:t>
      </w:r>
    </w:p>
    <w:p w14:paraId="39A4BD20" w14:textId="77777777" w:rsidR="00B87A7D" w:rsidRPr="00B87A7D" w:rsidRDefault="00B87A7D" w:rsidP="00B87A7D">
      <w:pPr>
        <w:spacing w:after="0" w:line="240" w:lineRule="auto"/>
        <w:rPr>
          <w:rFonts w:ascii="Calibri" w:eastAsia="Calibri" w:hAnsi="Calibri" w:cs="Times New Roman"/>
        </w:rPr>
      </w:pPr>
      <w:r w:rsidRPr="00B87A7D">
        <w:rPr>
          <w:rFonts w:ascii="Times New Roman" w:eastAsia="Times New Roman" w:hAnsi="Times New Roman" w:cs="Times New Roman"/>
          <w:sz w:val="24"/>
          <w:szCs w:val="20"/>
        </w:rPr>
        <w:t>A/g Commissioner</w:t>
      </w:r>
      <w:r w:rsidRPr="00B87A7D">
        <w:rPr>
          <w:rFonts w:ascii="Times New Roman" w:eastAsia="Times New Roman" w:hAnsi="Times New Roman" w:cs="Times New Roman"/>
          <w:sz w:val="24"/>
          <w:szCs w:val="20"/>
        </w:rPr>
        <w:br/>
        <w:t>ACT Corrective Services</w:t>
      </w:r>
      <w:r w:rsidRPr="00B87A7D">
        <w:rPr>
          <w:rFonts w:ascii="Times New Roman" w:eastAsia="Times New Roman" w:hAnsi="Times New Roman" w:cs="Times New Roman"/>
          <w:sz w:val="24"/>
          <w:szCs w:val="20"/>
        </w:rPr>
        <w:br/>
      </w:r>
      <w:bookmarkEnd w:id="1"/>
      <w:r w:rsidRPr="00B87A7D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bookmarkEnd w:id="0"/>
      <w:r w:rsidRPr="00B87A7D">
        <w:rPr>
          <w:rFonts w:ascii="Times New Roman" w:eastAsia="Times New Roman" w:hAnsi="Times New Roman" w:cs="Times New Roman"/>
          <w:sz w:val="24"/>
          <w:szCs w:val="20"/>
        </w:rPr>
        <w:t>17 February 2025</w:t>
      </w:r>
    </w:p>
    <w:p w14:paraId="29126786" w14:textId="77777777" w:rsidR="00B87A7D" w:rsidRDefault="00B87A7D" w:rsidP="004D1932">
      <w:pPr>
        <w:spacing w:before="120" w:after="120"/>
        <w:rPr>
          <w:rFonts w:cs="Arial"/>
          <w:b/>
        </w:rPr>
        <w:sectPr w:rsidR="00B87A7D" w:rsidSect="00B87A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5990"/>
      </w:tblGrid>
      <w:tr w:rsidR="007B3718" w:rsidRPr="00586F66" w14:paraId="3F363F6A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4E8142B6" w14:textId="77777777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4FE92B7D" w14:textId="67FC1F12" w:rsidR="007B3718" w:rsidRPr="00202B3A" w:rsidRDefault="0051647C" w:rsidP="004740A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Detainee Translation </w:t>
            </w:r>
            <w:r w:rsidR="00B347E0">
              <w:rPr>
                <w:rFonts w:cs="Arial"/>
                <w:b/>
              </w:rPr>
              <w:t>Device</w:t>
            </w:r>
            <w:r>
              <w:rPr>
                <w:rFonts w:cs="Arial"/>
                <w:b/>
              </w:rPr>
              <w:t xml:space="preserve"> Operating Procedure</w:t>
            </w:r>
          </w:p>
        </w:tc>
      </w:tr>
      <w:tr w:rsidR="003A3CF7" w:rsidRPr="00586F66" w14:paraId="6738EF0F" w14:textId="77777777" w:rsidTr="00586F66">
        <w:tc>
          <w:tcPr>
            <w:tcW w:w="3085" w:type="dxa"/>
          </w:tcPr>
          <w:p w14:paraId="1F2B99A8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66B274D5" w14:textId="15248F19" w:rsidR="003A3CF7" w:rsidRPr="00586F66" w:rsidRDefault="001E68D1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17.3</w:t>
            </w:r>
          </w:p>
        </w:tc>
      </w:tr>
      <w:tr w:rsidR="00510017" w:rsidRPr="00586F66" w14:paraId="2AE5F983" w14:textId="77777777" w:rsidTr="008C1D7D">
        <w:tc>
          <w:tcPr>
            <w:tcW w:w="3085" w:type="dxa"/>
          </w:tcPr>
          <w:p w14:paraId="0E3810EE" w14:textId="77777777" w:rsidR="00510017" w:rsidRPr="00586F66" w:rsidRDefault="00586F66" w:rsidP="0051001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17EE4551" w14:textId="13DFC946" w:rsidR="00510017" w:rsidRPr="00A4017C" w:rsidRDefault="00FB1FF2" w:rsidP="00132DBB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08506A">
              <w:rPr>
                <w:rFonts w:cs="Arial"/>
                <w:b/>
              </w:rPr>
              <w:t>AMC and Court Transport Unit</w:t>
            </w:r>
            <w:r w:rsidR="00C84FAC" w:rsidRPr="0008506A">
              <w:rPr>
                <w:rFonts w:cs="Arial"/>
                <w:b/>
              </w:rPr>
              <w:t xml:space="preserve"> </w:t>
            </w:r>
          </w:p>
        </w:tc>
      </w:tr>
    </w:tbl>
    <w:p w14:paraId="53A1DC33" w14:textId="74D1964B" w:rsidR="008C1D7D" w:rsidRDefault="00E62FBC" w:rsidP="006268DA">
      <w:pPr>
        <w:pStyle w:val="Heading11"/>
      </w:pPr>
      <w:r w:rsidRPr="00586F66">
        <w:t>PURPOSE</w:t>
      </w:r>
    </w:p>
    <w:p w14:paraId="0389608E" w14:textId="79463AA8" w:rsidR="00CA5293" w:rsidRPr="008C1D7D" w:rsidRDefault="00CA5293" w:rsidP="006268DA">
      <w:pPr>
        <w:pStyle w:val="Normaltext"/>
      </w:pPr>
      <w:r>
        <w:t>To provide instructions to</w:t>
      </w:r>
      <w:r w:rsidR="00522D99">
        <w:t xml:space="preserve"> </w:t>
      </w:r>
      <w:r w:rsidR="00682079">
        <w:t xml:space="preserve">staff </w:t>
      </w:r>
      <w:r w:rsidR="0051647C">
        <w:t>on the</w:t>
      </w:r>
      <w:r w:rsidR="00FB1FF2">
        <w:t xml:space="preserve"> allocating, managing and safeguarding </w:t>
      </w:r>
      <w:r w:rsidR="00C90E8B">
        <w:t xml:space="preserve">of </w:t>
      </w:r>
      <w:r w:rsidR="00FB1FF2">
        <w:t>translation devices to ensure they are used appropriately and effectively in supporting detainees</w:t>
      </w:r>
      <w:r w:rsidR="0051647C">
        <w:t xml:space="preserve"> </w:t>
      </w:r>
      <w:r w:rsidR="00FB1FF2">
        <w:t>with language barriers.</w:t>
      </w:r>
    </w:p>
    <w:p w14:paraId="4849DAC3" w14:textId="77777777" w:rsidR="00152D5E" w:rsidRPr="00586F66" w:rsidRDefault="004D1932" w:rsidP="006268DA">
      <w:pPr>
        <w:pStyle w:val="Heading11"/>
      </w:pPr>
      <w:r>
        <w:t>PROCEDURE</w:t>
      </w:r>
      <w:r w:rsidR="007B3718" w:rsidRPr="00586F66">
        <w:t>S</w:t>
      </w:r>
    </w:p>
    <w:p w14:paraId="531075DF" w14:textId="7FD7045C" w:rsidR="001230CE" w:rsidRDefault="001111F8" w:rsidP="006268DA">
      <w:pPr>
        <w:pStyle w:val="SectionHeading"/>
      </w:pPr>
      <w:r>
        <w:t xml:space="preserve">Purpose and </w:t>
      </w:r>
      <w:r w:rsidR="00C90E8B">
        <w:t>use</w:t>
      </w:r>
    </w:p>
    <w:p w14:paraId="4B1108D1" w14:textId="55B1B7EC" w:rsidR="007D6976" w:rsidRPr="00E03EE0" w:rsidRDefault="007359A0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A</w:t>
      </w:r>
      <w:r w:rsidR="0041441F" w:rsidRPr="00E03EE0">
        <w:rPr>
          <w:rFonts w:cs="Arial"/>
        </w:rPr>
        <w:t xml:space="preserve"> translation </w:t>
      </w:r>
      <w:r w:rsidR="00906C32">
        <w:rPr>
          <w:rFonts w:cs="Arial"/>
        </w:rPr>
        <w:t>device</w:t>
      </w:r>
      <w:r w:rsidR="0041441F" w:rsidRPr="00E03EE0">
        <w:rPr>
          <w:rFonts w:cs="Arial"/>
        </w:rPr>
        <w:t xml:space="preserve"> </w:t>
      </w:r>
      <w:r>
        <w:rPr>
          <w:rFonts w:cs="Arial"/>
        </w:rPr>
        <w:t>is available</w:t>
      </w:r>
      <w:r w:rsidR="00BD0053">
        <w:rPr>
          <w:rFonts w:cs="Arial"/>
        </w:rPr>
        <w:t xml:space="preserve"> to provide language translation services to detainees </w:t>
      </w:r>
      <w:r w:rsidR="0041441F" w:rsidRPr="00E03EE0">
        <w:rPr>
          <w:rFonts w:cs="Arial"/>
        </w:rPr>
        <w:t>who</w:t>
      </w:r>
      <w:r w:rsidR="00934076" w:rsidRPr="00E03EE0">
        <w:rPr>
          <w:rFonts w:cs="Arial"/>
        </w:rPr>
        <w:t xml:space="preserve"> </w:t>
      </w:r>
      <w:r w:rsidR="00D33852" w:rsidRPr="00E03EE0">
        <w:rPr>
          <w:rFonts w:cs="Arial"/>
        </w:rPr>
        <w:t>do not</w:t>
      </w:r>
      <w:r w:rsidR="00934076" w:rsidRPr="00E03EE0">
        <w:rPr>
          <w:rFonts w:cs="Arial"/>
        </w:rPr>
        <w:t xml:space="preserve"> speak English as a first language and/or</w:t>
      </w:r>
      <w:r w:rsidR="0041441F" w:rsidRPr="00E03EE0">
        <w:rPr>
          <w:rFonts w:cs="Arial"/>
        </w:rPr>
        <w:t xml:space="preserve"> </w:t>
      </w:r>
      <w:r w:rsidR="00766619" w:rsidRPr="00E03EE0">
        <w:rPr>
          <w:rFonts w:cs="Arial"/>
        </w:rPr>
        <w:t>who require assistance with</w:t>
      </w:r>
      <w:r w:rsidR="00C90E8B">
        <w:rPr>
          <w:rFonts w:cs="Arial"/>
        </w:rPr>
        <w:t xml:space="preserve"> </w:t>
      </w:r>
      <w:r w:rsidR="0041441F" w:rsidRPr="00E03EE0">
        <w:rPr>
          <w:rFonts w:cs="Arial"/>
        </w:rPr>
        <w:t>English</w:t>
      </w:r>
      <w:r w:rsidR="00934076" w:rsidRPr="00E03EE0">
        <w:rPr>
          <w:rFonts w:cs="Arial"/>
        </w:rPr>
        <w:t xml:space="preserve">, unless otherwise authorised by the </w:t>
      </w:r>
      <w:r w:rsidR="00B63774" w:rsidRPr="00E03EE0">
        <w:rPr>
          <w:rFonts w:cs="Arial"/>
        </w:rPr>
        <w:t xml:space="preserve">Senior Director Detainee Services or </w:t>
      </w:r>
      <w:r>
        <w:rPr>
          <w:rFonts w:cs="Arial"/>
        </w:rPr>
        <w:t xml:space="preserve">the </w:t>
      </w:r>
      <w:r w:rsidR="00934076" w:rsidRPr="00E03EE0">
        <w:rPr>
          <w:rFonts w:cs="Arial"/>
        </w:rPr>
        <w:t>Director of Cultural Change.</w:t>
      </w:r>
    </w:p>
    <w:p w14:paraId="1C91C80B" w14:textId="2C4D5E27" w:rsidR="001111F8" w:rsidRDefault="002B093C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T</w:t>
      </w:r>
      <w:r w:rsidR="00061083" w:rsidRPr="00E03EE0">
        <w:rPr>
          <w:rFonts w:cs="Arial"/>
        </w:rPr>
        <w:t xml:space="preserve">ranslation </w:t>
      </w:r>
      <w:r w:rsidR="00906C32">
        <w:rPr>
          <w:rFonts w:cs="Arial"/>
        </w:rPr>
        <w:t>device</w:t>
      </w:r>
      <w:r w:rsidR="0008506A">
        <w:rPr>
          <w:rFonts w:cs="Arial"/>
        </w:rPr>
        <w:t>s</w:t>
      </w:r>
      <w:r w:rsidR="00061083" w:rsidRPr="00E03EE0">
        <w:rPr>
          <w:rFonts w:cs="Arial"/>
        </w:rPr>
        <w:t xml:space="preserve"> </w:t>
      </w:r>
      <w:r w:rsidR="00BD0053">
        <w:rPr>
          <w:rFonts w:cs="Arial"/>
        </w:rPr>
        <w:t xml:space="preserve">are intended solely to support detainees in communicating during routine daily activities and participating in </w:t>
      </w:r>
      <w:r w:rsidR="004868D7" w:rsidRPr="00E03EE0">
        <w:t>rehabilitative and pro-social activities</w:t>
      </w:r>
      <w:r w:rsidR="00BD0053">
        <w:t xml:space="preserve"> while</w:t>
      </w:r>
      <w:r w:rsidR="004868D7" w:rsidRPr="00E03EE0">
        <w:rPr>
          <w:rFonts w:cs="Arial"/>
        </w:rPr>
        <w:t xml:space="preserve"> in </w:t>
      </w:r>
      <w:r w:rsidR="00EC3099" w:rsidRPr="00E03EE0">
        <w:rPr>
          <w:rFonts w:cs="Arial"/>
        </w:rPr>
        <w:t>custody</w:t>
      </w:r>
      <w:r w:rsidR="001B6254" w:rsidRPr="00E03EE0">
        <w:rPr>
          <w:rFonts w:cs="Arial"/>
        </w:rPr>
        <w:t xml:space="preserve">. </w:t>
      </w:r>
      <w:r w:rsidR="001B01B8">
        <w:rPr>
          <w:rFonts w:cs="Arial"/>
        </w:rPr>
        <w:t xml:space="preserve">Any activity outside of this scope will be considered unauthorised use. </w:t>
      </w:r>
    </w:p>
    <w:p w14:paraId="66410C4A" w14:textId="09783AF9" w:rsidR="00061083" w:rsidRPr="00E03EE0" w:rsidRDefault="001111F8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The translation device</w:t>
      </w:r>
      <w:r w:rsidR="00C90E8B">
        <w:rPr>
          <w:rFonts w:cs="Arial"/>
        </w:rPr>
        <w:t xml:space="preserve"> </w:t>
      </w:r>
      <w:r w:rsidR="00BD0053">
        <w:rPr>
          <w:rFonts w:cs="Arial"/>
        </w:rPr>
        <w:t>must not replace</w:t>
      </w:r>
      <w:r w:rsidR="004868D7" w:rsidRPr="00E03EE0">
        <w:rPr>
          <w:rFonts w:cs="Arial"/>
        </w:rPr>
        <w:t xml:space="preserve"> an </w:t>
      </w:r>
      <w:r w:rsidR="004868D7" w:rsidRPr="00E03EE0">
        <w:t>authorised interpreter service</w:t>
      </w:r>
      <w:r w:rsidR="00BD0053">
        <w:t xml:space="preserve"> in situations where </w:t>
      </w:r>
      <w:r w:rsidR="001B6254" w:rsidRPr="00E03EE0">
        <w:rPr>
          <w:rFonts w:cs="Arial"/>
        </w:rPr>
        <w:t>such a service is required</w:t>
      </w:r>
      <w:r w:rsidR="004868D7" w:rsidRPr="00E03EE0">
        <w:rPr>
          <w:rFonts w:cs="Arial"/>
        </w:rPr>
        <w:t>.</w:t>
      </w:r>
    </w:p>
    <w:p w14:paraId="7E35B24D" w14:textId="4AB0307A" w:rsidR="004868D7" w:rsidRDefault="00766619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E03EE0">
        <w:rPr>
          <w:rFonts w:cs="Arial"/>
        </w:rPr>
        <w:t xml:space="preserve">Where a detainee needs help </w:t>
      </w:r>
      <w:r w:rsidR="004868D7" w:rsidRPr="00E03EE0">
        <w:t>to understand a</w:t>
      </w:r>
      <w:r w:rsidR="00EC3099" w:rsidRPr="00E03EE0">
        <w:t>n</w:t>
      </w:r>
      <w:r w:rsidR="00EC3099" w:rsidRPr="00E03EE0">
        <w:rPr>
          <w:rFonts w:cs="Arial"/>
        </w:rPr>
        <w:t xml:space="preserve"> </w:t>
      </w:r>
      <w:r w:rsidRPr="00E03EE0">
        <w:rPr>
          <w:rFonts w:cs="Arial"/>
        </w:rPr>
        <w:t>important</w:t>
      </w:r>
      <w:r w:rsidRPr="00E03EE0">
        <w:t xml:space="preserve"> </w:t>
      </w:r>
      <w:r w:rsidR="00EC3099" w:rsidRPr="00E03EE0">
        <w:t>administrative process such as the disciplinary process, admissions process, classification review, IEP review, etc</w:t>
      </w:r>
      <w:r w:rsidR="00C90E8B">
        <w:t>.,</w:t>
      </w:r>
      <w:r w:rsidR="00EC3099" w:rsidRPr="00E03EE0">
        <w:t xml:space="preserve"> an interpreter service must be </w:t>
      </w:r>
      <w:r w:rsidRPr="00E03EE0">
        <w:rPr>
          <w:rFonts w:cs="Arial"/>
        </w:rPr>
        <w:t xml:space="preserve">used instead of </w:t>
      </w:r>
      <w:r w:rsidR="0008506A">
        <w:rPr>
          <w:rFonts w:cs="Arial"/>
        </w:rPr>
        <w:t>a</w:t>
      </w:r>
      <w:r w:rsidR="00BD0053">
        <w:rPr>
          <w:rFonts w:cs="Arial"/>
        </w:rPr>
        <w:t xml:space="preserve"> translation</w:t>
      </w:r>
      <w:r w:rsidRPr="00E03EE0">
        <w:rPr>
          <w:rFonts w:cs="Arial"/>
        </w:rPr>
        <w:t xml:space="preserve"> </w:t>
      </w:r>
      <w:r w:rsidR="00906C32">
        <w:rPr>
          <w:rFonts w:cs="Arial"/>
        </w:rPr>
        <w:t>device.</w:t>
      </w:r>
      <w:r w:rsidR="00EC3099" w:rsidRPr="00E03EE0">
        <w:rPr>
          <w:rFonts w:cs="Arial"/>
        </w:rPr>
        <w:t xml:space="preserve"> </w:t>
      </w:r>
    </w:p>
    <w:p w14:paraId="2D86B315" w14:textId="77777777" w:rsidR="001111F8" w:rsidRDefault="001111F8" w:rsidP="0008506A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5984C5F7" w14:textId="6E65E979" w:rsidR="001111F8" w:rsidRPr="00E03EE0" w:rsidRDefault="001111F8" w:rsidP="0008506A">
      <w:pPr>
        <w:pStyle w:val="SectionHeading"/>
      </w:pPr>
      <w:r>
        <w:t>Management and security of translation devices</w:t>
      </w:r>
    </w:p>
    <w:p w14:paraId="4E6249B7" w14:textId="3BC56BD0" w:rsidR="001111F8" w:rsidRDefault="001111F8" w:rsidP="001111F8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F81148">
        <w:rPr>
          <w:rFonts w:cs="Arial"/>
        </w:rPr>
        <w:t>The translation</w:t>
      </w:r>
      <w:r>
        <w:rPr>
          <w:rFonts w:cs="Arial"/>
        </w:rPr>
        <w:t xml:space="preserve"> device, whilst under the value required, will be classified as portable and attractive items and will be recorded on the ACTCS Portable and Attractive Items Register.</w:t>
      </w:r>
    </w:p>
    <w:p w14:paraId="7E64D00A" w14:textId="16185E87" w:rsidR="007D6976" w:rsidRDefault="00934076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The </w:t>
      </w:r>
      <w:r w:rsidR="00B63774">
        <w:rPr>
          <w:rFonts w:cs="Arial"/>
        </w:rPr>
        <w:t xml:space="preserve">Senior Director Detainee Services is </w:t>
      </w:r>
      <w:r>
        <w:rPr>
          <w:rFonts w:cs="Arial"/>
        </w:rPr>
        <w:t>responsible for t</w:t>
      </w:r>
      <w:r w:rsidR="0041441F">
        <w:rPr>
          <w:rFonts w:cs="Arial"/>
        </w:rPr>
        <w:t xml:space="preserve">he </w:t>
      </w:r>
      <w:r>
        <w:rPr>
          <w:rFonts w:cs="Arial"/>
        </w:rPr>
        <w:t xml:space="preserve">purchase, </w:t>
      </w:r>
      <w:r w:rsidR="00B63774">
        <w:rPr>
          <w:rFonts w:cs="Arial"/>
        </w:rPr>
        <w:t xml:space="preserve">operational </w:t>
      </w:r>
      <w:r w:rsidR="0041441F">
        <w:rPr>
          <w:rFonts w:cs="Arial"/>
        </w:rPr>
        <w:t xml:space="preserve">use and allocation of </w:t>
      </w:r>
      <w:r w:rsidR="00906C32">
        <w:rPr>
          <w:rFonts w:cs="Arial"/>
        </w:rPr>
        <w:t>translation</w:t>
      </w:r>
      <w:r w:rsidR="002F6994">
        <w:rPr>
          <w:rFonts w:cs="Arial"/>
        </w:rPr>
        <w:t xml:space="preserve"> devices</w:t>
      </w:r>
      <w:r>
        <w:rPr>
          <w:rFonts w:cs="Arial"/>
        </w:rPr>
        <w:t>.</w:t>
      </w:r>
    </w:p>
    <w:p w14:paraId="44BF5EE2" w14:textId="7C7DFC85" w:rsidR="002E57AE" w:rsidRDefault="002E57AE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8C795C">
        <w:rPr>
          <w:rFonts w:cs="Arial"/>
        </w:rPr>
        <w:t xml:space="preserve">A security assessment and required functionality review must be completed by </w:t>
      </w:r>
      <w:r w:rsidR="00FA3458" w:rsidRPr="008C795C">
        <w:rPr>
          <w:rFonts w:cs="Arial"/>
        </w:rPr>
        <w:t xml:space="preserve">the </w:t>
      </w:r>
      <w:r w:rsidR="00CA64F5" w:rsidRPr="008C795C">
        <w:rPr>
          <w:rFonts w:cs="Arial"/>
        </w:rPr>
        <w:t xml:space="preserve">ACTCS </w:t>
      </w:r>
      <w:r w:rsidRPr="008C795C">
        <w:rPr>
          <w:rFonts w:cs="Arial"/>
        </w:rPr>
        <w:t xml:space="preserve">Security Systems team prior to </w:t>
      </w:r>
      <w:r w:rsidR="002B093C">
        <w:rPr>
          <w:rFonts w:cs="Arial"/>
        </w:rPr>
        <w:t>a translation</w:t>
      </w:r>
      <w:r w:rsidR="00906C32">
        <w:rPr>
          <w:rFonts w:cs="Arial"/>
        </w:rPr>
        <w:t xml:space="preserve"> device</w:t>
      </w:r>
      <w:r w:rsidRPr="008C795C">
        <w:rPr>
          <w:rFonts w:cs="Arial"/>
        </w:rPr>
        <w:t xml:space="preserve"> being allocated</w:t>
      </w:r>
      <w:r w:rsidR="001F595C" w:rsidRPr="008C795C">
        <w:rPr>
          <w:rFonts w:cs="Arial"/>
        </w:rPr>
        <w:t xml:space="preserve">. </w:t>
      </w:r>
      <w:r w:rsidRPr="008C795C">
        <w:rPr>
          <w:rFonts w:cs="Arial"/>
        </w:rPr>
        <w:t xml:space="preserve"> </w:t>
      </w:r>
    </w:p>
    <w:p w14:paraId="23603501" w14:textId="53D18907" w:rsidR="007359A0" w:rsidRPr="008C795C" w:rsidRDefault="007359A0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A</w:t>
      </w:r>
      <w:r w:rsidR="002B093C">
        <w:rPr>
          <w:rFonts w:cs="Arial"/>
        </w:rPr>
        <w:t>n</w:t>
      </w:r>
      <w:r>
        <w:rPr>
          <w:rFonts w:cs="Arial"/>
        </w:rPr>
        <w:t xml:space="preserve"> electronic register will be maintained to record details of the translation device, including asset information and the</w:t>
      </w:r>
      <w:r w:rsidR="002B093C">
        <w:rPr>
          <w:rFonts w:cs="Arial"/>
        </w:rPr>
        <w:t xml:space="preserve"> name of the</w:t>
      </w:r>
      <w:r>
        <w:rPr>
          <w:rFonts w:cs="Arial"/>
        </w:rPr>
        <w:t xml:space="preserve"> detainee </w:t>
      </w:r>
      <w:r w:rsidR="002B093C">
        <w:rPr>
          <w:rFonts w:cs="Arial"/>
        </w:rPr>
        <w:t>to whom the translation</w:t>
      </w:r>
      <w:r>
        <w:rPr>
          <w:rFonts w:cs="Arial"/>
        </w:rPr>
        <w:t xml:space="preserve"> device has been allocated.</w:t>
      </w:r>
    </w:p>
    <w:p w14:paraId="6B7B9BBC" w14:textId="5B62D305" w:rsidR="00CA64F5" w:rsidRPr="008C795C" w:rsidRDefault="002E793A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The </w:t>
      </w:r>
      <w:r w:rsidR="00CA64F5" w:rsidRPr="008C795C">
        <w:rPr>
          <w:rFonts w:cs="Arial"/>
        </w:rPr>
        <w:t>ACTCS Security Systems</w:t>
      </w:r>
      <w:r>
        <w:rPr>
          <w:rFonts w:cs="Arial"/>
        </w:rPr>
        <w:t xml:space="preserve"> team</w:t>
      </w:r>
      <w:r w:rsidR="00CA64F5" w:rsidRPr="008C795C">
        <w:rPr>
          <w:rFonts w:cs="Arial"/>
        </w:rPr>
        <w:t xml:space="preserve"> </w:t>
      </w:r>
      <w:r>
        <w:rPr>
          <w:rFonts w:cs="Arial"/>
        </w:rPr>
        <w:t xml:space="preserve">will </w:t>
      </w:r>
      <w:r w:rsidR="00CA64F5" w:rsidRPr="008C795C">
        <w:rPr>
          <w:rFonts w:cs="Arial"/>
        </w:rPr>
        <w:t xml:space="preserve">manage the software requirements </w:t>
      </w:r>
      <w:r>
        <w:rPr>
          <w:rFonts w:cs="Arial"/>
        </w:rPr>
        <w:t>of</w:t>
      </w:r>
      <w:r w:rsidRPr="008C795C">
        <w:rPr>
          <w:rFonts w:cs="Arial"/>
        </w:rPr>
        <w:t xml:space="preserve"> </w:t>
      </w:r>
      <w:r w:rsidR="00CA64F5" w:rsidRPr="008C795C">
        <w:rPr>
          <w:rFonts w:cs="Arial"/>
        </w:rPr>
        <w:t>the</w:t>
      </w:r>
      <w:r w:rsidR="00906C32">
        <w:rPr>
          <w:rFonts w:cs="Arial"/>
        </w:rPr>
        <w:t xml:space="preserve"> translation device</w:t>
      </w:r>
      <w:r w:rsidR="00CA64F5" w:rsidRPr="008C795C">
        <w:rPr>
          <w:rFonts w:cs="Arial"/>
        </w:rPr>
        <w:t xml:space="preserve">, </w:t>
      </w:r>
      <w:r w:rsidR="00431D3D" w:rsidRPr="008C795C">
        <w:rPr>
          <w:rFonts w:cs="Arial"/>
        </w:rPr>
        <w:t>including</w:t>
      </w:r>
      <w:r w:rsidR="00CA64F5" w:rsidRPr="008C795C">
        <w:rPr>
          <w:rFonts w:cs="Arial"/>
        </w:rPr>
        <w:t xml:space="preserve"> ongoing software updates. </w:t>
      </w:r>
    </w:p>
    <w:p w14:paraId="7E10AA5B" w14:textId="48F9029B" w:rsidR="00CF21AA" w:rsidRPr="008C795C" w:rsidRDefault="00CF21AA" w:rsidP="00421354">
      <w:pPr>
        <w:pStyle w:val="ListParagraph"/>
        <w:keepNext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8C795C">
        <w:rPr>
          <w:rFonts w:cs="Arial"/>
        </w:rPr>
        <w:lastRenderedPageBreak/>
        <w:t>At any time</w:t>
      </w:r>
      <w:r w:rsidR="0008506A">
        <w:rPr>
          <w:rFonts w:cs="Arial"/>
        </w:rPr>
        <w:t>,</w:t>
      </w:r>
      <w:r w:rsidRPr="008C795C">
        <w:rPr>
          <w:rFonts w:cs="Arial"/>
        </w:rPr>
        <w:t xml:space="preserve"> </w:t>
      </w:r>
      <w:r w:rsidR="00906C32">
        <w:rPr>
          <w:rFonts w:cs="Arial"/>
        </w:rPr>
        <w:t>translation devices</w:t>
      </w:r>
      <w:r w:rsidRPr="008C795C">
        <w:rPr>
          <w:rFonts w:cs="Arial"/>
        </w:rPr>
        <w:t xml:space="preserve"> can be audited by the </w:t>
      </w:r>
      <w:r w:rsidR="00CA64F5" w:rsidRPr="008C795C">
        <w:rPr>
          <w:rFonts w:cs="Arial"/>
        </w:rPr>
        <w:t xml:space="preserve">ACTCS </w:t>
      </w:r>
      <w:r w:rsidRPr="008C795C">
        <w:rPr>
          <w:rFonts w:cs="Arial"/>
        </w:rPr>
        <w:t xml:space="preserve">Security Systems team to ensure no </w:t>
      </w:r>
      <w:r w:rsidRPr="00E03EE0">
        <w:rPr>
          <w:rFonts w:cs="Arial"/>
        </w:rPr>
        <w:t>una</w:t>
      </w:r>
      <w:r w:rsidR="001111F8">
        <w:rPr>
          <w:rFonts w:cs="Arial"/>
        </w:rPr>
        <w:t>uthorised</w:t>
      </w:r>
      <w:r w:rsidRPr="00E03EE0">
        <w:rPr>
          <w:rFonts w:cs="Arial"/>
        </w:rPr>
        <w:t xml:space="preserve"> cyber activity</w:t>
      </w:r>
      <w:r w:rsidRPr="008C795C">
        <w:rPr>
          <w:rFonts w:cs="Arial"/>
        </w:rPr>
        <w:t xml:space="preserve"> has occurred. </w:t>
      </w:r>
    </w:p>
    <w:p w14:paraId="52E99E0D" w14:textId="1645490D" w:rsidR="00CA64F5" w:rsidRPr="008C795C" w:rsidRDefault="006145F6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8C795C">
        <w:rPr>
          <w:rFonts w:cs="Arial"/>
        </w:rPr>
        <w:t xml:space="preserve">If </w:t>
      </w:r>
      <w:r w:rsidRPr="001B01B8">
        <w:rPr>
          <w:rFonts w:cs="Arial"/>
        </w:rPr>
        <w:t xml:space="preserve">unauthorised </w:t>
      </w:r>
      <w:r w:rsidR="001B01B8">
        <w:rPr>
          <w:rFonts w:cs="Arial"/>
        </w:rPr>
        <w:t xml:space="preserve">use </w:t>
      </w:r>
      <w:r w:rsidR="00CA64F5" w:rsidRPr="008C795C">
        <w:rPr>
          <w:rFonts w:cs="Arial"/>
        </w:rPr>
        <w:t xml:space="preserve">is suspected or identified, </w:t>
      </w:r>
      <w:r w:rsidR="00431D3D" w:rsidRPr="008C795C">
        <w:rPr>
          <w:rFonts w:cs="Arial"/>
        </w:rPr>
        <w:t xml:space="preserve">the </w:t>
      </w:r>
      <w:r w:rsidR="00CA64F5" w:rsidRPr="008C795C">
        <w:rPr>
          <w:rFonts w:cs="Arial"/>
        </w:rPr>
        <w:t xml:space="preserve">ACTCS Security Systems </w:t>
      </w:r>
      <w:r w:rsidR="00431D3D" w:rsidRPr="008C795C">
        <w:rPr>
          <w:rFonts w:cs="Arial"/>
        </w:rPr>
        <w:t xml:space="preserve">team </w:t>
      </w:r>
      <w:r w:rsidR="00CA64F5" w:rsidRPr="008C795C">
        <w:rPr>
          <w:rFonts w:cs="Arial"/>
        </w:rPr>
        <w:t xml:space="preserve">will notify </w:t>
      </w:r>
      <w:r w:rsidR="00431D3D" w:rsidRPr="008C795C">
        <w:rPr>
          <w:rFonts w:cs="Arial"/>
        </w:rPr>
        <w:t xml:space="preserve">the </w:t>
      </w:r>
      <w:r w:rsidR="00CA64F5" w:rsidRPr="008C795C">
        <w:rPr>
          <w:rFonts w:cs="Arial"/>
        </w:rPr>
        <w:t xml:space="preserve">Senior Director Detainee Services and raise an incident notification with Digital, Data and Technology Solutions (DDTS). </w:t>
      </w:r>
    </w:p>
    <w:p w14:paraId="5A4DA3BB" w14:textId="77777777" w:rsidR="00DF1B3E" w:rsidRDefault="00DF1B3E" w:rsidP="0073253B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55573E6A" w14:textId="204C3A9E" w:rsidR="00D4683E" w:rsidRPr="00D4683E" w:rsidRDefault="00934076" w:rsidP="009E4E29">
      <w:pPr>
        <w:pStyle w:val="ListParagraph"/>
        <w:numPr>
          <w:ilvl w:val="0"/>
          <w:numId w:val="1"/>
        </w:numPr>
        <w:spacing w:before="60" w:after="0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>Requesting and allocati</w:t>
      </w:r>
      <w:r w:rsidR="00431D3D">
        <w:rPr>
          <w:rFonts w:cs="Arial"/>
          <w:b/>
          <w:bCs/>
        </w:rPr>
        <w:t>ng</w:t>
      </w:r>
      <w:r>
        <w:rPr>
          <w:rFonts w:cs="Arial"/>
          <w:b/>
          <w:bCs/>
        </w:rPr>
        <w:t xml:space="preserve"> </w:t>
      </w:r>
      <w:r w:rsidR="004B23E0">
        <w:rPr>
          <w:rFonts w:cs="Arial"/>
          <w:b/>
          <w:bCs/>
        </w:rPr>
        <w:t>a d</w:t>
      </w:r>
      <w:r>
        <w:rPr>
          <w:rFonts w:cs="Arial"/>
          <w:b/>
          <w:bCs/>
        </w:rPr>
        <w:t xml:space="preserve">etainee translation </w:t>
      </w:r>
      <w:r w:rsidR="004B23E0">
        <w:rPr>
          <w:rFonts w:cs="Arial"/>
          <w:b/>
          <w:bCs/>
        </w:rPr>
        <w:t>device</w:t>
      </w:r>
    </w:p>
    <w:p w14:paraId="06582825" w14:textId="57847F49" w:rsidR="00C90E8B" w:rsidRDefault="00954967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bookmarkStart w:id="2" w:name="_Hlk171002834"/>
      <w:r>
        <w:rPr>
          <w:rFonts w:cs="Arial"/>
        </w:rPr>
        <w:t>A detainee</w:t>
      </w:r>
      <w:r w:rsidR="00682079">
        <w:rPr>
          <w:rFonts w:cs="Arial"/>
        </w:rPr>
        <w:t>’s need for a</w:t>
      </w:r>
      <w:r>
        <w:rPr>
          <w:rFonts w:cs="Arial"/>
        </w:rPr>
        <w:t xml:space="preserve"> </w:t>
      </w:r>
      <w:r w:rsidR="004B23E0">
        <w:rPr>
          <w:rFonts w:cs="Arial"/>
        </w:rPr>
        <w:t>translation</w:t>
      </w:r>
      <w:r>
        <w:rPr>
          <w:rFonts w:cs="Arial"/>
        </w:rPr>
        <w:t xml:space="preserve"> device</w:t>
      </w:r>
      <w:r w:rsidR="00682079">
        <w:rPr>
          <w:rFonts w:cs="Arial"/>
        </w:rPr>
        <w:t xml:space="preserve"> can be identified</w:t>
      </w:r>
      <w:r>
        <w:rPr>
          <w:rFonts w:cs="Arial"/>
        </w:rPr>
        <w:t xml:space="preserve"> in </w:t>
      </w:r>
      <w:r w:rsidR="00682079">
        <w:rPr>
          <w:rFonts w:cs="Arial"/>
        </w:rPr>
        <w:t>several ways</w:t>
      </w:r>
      <w:r>
        <w:rPr>
          <w:rFonts w:cs="Arial"/>
        </w:rPr>
        <w:t xml:space="preserve">, </w:t>
      </w:r>
      <w:r w:rsidR="00C90E8B">
        <w:rPr>
          <w:rFonts w:cs="Arial"/>
        </w:rPr>
        <w:t>including:</w:t>
      </w:r>
    </w:p>
    <w:p w14:paraId="5D313BEA" w14:textId="3C2C9E58" w:rsidR="00C90E8B" w:rsidRDefault="00954967" w:rsidP="00C90E8B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 xml:space="preserve">they </w:t>
      </w:r>
      <w:r w:rsidR="00682079">
        <w:rPr>
          <w:rFonts w:cs="Arial"/>
        </w:rPr>
        <w:t>may</w:t>
      </w:r>
      <w:r>
        <w:rPr>
          <w:rFonts w:cs="Arial"/>
        </w:rPr>
        <w:t xml:space="preserve"> request support by </w:t>
      </w:r>
      <w:r w:rsidR="00682079">
        <w:rPr>
          <w:rFonts w:cs="Arial"/>
        </w:rPr>
        <w:t xml:space="preserve">speaking </w:t>
      </w:r>
      <w:r>
        <w:rPr>
          <w:rFonts w:cs="Arial"/>
        </w:rPr>
        <w:t xml:space="preserve">to an officer </w:t>
      </w:r>
    </w:p>
    <w:p w14:paraId="015A693F" w14:textId="234EE3AF" w:rsidR="00C90E8B" w:rsidRDefault="00954967" w:rsidP="00C90E8B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 xml:space="preserve">completing a detainee request form </w:t>
      </w:r>
    </w:p>
    <w:p w14:paraId="4172E419" w14:textId="17C1E087" w:rsidR="00C90E8B" w:rsidRDefault="00954967" w:rsidP="00C90E8B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 xml:space="preserve">ACTCS staff </w:t>
      </w:r>
      <w:r w:rsidR="00682079">
        <w:rPr>
          <w:rFonts w:cs="Arial"/>
        </w:rPr>
        <w:t xml:space="preserve">may identify the need and notify the </w:t>
      </w:r>
      <w:r>
        <w:rPr>
          <w:rFonts w:cs="Arial"/>
        </w:rPr>
        <w:t>Area Supervisor</w:t>
      </w:r>
      <w:r w:rsidR="00C90E8B">
        <w:rPr>
          <w:rFonts w:cs="Arial"/>
        </w:rPr>
        <w:t xml:space="preserve"> </w:t>
      </w:r>
    </w:p>
    <w:p w14:paraId="21313F9B" w14:textId="5D4AC4A8" w:rsidR="00954967" w:rsidRDefault="00954967" w:rsidP="0008506A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>an external stakeholder</w:t>
      </w:r>
      <w:r w:rsidR="00C90E8B">
        <w:rPr>
          <w:rFonts w:cs="Arial"/>
        </w:rPr>
        <w:t xml:space="preserve">, </w:t>
      </w:r>
      <w:r>
        <w:rPr>
          <w:rFonts w:cs="Arial"/>
        </w:rPr>
        <w:t>such as the detainee</w:t>
      </w:r>
      <w:r w:rsidR="001D66E3">
        <w:rPr>
          <w:rFonts w:cs="Arial"/>
        </w:rPr>
        <w:t>’</w:t>
      </w:r>
      <w:r>
        <w:rPr>
          <w:rFonts w:cs="Arial"/>
        </w:rPr>
        <w:t>s legal representati</w:t>
      </w:r>
      <w:r w:rsidR="002B093C">
        <w:rPr>
          <w:rFonts w:cs="Arial"/>
        </w:rPr>
        <w:t>ve</w:t>
      </w:r>
      <w:r>
        <w:rPr>
          <w:rFonts w:cs="Arial"/>
        </w:rPr>
        <w:t xml:space="preserve"> may </w:t>
      </w:r>
      <w:r w:rsidR="00C90E8B">
        <w:rPr>
          <w:rFonts w:cs="Arial"/>
        </w:rPr>
        <w:t>suggest to ACTCS that an individual may require this support</w:t>
      </w:r>
      <w:r>
        <w:rPr>
          <w:rFonts w:cs="Arial"/>
        </w:rPr>
        <w:t>.</w:t>
      </w:r>
    </w:p>
    <w:p w14:paraId="28060112" w14:textId="70F607D8" w:rsidR="00682079" w:rsidRDefault="00682079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If staff observe that a detainee cannot communicate effectively due to a language barrier, they should use a translation device to assist with communication during interviews or other interactions.</w:t>
      </w:r>
    </w:p>
    <w:bookmarkEnd w:id="2"/>
    <w:p w14:paraId="508B8C3E" w14:textId="243FFE4C" w:rsidR="00B63774" w:rsidRDefault="00934076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When a </w:t>
      </w:r>
      <w:r w:rsidR="004B23E0">
        <w:rPr>
          <w:rFonts w:cs="Arial"/>
        </w:rPr>
        <w:t>translation</w:t>
      </w:r>
      <w:r w:rsidR="002F6994">
        <w:rPr>
          <w:rFonts w:cs="Arial"/>
        </w:rPr>
        <w:t xml:space="preserve"> device</w:t>
      </w:r>
      <w:r>
        <w:rPr>
          <w:rFonts w:cs="Arial"/>
        </w:rPr>
        <w:t xml:space="preserve"> is required for a detainee </w:t>
      </w:r>
      <w:r w:rsidR="00B63774">
        <w:rPr>
          <w:rFonts w:cs="Arial"/>
        </w:rPr>
        <w:t xml:space="preserve">within the AMC, </w:t>
      </w:r>
      <w:r>
        <w:rPr>
          <w:rFonts w:cs="Arial"/>
        </w:rPr>
        <w:t xml:space="preserve">the </w:t>
      </w:r>
      <w:r w:rsidR="007368A9">
        <w:rPr>
          <w:rFonts w:cs="Arial"/>
        </w:rPr>
        <w:t xml:space="preserve">Area </w:t>
      </w:r>
      <w:r>
        <w:rPr>
          <w:rFonts w:cs="Arial"/>
        </w:rPr>
        <w:t xml:space="preserve">Supervisor </w:t>
      </w:r>
      <w:r w:rsidR="004313B1">
        <w:rPr>
          <w:rFonts w:cs="Arial"/>
        </w:rPr>
        <w:t xml:space="preserve">will </w:t>
      </w:r>
      <w:r w:rsidR="00BF47E9">
        <w:rPr>
          <w:rFonts w:cs="Arial"/>
        </w:rPr>
        <w:t>provide</w:t>
      </w:r>
      <w:r>
        <w:rPr>
          <w:rFonts w:cs="Arial"/>
        </w:rPr>
        <w:t xml:space="preserve"> the Senior Director Detainee Services </w:t>
      </w:r>
      <w:r w:rsidR="00B63774">
        <w:rPr>
          <w:rFonts w:cs="Arial"/>
        </w:rPr>
        <w:t xml:space="preserve">the detainee’s name, reason the </w:t>
      </w:r>
      <w:r w:rsidR="004B23E0">
        <w:rPr>
          <w:rFonts w:cs="Arial"/>
        </w:rPr>
        <w:t>translation</w:t>
      </w:r>
      <w:r w:rsidR="00B63774">
        <w:rPr>
          <w:rFonts w:cs="Arial"/>
        </w:rPr>
        <w:t xml:space="preserve"> device is required </w:t>
      </w:r>
      <w:r>
        <w:rPr>
          <w:rFonts w:cs="Arial"/>
        </w:rPr>
        <w:t>and location</w:t>
      </w:r>
      <w:r w:rsidR="002F6994">
        <w:rPr>
          <w:rFonts w:cs="Arial"/>
        </w:rPr>
        <w:t>,</w:t>
      </w:r>
      <w:r>
        <w:rPr>
          <w:rFonts w:cs="Arial"/>
        </w:rPr>
        <w:t xml:space="preserve"> for</w:t>
      </w:r>
      <w:r w:rsidR="002F6994">
        <w:rPr>
          <w:rFonts w:cs="Arial"/>
        </w:rPr>
        <w:t xml:space="preserve"> their</w:t>
      </w:r>
      <w:r>
        <w:rPr>
          <w:rFonts w:cs="Arial"/>
        </w:rPr>
        <w:t xml:space="preserve"> consideration. </w:t>
      </w:r>
    </w:p>
    <w:p w14:paraId="0885555F" w14:textId="532D9DDF" w:rsidR="007D6976" w:rsidRDefault="00934076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If the S</w:t>
      </w:r>
      <w:r w:rsidR="00B63774">
        <w:rPr>
          <w:rFonts w:cs="Arial"/>
        </w:rPr>
        <w:t xml:space="preserve">enior </w:t>
      </w:r>
      <w:r>
        <w:rPr>
          <w:rFonts w:cs="Arial"/>
        </w:rPr>
        <w:t>D</w:t>
      </w:r>
      <w:r w:rsidR="00B63774">
        <w:rPr>
          <w:rFonts w:cs="Arial"/>
        </w:rPr>
        <w:t>irector</w:t>
      </w:r>
      <w:r>
        <w:rPr>
          <w:rFonts w:cs="Arial"/>
        </w:rPr>
        <w:t xml:space="preserve"> Detainee Service is not available, approval can be sought from the Director of Cultural Change.</w:t>
      </w:r>
    </w:p>
    <w:p w14:paraId="7A31BA51" w14:textId="226ACB23" w:rsidR="00B63774" w:rsidRDefault="00B63774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The Senior Director Detainee Services or</w:t>
      </w:r>
      <w:r w:rsidR="002B093C">
        <w:rPr>
          <w:rFonts w:cs="Arial"/>
        </w:rPr>
        <w:t xml:space="preserve"> the</w:t>
      </w:r>
      <w:r>
        <w:rPr>
          <w:rFonts w:cs="Arial"/>
        </w:rPr>
        <w:t xml:space="preserve"> Director of Cultural Change will consider a request based </w:t>
      </w:r>
      <w:r w:rsidRPr="008832A2">
        <w:rPr>
          <w:rFonts w:cs="Arial"/>
        </w:rPr>
        <w:t xml:space="preserve">on </w:t>
      </w:r>
      <w:r w:rsidR="006145F6" w:rsidRPr="008832A2">
        <w:rPr>
          <w:rFonts w:cs="Arial"/>
        </w:rPr>
        <w:t>several factors</w:t>
      </w:r>
      <w:r w:rsidR="00C90E8B" w:rsidRPr="008832A2">
        <w:rPr>
          <w:rFonts w:cs="Arial"/>
        </w:rPr>
        <w:t>,</w:t>
      </w:r>
      <w:r w:rsidR="006145F6" w:rsidRPr="008832A2">
        <w:rPr>
          <w:rFonts w:cs="Arial"/>
        </w:rPr>
        <w:t xml:space="preserve"> </w:t>
      </w:r>
      <w:r w:rsidRPr="008832A2">
        <w:rPr>
          <w:rFonts w:cs="Arial"/>
        </w:rPr>
        <w:t>including</w:t>
      </w:r>
      <w:r>
        <w:rPr>
          <w:rFonts w:cs="Arial"/>
        </w:rPr>
        <w:t xml:space="preserve"> the individual needs of the detainee, the current </w:t>
      </w:r>
      <w:r w:rsidR="004B23E0">
        <w:rPr>
          <w:rFonts w:cs="Arial"/>
        </w:rPr>
        <w:t xml:space="preserve">translation </w:t>
      </w:r>
      <w:r>
        <w:rPr>
          <w:rFonts w:cs="Arial"/>
        </w:rPr>
        <w:t xml:space="preserve">device resources available and any security risk concerns. </w:t>
      </w:r>
    </w:p>
    <w:p w14:paraId="596BBEB3" w14:textId="0A1C744C" w:rsidR="00AE0613" w:rsidRDefault="00AE0613" w:rsidP="00AE061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If approved, the Senior Director Detainee Services or</w:t>
      </w:r>
      <w:r w:rsidR="002B093C">
        <w:rPr>
          <w:rFonts w:cs="Arial"/>
        </w:rPr>
        <w:t xml:space="preserve"> the</w:t>
      </w:r>
      <w:r>
        <w:rPr>
          <w:rFonts w:cs="Arial"/>
        </w:rPr>
        <w:t xml:space="preserve"> Director of Cultural Change will arrange for a</w:t>
      </w:r>
      <w:r w:rsidR="004B23E0">
        <w:rPr>
          <w:rFonts w:cs="Arial"/>
        </w:rPr>
        <w:t xml:space="preserve"> translation</w:t>
      </w:r>
      <w:r>
        <w:rPr>
          <w:rFonts w:cs="Arial"/>
        </w:rPr>
        <w:t xml:space="preserve"> device to be allocated</w:t>
      </w:r>
      <w:r w:rsidR="00682079">
        <w:rPr>
          <w:rFonts w:cs="Arial"/>
        </w:rPr>
        <w:t xml:space="preserve"> to the detainee</w:t>
      </w:r>
      <w:r>
        <w:rPr>
          <w:rFonts w:cs="Arial"/>
        </w:rPr>
        <w:t xml:space="preserve"> at the earliest opportunity.</w:t>
      </w:r>
    </w:p>
    <w:p w14:paraId="57A8C5CA" w14:textId="53B58AD1" w:rsidR="00AE1541" w:rsidRDefault="00AE1541" w:rsidP="00AE061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When a translation device is allocated to a detainee, it must be recorded as a property item against the detainee’s electronic record. This record must include details such as the device’s serial number and condition. </w:t>
      </w:r>
    </w:p>
    <w:p w14:paraId="5B6E556E" w14:textId="3DE97C3C" w:rsidR="00EF2A5C" w:rsidRPr="00653FDA" w:rsidRDefault="00EF2A5C" w:rsidP="00EF2A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Once approval has been granted and a translation device has been allocated, the Area Supervisor will provide the device to the detainee and use </w:t>
      </w:r>
      <w:r w:rsidR="001111F8">
        <w:rPr>
          <w:rFonts w:cs="Arial"/>
        </w:rPr>
        <w:t xml:space="preserve">the translation function </w:t>
      </w:r>
      <w:r>
        <w:rPr>
          <w:rFonts w:cs="Arial"/>
        </w:rPr>
        <w:t xml:space="preserve">to explain </w:t>
      </w:r>
      <w:r w:rsidR="00AB1A01">
        <w:rPr>
          <w:rFonts w:cs="Arial"/>
        </w:rPr>
        <w:t xml:space="preserve">how to use the device and </w:t>
      </w:r>
      <w:r>
        <w:rPr>
          <w:rFonts w:cs="Arial"/>
        </w:rPr>
        <w:t>the rules for its use</w:t>
      </w:r>
      <w:r w:rsidR="00AB1A01">
        <w:rPr>
          <w:rFonts w:cs="Arial"/>
        </w:rPr>
        <w:t>,</w:t>
      </w:r>
      <w:r>
        <w:rPr>
          <w:rFonts w:cs="Arial"/>
        </w:rPr>
        <w:t xml:space="preserve"> as outlined in this procedure. The supervisor will also ensure that staff and the detainee understand these rules clearly. </w:t>
      </w:r>
    </w:p>
    <w:p w14:paraId="32DD40FF" w14:textId="77777777" w:rsidR="00061083" w:rsidRDefault="00061083" w:rsidP="008C795C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775CD338" w14:textId="7A3E1473" w:rsidR="00061083" w:rsidRDefault="00EF2A5C" w:rsidP="00061083">
      <w:pPr>
        <w:pStyle w:val="SectionHeading"/>
      </w:pPr>
      <w:r>
        <w:t>Return, storage and inspection of translation device</w:t>
      </w:r>
    </w:p>
    <w:p w14:paraId="195C8B6C" w14:textId="4A927499" w:rsidR="008901C5" w:rsidRDefault="00CC7B64" w:rsidP="00CC7B64">
      <w:pPr>
        <w:pStyle w:val="Indenttext1"/>
      </w:pPr>
      <w:r w:rsidRPr="00DC5B37">
        <w:t xml:space="preserve">The </w:t>
      </w:r>
      <w:r w:rsidR="00C90E8B">
        <w:t>s</w:t>
      </w:r>
      <w:r w:rsidRPr="00DC5B37">
        <w:t xml:space="preserve">upervisor of </w:t>
      </w:r>
      <w:r>
        <w:t>an</w:t>
      </w:r>
      <w:r w:rsidRPr="00DC5B37">
        <w:t xml:space="preserve"> </w:t>
      </w:r>
      <w:r>
        <w:t>a</w:t>
      </w:r>
      <w:r w:rsidRPr="00DC5B37">
        <w:t xml:space="preserve">rea </w:t>
      </w:r>
      <w:r>
        <w:t>in which a</w:t>
      </w:r>
      <w:r w:rsidR="000F31C0">
        <w:t xml:space="preserve"> translation</w:t>
      </w:r>
      <w:r>
        <w:t xml:space="preserve"> device has been allocated is responsible for </w:t>
      </w:r>
      <w:r w:rsidRPr="00DC5B37">
        <w:t>securely stor</w:t>
      </w:r>
      <w:r>
        <w:t>ing</w:t>
      </w:r>
      <w:r w:rsidRPr="00DC5B37">
        <w:t xml:space="preserve"> the </w:t>
      </w:r>
      <w:r w:rsidR="000F31C0">
        <w:t>device</w:t>
      </w:r>
      <w:r>
        <w:t>, its content</w:t>
      </w:r>
      <w:r w:rsidRPr="00DC5B37">
        <w:t xml:space="preserve"> and charging </w:t>
      </w:r>
      <w:r>
        <w:t>accessories,</w:t>
      </w:r>
      <w:r w:rsidRPr="00DC5B37">
        <w:t xml:space="preserve"> when not in the possession of the </w:t>
      </w:r>
      <w:r>
        <w:t>allocated detainee</w:t>
      </w:r>
      <w:r w:rsidRPr="00DC5B37">
        <w:t>.</w:t>
      </w:r>
      <w:r>
        <w:t xml:space="preserve"> </w:t>
      </w:r>
    </w:p>
    <w:p w14:paraId="3EF3638B" w14:textId="0CF25E6E" w:rsidR="00061083" w:rsidRPr="00CC7B64" w:rsidRDefault="00CC7B64" w:rsidP="008C795C">
      <w:pPr>
        <w:pStyle w:val="Indenttext1"/>
      </w:pPr>
      <w:r>
        <w:t xml:space="preserve">The </w:t>
      </w:r>
      <w:r w:rsidR="007159F1">
        <w:t xml:space="preserve">translation </w:t>
      </w:r>
      <w:r w:rsidR="00C90E8B">
        <w:t>device</w:t>
      </w:r>
      <w:r>
        <w:t xml:space="preserve"> must remain in the Area Supervisor’s Office/Officer</w:t>
      </w:r>
      <w:r w:rsidR="00C90E8B">
        <w:t>’</w:t>
      </w:r>
      <w:r>
        <w:t xml:space="preserve">s station when not in the possession of the allocated detainee. </w:t>
      </w:r>
    </w:p>
    <w:p w14:paraId="11362019" w14:textId="27B1D46A" w:rsidR="00061083" w:rsidRDefault="00264296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lastRenderedPageBreak/>
        <w:t>T</w:t>
      </w:r>
      <w:r w:rsidR="00061083">
        <w:rPr>
          <w:rFonts w:cs="Arial"/>
        </w:rPr>
        <w:t>he detainee</w:t>
      </w:r>
      <w:r w:rsidR="00560CC4">
        <w:rPr>
          <w:rFonts w:cs="Arial"/>
        </w:rPr>
        <w:t xml:space="preserve"> allocated the </w:t>
      </w:r>
      <w:r w:rsidR="007159F1">
        <w:rPr>
          <w:rFonts w:cs="Arial"/>
        </w:rPr>
        <w:t xml:space="preserve">translation </w:t>
      </w:r>
      <w:r w:rsidR="00560CC4">
        <w:rPr>
          <w:rFonts w:cs="Arial"/>
        </w:rPr>
        <w:t>device</w:t>
      </w:r>
      <w:r w:rsidR="00061083">
        <w:rPr>
          <w:rFonts w:cs="Arial"/>
        </w:rPr>
        <w:t xml:space="preserve"> </w:t>
      </w:r>
      <w:r w:rsidR="00A6580E">
        <w:rPr>
          <w:rFonts w:cs="Arial"/>
        </w:rPr>
        <w:t>must</w:t>
      </w:r>
      <w:r w:rsidR="00061083">
        <w:rPr>
          <w:rFonts w:cs="Arial"/>
        </w:rPr>
        <w:t xml:space="preserve"> be informed that they are responsible for the </w:t>
      </w:r>
      <w:r w:rsidR="00F97CEC">
        <w:rPr>
          <w:rFonts w:cs="Arial"/>
        </w:rPr>
        <w:t>device</w:t>
      </w:r>
      <w:r w:rsidR="00C90E8B">
        <w:rPr>
          <w:rFonts w:cs="Arial"/>
        </w:rPr>
        <w:t xml:space="preserve"> </w:t>
      </w:r>
      <w:r w:rsidR="00061083">
        <w:rPr>
          <w:rFonts w:cs="Arial"/>
        </w:rPr>
        <w:t xml:space="preserve">and </w:t>
      </w:r>
      <w:r w:rsidR="005F2E80">
        <w:rPr>
          <w:rFonts w:cs="Arial"/>
        </w:rPr>
        <w:t>that it</w:t>
      </w:r>
      <w:r w:rsidR="00061083">
        <w:rPr>
          <w:rFonts w:cs="Arial"/>
        </w:rPr>
        <w:t xml:space="preserve"> </w:t>
      </w:r>
      <w:r w:rsidR="00D218D7">
        <w:rPr>
          <w:rFonts w:cs="Arial"/>
        </w:rPr>
        <w:t xml:space="preserve">is to be used solely for translation purposes, not for any other use. </w:t>
      </w:r>
      <w:r w:rsidR="005F2E80">
        <w:rPr>
          <w:rFonts w:cs="Arial"/>
        </w:rPr>
        <w:t>Any such use will be considered a “</w:t>
      </w:r>
      <w:r w:rsidR="008832A2">
        <w:rPr>
          <w:rFonts w:cs="Arial"/>
        </w:rPr>
        <w:t>unauthorised use</w:t>
      </w:r>
      <w:r w:rsidR="005F2E80">
        <w:rPr>
          <w:rFonts w:cs="Arial"/>
        </w:rPr>
        <w:t xml:space="preserve">” of the </w:t>
      </w:r>
      <w:r w:rsidR="00F97CEC">
        <w:rPr>
          <w:rFonts w:cs="Arial"/>
        </w:rPr>
        <w:t>device</w:t>
      </w:r>
      <w:r w:rsidR="005F2E80">
        <w:rPr>
          <w:rFonts w:cs="Arial"/>
        </w:rPr>
        <w:t xml:space="preserve"> for the purposes of this </w:t>
      </w:r>
      <w:r w:rsidR="00D218D7">
        <w:rPr>
          <w:rFonts w:cs="Arial"/>
        </w:rPr>
        <w:t>operating procedure.</w:t>
      </w:r>
      <w:r w:rsidR="005F2E80">
        <w:rPr>
          <w:rFonts w:cs="Arial"/>
        </w:rPr>
        <w:t xml:space="preserve"> </w:t>
      </w:r>
    </w:p>
    <w:p w14:paraId="647A13C1" w14:textId="5A9617DF" w:rsidR="00061083" w:rsidRDefault="00264296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T</w:t>
      </w:r>
      <w:r w:rsidR="00061083">
        <w:rPr>
          <w:rFonts w:cs="Arial"/>
        </w:rPr>
        <w:t xml:space="preserve">he </w:t>
      </w:r>
      <w:r w:rsidR="00F97CEC">
        <w:rPr>
          <w:rFonts w:cs="Arial"/>
        </w:rPr>
        <w:t xml:space="preserve">translation device </w:t>
      </w:r>
      <w:r w:rsidR="008D2F73">
        <w:rPr>
          <w:rFonts w:cs="Arial"/>
        </w:rPr>
        <w:t>must</w:t>
      </w:r>
      <w:r w:rsidR="00061083">
        <w:rPr>
          <w:rFonts w:cs="Arial"/>
        </w:rPr>
        <w:t xml:space="preserve"> be returned at the end of each structured day</w:t>
      </w:r>
      <w:r w:rsidR="00A31124">
        <w:rPr>
          <w:rFonts w:cs="Arial"/>
        </w:rPr>
        <w:t>, coinciding with the</w:t>
      </w:r>
      <w:r w:rsidR="00061083">
        <w:rPr>
          <w:rFonts w:cs="Arial"/>
        </w:rPr>
        <w:t xml:space="preserve"> area lock in</w:t>
      </w:r>
      <w:r w:rsidR="00A31124">
        <w:rPr>
          <w:rFonts w:cs="Arial"/>
        </w:rPr>
        <w:t xml:space="preserve"> time</w:t>
      </w:r>
      <w:r>
        <w:rPr>
          <w:rFonts w:cs="Arial"/>
        </w:rPr>
        <w:t>.</w:t>
      </w:r>
    </w:p>
    <w:p w14:paraId="32F11F70" w14:textId="1A480C45" w:rsidR="00A31124" w:rsidRDefault="00A31124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Upon return, the</w:t>
      </w:r>
      <w:r w:rsidR="002B093C">
        <w:rPr>
          <w:rFonts w:cs="Arial"/>
        </w:rPr>
        <w:t xml:space="preserve"> translation</w:t>
      </w:r>
      <w:r>
        <w:rPr>
          <w:rFonts w:cs="Arial"/>
        </w:rPr>
        <w:t xml:space="preserve"> device must be placed on the charger and securely stored in the Area Supervisor’s </w:t>
      </w:r>
      <w:r w:rsidR="00CA72B6">
        <w:rPr>
          <w:rFonts w:cs="Arial"/>
        </w:rPr>
        <w:t>O</w:t>
      </w:r>
      <w:r>
        <w:rPr>
          <w:rFonts w:cs="Arial"/>
        </w:rPr>
        <w:t>ffice or Officer</w:t>
      </w:r>
      <w:r w:rsidR="00CA72B6">
        <w:rPr>
          <w:rFonts w:cs="Arial"/>
        </w:rPr>
        <w:t>’</w:t>
      </w:r>
      <w:r>
        <w:rPr>
          <w:rFonts w:cs="Arial"/>
        </w:rPr>
        <w:t xml:space="preserve">s Station to ensure it is fully charged and ready to be used the following day. </w:t>
      </w:r>
    </w:p>
    <w:p w14:paraId="3A54C78D" w14:textId="74BB7A41" w:rsidR="00061083" w:rsidRDefault="00A31124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The staff member receiving the</w:t>
      </w:r>
      <w:r w:rsidR="00061083">
        <w:rPr>
          <w:rFonts w:cs="Arial"/>
        </w:rPr>
        <w:t xml:space="preserve"> </w:t>
      </w:r>
      <w:r w:rsidR="00F97CEC">
        <w:rPr>
          <w:rFonts w:cs="Arial"/>
        </w:rPr>
        <w:t>translation device</w:t>
      </w:r>
      <w:r w:rsidR="00061083">
        <w:rPr>
          <w:rFonts w:cs="Arial"/>
        </w:rPr>
        <w:t xml:space="preserve"> </w:t>
      </w:r>
      <w:r w:rsidR="007E54B7">
        <w:rPr>
          <w:rFonts w:cs="Arial"/>
        </w:rPr>
        <w:t>must</w:t>
      </w:r>
      <w:r w:rsidR="00061083">
        <w:rPr>
          <w:rFonts w:cs="Arial"/>
        </w:rPr>
        <w:t xml:space="preserve"> inspect the item for </w:t>
      </w:r>
      <w:r w:rsidR="00F97CEC">
        <w:rPr>
          <w:rFonts w:cs="Arial"/>
        </w:rPr>
        <w:t>any signs of</w:t>
      </w:r>
      <w:r w:rsidR="00061083">
        <w:rPr>
          <w:rFonts w:cs="Arial"/>
        </w:rPr>
        <w:t xml:space="preserve"> damage and/or </w:t>
      </w:r>
      <w:r w:rsidR="00BD08AE">
        <w:rPr>
          <w:rFonts w:cs="Arial"/>
        </w:rPr>
        <w:t>unauthorised use</w:t>
      </w:r>
      <w:r>
        <w:rPr>
          <w:rFonts w:cs="Arial"/>
        </w:rPr>
        <w:t xml:space="preserve"> before storing it securely</w:t>
      </w:r>
      <w:r w:rsidR="00264296">
        <w:rPr>
          <w:rFonts w:cs="Arial"/>
        </w:rPr>
        <w:t>.</w:t>
      </w:r>
    </w:p>
    <w:p w14:paraId="61A00FBE" w14:textId="65AF6A01" w:rsidR="003A3124" w:rsidRDefault="00264296" w:rsidP="009D0C4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I</w:t>
      </w:r>
      <w:r w:rsidR="00061083">
        <w:rPr>
          <w:rFonts w:cs="Arial"/>
        </w:rPr>
        <w:t xml:space="preserve">f </w:t>
      </w:r>
      <w:r w:rsidR="00F97CEC">
        <w:rPr>
          <w:rFonts w:cs="Arial"/>
        </w:rPr>
        <w:t xml:space="preserve">there are </w:t>
      </w:r>
      <w:r w:rsidR="00061083">
        <w:rPr>
          <w:rFonts w:cs="Arial"/>
        </w:rPr>
        <w:t>any</w:t>
      </w:r>
      <w:r w:rsidR="00F97CEC">
        <w:rPr>
          <w:rFonts w:cs="Arial"/>
        </w:rPr>
        <w:t xml:space="preserve"> signs of</w:t>
      </w:r>
      <w:r w:rsidR="00061083">
        <w:rPr>
          <w:rFonts w:cs="Arial"/>
        </w:rPr>
        <w:t xml:space="preserve"> damage or </w:t>
      </w:r>
      <w:r w:rsidR="00BD08AE">
        <w:rPr>
          <w:rFonts w:cs="Arial"/>
        </w:rPr>
        <w:t>unauthorised use</w:t>
      </w:r>
      <w:r w:rsidR="00061083">
        <w:rPr>
          <w:rFonts w:cs="Arial"/>
        </w:rPr>
        <w:t xml:space="preserve">, or if the </w:t>
      </w:r>
      <w:r w:rsidR="00F97CEC">
        <w:rPr>
          <w:rFonts w:cs="Arial"/>
        </w:rPr>
        <w:t xml:space="preserve">translation device </w:t>
      </w:r>
      <w:r w:rsidR="00061083">
        <w:rPr>
          <w:rFonts w:cs="Arial"/>
        </w:rPr>
        <w:t>is missing</w:t>
      </w:r>
      <w:r w:rsidR="003A3124">
        <w:rPr>
          <w:rFonts w:cs="Arial"/>
        </w:rPr>
        <w:t>:</w:t>
      </w:r>
    </w:p>
    <w:p w14:paraId="64D89114" w14:textId="034F7B99" w:rsidR="003A3124" w:rsidRDefault="00061083" w:rsidP="003A3124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 xml:space="preserve">the </w:t>
      </w:r>
      <w:r w:rsidR="007E54B7">
        <w:rPr>
          <w:rFonts w:cs="Arial"/>
        </w:rPr>
        <w:t xml:space="preserve">Area </w:t>
      </w:r>
      <w:r>
        <w:rPr>
          <w:rFonts w:cs="Arial"/>
        </w:rPr>
        <w:t>Supervisor must be notified immediately</w:t>
      </w:r>
    </w:p>
    <w:p w14:paraId="6A70479F" w14:textId="4D6D582C" w:rsidR="003A3124" w:rsidRDefault="00061083" w:rsidP="003A3124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 xml:space="preserve">an incident report and case note must be completed by the staff member who identified the damage and/or </w:t>
      </w:r>
      <w:r w:rsidR="00BD08AE">
        <w:rPr>
          <w:rFonts w:cs="Arial"/>
        </w:rPr>
        <w:t>unauthorised use</w:t>
      </w:r>
    </w:p>
    <w:p w14:paraId="61785066" w14:textId="3C9E0A8A" w:rsidR="00061083" w:rsidRDefault="00904362" w:rsidP="008C795C">
      <w:pPr>
        <w:pStyle w:val="ListParagraph"/>
        <w:numPr>
          <w:ilvl w:val="2"/>
          <w:numId w:val="1"/>
        </w:numPr>
        <w:spacing w:before="60" w:after="0"/>
        <w:contextualSpacing w:val="0"/>
        <w:rPr>
          <w:rFonts w:cs="Arial"/>
        </w:rPr>
      </w:pPr>
      <w:r>
        <w:rPr>
          <w:rFonts w:cs="Arial"/>
        </w:rPr>
        <w:t xml:space="preserve">the </w:t>
      </w:r>
      <w:r w:rsidR="003A3124">
        <w:rPr>
          <w:rFonts w:cs="Arial"/>
        </w:rPr>
        <w:t>Area S</w:t>
      </w:r>
      <w:r>
        <w:rPr>
          <w:rFonts w:cs="Arial"/>
        </w:rPr>
        <w:t>upervisor must notify the Senior Director Detainee Services before the end of their shift.</w:t>
      </w:r>
    </w:p>
    <w:p w14:paraId="0394B322" w14:textId="207D7EE7" w:rsidR="00904362" w:rsidRDefault="00904362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The supervisor must record if the </w:t>
      </w:r>
      <w:r w:rsidR="00F97CEC">
        <w:rPr>
          <w:rFonts w:cs="Arial"/>
        </w:rPr>
        <w:t xml:space="preserve">translation device </w:t>
      </w:r>
      <w:r>
        <w:rPr>
          <w:rFonts w:cs="Arial"/>
        </w:rPr>
        <w:t>and accessories are both present and in good working order at the end of each structured day.</w:t>
      </w:r>
    </w:p>
    <w:p w14:paraId="5FB153A3" w14:textId="0274EB02" w:rsidR="00061083" w:rsidRDefault="00264296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D</w:t>
      </w:r>
      <w:r w:rsidR="00061083">
        <w:rPr>
          <w:rFonts w:cs="Arial"/>
        </w:rPr>
        <w:t>amage and/or</w:t>
      </w:r>
      <w:r w:rsidR="008832A2">
        <w:rPr>
          <w:rFonts w:cs="Arial"/>
        </w:rPr>
        <w:t xml:space="preserve"> unauthorised use</w:t>
      </w:r>
      <w:r w:rsidR="00061083">
        <w:rPr>
          <w:rFonts w:cs="Arial"/>
        </w:rPr>
        <w:t xml:space="preserve"> of the</w:t>
      </w:r>
      <w:r w:rsidR="00F97CEC">
        <w:rPr>
          <w:rFonts w:cs="Arial"/>
        </w:rPr>
        <w:t xml:space="preserve"> translation device</w:t>
      </w:r>
      <w:r w:rsidR="00CA72B6">
        <w:rPr>
          <w:rFonts w:cs="Arial"/>
        </w:rPr>
        <w:t xml:space="preserve"> </w:t>
      </w:r>
      <w:r w:rsidR="00061083">
        <w:rPr>
          <w:rFonts w:cs="Arial"/>
        </w:rPr>
        <w:t>may result in disciplinary action being taken if deemed necessary by the</w:t>
      </w:r>
      <w:r w:rsidR="00BF1E05">
        <w:rPr>
          <w:rFonts w:cs="Arial"/>
        </w:rPr>
        <w:t xml:space="preserve"> Area</w:t>
      </w:r>
      <w:r w:rsidR="00061083">
        <w:rPr>
          <w:rFonts w:cs="Arial"/>
        </w:rPr>
        <w:t xml:space="preserve"> Supervisor</w:t>
      </w:r>
      <w:r>
        <w:rPr>
          <w:rFonts w:cs="Arial"/>
        </w:rPr>
        <w:t>.</w:t>
      </w:r>
    </w:p>
    <w:p w14:paraId="0CA89812" w14:textId="5D3619F4" w:rsidR="00DF1B3E" w:rsidRDefault="00264296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>I</w:t>
      </w:r>
      <w:r w:rsidR="00061083">
        <w:rPr>
          <w:rFonts w:cs="Arial"/>
        </w:rPr>
        <w:t>f a</w:t>
      </w:r>
      <w:r w:rsidR="00F97CEC">
        <w:rPr>
          <w:rFonts w:cs="Arial"/>
        </w:rPr>
        <w:t xml:space="preserve"> translation device</w:t>
      </w:r>
      <w:r w:rsidR="00CA72B6">
        <w:rPr>
          <w:rFonts w:cs="Arial"/>
        </w:rPr>
        <w:t xml:space="preserve"> </w:t>
      </w:r>
      <w:r w:rsidR="00061083">
        <w:rPr>
          <w:rFonts w:cs="Arial"/>
        </w:rPr>
        <w:t xml:space="preserve">is suspected to have been damaged, it must be </w:t>
      </w:r>
      <w:r w:rsidR="00F97CEC">
        <w:rPr>
          <w:rFonts w:cs="Arial"/>
        </w:rPr>
        <w:t xml:space="preserve">obtained </w:t>
      </w:r>
      <w:r w:rsidR="00061083">
        <w:rPr>
          <w:rFonts w:cs="Arial"/>
        </w:rPr>
        <w:t xml:space="preserve">and stored securely by the </w:t>
      </w:r>
      <w:r w:rsidR="009E4107">
        <w:rPr>
          <w:rFonts w:cs="Arial"/>
        </w:rPr>
        <w:t xml:space="preserve">Area </w:t>
      </w:r>
      <w:r w:rsidR="00061083">
        <w:rPr>
          <w:rFonts w:cs="Arial"/>
        </w:rPr>
        <w:t xml:space="preserve">Supervisor until it is replaced, returned or cleared for </w:t>
      </w:r>
      <w:r w:rsidR="00F97CEC">
        <w:rPr>
          <w:rFonts w:cs="Arial"/>
        </w:rPr>
        <w:t xml:space="preserve">re-allocation </w:t>
      </w:r>
      <w:r w:rsidR="00061083">
        <w:rPr>
          <w:rFonts w:cs="Arial"/>
        </w:rPr>
        <w:t>by the Senior Director Detainee Services or Director of Cultural Change</w:t>
      </w:r>
      <w:r>
        <w:rPr>
          <w:rFonts w:cs="Arial"/>
        </w:rPr>
        <w:t>.</w:t>
      </w:r>
    </w:p>
    <w:p w14:paraId="30E27459" w14:textId="37AAB21F" w:rsidR="00061083" w:rsidRPr="00DC736D" w:rsidRDefault="00BD08AE" w:rsidP="008C795C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DC736D">
        <w:rPr>
          <w:rFonts w:cs="Arial"/>
        </w:rPr>
        <w:t xml:space="preserve">Where unauthorised use is </w:t>
      </w:r>
      <w:r w:rsidR="00DF1B3E" w:rsidRPr="00DC736D">
        <w:rPr>
          <w:rFonts w:cs="Arial"/>
        </w:rPr>
        <w:t>suspected</w:t>
      </w:r>
      <w:r w:rsidRPr="00DC736D">
        <w:rPr>
          <w:rFonts w:cs="Arial"/>
        </w:rPr>
        <w:t xml:space="preserve"> that compromises the safety and good order of the correctional centre</w:t>
      </w:r>
      <w:r w:rsidR="00DF1B3E" w:rsidRPr="00DC736D">
        <w:rPr>
          <w:rFonts w:cs="Arial"/>
        </w:rPr>
        <w:t xml:space="preserve">, the </w:t>
      </w:r>
      <w:r w:rsidR="009E4107" w:rsidRPr="00DC736D">
        <w:rPr>
          <w:rFonts w:cs="Arial"/>
        </w:rPr>
        <w:t xml:space="preserve">Area </w:t>
      </w:r>
      <w:r w:rsidR="00DF1B3E" w:rsidRPr="00DC736D">
        <w:rPr>
          <w:rFonts w:cs="Arial"/>
        </w:rPr>
        <w:t xml:space="preserve">Supervisor must </w:t>
      </w:r>
      <w:r w:rsidR="00A31124" w:rsidRPr="00DC736D">
        <w:rPr>
          <w:rFonts w:cs="Arial"/>
        </w:rPr>
        <w:t xml:space="preserve">notify </w:t>
      </w:r>
      <w:r w:rsidR="00DF1B3E" w:rsidRPr="00DC736D">
        <w:rPr>
          <w:rFonts w:cs="Arial"/>
        </w:rPr>
        <w:t>the ACTCS Security Systems team</w:t>
      </w:r>
      <w:r w:rsidR="00A31124" w:rsidRPr="00DC736D">
        <w:rPr>
          <w:rFonts w:cs="Arial"/>
        </w:rPr>
        <w:t>. The team will</w:t>
      </w:r>
      <w:r w:rsidR="00CA72B6" w:rsidRPr="00DC736D">
        <w:rPr>
          <w:rFonts w:cs="Arial"/>
        </w:rPr>
        <w:t xml:space="preserve"> </w:t>
      </w:r>
      <w:r w:rsidR="00DF1B3E" w:rsidRPr="00DC736D">
        <w:rPr>
          <w:rFonts w:cs="Arial"/>
        </w:rPr>
        <w:t xml:space="preserve">collect </w:t>
      </w:r>
      <w:r w:rsidR="00A31124" w:rsidRPr="00DC736D">
        <w:rPr>
          <w:rFonts w:cs="Arial"/>
        </w:rPr>
        <w:t xml:space="preserve">the device </w:t>
      </w:r>
      <w:r w:rsidR="00DC736D" w:rsidRPr="00DC736D">
        <w:rPr>
          <w:rFonts w:cs="Arial"/>
        </w:rPr>
        <w:t xml:space="preserve">for further </w:t>
      </w:r>
      <w:r w:rsidR="00DF1B3E" w:rsidRPr="00DC736D">
        <w:rPr>
          <w:rFonts w:cs="Arial"/>
        </w:rPr>
        <w:t>investigat</w:t>
      </w:r>
      <w:r w:rsidR="00A31124" w:rsidRPr="00DC736D">
        <w:rPr>
          <w:rFonts w:cs="Arial"/>
        </w:rPr>
        <w:t xml:space="preserve">ion, and it will be securely </w:t>
      </w:r>
      <w:r w:rsidR="00DF1B3E" w:rsidRPr="00DC736D">
        <w:rPr>
          <w:rFonts w:cs="Arial"/>
        </w:rPr>
        <w:t>stored in the Security Systems safe</w:t>
      </w:r>
      <w:r w:rsidR="009E4107" w:rsidRPr="00DC736D">
        <w:rPr>
          <w:rFonts w:cs="Arial"/>
        </w:rPr>
        <w:t xml:space="preserve"> </w:t>
      </w:r>
      <w:r w:rsidR="00A31124" w:rsidRPr="00DC736D">
        <w:rPr>
          <w:rFonts w:cs="Arial"/>
        </w:rPr>
        <w:t xml:space="preserve">during the investigation process. </w:t>
      </w:r>
      <w:r w:rsidR="009E4107" w:rsidRPr="00DC736D">
        <w:rPr>
          <w:rFonts w:cs="Arial"/>
        </w:rPr>
        <w:t xml:space="preserve"> </w:t>
      </w:r>
    </w:p>
    <w:p w14:paraId="64ED79D4" w14:textId="77777777" w:rsidR="00C90E8B" w:rsidRDefault="00C90E8B" w:rsidP="0008506A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1E420DAC" w14:textId="0E850F73" w:rsidR="005C584E" w:rsidRDefault="005C584E" w:rsidP="0008506A">
      <w:pPr>
        <w:pStyle w:val="SectionHeading"/>
      </w:pPr>
      <w:r w:rsidRPr="005C584E">
        <w:t>Escorts</w:t>
      </w:r>
    </w:p>
    <w:p w14:paraId="6E78D07D" w14:textId="1FC5CB9A" w:rsidR="00BE5C31" w:rsidRDefault="00BE5C31" w:rsidP="009D0C4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The </w:t>
      </w:r>
      <w:r w:rsidR="00A31124">
        <w:rPr>
          <w:rFonts w:cs="Arial"/>
        </w:rPr>
        <w:t>translation device</w:t>
      </w:r>
      <w:r>
        <w:rPr>
          <w:rFonts w:cs="Arial"/>
        </w:rPr>
        <w:t xml:space="preserve"> is to remain within the AMC and can only be taken by the detainee on an  approved</w:t>
      </w:r>
      <w:r w:rsidR="007D1A8E">
        <w:rPr>
          <w:rFonts w:cs="Arial"/>
        </w:rPr>
        <w:t xml:space="preserve"> external</w:t>
      </w:r>
      <w:r>
        <w:rPr>
          <w:rFonts w:cs="Arial"/>
        </w:rPr>
        <w:t xml:space="preserve"> escort with the written permission of the </w:t>
      </w:r>
      <w:r w:rsidRPr="00BE5C31">
        <w:rPr>
          <w:rFonts w:cs="Arial"/>
        </w:rPr>
        <w:t xml:space="preserve">Senior Director Detainee Services or </w:t>
      </w:r>
      <w:r w:rsidR="007D1A8E">
        <w:rPr>
          <w:rFonts w:cs="Arial"/>
        </w:rPr>
        <w:t xml:space="preserve">the </w:t>
      </w:r>
      <w:r w:rsidRPr="00BE5C31">
        <w:rPr>
          <w:rFonts w:cs="Arial"/>
        </w:rPr>
        <w:t>Director of Cultural Change.</w:t>
      </w:r>
      <w:r>
        <w:rPr>
          <w:rFonts w:cs="Arial"/>
        </w:rPr>
        <w:t xml:space="preserve"> Where such approval is granted, the escorting officers must note the serial number of the</w:t>
      </w:r>
      <w:r w:rsidR="00A31124">
        <w:rPr>
          <w:rFonts w:cs="Arial"/>
        </w:rPr>
        <w:t xml:space="preserve"> device</w:t>
      </w:r>
      <w:r>
        <w:rPr>
          <w:rFonts w:cs="Arial"/>
        </w:rPr>
        <w:t xml:space="preserve"> on escort documentation prior to departing the AMC, and then verify that serial number upon returning the detainee to </w:t>
      </w:r>
      <w:r w:rsidR="00F81148">
        <w:rPr>
          <w:rFonts w:cs="Arial"/>
        </w:rPr>
        <w:t>the AMC</w:t>
      </w:r>
      <w:r>
        <w:rPr>
          <w:rFonts w:cs="Arial"/>
        </w:rPr>
        <w:t xml:space="preserve"> and prior to the </w:t>
      </w:r>
      <w:r w:rsidR="00A31124">
        <w:rPr>
          <w:rFonts w:cs="Arial"/>
        </w:rPr>
        <w:t>device</w:t>
      </w:r>
      <w:r w:rsidR="00CA72B6">
        <w:rPr>
          <w:rFonts w:cs="Arial"/>
        </w:rPr>
        <w:t xml:space="preserve"> </w:t>
      </w:r>
      <w:r w:rsidR="00F81148">
        <w:rPr>
          <w:rFonts w:cs="Arial"/>
        </w:rPr>
        <w:t>entering any AMC accommodation areas.</w:t>
      </w:r>
    </w:p>
    <w:p w14:paraId="7781485A" w14:textId="19199C12" w:rsidR="00F81148" w:rsidRDefault="00F81148" w:rsidP="009D0C4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Where the detainee has possession of the </w:t>
      </w:r>
      <w:r w:rsidR="00A31124">
        <w:rPr>
          <w:rFonts w:cs="Arial"/>
        </w:rPr>
        <w:t>device</w:t>
      </w:r>
      <w:r>
        <w:rPr>
          <w:rFonts w:cs="Arial"/>
        </w:rPr>
        <w:t xml:space="preserve"> during extended escorts (i.e., hospital watches, AMHU</w:t>
      </w:r>
      <w:r w:rsidR="00CA72B6">
        <w:rPr>
          <w:rFonts w:cs="Arial"/>
        </w:rPr>
        <w:t>,</w:t>
      </w:r>
      <w:r>
        <w:rPr>
          <w:rFonts w:cs="Arial"/>
        </w:rPr>
        <w:t xml:space="preserve"> etc), at the hand-over of each custodial shift, the </w:t>
      </w:r>
      <w:r w:rsidR="00A31124">
        <w:rPr>
          <w:rFonts w:cs="Arial"/>
        </w:rPr>
        <w:t>device</w:t>
      </w:r>
      <w:r>
        <w:rPr>
          <w:rFonts w:cs="Arial"/>
        </w:rPr>
        <w:t xml:space="preserve"> must be sighted and checked by the receiving </w:t>
      </w:r>
      <w:r w:rsidR="00CA72B6">
        <w:rPr>
          <w:rFonts w:cs="Arial"/>
        </w:rPr>
        <w:t>correctional</w:t>
      </w:r>
      <w:r>
        <w:rPr>
          <w:rFonts w:cs="Arial"/>
        </w:rPr>
        <w:t xml:space="preserve"> officers and the serial number verified and recorded.</w:t>
      </w:r>
    </w:p>
    <w:p w14:paraId="25AAB8E0" w14:textId="217AE9DF" w:rsidR="00DC736D" w:rsidRDefault="00DC736D">
      <w:pPr>
        <w:rPr>
          <w:rFonts w:cs="Arial"/>
        </w:rPr>
      </w:pPr>
      <w:r>
        <w:rPr>
          <w:rFonts w:cs="Arial"/>
        </w:rPr>
        <w:br w:type="page"/>
      </w:r>
    </w:p>
    <w:p w14:paraId="036AD7DF" w14:textId="77777777" w:rsidR="005C584E" w:rsidRDefault="005C584E" w:rsidP="0008506A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1951EC21" w14:textId="0113260D" w:rsidR="00F57F05" w:rsidRPr="00DC736D" w:rsidRDefault="003F2522">
      <w:pPr>
        <w:pStyle w:val="SectionHeading"/>
      </w:pPr>
      <w:r w:rsidRPr="00DC736D">
        <w:t>U</w:t>
      </w:r>
      <w:r w:rsidR="005C584E" w:rsidRPr="00DC736D">
        <w:t xml:space="preserve">nauthorised use </w:t>
      </w:r>
    </w:p>
    <w:p w14:paraId="55BA9F4D" w14:textId="02D233F0" w:rsidR="00AB1A01" w:rsidRDefault="00AB1A01" w:rsidP="00AB1A01">
      <w:pPr>
        <w:pStyle w:val="Indenttext1"/>
      </w:pPr>
      <w:r>
        <w:t xml:space="preserve">Translation devices are configured to access a pre-approved translation/communication application only. </w:t>
      </w:r>
    </w:p>
    <w:p w14:paraId="76DC7CA9" w14:textId="41F25AE4" w:rsidR="00F57F05" w:rsidRDefault="00AB1A01" w:rsidP="0008506A">
      <w:pPr>
        <w:pStyle w:val="Indenttext1"/>
      </w:pPr>
      <w:r>
        <w:t>Translation devices are configured to prevent access to unauthorised websites and applications.</w:t>
      </w:r>
    </w:p>
    <w:p w14:paraId="5949CF0B" w14:textId="7F70E7F9" w:rsidR="005C584E" w:rsidRPr="00B347E0" w:rsidRDefault="007159F1" w:rsidP="0008506A">
      <w:pPr>
        <w:pStyle w:val="SectionHeading"/>
        <w:numPr>
          <w:ilvl w:val="1"/>
          <w:numId w:val="1"/>
        </w:numPr>
        <w:ind w:left="567" w:hanging="567"/>
      </w:pPr>
      <w:r>
        <w:rPr>
          <w:b w:val="0"/>
          <w:bCs w:val="0"/>
        </w:rPr>
        <w:t>A</w:t>
      </w:r>
      <w:r w:rsidR="005C584E" w:rsidRPr="008A7DB4">
        <w:rPr>
          <w:b w:val="0"/>
          <w:bCs w:val="0"/>
        </w:rPr>
        <w:t xml:space="preserve"> translation device is only to be accessed by the Area Supervisor, </w:t>
      </w:r>
      <w:r w:rsidR="00CA72B6" w:rsidRPr="008A7DB4">
        <w:rPr>
          <w:b w:val="0"/>
          <w:bCs w:val="0"/>
        </w:rPr>
        <w:t>c</w:t>
      </w:r>
      <w:r w:rsidR="005C584E" w:rsidRPr="008A7DB4">
        <w:rPr>
          <w:b w:val="0"/>
          <w:bCs w:val="0"/>
        </w:rPr>
        <w:t xml:space="preserve">orrectional </w:t>
      </w:r>
      <w:r w:rsidR="00CA72B6" w:rsidRPr="008A7DB4">
        <w:rPr>
          <w:b w:val="0"/>
          <w:bCs w:val="0"/>
        </w:rPr>
        <w:t>o</w:t>
      </w:r>
      <w:r w:rsidR="005C584E" w:rsidRPr="008A7DB4">
        <w:rPr>
          <w:b w:val="0"/>
          <w:bCs w:val="0"/>
        </w:rPr>
        <w:t>fficers and</w:t>
      </w:r>
      <w:r w:rsidR="005C584E" w:rsidRPr="0008506A">
        <w:rPr>
          <w:b w:val="0"/>
          <w:bCs w:val="0"/>
        </w:rPr>
        <w:t xml:space="preserve"> the detainee</w:t>
      </w:r>
      <w:r w:rsidR="000135CE" w:rsidRPr="0008506A">
        <w:rPr>
          <w:b w:val="0"/>
          <w:bCs w:val="0"/>
        </w:rPr>
        <w:t xml:space="preserve"> who is</w:t>
      </w:r>
      <w:r w:rsidR="005C584E" w:rsidRPr="0008506A">
        <w:rPr>
          <w:b w:val="0"/>
          <w:bCs w:val="0"/>
        </w:rPr>
        <w:t xml:space="preserve"> allocated</w:t>
      </w:r>
      <w:r w:rsidR="000135CE" w:rsidRPr="0008506A">
        <w:rPr>
          <w:b w:val="0"/>
          <w:bCs w:val="0"/>
        </w:rPr>
        <w:t xml:space="preserve"> the device</w:t>
      </w:r>
      <w:r w:rsidR="005C584E" w:rsidRPr="0008506A">
        <w:rPr>
          <w:b w:val="0"/>
          <w:bCs w:val="0"/>
        </w:rPr>
        <w:t xml:space="preserve">. No other individuals are permitted to use the translation device without written permission from the Senior Director Detainee Services or </w:t>
      </w:r>
      <w:r w:rsidR="007D1A8E">
        <w:rPr>
          <w:b w:val="0"/>
          <w:bCs w:val="0"/>
        </w:rPr>
        <w:t xml:space="preserve">the </w:t>
      </w:r>
      <w:r w:rsidR="005C584E" w:rsidRPr="0008506A">
        <w:rPr>
          <w:b w:val="0"/>
          <w:bCs w:val="0"/>
        </w:rPr>
        <w:t>Director of Cultural Change. Any breach of this instruction by another detainee may result in disciplinary action against that detainee and forfeiture of the device.</w:t>
      </w:r>
    </w:p>
    <w:p w14:paraId="7BEA2DE7" w14:textId="17A523EC" w:rsidR="00F81148" w:rsidRDefault="00F81148" w:rsidP="009D0C4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ACTCS employees are not permitted to use </w:t>
      </w:r>
      <w:r w:rsidR="001F3AD2">
        <w:rPr>
          <w:rFonts w:cs="Arial"/>
        </w:rPr>
        <w:t xml:space="preserve">or be in possession of </w:t>
      </w:r>
      <w:r w:rsidR="007159F1">
        <w:rPr>
          <w:rFonts w:cs="Arial"/>
        </w:rPr>
        <w:t>a</w:t>
      </w:r>
      <w:r>
        <w:rPr>
          <w:rFonts w:cs="Arial"/>
        </w:rPr>
        <w:t xml:space="preserve"> </w:t>
      </w:r>
      <w:r w:rsidR="001F3AD2" w:rsidRPr="001F3AD2">
        <w:rPr>
          <w:rFonts w:cs="Arial"/>
        </w:rPr>
        <w:t xml:space="preserve">translation </w:t>
      </w:r>
      <w:r w:rsidR="00A31124">
        <w:rPr>
          <w:rFonts w:cs="Arial"/>
        </w:rPr>
        <w:t>device</w:t>
      </w:r>
      <w:r w:rsidR="001F3AD2">
        <w:rPr>
          <w:rFonts w:cs="Arial"/>
        </w:rPr>
        <w:t xml:space="preserve"> for any other purpose except as allowed for in this</w:t>
      </w:r>
      <w:r w:rsidR="005C584E">
        <w:rPr>
          <w:rFonts w:cs="Arial"/>
        </w:rPr>
        <w:t xml:space="preserve"> </w:t>
      </w:r>
      <w:r w:rsidR="00CA72B6">
        <w:rPr>
          <w:rFonts w:cs="Arial"/>
        </w:rPr>
        <w:t>o</w:t>
      </w:r>
      <w:r w:rsidR="005C584E">
        <w:rPr>
          <w:rFonts w:cs="Arial"/>
        </w:rPr>
        <w:t xml:space="preserve">perating </w:t>
      </w:r>
      <w:r w:rsidR="00CA72B6">
        <w:rPr>
          <w:rFonts w:cs="Arial"/>
        </w:rPr>
        <w:t>p</w:t>
      </w:r>
      <w:r w:rsidR="005C584E">
        <w:rPr>
          <w:rFonts w:cs="Arial"/>
        </w:rPr>
        <w:t>rocedure</w:t>
      </w:r>
      <w:r w:rsidR="001F3AD2">
        <w:rPr>
          <w:rFonts w:cs="Arial"/>
        </w:rPr>
        <w:t xml:space="preserve">. </w:t>
      </w:r>
    </w:p>
    <w:p w14:paraId="3B70FD2D" w14:textId="20A88C9C" w:rsidR="001B01B8" w:rsidRDefault="008A7DB4" w:rsidP="009D0C42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8A7DB4">
        <w:rPr>
          <w:rFonts w:cs="Arial"/>
        </w:rPr>
        <w:t xml:space="preserve">Unauthorised </w:t>
      </w:r>
      <w:r w:rsidR="001B01B8">
        <w:rPr>
          <w:rFonts w:cs="Arial"/>
        </w:rPr>
        <w:t>use include</w:t>
      </w:r>
      <w:r w:rsidR="00B938EA">
        <w:rPr>
          <w:rFonts w:cs="Arial"/>
        </w:rPr>
        <w:t>s, but not limited to:</w:t>
      </w:r>
    </w:p>
    <w:p w14:paraId="169E8B5C" w14:textId="77777777" w:rsidR="001B01B8" w:rsidRDefault="008A7DB4" w:rsidP="001B01B8">
      <w:pPr>
        <w:pStyle w:val="Indenttext2"/>
      </w:pPr>
      <w:r w:rsidRPr="008A7DB4">
        <w:t xml:space="preserve">cyber activity such as </w:t>
      </w:r>
      <w:r w:rsidR="001B01B8">
        <w:t>attempting to access</w:t>
      </w:r>
      <w:r w:rsidRPr="008A7DB4">
        <w:t xml:space="preserve"> websites or networks</w:t>
      </w:r>
    </w:p>
    <w:p w14:paraId="6470897E" w14:textId="77777777" w:rsidR="001B01B8" w:rsidRDefault="001B01B8" w:rsidP="001B01B8">
      <w:pPr>
        <w:pStyle w:val="Indenttext2"/>
      </w:pPr>
      <w:r>
        <w:t>attempting to by-pass security protocols</w:t>
      </w:r>
    </w:p>
    <w:p w14:paraId="2F52C7A9" w14:textId="6835B4BA" w:rsidR="008A7DB4" w:rsidRPr="001B01B8" w:rsidRDefault="001B01B8" w:rsidP="001B01B8">
      <w:pPr>
        <w:pStyle w:val="Indenttext2"/>
      </w:pPr>
      <w:r>
        <w:t>using the</w:t>
      </w:r>
      <w:r w:rsidRPr="001B01B8">
        <w:t xml:space="preserve"> devices for any purpose other than supporting detainees in communicating during routine daily activities and participating in rehabilitative and pro-social activities while in custody</w:t>
      </w:r>
      <w:r>
        <w:t>.</w:t>
      </w:r>
    </w:p>
    <w:p w14:paraId="54CC9522" w14:textId="77777777" w:rsidR="001B01B8" w:rsidRDefault="001B01B8" w:rsidP="001B01B8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Any unauthorised use of the device by ACTCS employees may be managed under the </w:t>
      </w:r>
      <w:r w:rsidRPr="0008506A">
        <w:rPr>
          <w:rFonts w:cs="Arial"/>
          <w:i/>
          <w:iCs/>
          <w:u w:val="single"/>
        </w:rPr>
        <w:t>Ethical Conduct Policy</w:t>
      </w:r>
      <w:r>
        <w:rPr>
          <w:rFonts w:cs="Arial"/>
        </w:rPr>
        <w:t>.</w:t>
      </w:r>
    </w:p>
    <w:p w14:paraId="6156854A" w14:textId="77777777" w:rsidR="00AE0613" w:rsidRDefault="00AE0613" w:rsidP="004404BE">
      <w:pPr>
        <w:pStyle w:val="ListParagraph"/>
        <w:spacing w:before="60" w:after="0"/>
        <w:ind w:left="567"/>
        <w:contextualSpacing w:val="0"/>
        <w:rPr>
          <w:rFonts w:cs="Arial"/>
        </w:rPr>
      </w:pPr>
    </w:p>
    <w:p w14:paraId="2703E43F" w14:textId="08C52CA2" w:rsidR="004404BE" w:rsidRPr="003517F3" w:rsidRDefault="00F55BC3" w:rsidP="009E4E29">
      <w:pPr>
        <w:pStyle w:val="ListParagraph"/>
        <w:numPr>
          <w:ilvl w:val="0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  <w:b/>
          <w:bCs/>
        </w:rPr>
        <w:t>Retrieving</w:t>
      </w:r>
      <w:r w:rsidR="00CA72B6">
        <w:rPr>
          <w:rFonts w:cs="Arial"/>
          <w:b/>
          <w:bCs/>
        </w:rPr>
        <w:t xml:space="preserve"> </w:t>
      </w:r>
      <w:r w:rsidR="00934076">
        <w:rPr>
          <w:rFonts w:cs="Arial"/>
          <w:b/>
          <w:bCs/>
        </w:rPr>
        <w:t>the translation</w:t>
      </w:r>
      <w:r w:rsidR="00EF2A5C">
        <w:rPr>
          <w:rFonts w:cs="Arial"/>
          <w:b/>
          <w:bCs/>
        </w:rPr>
        <w:t xml:space="preserve"> device</w:t>
      </w:r>
    </w:p>
    <w:p w14:paraId="72049CA5" w14:textId="3DE67C50" w:rsidR="007C37D7" w:rsidRDefault="007C37D7" w:rsidP="007D6976">
      <w:pPr>
        <w:pStyle w:val="Indenttext1"/>
      </w:pPr>
      <w:r>
        <w:t>The Senior Director Detainee Services, or if not available</w:t>
      </w:r>
      <w:r w:rsidR="00F55BC3">
        <w:t>,</w:t>
      </w:r>
      <w:r>
        <w:t xml:space="preserve"> the Director of Cultural Change</w:t>
      </w:r>
      <w:r w:rsidR="00F652DE">
        <w:t>,</w:t>
      </w:r>
      <w:r>
        <w:t xml:space="preserve"> may direct the </w:t>
      </w:r>
      <w:r w:rsidR="00F55BC3">
        <w:t xml:space="preserve">retrieval </w:t>
      </w:r>
      <w:r>
        <w:t xml:space="preserve">of </w:t>
      </w:r>
      <w:r w:rsidR="00EF2A5C">
        <w:t>a translation</w:t>
      </w:r>
      <w:r>
        <w:t xml:space="preserve"> device from a detainee at any time</w:t>
      </w:r>
      <w:r w:rsidR="005B00DD">
        <w:t>.</w:t>
      </w:r>
      <w:r>
        <w:t xml:space="preserve"> </w:t>
      </w:r>
      <w:r w:rsidR="005B00DD">
        <w:t>T</w:t>
      </w:r>
      <w:r>
        <w:t xml:space="preserve">his may be for </w:t>
      </w:r>
      <w:r w:rsidR="00F55BC3">
        <w:t>various</w:t>
      </w:r>
      <w:r>
        <w:t xml:space="preserve"> reasons</w:t>
      </w:r>
      <w:r w:rsidR="00F55BC3">
        <w:t>,</w:t>
      </w:r>
      <w:r>
        <w:t xml:space="preserve"> including but not limited to:</w:t>
      </w:r>
    </w:p>
    <w:p w14:paraId="68D1118C" w14:textId="4E3BDFE7" w:rsidR="009205FB" w:rsidRDefault="00CA72B6">
      <w:pPr>
        <w:pStyle w:val="Indenttext2"/>
        <w:numPr>
          <w:ilvl w:val="0"/>
          <w:numId w:val="5"/>
        </w:numPr>
      </w:pPr>
      <w:r>
        <w:t>f</w:t>
      </w:r>
      <w:r w:rsidR="00F55BC3">
        <w:t>air sharing of</w:t>
      </w:r>
      <w:r w:rsidR="000135CE">
        <w:t xml:space="preserve"> resources</w:t>
      </w:r>
    </w:p>
    <w:p w14:paraId="426754FD" w14:textId="6A098EC3" w:rsidR="007C37D7" w:rsidRDefault="007C37D7" w:rsidP="008C795C">
      <w:pPr>
        <w:pStyle w:val="Indenttext2"/>
        <w:numPr>
          <w:ilvl w:val="0"/>
          <w:numId w:val="5"/>
        </w:numPr>
      </w:pPr>
      <w:r>
        <w:t xml:space="preserve">notification from area staff that the </w:t>
      </w:r>
      <w:r w:rsidR="00EF2A5C">
        <w:t>device</w:t>
      </w:r>
      <w:r w:rsidR="00CA72B6">
        <w:t xml:space="preserve"> </w:t>
      </w:r>
      <w:r>
        <w:t>has been damaged or misused</w:t>
      </w:r>
    </w:p>
    <w:p w14:paraId="096AEEC6" w14:textId="0BB6B39F" w:rsidR="007C37D7" w:rsidRDefault="00F652DE" w:rsidP="008C795C">
      <w:pPr>
        <w:pStyle w:val="Indenttext2"/>
        <w:numPr>
          <w:ilvl w:val="0"/>
          <w:numId w:val="5"/>
        </w:numPr>
      </w:pPr>
      <w:r>
        <w:t>the need to update and/or audit the device.</w:t>
      </w:r>
    </w:p>
    <w:p w14:paraId="4E3AAB30" w14:textId="32CFBA7F" w:rsidR="004404BE" w:rsidRDefault="000C6248" w:rsidP="007D6976">
      <w:pPr>
        <w:pStyle w:val="Indenttext1"/>
      </w:pPr>
      <w:r>
        <w:t>When the detainee is no longer in need of the</w:t>
      </w:r>
      <w:r w:rsidR="00EF2A5C">
        <w:t xml:space="preserve"> translation</w:t>
      </w:r>
      <w:r>
        <w:t xml:space="preserve"> </w:t>
      </w:r>
      <w:r w:rsidR="002E793A">
        <w:t>device</w:t>
      </w:r>
      <w:r w:rsidR="00F652DE">
        <w:t xml:space="preserve"> or if </w:t>
      </w:r>
      <w:r w:rsidR="00EF2A5C">
        <w:t>the device</w:t>
      </w:r>
      <w:r w:rsidR="00F652DE">
        <w:t xml:space="preserve"> has been directed to be </w:t>
      </w:r>
      <w:r w:rsidR="00F55BC3">
        <w:t>retrieved</w:t>
      </w:r>
      <w:r w:rsidR="002E793A">
        <w:t xml:space="preserve">, </w:t>
      </w:r>
      <w:r>
        <w:t xml:space="preserve">it </w:t>
      </w:r>
      <w:r w:rsidR="003714D0">
        <w:t>must</w:t>
      </w:r>
      <w:r>
        <w:t xml:space="preserve"> be returned with all contents </w:t>
      </w:r>
      <w:r w:rsidR="002F6994">
        <w:t xml:space="preserve">and accessories </w:t>
      </w:r>
      <w:r>
        <w:t>to the Senior Director Detainee Services, or if not available</w:t>
      </w:r>
      <w:r w:rsidR="00B63774">
        <w:t>,</w:t>
      </w:r>
      <w:r>
        <w:t xml:space="preserve"> to the Director of Cultural Change.</w:t>
      </w:r>
    </w:p>
    <w:p w14:paraId="51956191" w14:textId="66327852" w:rsidR="000C6248" w:rsidRDefault="000C6248" w:rsidP="007D6976">
      <w:pPr>
        <w:pStyle w:val="Indenttext1"/>
      </w:pPr>
      <w:r>
        <w:t xml:space="preserve">A detainee may no longer require the </w:t>
      </w:r>
      <w:r w:rsidR="00EF2A5C">
        <w:t>translation device</w:t>
      </w:r>
      <w:r>
        <w:t xml:space="preserve"> for various reasons, including:</w:t>
      </w:r>
    </w:p>
    <w:p w14:paraId="53039E0B" w14:textId="4BE4F80A" w:rsidR="007D6976" w:rsidRDefault="000C6248" w:rsidP="008C795C">
      <w:pPr>
        <w:pStyle w:val="Indenttext2"/>
        <w:numPr>
          <w:ilvl w:val="0"/>
          <w:numId w:val="8"/>
        </w:numPr>
      </w:pPr>
      <w:r>
        <w:t>the detainee self-reports they are now confident in their capacity to communicate effectively in the English language</w:t>
      </w:r>
    </w:p>
    <w:p w14:paraId="38B7F428" w14:textId="393EC7FE" w:rsidR="000C6248" w:rsidRDefault="000C6248" w:rsidP="009E4E29">
      <w:pPr>
        <w:pStyle w:val="Indenttext2"/>
        <w:numPr>
          <w:ilvl w:val="0"/>
          <w:numId w:val="5"/>
        </w:numPr>
      </w:pPr>
      <w:r>
        <w:t xml:space="preserve">the detainee formally declines continued usage of </w:t>
      </w:r>
      <w:r w:rsidR="00EF2A5C">
        <w:t>the translation</w:t>
      </w:r>
      <w:r w:rsidR="002F6994">
        <w:t xml:space="preserve"> device</w:t>
      </w:r>
    </w:p>
    <w:p w14:paraId="5A7B3CC0" w14:textId="5FCBD121" w:rsidR="000C6248" w:rsidRPr="007D6976" w:rsidRDefault="000C6248" w:rsidP="000C6248">
      <w:pPr>
        <w:pStyle w:val="Indenttext2"/>
        <w:numPr>
          <w:ilvl w:val="0"/>
          <w:numId w:val="5"/>
        </w:numPr>
      </w:pPr>
      <w:r>
        <w:t>the detainee is released from custody.</w:t>
      </w:r>
    </w:p>
    <w:p w14:paraId="3718E2F7" w14:textId="388B2BD2" w:rsidR="002F6994" w:rsidRDefault="000C6248" w:rsidP="002F6994">
      <w:pPr>
        <w:pStyle w:val="Indenttext1"/>
      </w:pPr>
      <w:r>
        <w:t>Whenever a detainee returns a</w:t>
      </w:r>
      <w:r w:rsidR="00EF2A5C">
        <w:t xml:space="preserve"> translation</w:t>
      </w:r>
      <w:r>
        <w:t xml:space="preserve"> device to Detainee Services, </w:t>
      </w:r>
      <w:r w:rsidR="00CA30CB">
        <w:t xml:space="preserve">the Senior Director Detainee Services </w:t>
      </w:r>
      <w:r>
        <w:t xml:space="preserve">must </w:t>
      </w:r>
      <w:r w:rsidR="00CA30CB">
        <w:t xml:space="preserve">arrange for this to </w:t>
      </w:r>
      <w:r>
        <w:t>be case noted on the detainees’ electronic record.</w:t>
      </w:r>
    </w:p>
    <w:p w14:paraId="440CC225" w14:textId="77777777" w:rsidR="00641860" w:rsidRPr="007D6976" w:rsidRDefault="00641860" w:rsidP="007D6976">
      <w:pPr>
        <w:rPr>
          <w:rFonts w:cs="Arial"/>
        </w:rPr>
      </w:pPr>
    </w:p>
    <w:p w14:paraId="44B4AB4D" w14:textId="77777777" w:rsidR="00CF03FA" w:rsidRDefault="007B3718" w:rsidP="006268DA">
      <w:pPr>
        <w:pStyle w:val="Heading11"/>
      </w:pPr>
      <w:r w:rsidRPr="00F81FF3">
        <w:lastRenderedPageBreak/>
        <w:t xml:space="preserve">RELATED DOCUMENTS </w:t>
      </w:r>
    </w:p>
    <w:p w14:paraId="6D80A128" w14:textId="77777777" w:rsidR="000B411A" w:rsidRDefault="000B411A" w:rsidP="007D6976">
      <w:pPr>
        <w:pStyle w:val="RelatedDocuments"/>
      </w:pPr>
      <w:r>
        <w:t>Translation device approval form</w:t>
      </w:r>
    </w:p>
    <w:p w14:paraId="7F84C4BD" w14:textId="17748E37" w:rsidR="004116F3" w:rsidRPr="008C795C" w:rsidRDefault="004116F3" w:rsidP="007D6976">
      <w:pPr>
        <w:pStyle w:val="RelatedDocuments"/>
      </w:pPr>
      <w:r w:rsidRPr="008C795C">
        <w:t xml:space="preserve">JACS Cyber Security Policy </w:t>
      </w:r>
    </w:p>
    <w:p w14:paraId="62BA9877" w14:textId="728C2337" w:rsidR="001F595C" w:rsidRDefault="001F595C" w:rsidP="007D6976">
      <w:pPr>
        <w:pStyle w:val="RelatedDocuments"/>
      </w:pPr>
      <w:r w:rsidRPr="008C795C">
        <w:t xml:space="preserve">Detainee Communications Policy </w:t>
      </w:r>
    </w:p>
    <w:p w14:paraId="43CA4B0E" w14:textId="05D7B7A3" w:rsidR="00061083" w:rsidRDefault="00061083" w:rsidP="007D6976">
      <w:pPr>
        <w:pStyle w:val="RelatedDocuments"/>
      </w:pPr>
      <w:r>
        <w:t>Interpreter Service Operating Procedure</w:t>
      </w:r>
    </w:p>
    <w:p w14:paraId="6C03199B" w14:textId="22615A9C" w:rsidR="00F81148" w:rsidRDefault="00F81148" w:rsidP="007D6976">
      <w:pPr>
        <w:pStyle w:val="RelatedDocuments"/>
      </w:pPr>
      <w:r>
        <w:t>ACTPS Care and Custody of Assets – Standard Operating Procedure</w:t>
      </w:r>
    </w:p>
    <w:p w14:paraId="0778FF2B" w14:textId="4E1CFB3E" w:rsidR="001F3AD2" w:rsidRPr="008C795C" w:rsidRDefault="001F3AD2" w:rsidP="007D6976">
      <w:pPr>
        <w:pStyle w:val="RelatedDocuments"/>
      </w:pPr>
      <w:r>
        <w:t>Ethical Conduct Policy</w:t>
      </w:r>
    </w:p>
    <w:p w14:paraId="59A607D8" w14:textId="77777777" w:rsidR="00B84A5B" w:rsidRDefault="00B84A5B" w:rsidP="00B84A5B">
      <w:pPr>
        <w:rPr>
          <w:rFonts w:cs="Arial"/>
        </w:rPr>
      </w:pPr>
    </w:p>
    <w:p w14:paraId="1533F069" w14:textId="77777777" w:rsidR="009D2AE9" w:rsidRDefault="009D2AE9" w:rsidP="00E4484A">
      <w:pPr>
        <w:pStyle w:val="NoSpacing"/>
        <w:spacing w:line="276" w:lineRule="auto"/>
      </w:pPr>
    </w:p>
    <w:p w14:paraId="3F2BD76B" w14:textId="77777777" w:rsidR="009D2AE9" w:rsidRDefault="009D2AE9" w:rsidP="00E4484A">
      <w:pPr>
        <w:pStyle w:val="NoSpacing"/>
        <w:spacing w:line="276" w:lineRule="auto"/>
      </w:pPr>
    </w:p>
    <w:p w14:paraId="1FEE4E8E" w14:textId="77777777" w:rsidR="009D2AE9" w:rsidRDefault="009D2AE9" w:rsidP="00E4484A">
      <w:pPr>
        <w:pStyle w:val="NoSpacing"/>
        <w:spacing w:line="276" w:lineRule="auto"/>
      </w:pPr>
    </w:p>
    <w:p w14:paraId="5187C628" w14:textId="0CAFC23B" w:rsidR="00B84A5B" w:rsidRDefault="0024649E" w:rsidP="00E4484A">
      <w:pPr>
        <w:pStyle w:val="NoSpacing"/>
        <w:spacing w:line="276" w:lineRule="auto"/>
      </w:pPr>
      <w:r>
        <w:t>James Taylor-Dayus</w:t>
      </w:r>
    </w:p>
    <w:p w14:paraId="60C9BA74" w14:textId="77891032" w:rsidR="00925989" w:rsidRDefault="0024649E" w:rsidP="00E4484A">
      <w:pPr>
        <w:pStyle w:val="NoSpacing"/>
        <w:spacing w:line="276" w:lineRule="auto"/>
      </w:pPr>
      <w:r>
        <w:t xml:space="preserve">Acting </w:t>
      </w:r>
      <w:r w:rsidR="0051647C">
        <w:t>Assistant Commissioner Custodial Operations</w:t>
      </w:r>
      <w:r w:rsidR="00202B3A">
        <w:br/>
        <w:t xml:space="preserve">ACT Corrective Services </w:t>
      </w:r>
    </w:p>
    <w:p w14:paraId="3602F0BF" w14:textId="79ABBADA" w:rsidR="00925989" w:rsidRDefault="00925989" w:rsidP="00E4484A">
      <w:pPr>
        <w:pStyle w:val="NoSpacing"/>
        <w:spacing w:line="276" w:lineRule="auto"/>
      </w:pPr>
      <w:r>
        <w:t xml:space="preserve">  </w:t>
      </w:r>
      <w:r w:rsidR="007468FF">
        <w:t>4</w:t>
      </w:r>
      <w:r w:rsidR="007D6976">
        <w:t xml:space="preserve"> </w:t>
      </w:r>
      <w:r w:rsidR="0024649E">
        <w:t>February</w:t>
      </w:r>
      <w:r w:rsidR="007D1A8E">
        <w:t xml:space="preserve"> 2025</w:t>
      </w:r>
    </w:p>
    <w:p w14:paraId="5924CD95" w14:textId="77777777" w:rsidR="002C0603" w:rsidRDefault="002C0603" w:rsidP="00B84A5B">
      <w:pPr>
        <w:rPr>
          <w:rFonts w:cs="Arial"/>
        </w:rPr>
      </w:pPr>
    </w:p>
    <w:p w14:paraId="21E4D0D5" w14:textId="77777777"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008"/>
      </w:tblGrid>
      <w:tr w:rsidR="005E011D" w:rsidRPr="00586F66" w14:paraId="62A4F450" w14:textId="77777777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2C3EF6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785D6D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5E011D" w:rsidRPr="00586F66" w14:paraId="74685AC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3D997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358CD3" w14:textId="2B18419D" w:rsidR="005E011D" w:rsidRPr="00A81503" w:rsidRDefault="0037423E" w:rsidP="000C15FB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Corrections Management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51647C">
              <w:rPr>
                <w:rFonts w:ascii="Calibri" w:hAnsi="Calibri"/>
                <w:i/>
                <w:iCs/>
                <w:sz w:val="20"/>
                <w:szCs w:val="20"/>
              </w:rPr>
              <w:t xml:space="preserve">Detainee Translation </w:t>
            </w:r>
            <w:r w:rsidR="00CA72B6">
              <w:rPr>
                <w:rFonts w:ascii="Calibri" w:hAnsi="Calibri"/>
                <w:i/>
                <w:iCs/>
                <w:sz w:val="20"/>
                <w:szCs w:val="20"/>
              </w:rPr>
              <w:t>Device</w:t>
            </w:r>
            <w:r w:rsidR="0051647C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641860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Operating </w:t>
            </w:r>
            <w:r w:rsidR="004D1932" w:rsidRPr="00A81503">
              <w:rPr>
                <w:rFonts w:ascii="Calibri" w:hAnsi="Calibri"/>
                <w:i/>
                <w:iCs/>
                <w:sz w:val="20"/>
                <w:szCs w:val="20"/>
              </w:rPr>
              <w:t>Procedure</w:t>
            </w:r>
            <w:r w:rsidR="00895F9F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C629AB" w:rsidRPr="00A81503">
              <w:rPr>
                <w:rFonts w:ascii="Calibri" w:hAnsi="Calibri"/>
                <w:i/>
                <w:iCs/>
                <w:sz w:val="20"/>
                <w:szCs w:val="20"/>
              </w:rPr>
              <w:t>202</w:t>
            </w:r>
            <w:r w:rsidR="0024649E">
              <w:rPr>
                <w:rFonts w:ascii="Calibri" w:hAnsi="Calibri"/>
                <w:i/>
                <w:iCs/>
                <w:sz w:val="20"/>
                <w:szCs w:val="20"/>
              </w:rPr>
              <w:t>5</w:t>
            </w:r>
          </w:p>
        </w:tc>
      </w:tr>
      <w:tr w:rsidR="005E011D" w:rsidRPr="00586F66" w14:paraId="2D66ECDB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6FACA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3F8890" w14:textId="0F4DE49C" w:rsidR="005E011D" w:rsidRPr="00586F66" w:rsidRDefault="004B3004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Assistant Commissioner Custodial </w:t>
            </w:r>
            <w:r w:rsidR="00280736">
              <w:rPr>
                <w:rFonts w:ascii="Calibri" w:hAnsi="Calibri"/>
                <w:sz w:val="20"/>
                <w:szCs w:val="20"/>
              </w:rPr>
              <w:t>Operations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5E011D" w:rsidRPr="00586F66" w14:paraId="2A82A39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9960CD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3911B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586F66" w14:paraId="2BC3008F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CA5ED2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A49A5F" w14:textId="2F4E923E" w:rsidR="005E011D" w:rsidRPr="00586F66" w:rsidRDefault="002227CA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F85168"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586F66" w14:paraId="52B0205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F943D0" w14:textId="77777777" w:rsidR="00CF03FA" w:rsidRPr="00586F66" w:rsidRDefault="00CF03FA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B88E8" w14:textId="2F254281" w:rsidR="00CF03FA" w:rsidRPr="00586F66" w:rsidRDefault="00280736" w:rsidP="007B371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Director, Cultural Change</w:t>
            </w:r>
          </w:p>
        </w:tc>
      </w:tr>
      <w:tr w:rsidR="007B3718" w:rsidRPr="00586F66" w14:paraId="7A48392C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D5B7AB" w14:textId="77777777" w:rsidR="007B3718" w:rsidRPr="00586F66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F403F3" w14:textId="4E71890B" w:rsidR="007B3718" w:rsidRPr="00586F66" w:rsidRDefault="007B3718" w:rsidP="00E4484A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>This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5168">
              <w:rPr>
                <w:rFonts w:asciiTheme="minorHAnsi" w:hAnsiTheme="minorHAnsi"/>
                <w:sz w:val="20"/>
                <w:szCs w:val="20"/>
              </w:rPr>
              <w:t xml:space="preserve">operating </w:t>
            </w:r>
            <w:r w:rsidR="00E4484A">
              <w:rPr>
                <w:rFonts w:asciiTheme="minorHAnsi" w:hAnsiTheme="minorHAnsi"/>
                <w:sz w:val="20"/>
                <w:szCs w:val="20"/>
              </w:rPr>
              <w:t>procedure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reflects the requirements of the 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Corrections Management (Policy</w:t>
            </w:r>
            <w:r w:rsidR="00202B3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Framework</w:t>
            </w:r>
            <w:r w:rsidR="00C20E72">
              <w:rPr>
                <w:rFonts w:asciiTheme="minorHAnsi" w:hAnsiTheme="minorHAnsi"/>
                <w:i/>
                <w:iCs/>
                <w:sz w:val="20"/>
                <w:szCs w:val="20"/>
              </w:rPr>
              <w:t>) Policy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629AB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  <w:r w:rsidR="00C629AB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2227CA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  <w:tr w:rsidR="005E011D" w:rsidRPr="00586F66" w14:paraId="27FE4371" w14:textId="77777777" w:rsidTr="00840B4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0FEBDB" w14:textId="77777777" w:rsidR="005E011D" w:rsidRDefault="005E011D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  <w:tbl>
            <w:tblPr>
              <w:tblStyle w:val="TableGrid"/>
              <w:tblW w:w="85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055"/>
              <w:gridCol w:w="2283"/>
              <w:gridCol w:w="2062"/>
              <w:gridCol w:w="2156"/>
            </w:tblGrid>
            <w:tr w:rsidR="00EF4141" w:rsidRPr="00B11C0C" w14:paraId="26B7955B" w14:textId="77777777" w:rsidTr="00EF4141">
              <w:trPr>
                <w:trHeight w:val="395"/>
              </w:trPr>
              <w:tc>
                <w:tcPr>
                  <w:tcW w:w="0" w:type="auto"/>
                  <w:gridSpan w:val="4"/>
                  <w:shd w:val="clear" w:color="auto" w:fill="F2F2F2" w:themeFill="background1" w:themeFillShade="F2"/>
                </w:tcPr>
                <w:p w14:paraId="27D80EAC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Control </w:t>
                  </w:r>
                </w:p>
              </w:tc>
            </w:tr>
            <w:tr w:rsidR="00FB1FF2" w:rsidRPr="00B11C0C" w14:paraId="1D44FEC6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6BE998BA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no. </w:t>
                  </w:r>
                </w:p>
              </w:tc>
              <w:tc>
                <w:tcPr>
                  <w:tcW w:w="0" w:type="auto"/>
                </w:tcPr>
                <w:p w14:paraId="7B94FB26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0" w:type="auto"/>
                </w:tcPr>
                <w:p w14:paraId="1D73CA15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</w:tcPr>
                <w:p w14:paraId="7E1C430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Author</w:t>
                  </w:r>
                </w:p>
              </w:tc>
            </w:tr>
            <w:tr w:rsidR="00FB1FF2" w:rsidRPr="00B11C0C" w14:paraId="78C62208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7AEEBC7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V1</w:t>
                  </w:r>
                </w:p>
              </w:tc>
              <w:tc>
                <w:tcPr>
                  <w:tcW w:w="0" w:type="auto"/>
                </w:tcPr>
                <w:p w14:paraId="33C1B09F" w14:textId="67D98F9C" w:rsidR="00EF4141" w:rsidRPr="00B11C0C" w:rsidRDefault="007D1A8E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January 2025</w:t>
                  </w:r>
                </w:p>
              </w:tc>
              <w:tc>
                <w:tcPr>
                  <w:tcW w:w="0" w:type="auto"/>
                </w:tcPr>
                <w:p w14:paraId="28A19A02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First Issued</w:t>
                  </w:r>
                </w:p>
              </w:tc>
              <w:tc>
                <w:tcPr>
                  <w:tcW w:w="0" w:type="auto"/>
                </w:tcPr>
                <w:p w14:paraId="5A9DF4D3" w14:textId="11D665BD" w:rsidR="00EF4141" w:rsidRPr="00B11C0C" w:rsidRDefault="00EF2A5C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M McKenzie</w:t>
                  </w:r>
                </w:p>
              </w:tc>
            </w:tr>
          </w:tbl>
          <w:p w14:paraId="087913EE" w14:textId="1B33ECCB" w:rsidR="00EF4141" w:rsidRPr="00586F66" w:rsidRDefault="00EF4141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76ED977F" w14:textId="77777777" w:rsidR="005E011D" w:rsidRDefault="005E011D" w:rsidP="005E011D">
      <w:pPr>
        <w:rPr>
          <w:rFonts w:ascii="Arial" w:hAnsi="Arial" w:cs="Arial"/>
          <w:sz w:val="24"/>
          <w:szCs w:val="24"/>
        </w:rPr>
      </w:pPr>
    </w:p>
    <w:sectPr w:rsidR="005E011D" w:rsidSect="00B87A7D">
      <w:headerReference w:type="first" r:id="rId14"/>
      <w:footerReference w:type="first" r:id="rId15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480F" w14:textId="77777777" w:rsidR="00656EEA" w:rsidRDefault="00656EEA" w:rsidP="00152D5E">
      <w:pPr>
        <w:spacing w:after="0" w:line="240" w:lineRule="auto"/>
      </w:pPr>
      <w:r>
        <w:separator/>
      </w:r>
    </w:p>
  </w:endnote>
  <w:endnote w:type="continuationSeparator" w:id="0">
    <w:p w14:paraId="6B559C80" w14:textId="77777777" w:rsidR="00656EEA" w:rsidRDefault="00656EEA" w:rsidP="00152D5E">
      <w:pPr>
        <w:spacing w:after="0" w:line="240" w:lineRule="auto"/>
      </w:pPr>
      <w:r>
        <w:continuationSeparator/>
      </w:r>
    </w:p>
  </w:endnote>
  <w:endnote w:type="continuationNotice" w:id="1">
    <w:p w14:paraId="1B1E5C6B" w14:textId="77777777" w:rsidR="00656EEA" w:rsidRDefault="00656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2735" w14:textId="77777777" w:rsidR="00B20DFA" w:rsidRDefault="00B20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CE0D445" w14:textId="0EAB5D91" w:rsidR="004B64FC" w:rsidRPr="00CA573D" w:rsidRDefault="00FB2C79" w:rsidP="006A5E20">
            <w:pPr>
              <w:pStyle w:val="Footer"/>
              <w:jc w:val="right"/>
              <w:rPr>
                <w:rFonts w:ascii="Calibri" w:hAnsi="Calibri"/>
                <w:szCs w:val="18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   </w:t>
            </w:r>
          </w:p>
          <w:p w14:paraId="66577A27" w14:textId="77777777" w:rsidR="00B20DFA" w:rsidRDefault="00B20DFA" w:rsidP="00CA573D">
            <w:pPr>
              <w:pStyle w:val="Footer"/>
              <w:jc w:val="center"/>
              <w:rPr>
                <w:rFonts w:ascii="Calibri" w:hAnsi="Calibri"/>
                <w:sz w:val="20"/>
                <w:szCs w:val="20"/>
              </w:rPr>
            </w:pPr>
          </w:p>
        </w:sdtContent>
      </w:sdt>
    </w:sdtContent>
  </w:sdt>
  <w:p w14:paraId="4184CD10" w14:textId="44F60D13" w:rsidR="00FB2C79" w:rsidRPr="00B20DFA" w:rsidRDefault="00B20DFA" w:rsidP="00B20DFA">
    <w:pPr>
      <w:pStyle w:val="Footer"/>
      <w:jc w:val="center"/>
      <w:rPr>
        <w:rFonts w:ascii="Arial" w:hAnsi="Arial" w:cs="Arial"/>
        <w:sz w:val="14"/>
        <w:szCs w:val="20"/>
      </w:rPr>
    </w:pPr>
    <w:r w:rsidRPr="00B20DFA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BA2E" w14:textId="162A1E09" w:rsidR="008A36D1" w:rsidRPr="00B20DFA" w:rsidRDefault="00B20DFA" w:rsidP="00B20DFA">
    <w:pPr>
      <w:pStyle w:val="Footer"/>
      <w:jc w:val="center"/>
      <w:rPr>
        <w:rFonts w:ascii="Arial" w:hAnsi="Arial" w:cs="Arial"/>
        <w:sz w:val="14"/>
        <w:szCs w:val="14"/>
      </w:rPr>
    </w:pPr>
    <w:r w:rsidRPr="00B20DF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5DB2" w14:textId="36D67CDF" w:rsidR="00B87A7D" w:rsidRPr="00B20DFA" w:rsidRDefault="00B20DFA" w:rsidP="00B20DFA">
    <w:pPr>
      <w:pStyle w:val="Footer"/>
      <w:jc w:val="center"/>
      <w:rPr>
        <w:rFonts w:ascii="Arial" w:hAnsi="Arial" w:cs="Arial"/>
        <w:sz w:val="14"/>
        <w:szCs w:val="14"/>
      </w:rPr>
    </w:pPr>
    <w:r w:rsidRPr="00B20DF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DCCC" w14:textId="77777777" w:rsidR="00656EEA" w:rsidRDefault="00656EEA" w:rsidP="00152D5E">
      <w:pPr>
        <w:spacing w:after="0" w:line="240" w:lineRule="auto"/>
      </w:pPr>
      <w:r>
        <w:separator/>
      </w:r>
    </w:p>
  </w:footnote>
  <w:footnote w:type="continuationSeparator" w:id="0">
    <w:p w14:paraId="376498E0" w14:textId="77777777" w:rsidR="00656EEA" w:rsidRDefault="00656EEA" w:rsidP="00152D5E">
      <w:pPr>
        <w:spacing w:after="0" w:line="240" w:lineRule="auto"/>
      </w:pPr>
      <w:r>
        <w:continuationSeparator/>
      </w:r>
    </w:p>
  </w:footnote>
  <w:footnote w:type="continuationNotice" w:id="1">
    <w:p w14:paraId="05BA2CAE" w14:textId="77777777" w:rsidR="00656EEA" w:rsidRDefault="00656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BCD7" w14:textId="77777777" w:rsidR="00B20DFA" w:rsidRDefault="00B2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9C50" w14:textId="77777777" w:rsidR="00B20DFA" w:rsidRDefault="00B2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BC2E" w14:textId="77777777" w:rsidR="00B20DFA" w:rsidRDefault="00B20D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7EEE" w14:textId="77777777" w:rsidR="00B87A7D" w:rsidRDefault="00B87A7D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0F346B49" wp14:editId="690478CE">
          <wp:extent cx="2190750" cy="676275"/>
          <wp:effectExtent l="19050" t="0" r="0" b="0"/>
          <wp:docPr id="315760257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</w:p>
  <w:p w14:paraId="145154F1" w14:textId="77777777" w:rsidR="00B87A7D" w:rsidRDefault="00B87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38C"/>
    <w:multiLevelType w:val="hybridMultilevel"/>
    <w:tmpl w:val="2C1A543E"/>
    <w:lvl w:ilvl="0" w:tplc="EA1260E2">
      <w:start w:val="1"/>
      <w:numFmt w:val="lowerLetter"/>
      <w:pStyle w:val="Indenttext2"/>
      <w:lvlText w:val="%1.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D25D08"/>
    <w:multiLevelType w:val="hybridMultilevel"/>
    <w:tmpl w:val="8F8A36D8"/>
    <w:lvl w:ilvl="0" w:tplc="6FE89A4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030AF41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B24A391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EEDABD8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A466726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8126FC0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4570273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6F4E9BC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3F447EB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2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39B7037"/>
    <w:multiLevelType w:val="hybridMultilevel"/>
    <w:tmpl w:val="DC542CB6"/>
    <w:lvl w:ilvl="0" w:tplc="938261E2">
      <w:start w:val="1"/>
      <w:numFmt w:val="bullet"/>
      <w:pStyle w:val="RelatedDocu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0596B"/>
    <w:multiLevelType w:val="hybridMultilevel"/>
    <w:tmpl w:val="4FD058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12A53"/>
    <w:multiLevelType w:val="multilevel"/>
    <w:tmpl w:val="8AAA3F0E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653269">
    <w:abstractNumId w:val="5"/>
  </w:num>
  <w:num w:numId="2" w16cid:durableId="1028021632">
    <w:abstractNumId w:val="0"/>
  </w:num>
  <w:num w:numId="3" w16cid:durableId="1700202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623043">
    <w:abstractNumId w:val="0"/>
  </w:num>
  <w:num w:numId="5" w16cid:durableId="323318936">
    <w:abstractNumId w:val="0"/>
    <w:lvlOverride w:ilvl="0">
      <w:startOverride w:val="1"/>
    </w:lvlOverride>
  </w:num>
  <w:num w:numId="6" w16cid:durableId="575945362">
    <w:abstractNumId w:val="3"/>
  </w:num>
  <w:num w:numId="7" w16cid:durableId="2077585384">
    <w:abstractNumId w:val="0"/>
  </w:num>
  <w:num w:numId="8" w16cid:durableId="866679620">
    <w:abstractNumId w:val="0"/>
    <w:lvlOverride w:ilvl="0">
      <w:startOverride w:val="1"/>
    </w:lvlOverride>
  </w:num>
  <w:num w:numId="9" w16cid:durableId="930309390">
    <w:abstractNumId w:val="4"/>
  </w:num>
  <w:num w:numId="10" w16cid:durableId="41663613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A4"/>
    <w:rsid w:val="000100D2"/>
    <w:rsid w:val="00011C01"/>
    <w:rsid w:val="00012A69"/>
    <w:rsid w:val="000135CE"/>
    <w:rsid w:val="00033447"/>
    <w:rsid w:val="000428A3"/>
    <w:rsid w:val="000458C7"/>
    <w:rsid w:val="00046A90"/>
    <w:rsid w:val="000551DD"/>
    <w:rsid w:val="00061083"/>
    <w:rsid w:val="00071198"/>
    <w:rsid w:val="00080049"/>
    <w:rsid w:val="0008506A"/>
    <w:rsid w:val="000B411A"/>
    <w:rsid w:val="000B4C86"/>
    <w:rsid w:val="000B7E7B"/>
    <w:rsid w:val="000C15FB"/>
    <w:rsid w:val="000C6248"/>
    <w:rsid w:val="000C7B6F"/>
    <w:rsid w:val="000E7F24"/>
    <w:rsid w:val="000F21C2"/>
    <w:rsid w:val="000F31C0"/>
    <w:rsid w:val="0010638B"/>
    <w:rsid w:val="001111F8"/>
    <w:rsid w:val="001127C2"/>
    <w:rsid w:val="00115ACD"/>
    <w:rsid w:val="00122A40"/>
    <w:rsid w:val="001230CE"/>
    <w:rsid w:val="00132DBB"/>
    <w:rsid w:val="00140DA4"/>
    <w:rsid w:val="00141BD0"/>
    <w:rsid w:val="00141E42"/>
    <w:rsid w:val="001504B0"/>
    <w:rsid w:val="00152066"/>
    <w:rsid w:val="00152D5E"/>
    <w:rsid w:val="00162B50"/>
    <w:rsid w:val="00173EF5"/>
    <w:rsid w:val="001764CE"/>
    <w:rsid w:val="001853B3"/>
    <w:rsid w:val="00186D48"/>
    <w:rsid w:val="001A50E7"/>
    <w:rsid w:val="001A677B"/>
    <w:rsid w:val="001B01B8"/>
    <w:rsid w:val="001B6254"/>
    <w:rsid w:val="001B6520"/>
    <w:rsid w:val="001C383B"/>
    <w:rsid w:val="001C38A0"/>
    <w:rsid w:val="001D66E3"/>
    <w:rsid w:val="001E0DC9"/>
    <w:rsid w:val="001E68D1"/>
    <w:rsid w:val="001F10E7"/>
    <w:rsid w:val="001F3AD2"/>
    <w:rsid w:val="001F595C"/>
    <w:rsid w:val="00201EF2"/>
    <w:rsid w:val="00202B3A"/>
    <w:rsid w:val="0021108E"/>
    <w:rsid w:val="00215BD6"/>
    <w:rsid w:val="002200AC"/>
    <w:rsid w:val="00221FA3"/>
    <w:rsid w:val="002227CA"/>
    <w:rsid w:val="00224981"/>
    <w:rsid w:val="002252C0"/>
    <w:rsid w:val="00230001"/>
    <w:rsid w:val="002363B0"/>
    <w:rsid w:val="00242E69"/>
    <w:rsid w:val="0024649E"/>
    <w:rsid w:val="00252E13"/>
    <w:rsid w:val="00264296"/>
    <w:rsid w:val="00271E68"/>
    <w:rsid w:val="00272CE7"/>
    <w:rsid w:val="00280736"/>
    <w:rsid w:val="002826FB"/>
    <w:rsid w:val="00283EE0"/>
    <w:rsid w:val="00287266"/>
    <w:rsid w:val="00293BFD"/>
    <w:rsid w:val="002948BB"/>
    <w:rsid w:val="002A0376"/>
    <w:rsid w:val="002A2DE1"/>
    <w:rsid w:val="002A59E1"/>
    <w:rsid w:val="002B093C"/>
    <w:rsid w:val="002B3CE1"/>
    <w:rsid w:val="002C0603"/>
    <w:rsid w:val="002C7846"/>
    <w:rsid w:val="002D1603"/>
    <w:rsid w:val="002D1B52"/>
    <w:rsid w:val="002E07CD"/>
    <w:rsid w:val="002E31A9"/>
    <w:rsid w:val="002E57AE"/>
    <w:rsid w:val="002E793A"/>
    <w:rsid w:val="002F6994"/>
    <w:rsid w:val="002F6E5A"/>
    <w:rsid w:val="00302352"/>
    <w:rsid w:val="00302B09"/>
    <w:rsid w:val="00304641"/>
    <w:rsid w:val="0031239E"/>
    <w:rsid w:val="00313437"/>
    <w:rsid w:val="00314A6D"/>
    <w:rsid w:val="00327284"/>
    <w:rsid w:val="0033285F"/>
    <w:rsid w:val="00335431"/>
    <w:rsid w:val="003379EF"/>
    <w:rsid w:val="00340868"/>
    <w:rsid w:val="003435DD"/>
    <w:rsid w:val="003449F8"/>
    <w:rsid w:val="00345311"/>
    <w:rsid w:val="003517F3"/>
    <w:rsid w:val="00353E50"/>
    <w:rsid w:val="003714D0"/>
    <w:rsid w:val="0037423E"/>
    <w:rsid w:val="003845D9"/>
    <w:rsid w:val="00390390"/>
    <w:rsid w:val="00392B52"/>
    <w:rsid w:val="003964A5"/>
    <w:rsid w:val="00397232"/>
    <w:rsid w:val="003A2E5D"/>
    <w:rsid w:val="003A3124"/>
    <w:rsid w:val="003A3CF7"/>
    <w:rsid w:val="003A6D9E"/>
    <w:rsid w:val="003A7DC3"/>
    <w:rsid w:val="003B0384"/>
    <w:rsid w:val="003B2F7D"/>
    <w:rsid w:val="003B3B72"/>
    <w:rsid w:val="003C4C1C"/>
    <w:rsid w:val="003C5E5F"/>
    <w:rsid w:val="003C6EB2"/>
    <w:rsid w:val="003D5E7F"/>
    <w:rsid w:val="003E50EC"/>
    <w:rsid w:val="003F2522"/>
    <w:rsid w:val="003F5C7D"/>
    <w:rsid w:val="00402430"/>
    <w:rsid w:val="00405E0B"/>
    <w:rsid w:val="00407EE1"/>
    <w:rsid w:val="004116F3"/>
    <w:rsid w:val="004135BE"/>
    <w:rsid w:val="004139EA"/>
    <w:rsid w:val="0041441F"/>
    <w:rsid w:val="0041603D"/>
    <w:rsid w:val="004175E0"/>
    <w:rsid w:val="00421354"/>
    <w:rsid w:val="00425558"/>
    <w:rsid w:val="00425E26"/>
    <w:rsid w:val="004313B1"/>
    <w:rsid w:val="00431D3D"/>
    <w:rsid w:val="004404BE"/>
    <w:rsid w:val="00445030"/>
    <w:rsid w:val="00453947"/>
    <w:rsid w:val="00456AD2"/>
    <w:rsid w:val="00461C8B"/>
    <w:rsid w:val="004658C8"/>
    <w:rsid w:val="0046695A"/>
    <w:rsid w:val="00471864"/>
    <w:rsid w:val="004740A6"/>
    <w:rsid w:val="00484860"/>
    <w:rsid w:val="004868D7"/>
    <w:rsid w:val="0049040B"/>
    <w:rsid w:val="00493536"/>
    <w:rsid w:val="004A092E"/>
    <w:rsid w:val="004A0E69"/>
    <w:rsid w:val="004A7D16"/>
    <w:rsid w:val="004B121B"/>
    <w:rsid w:val="004B23E0"/>
    <w:rsid w:val="004B2F47"/>
    <w:rsid w:val="004B3004"/>
    <w:rsid w:val="004B4690"/>
    <w:rsid w:val="004B64FC"/>
    <w:rsid w:val="004C28FE"/>
    <w:rsid w:val="004D108E"/>
    <w:rsid w:val="004D1932"/>
    <w:rsid w:val="004E2B2A"/>
    <w:rsid w:val="00500EAE"/>
    <w:rsid w:val="005020AB"/>
    <w:rsid w:val="005051FB"/>
    <w:rsid w:val="00510017"/>
    <w:rsid w:val="00510235"/>
    <w:rsid w:val="0051647C"/>
    <w:rsid w:val="005167F7"/>
    <w:rsid w:val="00516FDD"/>
    <w:rsid w:val="00522D99"/>
    <w:rsid w:val="00532730"/>
    <w:rsid w:val="005359F3"/>
    <w:rsid w:val="00537C32"/>
    <w:rsid w:val="005506B4"/>
    <w:rsid w:val="00552D95"/>
    <w:rsid w:val="00560CC4"/>
    <w:rsid w:val="00562826"/>
    <w:rsid w:val="00563752"/>
    <w:rsid w:val="0057029F"/>
    <w:rsid w:val="00582DD2"/>
    <w:rsid w:val="00586F66"/>
    <w:rsid w:val="005A4376"/>
    <w:rsid w:val="005A4A45"/>
    <w:rsid w:val="005A6F4E"/>
    <w:rsid w:val="005A794E"/>
    <w:rsid w:val="005B00DD"/>
    <w:rsid w:val="005B1CC6"/>
    <w:rsid w:val="005C4C28"/>
    <w:rsid w:val="005C584E"/>
    <w:rsid w:val="005C627A"/>
    <w:rsid w:val="005D2BB7"/>
    <w:rsid w:val="005D504A"/>
    <w:rsid w:val="005E011D"/>
    <w:rsid w:val="005E33B4"/>
    <w:rsid w:val="005F0E8C"/>
    <w:rsid w:val="005F2E80"/>
    <w:rsid w:val="005F51C6"/>
    <w:rsid w:val="005F70A8"/>
    <w:rsid w:val="00604C74"/>
    <w:rsid w:val="00606354"/>
    <w:rsid w:val="00610DF9"/>
    <w:rsid w:val="006145F6"/>
    <w:rsid w:val="00615102"/>
    <w:rsid w:val="00620BBF"/>
    <w:rsid w:val="00622D3C"/>
    <w:rsid w:val="006268DA"/>
    <w:rsid w:val="00634849"/>
    <w:rsid w:val="00640471"/>
    <w:rsid w:val="00641860"/>
    <w:rsid w:val="00656EEA"/>
    <w:rsid w:val="0067063B"/>
    <w:rsid w:val="00673E1E"/>
    <w:rsid w:val="00682079"/>
    <w:rsid w:val="00685028"/>
    <w:rsid w:val="00685F05"/>
    <w:rsid w:val="00686CE7"/>
    <w:rsid w:val="006A5E20"/>
    <w:rsid w:val="006F301F"/>
    <w:rsid w:val="006F3F09"/>
    <w:rsid w:val="007023C7"/>
    <w:rsid w:val="00707A71"/>
    <w:rsid w:val="007104EA"/>
    <w:rsid w:val="007122C1"/>
    <w:rsid w:val="007159F1"/>
    <w:rsid w:val="00725E8F"/>
    <w:rsid w:val="0073253B"/>
    <w:rsid w:val="007359A0"/>
    <w:rsid w:val="007368A9"/>
    <w:rsid w:val="00737195"/>
    <w:rsid w:val="00737D4C"/>
    <w:rsid w:val="0074174B"/>
    <w:rsid w:val="00741C56"/>
    <w:rsid w:val="007468FF"/>
    <w:rsid w:val="00750570"/>
    <w:rsid w:val="0076023F"/>
    <w:rsid w:val="00766619"/>
    <w:rsid w:val="00767337"/>
    <w:rsid w:val="00780A2D"/>
    <w:rsid w:val="00782A7B"/>
    <w:rsid w:val="00783EF0"/>
    <w:rsid w:val="00786FE8"/>
    <w:rsid w:val="00791154"/>
    <w:rsid w:val="007A4B84"/>
    <w:rsid w:val="007A55E0"/>
    <w:rsid w:val="007B2D71"/>
    <w:rsid w:val="007B3718"/>
    <w:rsid w:val="007C1007"/>
    <w:rsid w:val="007C37D7"/>
    <w:rsid w:val="007C4FCB"/>
    <w:rsid w:val="007D1A8E"/>
    <w:rsid w:val="007D1D59"/>
    <w:rsid w:val="007D6976"/>
    <w:rsid w:val="007D6F72"/>
    <w:rsid w:val="007E3F60"/>
    <w:rsid w:val="007E54B7"/>
    <w:rsid w:val="007E7ADC"/>
    <w:rsid w:val="007F5F86"/>
    <w:rsid w:val="008027A9"/>
    <w:rsid w:val="00803CCC"/>
    <w:rsid w:val="00804E3A"/>
    <w:rsid w:val="00813678"/>
    <w:rsid w:val="00814B99"/>
    <w:rsid w:val="00820911"/>
    <w:rsid w:val="00820C1B"/>
    <w:rsid w:val="00822096"/>
    <w:rsid w:val="0082259A"/>
    <w:rsid w:val="00840B46"/>
    <w:rsid w:val="008501F8"/>
    <w:rsid w:val="00853BE2"/>
    <w:rsid w:val="00856433"/>
    <w:rsid w:val="00857399"/>
    <w:rsid w:val="00865278"/>
    <w:rsid w:val="00881556"/>
    <w:rsid w:val="00882AB2"/>
    <w:rsid w:val="008832A2"/>
    <w:rsid w:val="00883B30"/>
    <w:rsid w:val="00887315"/>
    <w:rsid w:val="008901C5"/>
    <w:rsid w:val="0089144A"/>
    <w:rsid w:val="00892211"/>
    <w:rsid w:val="0089472C"/>
    <w:rsid w:val="00895845"/>
    <w:rsid w:val="00895F9F"/>
    <w:rsid w:val="008A2CFA"/>
    <w:rsid w:val="008A36D1"/>
    <w:rsid w:val="008A7DB4"/>
    <w:rsid w:val="008B3ABC"/>
    <w:rsid w:val="008C07D5"/>
    <w:rsid w:val="008C1D7D"/>
    <w:rsid w:val="008C795C"/>
    <w:rsid w:val="008D2F73"/>
    <w:rsid w:val="008D7964"/>
    <w:rsid w:val="008E2F14"/>
    <w:rsid w:val="008E6267"/>
    <w:rsid w:val="008E7151"/>
    <w:rsid w:val="008F18E1"/>
    <w:rsid w:val="008F5114"/>
    <w:rsid w:val="009000CA"/>
    <w:rsid w:val="009040AE"/>
    <w:rsid w:val="00904362"/>
    <w:rsid w:val="00906C32"/>
    <w:rsid w:val="009205FB"/>
    <w:rsid w:val="009227D3"/>
    <w:rsid w:val="00925989"/>
    <w:rsid w:val="00934076"/>
    <w:rsid w:val="00936397"/>
    <w:rsid w:val="00947E61"/>
    <w:rsid w:val="00951D8F"/>
    <w:rsid w:val="0095393D"/>
    <w:rsid w:val="009545D4"/>
    <w:rsid w:val="00954967"/>
    <w:rsid w:val="00963282"/>
    <w:rsid w:val="00970387"/>
    <w:rsid w:val="00974E7D"/>
    <w:rsid w:val="009839B3"/>
    <w:rsid w:val="00986715"/>
    <w:rsid w:val="009A1FBC"/>
    <w:rsid w:val="009A3FB1"/>
    <w:rsid w:val="009A5DC3"/>
    <w:rsid w:val="009B765D"/>
    <w:rsid w:val="009C50FE"/>
    <w:rsid w:val="009D0C42"/>
    <w:rsid w:val="009D2AE9"/>
    <w:rsid w:val="009E4107"/>
    <w:rsid w:val="009E4E29"/>
    <w:rsid w:val="00A02E48"/>
    <w:rsid w:val="00A11104"/>
    <w:rsid w:val="00A14F8C"/>
    <w:rsid w:val="00A31124"/>
    <w:rsid w:val="00A31652"/>
    <w:rsid w:val="00A34453"/>
    <w:rsid w:val="00A373D9"/>
    <w:rsid w:val="00A4017C"/>
    <w:rsid w:val="00A50F17"/>
    <w:rsid w:val="00A52C29"/>
    <w:rsid w:val="00A56A89"/>
    <w:rsid w:val="00A6580E"/>
    <w:rsid w:val="00A81503"/>
    <w:rsid w:val="00A93ED3"/>
    <w:rsid w:val="00A95B39"/>
    <w:rsid w:val="00AB0381"/>
    <w:rsid w:val="00AB1A01"/>
    <w:rsid w:val="00AB4372"/>
    <w:rsid w:val="00AC0BF3"/>
    <w:rsid w:val="00AC365D"/>
    <w:rsid w:val="00AE0613"/>
    <w:rsid w:val="00AE1541"/>
    <w:rsid w:val="00AE35E8"/>
    <w:rsid w:val="00AF5929"/>
    <w:rsid w:val="00B00C75"/>
    <w:rsid w:val="00B0453C"/>
    <w:rsid w:val="00B13060"/>
    <w:rsid w:val="00B14115"/>
    <w:rsid w:val="00B20DFA"/>
    <w:rsid w:val="00B347E0"/>
    <w:rsid w:val="00B41869"/>
    <w:rsid w:val="00B5255E"/>
    <w:rsid w:val="00B62CBA"/>
    <w:rsid w:val="00B63774"/>
    <w:rsid w:val="00B63DAC"/>
    <w:rsid w:val="00B73389"/>
    <w:rsid w:val="00B84A5B"/>
    <w:rsid w:val="00B87A7D"/>
    <w:rsid w:val="00B90283"/>
    <w:rsid w:val="00B938EA"/>
    <w:rsid w:val="00BA3A18"/>
    <w:rsid w:val="00BC0772"/>
    <w:rsid w:val="00BD0053"/>
    <w:rsid w:val="00BD08AE"/>
    <w:rsid w:val="00BD0E7C"/>
    <w:rsid w:val="00BD2429"/>
    <w:rsid w:val="00BD7AAD"/>
    <w:rsid w:val="00BE5392"/>
    <w:rsid w:val="00BE5C31"/>
    <w:rsid w:val="00BF1E05"/>
    <w:rsid w:val="00BF47E9"/>
    <w:rsid w:val="00BF5695"/>
    <w:rsid w:val="00C067A2"/>
    <w:rsid w:val="00C20E16"/>
    <w:rsid w:val="00C20E72"/>
    <w:rsid w:val="00C22BFF"/>
    <w:rsid w:val="00C402F7"/>
    <w:rsid w:val="00C40A3A"/>
    <w:rsid w:val="00C446AD"/>
    <w:rsid w:val="00C4585B"/>
    <w:rsid w:val="00C46EA3"/>
    <w:rsid w:val="00C53E35"/>
    <w:rsid w:val="00C618E2"/>
    <w:rsid w:val="00C629AB"/>
    <w:rsid w:val="00C64BD0"/>
    <w:rsid w:val="00C71902"/>
    <w:rsid w:val="00C81049"/>
    <w:rsid w:val="00C82283"/>
    <w:rsid w:val="00C84375"/>
    <w:rsid w:val="00C84F2C"/>
    <w:rsid w:val="00C84FAC"/>
    <w:rsid w:val="00C90E8B"/>
    <w:rsid w:val="00C91714"/>
    <w:rsid w:val="00C9322B"/>
    <w:rsid w:val="00C95B2E"/>
    <w:rsid w:val="00CA16DE"/>
    <w:rsid w:val="00CA30CB"/>
    <w:rsid w:val="00CA5293"/>
    <w:rsid w:val="00CA573D"/>
    <w:rsid w:val="00CA62F0"/>
    <w:rsid w:val="00CA64F5"/>
    <w:rsid w:val="00CA6FE9"/>
    <w:rsid w:val="00CA72B6"/>
    <w:rsid w:val="00CC7B64"/>
    <w:rsid w:val="00CD0D17"/>
    <w:rsid w:val="00CD231D"/>
    <w:rsid w:val="00CD35DF"/>
    <w:rsid w:val="00CD3CBA"/>
    <w:rsid w:val="00CD581E"/>
    <w:rsid w:val="00CE129E"/>
    <w:rsid w:val="00CF03FA"/>
    <w:rsid w:val="00CF21AA"/>
    <w:rsid w:val="00CF3FF5"/>
    <w:rsid w:val="00D038C6"/>
    <w:rsid w:val="00D060AE"/>
    <w:rsid w:val="00D07C57"/>
    <w:rsid w:val="00D12314"/>
    <w:rsid w:val="00D124A1"/>
    <w:rsid w:val="00D16BFE"/>
    <w:rsid w:val="00D218D7"/>
    <w:rsid w:val="00D26797"/>
    <w:rsid w:val="00D33852"/>
    <w:rsid w:val="00D4683E"/>
    <w:rsid w:val="00D5452A"/>
    <w:rsid w:val="00D6123C"/>
    <w:rsid w:val="00D74A5C"/>
    <w:rsid w:val="00D7586E"/>
    <w:rsid w:val="00D80BAF"/>
    <w:rsid w:val="00D94114"/>
    <w:rsid w:val="00D9493E"/>
    <w:rsid w:val="00D95E71"/>
    <w:rsid w:val="00DB6273"/>
    <w:rsid w:val="00DC4D38"/>
    <w:rsid w:val="00DC736D"/>
    <w:rsid w:val="00DF1B3E"/>
    <w:rsid w:val="00E01795"/>
    <w:rsid w:val="00E03EE0"/>
    <w:rsid w:val="00E10FED"/>
    <w:rsid w:val="00E14FAF"/>
    <w:rsid w:val="00E152FC"/>
    <w:rsid w:val="00E17860"/>
    <w:rsid w:val="00E17BC8"/>
    <w:rsid w:val="00E17ED0"/>
    <w:rsid w:val="00E21ED8"/>
    <w:rsid w:val="00E3576D"/>
    <w:rsid w:val="00E371F2"/>
    <w:rsid w:val="00E4484A"/>
    <w:rsid w:val="00E51219"/>
    <w:rsid w:val="00E62838"/>
    <w:rsid w:val="00E62FBC"/>
    <w:rsid w:val="00E76F61"/>
    <w:rsid w:val="00E9504E"/>
    <w:rsid w:val="00EB09A1"/>
    <w:rsid w:val="00EB37E6"/>
    <w:rsid w:val="00EB3CC8"/>
    <w:rsid w:val="00EB7FD8"/>
    <w:rsid w:val="00EC08D9"/>
    <w:rsid w:val="00EC3099"/>
    <w:rsid w:val="00ED0F79"/>
    <w:rsid w:val="00EF1C72"/>
    <w:rsid w:val="00EF2A5C"/>
    <w:rsid w:val="00EF4141"/>
    <w:rsid w:val="00F14697"/>
    <w:rsid w:val="00F33976"/>
    <w:rsid w:val="00F35DEF"/>
    <w:rsid w:val="00F47FCC"/>
    <w:rsid w:val="00F55BC3"/>
    <w:rsid w:val="00F57F05"/>
    <w:rsid w:val="00F622EA"/>
    <w:rsid w:val="00F64FF8"/>
    <w:rsid w:val="00F652DE"/>
    <w:rsid w:val="00F744B4"/>
    <w:rsid w:val="00F81148"/>
    <w:rsid w:val="00F81FF3"/>
    <w:rsid w:val="00F85168"/>
    <w:rsid w:val="00F97CEC"/>
    <w:rsid w:val="00FA3458"/>
    <w:rsid w:val="00FB1FF2"/>
    <w:rsid w:val="00FB2C79"/>
    <w:rsid w:val="00FB3545"/>
    <w:rsid w:val="00FB3D14"/>
    <w:rsid w:val="00FB6330"/>
    <w:rsid w:val="00FC5257"/>
    <w:rsid w:val="00FD1A09"/>
    <w:rsid w:val="00FD22D4"/>
    <w:rsid w:val="00FE1756"/>
    <w:rsid w:val="00FF0408"/>
    <w:rsid w:val="00FF3BC0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4DFD"/>
  <w15:docId w15:val="{F47CD288-9706-4AFF-AAA4-A633D6A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00D2"/>
  </w:style>
  <w:style w:type="paragraph" w:styleId="Heading1">
    <w:name w:val="heading 1"/>
    <w:next w:val="Normal"/>
    <w:link w:val="Heading1Char"/>
    <w:rsid w:val="003517F3"/>
    <w:pPr>
      <w:keepNext/>
      <w:numPr>
        <w:numId w:val="3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3">
    <w:name w:val="heading 3"/>
    <w:next w:val="BodyText"/>
    <w:link w:val="Heading3Char"/>
    <w:semiHidden/>
    <w:unhideWhenUsed/>
    <w:qFormat/>
    <w:rsid w:val="003517F3"/>
    <w:pPr>
      <w:keepNext/>
      <w:numPr>
        <w:ilvl w:val="2"/>
        <w:numId w:val="3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semiHidden/>
    <w:unhideWhenUsed/>
    <w:qFormat/>
    <w:rsid w:val="003517F3"/>
    <w:pPr>
      <w:keepNext/>
      <w:numPr>
        <w:ilvl w:val="3"/>
        <w:numId w:val="3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17F3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517F3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517F3"/>
    <w:rPr>
      <w:rFonts w:ascii="Calibri" w:eastAsia="Times New Roman" w:hAnsi="Calibri" w:cs="Arial"/>
      <w:b/>
      <w:color w:val="548DD4"/>
      <w:sz w:val="20"/>
      <w:szCs w:val="20"/>
    </w:rPr>
  </w:style>
  <w:style w:type="paragraph" w:customStyle="1" w:styleId="Heading11">
    <w:name w:val="Heading 11"/>
    <w:basedOn w:val="Normal"/>
    <w:link w:val="HEADING1Char0"/>
    <w:qFormat/>
    <w:rsid w:val="006268DA"/>
    <w:pPr>
      <w:spacing w:before="240"/>
    </w:pPr>
    <w:rPr>
      <w:rFonts w:cs="Arial"/>
      <w:b/>
    </w:rPr>
  </w:style>
  <w:style w:type="paragraph" w:customStyle="1" w:styleId="Normaltext">
    <w:name w:val="Normal text"/>
    <w:basedOn w:val="Normal"/>
    <w:link w:val="NormaltextChar"/>
    <w:qFormat/>
    <w:rsid w:val="006268DA"/>
    <w:pPr>
      <w:spacing w:before="240"/>
    </w:pPr>
    <w:rPr>
      <w:rFonts w:cs="Arial"/>
    </w:rPr>
  </w:style>
  <w:style w:type="character" w:customStyle="1" w:styleId="HEADING1Char0">
    <w:name w:val="HEADING 1 Char"/>
    <w:basedOn w:val="DefaultParagraphFont"/>
    <w:link w:val="Heading11"/>
    <w:rsid w:val="006268DA"/>
    <w:rPr>
      <w:rFonts w:cs="Arial"/>
      <w:b/>
    </w:rPr>
  </w:style>
  <w:style w:type="paragraph" w:customStyle="1" w:styleId="SectionHeading">
    <w:name w:val="Section Heading"/>
    <w:basedOn w:val="ListParagraph"/>
    <w:link w:val="SectionHeadingChar"/>
    <w:qFormat/>
    <w:rsid w:val="006268DA"/>
    <w:pPr>
      <w:numPr>
        <w:numId w:val="1"/>
      </w:numPr>
      <w:spacing w:before="60" w:after="0"/>
      <w:ind w:left="567" w:hanging="567"/>
      <w:contextualSpacing w:val="0"/>
    </w:pPr>
    <w:rPr>
      <w:rFonts w:cs="Arial"/>
      <w:b/>
      <w:bCs/>
    </w:rPr>
  </w:style>
  <w:style w:type="character" w:customStyle="1" w:styleId="NormaltextChar">
    <w:name w:val="Normal text Char"/>
    <w:basedOn w:val="DefaultParagraphFont"/>
    <w:link w:val="Normaltext"/>
    <w:rsid w:val="006268DA"/>
    <w:rPr>
      <w:rFonts w:cs="Arial"/>
    </w:rPr>
  </w:style>
  <w:style w:type="paragraph" w:customStyle="1" w:styleId="Indenttext1">
    <w:name w:val="Indent text 1"/>
    <w:basedOn w:val="ListParagraph"/>
    <w:link w:val="Indenttext1Char"/>
    <w:qFormat/>
    <w:rsid w:val="006268DA"/>
    <w:pPr>
      <w:numPr>
        <w:ilvl w:val="1"/>
        <w:numId w:val="1"/>
      </w:numPr>
      <w:spacing w:before="60" w:after="0"/>
      <w:ind w:left="567" w:hanging="567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68DA"/>
  </w:style>
  <w:style w:type="character" w:customStyle="1" w:styleId="SectionHeadingChar">
    <w:name w:val="Section Heading Char"/>
    <w:basedOn w:val="ListParagraphChar"/>
    <w:link w:val="SectionHeading"/>
    <w:rsid w:val="006268DA"/>
    <w:rPr>
      <w:rFonts w:cs="Arial"/>
      <w:b/>
      <w:bCs/>
    </w:rPr>
  </w:style>
  <w:style w:type="paragraph" w:customStyle="1" w:styleId="Indenttext2">
    <w:name w:val="Indent text 2"/>
    <w:basedOn w:val="ListParagraph"/>
    <w:link w:val="Indenttext2Char"/>
    <w:qFormat/>
    <w:rsid w:val="007D6976"/>
    <w:pPr>
      <w:numPr>
        <w:numId w:val="2"/>
      </w:numPr>
      <w:spacing w:before="60" w:after="0"/>
      <w:contextualSpacing w:val="0"/>
    </w:pPr>
    <w:rPr>
      <w:rFonts w:cs="Arial"/>
    </w:rPr>
  </w:style>
  <w:style w:type="character" w:customStyle="1" w:styleId="Indenttext1Char">
    <w:name w:val="Indent text 1 Char"/>
    <w:basedOn w:val="ListParagraphChar"/>
    <w:link w:val="Indenttext1"/>
    <w:rsid w:val="006268DA"/>
    <w:rPr>
      <w:rFonts w:cs="Arial"/>
    </w:rPr>
  </w:style>
  <w:style w:type="paragraph" w:customStyle="1" w:styleId="RelatedDocuments">
    <w:name w:val="Related Documents"/>
    <w:basedOn w:val="ListParagraph"/>
    <w:link w:val="RelatedDocumentsChar"/>
    <w:qFormat/>
    <w:rsid w:val="007D6976"/>
    <w:pPr>
      <w:numPr>
        <w:numId w:val="6"/>
      </w:numPr>
      <w:ind w:left="567" w:hanging="567"/>
    </w:pPr>
    <w:rPr>
      <w:rFonts w:cs="Arial"/>
    </w:rPr>
  </w:style>
  <w:style w:type="character" w:customStyle="1" w:styleId="Indenttext2Char">
    <w:name w:val="Indent text 2 Char"/>
    <w:basedOn w:val="ListParagraphChar"/>
    <w:link w:val="Indenttext2"/>
    <w:rsid w:val="007D6976"/>
    <w:rPr>
      <w:rFonts w:cs="Arial"/>
    </w:rPr>
  </w:style>
  <w:style w:type="character" w:customStyle="1" w:styleId="RelatedDocumentsChar">
    <w:name w:val="Related Documents Char"/>
    <w:basedOn w:val="ListParagraphChar"/>
    <w:link w:val="RelatedDocuments"/>
    <w:rsid w:val="007D6976"/>
    <w:rPr>
      <w:rFonts w:cs="Arial"/>
    </w:rPr>
  </w:style>
  <w:style w:type="paragraph" w:styleId="Revision">
    <w:name w:val="Revision"/>
    <w:hidden/>
    <w:uiPriority w:val="99"/>
    <w:semiHidden/>
    <w:rsid w:val="00CA6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B4CC-9596-4D52-9DF1-5332BCA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1817</Words>
  <Characters>10178</Characters>
  <Application>Microsoft Office Word</Application>
  <DocSecurity>0</DocSecurity>
  <Lines>229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Rust, Tim</dc:creator>
  <cp:lastModifiedBy>PCODCS</cp:lastModifiedBy>
  <cp:revision>4</cp:revision>
  <cp:lastPrinted>2019-11-21T21:21:00Z</cp:lastPrinted>
  <dcterms:created xsi:type="dcterms:W3CDTF">2025-03-02T21:56:00Z</dcterms:created>
  <dcterms:modified xsi:type="dcterms:W3CDTF">2025-03-02T21:56:00Z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2024-04-12T04:15:00Z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eaa683b1-7487-4875-add4-13ac704cbc65</vt:lpwstr>
  </property>
  <property fmtid="{D5CDD505-2E9C-101B-9397-08002B2CF9AE}" pid="8" name="MSIP_Label_69af8531-eb46-4968-8cb3-105d2f5ea87e_ContentBits">
    <vt:lpwstr>0</vt:lpwstr>
  </property>
</Properties>
</file>