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B569"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76A36B1" w14:textId="18A3C11A" w:rsidR="001440B3" w:rsidRDefault="00FE3D0F">
      <w:pPr>
        <w:pStyle w:val="Billname"/>
        <w:spacing w:before="700"/>
      </w:pPr>
      <w:r>
        <w:t>Utilities</w:t>
      </w:r>
      <w:r w:rsidR="001440B3">
        <w:t xml:space="preserve"> (</w:t>
      </w:r>
      <w:r>
        <w:t>Reference Price</w:t>
      </w:r>
      <w:r w:rsidR="001440B3">
        <w:t xml:space="preserve">) </w:t>
      </w:r>
      <w:r>
        <w:t>Determination</w:t>
      </w:r>
      <w:r w:rsidR="00525963">
        <w:t xml:space="preserve"> </w:t>
      </w:r>
      <w:r>
        <w:t>202</w:t>
      </w:r>
      <w:r w:rsidR="000F68CD">
        <w:t>6</w:t>
      </w:r>
      <w:r w:rsidR="001440B3">
        <w:t xml:space="preserve"> (No </w:t>
      </w:r>
      <w:r>
        <w:t>1</w:t>
      </w:r>
      <w:r w:rsidR="001440B3">
        <w:t>)</w:t>
      </w:r>
    </w:p>
    <w:p w14:paraId="30C0EAF6" w14:textId="558CD8F4" w:rsidR="001440B3" w:rsidRDefault="001440B3" w:rsidP="0042011A">
      <w:pPr>
        <w:spacing w:before="340"/>
        <w:rPr>
          <w:rFonts w:ascii="Arial" w:hAnsi="Arial" w:cs="Arial"/>
          <w:b/>
          <w:bCs/>
        </w:rPr>
      </w:pPr>
      <w:r>
        <w:rPr>
          <w:rFonts w:ascii="Arial" w:hAnsi="Arial" w:cs="Arial"/>
          <w:b/>
          <w:bCs/>
        </w:rPr>
        <w:t>Notifiable instrument NI</w:t>
      </w:r>
      <w:r w:rsidR="00FE3D0F">
        <w:rPr>
          <w:rFonts w:ascii="Arial" w:hAnsi="Arial" w:cs="Arial"/>
          <w:b/>
          <w:bCs/>
        </w:rPr>
        <w:t>202</w:t>
      </w:r>
      <w:r w:rsidR="000F68CD">
        <w:rPr>
          <w:rFonts w:ascii="Arial" w:hAnsi="Arial" w:cs="Arial"/>
          <w:b/>
          <w:bCs/>
        </w:rPr>
        <w:t>6</w:t>
      </w:r>
      <w:r>
        <w:rPr>
          <w:rFonts w:ascii="Arial" w:hAnsi="Arial" w:cs="Arial"/>
          <w:b/>
          <w:bCs/>
        </w:rPr>
        <w:t>–</w:t>
      </w:r>
      <w:r w:rsidR="000010CF">
        <w:rPr>
          <w:rFonts w:ascii="Arial" w:hAnsi="Arial" w:cs="Arial"/>
          <w:b/>
          <w:bCs/>
        </w:rPr>
        <w:t>259</w:t>
      </w:r>
    </w:p>
    <w:p w14:paraId="74029DDB" w14:textId="77777777" w:rsidR="001440B3" w:rsidRDefault="001440B3" w:rsidP="0042011A">
      <w:pPr>
        <w:pStyle w:val="madeunder"/>
        <w:spacing w:before="300" w:after="0"/>
      </w:pPr>
      <w:r>
        <w:t xml:space="preserve">made under the  </w:t>
      </w:r>
    </w:p>
    <w:p w14:paraId="236EC722" w14:textId="216AD466" w:rsidR="001440B3" w:rsidRPr="0032754B" w:rsidRDefault="0032754B" w:rsidP="0032754B">
      <w:pPr>
        <w:tabs>
          <w:tab w:val="left" w:pos="2600"/>
        </w:tabs>
        <w:spacing w:before="320"/>
        <w:jc w:val="both"/>
        <w:rPr>
          <w:rFonts w:ascii="Arial" w:hAnsi="Arial" w:cs="Arial"/>
          <w:b/>
          <w:sz w:val="20"/>
        </w:rPr>
      </w:pPr>
      <w:r>
        <w:rPr>
          <w:rFonts w:ascii="Arial" w:hAnsi="Arial" w:cs="Arial"/>
          <w:b/>
          <w:sz w:val="20"/>
        </w:rPr>
        <w:t xml:space="preserve">Utilities Act 2000, s 75GB (1) (b) </w:t>
      </w:r>
      <w:r w:rsidRPr="002D6414">
        <w:rPr>
          <w:rFonts w:ascii="Arial" w:hAnsi="Arial" w:cs="Arial"/>
          <w:b/>
          <w:sz w:val="20"/>
        </w:rPr>
        <w:t>(Determination of representative consumption and reference price)</w:t>
      </w:r>
    </w:p>
    <w:p w14:paraId="6BDA1E78" w14:textId="77777777" w:rsidR="001440B3" w:rsidRDefault="001440B3" w:rsidP="0042011A">
      <w:pPr>
        <w:pStyle w:val="N-line3"/>
        <w:pBdr>
          <w:bottom w:val="none" w:sz="0" w:space="0" w:color="auto"/>
        </w:pBdr>
        <w:spacing w:before="60"/>
      </w:pPr>
    </w:p>
    <w:p w14:paraId="29CFC77F" w14:textId="77777777" w:rsidR="001440B3" w:rsidRDefault="001440B3">
      <w:pPr>
        <w:pStyle w:val="N-line3"/>
        <w:pBdr>
          <w:top w:val="single" w:sz="12" w:space="1" w:color="auto"/>
          <w:bottom w:val="none" w:sz="0" w:space="0" w:color="auto"/>
        </w:pBdr>
      </w:pPr>
    </w:p>
    <w:p w14:paraId="23252E2D"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469426C" w14:textId="269A1098" w:rsidR="001440B3" w:rsidRDefault="001440B3" w:rsidP="0042011A">
      <w:pPr>
        <w:spacing w:before="140"/>
        <w:ind w:left="720"/>
      </w:pPr>
      <w:r>
        <w:t xml:space="preserve">This instrument is the </w:t>
      </w:r>
      <w:r w:rsidR="00F7076A" w:rsidRPr="00F7076A">
        <w:rPr>
          <w:i/>
          <w:iCs/>
        </w:rPr>
        <w:t>Utilities (Reference Price) Determination 202</w:t>
      </w:r>
      <w:r w:rsidR="000F68CD">
        <w:rPr>
          <w:i/>
          <w:iCs/>
        </w:rPr>
        <w:t>6</w:t>
      </w:r>
      <w:r w:rsidR="00F7076A" w:rsidRPr="00F7076A">
        <w:rPr>
          <w:i/>
          <w:iCs/>
        </w:rPr>
        <w:t xml:space="preserve"> (No 1)</w:t>
      </w:r>
      <w:r w:rsidR="00F7076A">
        <w:t>.</w:t>
      </w:r>
    </w:p>
    <w:p w14:paraId="35260D6A"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0FDD6FBB" w14:textId="65CA8F9D" w:rsidR="001440B3" w:rsidRDefault="001440B3" w:rsidP="0042011A">
      <w:pPr>
        <w:spacing w:before="140"/>
        <w:ind w:left="720"/>
      </w:pPr>
      <w:r>
        <w:t>This instrument commences on</w:t>
      </w:r>
      <w:r w:rsidR="00F7076A">
        <w:t xml:space="preserve"> the day after its notification day.</w:t>
      </w:r>
      <w:r>
        <w:t xml:space="preserve"> </w:t>
      </w:r>
    </w:p>
    <w:bookmarkEnd w:id="0"/>
    <w:p w14:paraId="368F3152" w14:textId="77777777" w:rsidR="0004476F" w:rsidRPr="009B7E7A" w:rsidRDefault="0004476F" w:rsidP="0004476F">
      <w:pPr>
        <w:spacing w:before="300"/>
        <w:ind w:left="720" w:hanging="720"/>
        <w:rPr>
          <w:rFonts w:ascii="Arial" w:hAnsi="Arial" w:cs="Arial"/>
          <w:b/>
          <w:bCs/>
          <w:szCs w:val="24"/>
        </w:rPr>
      </w:pPr>
      <w:r w:rsidRPr="009B7E7A">
        <w:rPr>
          <w:rFonts w:ascii="Arial" w:hAnsi="Arial" w:cs="Arial"/>
          <w:b/>
          <w:bCs/>
          <w:szCs w:val="24"/>
        </w:rPr>
        <w:t>3</w:t>
      </w:r>
      <w:r w:rsidRPr="009B7E7A">
        <w:rPr>
          <w:rFonts w:ascii="Arial" w:hAnsi="Arial" w:cs="Arial"/>
          <w:b/>
          <w:bCs/>
          <w:szCs w:val="24"/>
        </w:rPr>
        <w:tab/>
        <w:t>Application – types of small customers</w:t>
      </w:r>
    </w:p>
    <w:p w14:paraId="2E63F0A1" w14:textId="2E97BD5D" w:rsidR="0004476F" w:rsidRPr="009B7E7A" w:rsidRDefault="0004476F" w:rsidP="0004476F">
      <w:pPr>
        <w:spacing w:before="140"/>
        <w:ind w:left="720"/>
        <w:rPr>
          <w:szCs w:val="24"/>
        </w:rPr>
      </w:pPr>
      <w:r w:rsidRPr="009B7E7A">
        <w:rPr>
          <w:szCs w:val="24"/>
        </w:rPr>
        <w:t xml:space="preserve">This </w:t>
      </w:r>
      <w:r w:rsidR="00D55D1F">
        <w:rPr>
          <w:szCs w:val="24"/>
        </w:rPr>
        <w:t>instrument</w:t>
      </w:r>
      <w:r w:rsidRPr="009B7E7A">
        <w:rPr>
          <w:szCs w:val="24"/>
        </w:rPr>
        <w:t xml:space="preserve"> applies to small customers of the following types:</w:t>
      </w:r>
    </w:p>
    <w:p w14:paraId="4B132229" w14:textId="77777777" w:rsidR="0004476F" w:rsidRPr="009B7E7A" w:rsidRDefault="0004476F" w:rsidP="0004476F">
      <w:pPr>
        <w:pStyle w:val="ListParagraph"/>
        <w:numPr>
          <w:ilvl w:val="0"/>
          <w:numId w:val="10"/>
        </w:numPr>
        <w:spacing w:before="140" w:after="0" w:line="240" w:lineRule="auto"/>
        <w:rPr>
          <w:rFonts w:ascii="Times New Roman" w:hAnsi="Times New Roman"/>
          <w:sz w:val="24"/>
          <w:szCs w:val="24"/>
        </w:rPr>
      </w:pPr>
      <w:r w:rsidRPr="009B7E7A">
        <w:rPr>
          <w:rFonts w:ascii="Times New Roman" w:hAnsi="Times New Roman"/>
          <w:b/>
          <w:bCs/>
          <w:i/>
          <w:iCs/>
          <w:sz w:val="24"/>
          <w:szCs w:val="24"/>
        </w:rPr>
        <w:t>residential customers</w:t>
      </w:r>
      <w:r w:rsidRPr="009B7E7A">
        <w:rPr>
          <w:rFonts w:ascii="Times New Roman" w:hAnsi="Times New Roman"/>
          <w:sz w:val="24"/>
          <w:szCs w:val="24"/>
        </w:rPr>
        <w:t xml:space="preserve"> on flat tariffs or time of use tariffs and whose prices for the supply do not include a controlled load tariff; and</w:t>
      </w:r>
    </w:p>
    <w:p w14:paraId="38125849" w14:textId="77777777" w:rsidR="0004476F" w:rsidRPr="009B7E7A" w:rsidRDefault="0004476F" w:rsidP="0004476F">
      <w:pPr>
        <w:pStyle w:val="ListParagraph"/>
        <w:numPr>
          <w:ilvl w:val="0"/>
          <w:numId w:val="10"/>
        </w:numPr>
        <w:spacing w:before="140" w:after="0" w:line="240" w:lineRule="auto"/>
        <w:rPr>
          <w:rFonts w:ascii="Times New Roman" w:hAnsi="Times New Roman"/>
          <w:sz w:val="24"/>
          <w:szCs w:val="24"/>
        </w:rPr>
      </w:pPr>
      <w:r w:rsidRPr="009B7E7A">
        <w:rPr>
          <w:rFonts w:ascii="Times New Roman" w:hAnsi="Times New Roman"/>
          <w:b/>
          <w:bCs/>
          <w:i/>
          <w:iCs/>
          <w:sz w:val="24"/>
          <w:szCs w:val="24"/>
        </w:rPr>
        <w:t>residential customers with controlled load</w:t>
      </w:r>
      <w:r w:rsidRPr="009B7E7A">
        <w:rPr>
          <w:rFonts w:ascii="Times New Roman" w:hAnsi="Times New Roman"/>
          <w:sz w:val="24"/>
          <w:szCs w:val="24"/>
        </w:rPr>
        <w:t xml:space="preserve"> on flat tariffs or time of use tariffs and whose prices for the supply include a controlled load tariff; and</w:t>
      </w:r>
    </w:p>
    <w:p w14:paraId="32D1B6BF" w14:textId="77777777" w:rsidR="0004476F" w:rsidRPr="009B7E7A" w:rsidRDefault="0004476F" w:rsidP="0004476F">
      <w:pPr>
        <w:pStyle w:val="ListParagraph"/>
        <w:numPr>
          <w:ilvl w:val="0"/>
          <w:numId w:val="10"/>
        </w:numPr>
        <w:spacing w:before="140" w:after="0" w:line="240" w:lineRule="auto"/>
        <w:rPr>
          <w:rFonts w:ascii="Times New Roman" w:hAnsi="Times New Roman"/>
          <w:sz w:val="24"/>
          <w:szCs w:val="24"/>
        </w:rPr>
      </w:pPr>
      <w:r w:rsidRPr="009B7E7A">
        <w:rPr>
          <w:rFonts w:ascii="Times New Roman" w:hAnsi="Times New Roman"/>
          <w:b/>
          <w:bCs/>
          <w:i/>
          <w:iCs/>
          <w:sz w:val="24"/>
          <w:szCs w:val="24"/>
        </w:rPr>
        <w:t>small business customers</w:t>
      </w:r>
      <w:r w:rsidRPr="009B7E7A">
        <w:rPr>
          <w:rFonts w:ascii="Times New Roman" w:hAnsi="Times New Roman"/>
          <w:sz w:val="24"/>
          <w:szCs w:val="24"/>
        </w:rPr>
        <w:t xml:space="preserve"> on flat tariffs and whose prices for the supply do not include a controlled load tariff.  </w:t>
      </w:r>
    </w:p>
    <w:p w14:paraId="325C8924" w14:textId="77777777" w:rsidR="0004476F" w:rsidRPr="009B7E7A" w:rsidRDefault="0004476F" w:rsidP="0004476F">
      <w:pPr>
        <w:spacing w:before="300"/>
        <w:ind w:left="720" w:hanging="720"/>
        <w:rPr>
          <w:rFonts w:ascii="Arial" w:hAnsi="Arial" w:cs="Arial"/>
          <w:b/>
          <w:bCs/>
          <w:szCs w:val="24"/>
        </w:rPr>
      </w:pPr>
      <w:r w:rsidRPr="009B7E7A">
        <w:rPr>
          <w:rFonts w:ascii="Arial" w:hAnsi="Arial" w:cs="Arial"/>
          <w:b/>
          <w:bCs/>
          <w:szCs w:val="24"/>
        </w:rPr>
        <w:t>4</w:t>
      </w:r>
      <w:r w:rsidRPr="009B7E7A">
        <w:rPr>
          <w:rFonts w:ascii="Arial" w:hAnsi="Arial" w:cs="Arial"/>
          <w:b/>
          <w:bCs/>
          <w:szCs w:val="24"/>
        </w:rPr>
        <w:tab/>
        <w:t>Definitions</w:t>
      </w:r>
    </w:p>
    <w:p w14:paraId="2305F60F" w14:textId="0E485E3F" w:rsidR="0004476F" w:rsidRPr="009B7E7A" w:rsidRDefault="0004476F" w:rsidP="0004476F">
      <w:pPr>
        <w:spacing w:before="140"/>
        <w:ind w:left="720" w:hanging="11"/>
        <w:rPr>
          <w:szCs w:val="24"/>
        </w:rPr>
      </w:pPr>
      <w:r w:rsidRPr="009B7E7A">
        <w:rPr>
          <w:szCs w:val="24"/>
        </w:rPr>
        <w:t xml:space="preserve">In this </w:t>
      </w:r>
      <w:r w:rsidR="00D55D1F">
        <w:rPr>
          <w:szCs w:val="24"/>
        </w:rPr>
        <w:t>instrument</w:t>
      </w:r>
      <w:r w:rsidRPr="009B7E7A">
        <w:rPr>
          <w:szCs w:val="24"/>
        </w:rPr>
        <w:t>:</w:t>
      </w:r>
    </w:p>
    <w:p w14:paraId="36BD57F8" w14:textId="77777777" w:rsidR="0004476F" w:rsidRPr="009B7E7A" w:rsidRDefault="0004476F" w:rsidP="0004476F">
      <w:pPr>
        <w:spacing w:before="140"/>
        <w:ind w:left="720"/>
        <w:rPr>
          <w:b/>
          <w:bCs/>
          <w:i/>
          <w:iCs/>
          <w:szCs w:val="24"/>
        </w:rPr>
      </w:pPr>
      <w:r w:rsidRPr="009B7E7A">
        <w:rPr>
          <w:b/>
          <w:bCs/>
          <w:i/>
          <w:iCs/>
          <w:szCs w:val="24"/>
        </w:rPr>
        <w:t xml:space="preserve">controlled load tariff </w:t>
      </w:r>
      <w:r w:rsidRPr="009B7E7A">
        <w:rPr>
          <w:szCs w:val="24"/>
        </w:rPr>
        <w:t>means a tariff for the supply or sale of electricity for use only in specific appliances that are permanently wired to the relevant electricity meter.</w:t>
      </w:r>
    </w:p>
    <w:p w14:paraId="18E4999E" w14:textId="77777777" w:rsidR="0004476F" w:rsidRPr="009B7E7A" w:rsidRDefault="0004476F" w:rsidP="0004476F">
      <w:pPr>
        <w:spacing w:before="140"/>
        <w:ind w:left="720"/>
        <w:rPr>
          <w:szCs w:val="24"/>
        </w:rPr>
      </w:pPr>
      <w:r w:rsidRPr="009B7E7A">
        <w:rPr>
          <w:b/>
          <w:bCs/>
          <w:i/>
          <w:iCs/>
          <w:szCs w:val="24"/>
        </w:rPr>
        <w:t xml:space="preserve">MWh </w:t>
      </w:r>
      <w:r w:rsidRPr="009B7E7A">
        <w:rPr>
          <w:szCs w:val="24"/>
        </w:rPr>
        <w:t>means megawatt hour.</w:t>
      </w:r>
    </w:p>
    <w:p w14:paraId="14E5F1AE" w14:textId="6D1A4D5E" w:rsidR="0004476F" w:rsidRPr="009B7E7A" w:rsidRDefault="0004476F" w:rsidP="0004476F">
      <w:pPr>
        <w:spacing w:before="140"/>
        <w:ind w:left="720"/>
        <w:rPr>
          <w:b/>
          <w:bCs/>
          <w:i/>
          <w:iCs/>
          <w:szCs w:val="24"/>
        </w:rPr>
      </w:pPr>
      <w:r w:rsidRPr="009B7E7A">
        <w:rPr>
          <w:b/>
          <w:bCs/>
          <w:i/>
          <w:iCs/>
          <w:szCs w:val="24"/>
        </w:rPr>
        <w:t>representative consumption</w:t>
      </w:r>
      <w:r w:rsidRPr="009B7E7A">
        <w:rPr>
          <w:szCs w:val="24"/>
        </w:rPr>
        <w:t xml:space="preserve">, in relation to supplying electricity to a small customer of a particular type, means the amount of </w:t>
      </w:r>
      <w:r w:rsidRPr="00087CDA">
        <w:rPr>
          <w:szCs w:val="24"/>
        </w:rPr>
        <w:t xml:space="preserve">electricity determined under the </w:t>
      </w:r>
      <w:r w:rsidRPr="00087CDA">
        <w:rPr>
          <w:i/>
          <w:iCs/>
          <w:szCs w:val="24"/>
        </w:rPr>
        <w:t xml:space="preserve">Utilities (Representative Consumption) Determination </w:t>
      </w:r>
      <w:r w:rsidRPr="00014FE3">
        <w:rPr>
          <w:i/>
          <w:iCs/>
          <w:szCs w:val="24"/>
        </w:rPr>
        <w:t>202</w:t>
      </w:r>
      <w:r w:rsidR="000F68CD">
        <w:rPr>
          <w:i/>
          <w:iCs/>
          <w:szCs w:val="24"/>
        </w:rPr>
        <w:t>6</w:t>
      </w:r>
      <w:r w:rsidR="009C0143">
        <w:rPr>
          <w:i/>
          <w:iCs/>
          <w:szCs w:val="24"/>
        </w:rPr>
        <w:t xml:space="preserve"> (No 1)</w:t>
      </w:r>
      <w:r w:rsidRPr="00014FE3">
        <w:rPr>
          <w:szCs w:val="24"/>
        </w:rPr>
        <w:t xml:space="preserve"> (</w:t>
      </w:r>
      <w:r w:rsidRPr="006A5574">
        <w:rPr>
          <w:szCs w:val="24"/>
        </w:rPr>
        <w:t>NI202</w:t>
      </w:r>
      <w:r w:rsidR="000F68CD" w:rsidRPr="006A5574">
        <w:rPr>
          <w:szCs w:val="24"/>
        </w:rPr>
        <w:t>6</w:t>
      </w:r>
      <w:r w:rsidRPr="006A5574">
        <w:rPr>
          <w:szCs w:val="24"/>
        </w:rPr>
        <w:t>-</w:t>
      </w:r>
      <w:r w:rsidR="00734A39">
        <w:rPr>
          <w:szCs w:val="24"/>
        </w:rPr>
        <w:t>238</w:t>
      </w:r>
      <w:r w:rsidRPr="006A5574">
        <w:rPr>
          <w:szCs w:val="24"/>
        </w:rPr>
        <w:t>)</w:t>
      </w:r>
      <w:r w:rsidRPr="009B7E7A">
        <w:rPr>
          <w:szCs w:val="24"/>
        </w:rPr>
        <w:t xml:space="preserve"> in relation to the supply.</w:t>
      </w:r>
      <w:r w:rsidRPr="009B7E7A">
        <w:rPr>
          <w:b/>
          <w:bCs/>
          <w:i/>
          <w:iCs/>
          <w:szCs w:val="24"/>
        </w:rPr>
        <w:t xml:space="preserve"> </w:t>
      </w:r>
    </w:p>
    <w:p w14:paraId="54756B4A" w14:textId="77777777" w:rsidR="0004476F" w:rsidRPr="009B7E7A" w:rsidRDefault="0004476F" w:rsidP="0004476F">
      <w:pPr>
        <w:spacing w:before="140"/>
        <w:ind w:left="720"/>
        <w:rPr>
          <w:szCs w:val="24"/>
        </w:rPr>
      </w:pPr>
      <w:r w:rsidRPr="009B7E7A">
        <w:rPr>
          <w:b/>
          <w:bCs/>
          <w:i/>
          <w:iCs/>
          <w:szCs w:val="24"/>
        </w:rPr>
        <w:lastRenderedPageBreak/>
        <w:t>reference price</w:t>
      </w:r>
      <w:r w:rsidRPr="009B7E7A">
        <w:rPr>
          <w:szCs w:val="24"/>
        </w:rPr>
        <w:t xml:space="preserve">, in relation to supplying electricity to a small customer of a particular type, means the annual price determined under section 75GB (1)(b) of the </w:t>
      </w:r>
      <w:r w:rsidRPr="009B7E7A">
        <w:rPr>
          <w:i/>
          <w:iCs/>
          <w:szCs w:val="24"/>
        </w:rPr>
        <w:t>Utilities Act 2000</w:t>
      </w:r>
      <w:r w:rsidRPr="009B7E7A">
        <w:rPr>
          <w:szCs w:val="24"/>
        </w:rPr>
        <w:t xml:space="preserve"> for the year in relation to the supply.</w:t>
      </w:r>
    </w:p>
    <w:p w14:paraId="37A1CFDF" w14:textId="77777777" w:rsidR="0004476F" w:rsidRPr="009B7E7A" w:rsidRDefault="0004476F" w:rsidP="0004476F">
      <w:pPr>
        <w:spacing w:before="140"/>
        <w:ind w:left="720"/>
        <w:rPr>
          <w:szCs w:val="24"/>
        </w:rPr>
      </w:pPr>
      <w:r w:rsidRPr="009B7E7A">
        <w:rPr>
          <w:b/>
          <w:bCs/>
          <w:i/>
          <w:iCs/>
          <w:szCs w:val="24"/>
        </w:rPr>
        <w:t xml:space="preserve">residential customer </w:t>
      </w:r>
      <w:r w:rsidRPr="009B7E7A">
        <w:rPr>
          <w:szCs w:val="24"/>
        </w:rPr>
        <w:t>means a customer in relation to whom the electricity is principally for personal, household or domestic use.</w:t>
      </w:r>
    </w:p>
    <w:p w14:paraId="55B07D9F" w14:textId="77777777" w:rsidR="0004476F" w:rsidRPr="009B7E7A" w:rsidRDefault="0004476F" w:rsidP="0004476F">
      <w:pPr>
        <w:spacing w:before="140"/>
        <w:ind w:left="720"/>
        <w:rPr>
          <w:szCs w:val="24"/>
        </w:rPr>
      </w:pPr>
      <w:r w:rsidRPr="009B7E7A">
        <w:rPr>
          <w:b/>
          <w:bCs/>
          <w:i/>
          <w:iCs/>
          <w:szCs w:val="24"/>
        </w:rPr>
        <w:t>small business customer</w:t>
      </w:r>
      <w:r w:rsidRPr="009B7E7A">
        <w:rPr>
          <w:szCs w:val="24"/>
        </w:rPr>
        <w:t xml:space="preserve"> means a customer in relation to whom both the following apply:</w:t>
      </w:r>
    </w:p>
    <w:p w14:paraId="6ED00DE8" w14:textId="77777777" w:rsidR="0004476F" w:rsidRPr="009B7E7A" w:rsidRDefault="0004476F" w:rsidP="0004476F">
      <w:pPr>
        <w:pStyle w:val="ListParagraph"/>
        <w:numPr>
          <w:ilvl w:val="0"/>
          <w:numId w:val="11"/>
        </w:numPr>
        <w:spacing w:before="140" w:after="0" w:line="240" w:lineRule="auto"/>
        <w:ind w:left="1434" w:hanging="357"/>
        <w:rPr>
          <w:rFonts w:ascii="Times New Roman" w:hAnsi="Times New Roman"/>
          <w:sz w:val="24"/>
          <w:szCs w:val="24"/>
        </w:rPr>
      </w:pPr>
      <w:r w:rsidRPr="009B7E7A">
        <w:rPr>
          <w:rFonts w:ascii="Times New Roman" w:hAnsi="Times New Roman"/>
          <w:sz w:val="24"/>
          <w:szCs w:val="24"/>
        </w:rPr>
        <w:t>the electricity is not principally for personal, household or domestic use;</w:t>
      </w:r>
    </w:p>
    <w:p w14:paraId="3EB2729F" w14:textId="77777777" w:rsidR="0004476F" w:rsidRPr="009B7E7A" w:rsidRDefault="0004476F" w:rsidP="0004476F">
      <w:pPr>
        <w:pStyle w:val="ListParagraph"/>
        <w:numPr>
          <w:ilvl w:val="0"/>
          <w:numId w:val="11"/>
        </w:numPr>
        <w:spacing w:before="140" w:after="0" w:line="240" w:lineRule="auto"/>
        <w:ind w:left="1434" w:hanging="357"/>
        <w:rPr>
          <w:rFonts w:ascii="Times New Roman" w:hAnsi="Times New Roman"/>
          <w:sz w:val="24"/>
          <w:szCs w:val="24"/>
        </w:rPr>
      </w:pPr>
      <w:r w:rsidRPr="009B7E7A">
        <w:rPr>
          <w:rFonts w:ascii="Times New Roman" w:hAnsi="Times New Roman"/>
          <w:sz w:val="24"/>
          <w:szCs w:val="24"/>
        </w:rPr>
        <w:t>the supply is, or will be, at a rate of less than 100 MWh a year.</w:t>
      </w:r>
    </w:p>
    <w:p w14:paraId="5EE4029F" w14:textId="4486BB37" w:rsidR="0004476F" w:rsidRPr="009B7E7A" w:rsidRDefault="0004476F" w:rsidP="0004476F">
      <w:pPr>
        <w:spacing w:before="140"/>
        <w:ind w:left="720"/>
        <w:rPr>
          <w:b/>
          <w:bCs/>
          <w:i/>
          <w:iCs/>
          <w:szCs w:val="24"/>
        </w:rPr>
      </w:pPr>
      <w:r w:rsidRPr="009B7E7A">
        <w:rPr>
          <w:b/>
          <w:bCs/>
          <w:i/>
          <w:iCs/>
          <w:szCs w:val="24"/>
        </w:rPr>
        <w:t xml:space="preserve">relevant </w:t>
      </w:r>
      <w:r w:rsidRPr="00087CDA">
        <w:rPr>
          <w:b/>
          <w:bCs/>
          <w:i/>
          <w:iCs/>
          <w:szCs w:val="24"/>
        </w:rPr>
        <w:t>year</w:t>
      </w:r>
      <w:r w:rsidRPr="00087CDA">
        <w:rPr>
          <w:szCs w:val="24"/>
        </w:rPr>
        <w:t xml:space="preserve"> means 1 July 202</w:t>
      </w:r>
      <w:r w:rsidR="000F68CD">
        <w:rPr>
          <w:szCs w:val="24"/>
        </w:rPr>
        <w:t>6</w:t>
      </w:r>
      <w:r w:rsidRPr="00087CDA">
        <w:rPr>
          <w:szCs w:val="24"/>
        </w:rPr>
        <w:t xml:space="preserve"> until 30 June 202</w:t>
      </w:r>
      <w:r w:rsidR="000F68CD">
        <w:rPr>
          <w:szCs w:val="24"/>
        </w:rPr>
        <w:t>7</w:t>
      </w:r>
      <w:r w:rsidRPr="00087CDA">
        <w:rPr>
          <w:szCs w:val="24"/>
        </w:rPr>
        <w:t>.</w:t>
      </w:r>
    </w:p>
    <w:p w14:paraId="6C4564D3" w14:textId="77777777" w:rsidR="0004476F" w:rsidRPr="009B7E7A" w:rsidRDefault="0004476F" w:rsidP="0004476F">
      <w:pPr>
        <w:spacing w:before="300"/>
        <w:ind w:left="720" w:hanging="720"/>
        <w:rPr>
          <w:rFonts w:ascii="Arial" w:hAnsi="Arial" w:cs="Arial"/>
          <w:b/>
          <w:bCs/>
          <w:szCs w:val="24"/>
        </w:rPr>
      </w:pPr>
      <w:r w:rsidRPr="009B7E7A">
        <w:rPr>
          <w:rFonts w:ascii="Arial" w:hAnsi="Arial" w:cs="Arial"/>
          <w:b/>
          <w:bCs/>
          <w:szCs w:val="24"/>
        </w:rPr>
        <w:t>5        Determination – annual reference price</w:t>
      </w:r>
    </w:p>
    <w:p w14:paraId="3D39F567" w14:textId="77777777" w:rsidR="0004476F" w:rsidRDefault="0004476F" w:rsidP="0004476F">
      <w:pPr>
        <w:spacing w:before="140"/>
        <w:ind w:left="720" w:hanging="11"/>
        <w:rPr>
          <w:szCs w:val="24"/>
        </w:rPr>
      </w:pPr>
      <w:r w:rsidRPr="009B7E7A">
        <w:rPr>
          <w:szCs w:val="24"/>
        </w:rPr>
        <w:t>For a small customer mentioned in column 1, we determine that the reference price for the supply of the representative consumption to the customer for the relevant year is the amount stated in column 2.</w:t>
      </w:r>
    </w:p>
    <w:p w14:paraId="738848E8" w14:textId="77777777" w:rsidR="0004476F" w:rsidRPr="009B7E7A" w:rsidRDefault="0004476F" w:rsidP="0004476F">
      <w:pPr>
        <w:spacing w:before="140"/>
        <w:ind w:left="720" w:hanging="11"/>
        <w:rPr>
          <w:szCs w:val="24"/>
        </w:rPr>
      </w:pPr>
    </w:p>
    <w:tbl>
      <w:tblPr>
        <w:tblStyle w:val="TableGrid"/>
        <w:tblW w:w="8222" w:type="dxa"/>
        <w:tblInd w:w="-5" w:type="dxa"/>
        <w:tblLook w:val="04A0" w:firstRow="1" w:lastRow="0" w:firstColumn="1" w:lastColumn="0" w:noHBand="0" w:noVBand="1"/>
      </w:tblPr>
      <w:tblGrid>
        <w:gridCol w:w="5103"/>
        <w:gridCol w:w="3119"/>
      </w:tblGrid>
      <w:tr w:rsidR="0004476F" w:rsidRPr="009B7E7A" w14:paraId="354C65E9" w14:textId="77777777" w:rsidTr="00907089">
        <w:tc>
          <w:tcPr>
            <w:tcW w:w="5103" w:type="dxa"/>
          </w:tcPr>
          <w:p w14:paraId="4E61D9FA"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Column 1</w:t>
            </w:r>
          </w:p>
          <w:p w14:paraId="1AF422AA"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Type of customers</w:t>
            </w:r>
          </w:p>
        </w:tc>
        <w:tc>
          <w:tcPr>
            <w:tcW w:w="3119" w:type="dxa"/>
          </w:tcPr>
          <w:p w14:paraId="22E29B3E"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Column 2</w:t>
            </w:r>
          </w:p>
          <w:p w14:paraId="6A6A57F0" w14:textId="77777777" w:rsidR="0004476F" w:rsidRPr="009B7E7A" w:rsidRDefault="0004476F" w:rsidP="00907089">
            <w:pPr>
              <w:ind w:left="-104" w:right="-107"/>
              <w:jc w:val="center"/>
              <w:rPr>
                <w:rFonts w:ascii="Times New Roman" w:hAnsi="Times New Roman" w:cs="Times New Roman"/>
                <w:b/>
                <w:bCs/>
                <w:szCs w:val="24"/>
              </w:rPr>
            </w:pPr>
            <w:r w:rsidRPr="009B7E7A">
              <w:rPr>
                <w:rFonts w:ascii="Times New Roman" w:hAnsi="Times New Roman" w:cs="Times New Roman"/>
                <w:b/>
                <w:bCs/>
                <w:szCs w:val="24"/>
              </w:rPr>
              <w:t xml:space="preserve">Annual reference price </w:t>
            </w:r>
          </w:p>
          <w:p w14:paraId="0CBC77CB"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(GST-inclusive)</w:t>
            </w:r>
          </w:p>
        </w:tc>
      </w:tr>
      <w:tr w:rsidR="0004476F" w:rsidRPr="009B7E7A" w14:paraId="12A36659" w14:textId="77777777" w:rsidTr="00907089">
        <w:tc>
          <w:tcPr>
            <w:tcW w:w="5103" w:type="dxa"/>
          </w:tcPr>
          <w:p w14:paraId="4EEE7A34" w14:textId="77777777" w:rsidR="0004476F" w:rsidRPr="009B7E7A" w:rsidRDefault="0004476F" w:rsidP="00907089">
            <w:pPr>
              <w:rPr>
                <w:rFonts w:ascii="Times New Roman" w:hAnsi="Times New Roman" w:cs="Times New Roman"/>
                <w:szCs w:val="24"/>
              </w:rPr>
            </w:pPr>
            <w:r w:rsidRPr="009B7E7A">
              <w:rPr>
                <w:rFonts w:ascii="Times New Roman" w:hAnsi="Times New Roman" w:cs="Times New Roman"/>
                <w:szCs w:val="24"/>
              </w:rPr>
              <w:t>Residential Customer without Controlled Load</w:t>
            </w:r>
          </w:p>
        </w:tc>
        <w:tc>
          <w:tcPr>
            <w:tcW w:w="3119" w:type="dxa"/>
          </w:tcPr>
          <w:p w14:paraId="2DD2FF93" w14:textId="06227E36" w:rsidR="0004476F" w:rsidRPr="00734A39" w:rsidRDefault="0004476F" w:rsidP="00907089">
            <w:pPr>
              <w:jc w:val="center"/>
              <w:rPr>
                <w:rFonts w:ascii="Times New Roman" w:hAnsi="Times New Roman" w:cs="Times New Roman"/>
                <w:szCs w:val="24"/>
              </w:rPr>
            </w:pPr>
            <w:r w:rsidRPr="00734A39">
              <w:rPr>
                <w:rFonts w:ascii="Times New Roman" w:hAnsi="Times New Roman" w:cs="Times New Roman"/>
                <w:szCs w:val="24"/>
              </w:rPr>
              <w:t>$2,</w:t>
            </w:r>
            <w:r w:rsidR="00734A39" w:rsidRPr="00734A39">
              <w:rPr>
                <w:rFonts w:ascii="Times New Roman" w:hAnsi="Times New Roman" w:cs="Times New Roman"/>
                <w:szCs w:val="24"/>
              </w:rPr>
              <w:t>744</w:t>
            </w:r>
          </w:p>
        </w:tc>
      </w:tr>
      <w:tr w:rsidR="0004476F" w:rsidRPr="009B7E7A" w14:paraId="35D83FE9" w14:textId="77777777" w:rsidTr="00907089">
        <w:tc>
          <w:tcPr>
            <w:tcW w:w="5103" w:type="dxa"/>
          </w:tcPr>
          <w:p w14:paraId="219A23CC" w14:textId="77777777" w:rsidR="0004476F" w:rsidRPr="009B7E7A" w:rsidRDefault="0004476F" w:rsidP="00907089">
            <w:pPr>
              <w:rPr>
                <w:rFonts w:ascii="Times New Roman" w:hAnsi="Times New Roman" w:cs="Times New Roman"/>
                <w:szCs w:val="24"/>
              </w:rPr>
            </w:pPr>
            <w:r w:rsidRPr="009B7E7A">
              <w:rPr>
                <w:rFonts w:ascii="Times New Roman" w:hAnsi="Times New Roman" w:cs="Times New Roman"/>
                <w:szCs w:val="24"/>
              </w:rPr>
              <w:t>Residential Customer with Controlled Load</w:t>
            </w:r>
          </w:p>
        </w:tc>
        <w:tc>
          <w:tcPr>
            <w:tcW w:w="3119" w:type="dxa"/>
          </w:tcPr>
          <w:p w14:paraId="315C1D2E" w14:textId="503A4A24" w:rsidR="0004476F" w:rsidRPr="00734A39" w:rsidRDefault="0004476F" w:rsidP="00907089">
            <w:pPr>
              <w:jc w:val="center"/>
              <w:rPr>
                <w:rFonts w:ascii="Times New Roman" w:hAnsi="Times New Roman" w:cs="Times New Roman"/>
                <w:szCs w:val="24"/>
              </w:rPr>
            </w:pPr>
            <w:r w:rsidRPr="00734A39">
              <w:rPr>
                <w:rFonts w:ascii="Times New Roman" w:hAnsi="Times New Roman" w:cs="Times New Roman"/>
                <w:szCs w:val="24"/>
              </w:rPr>
              <w:t>$3,</w:t>
            </w:r>
            <w:r w:rsidR="00753E94" w:rsidRPr="00734A39">
              <w:rPr>
                <w:rFonts w:ascii="Times New Roman" w:hAnsi="Times New Roman" w:cs="Times New Roman"/>
                <w:szCs w:val="24"/>
              </w:rPr>
              <w:t>5</w:t>
            </w:r>
            <w:r w:rsidR="00734A39" w:rsidRPr="00734A39">
              <w:rPr>
                <w:rFonts w:ascii="Times New Roman" w:hAnsi="Times New Roman" w:cs="Times New Roman"/>
                <w:szCs w:val="24"/>
              </w:rPr>
              <w:t>1</w:t>
            </w:r>
            <w:r w:rsidR="00753E94" w:rsidRPr="00734A39">
              <w:rPr>
                <w:rFonts w:ascii="Times New Roman" w:hAnsi="Times New Roman" w:cs="Times New Roman"/>
                <w:szCs w:val="24"/>
              </w:rPr>
              <w:t>2</w:t>
            </w:r>
          </w:p>
        </w:tc>
      </w:tr>
      <w:tr w:rsidR="0004476F" w:rsidRPr="009B7E7A" w14:paraId="201BD4AD" w14:textId="77777777" w:rsidTr="00907089">
        <w:tc>
          <w:tcPr>
            <w:tcW w:w="5103" w:type="dxa"/>
          </w:tcPr>
          <w:p w14:paraId="44188B16" w14:textId="77777777" w:rsidR="0004476F" w:rsidRPr="009B7E7A" w:rsidRDefault="0004476F" w:rsidP="00907089">
            <w:pPr>
              <w:rPr>
                <w:rFonts w:ascii="Times New Roman" w:hAnsi="Times New Roman" w:cs="Times New Roman"/>
                <w:szCs w:val="24"/>
              </w:rPr>
            </w:pPr>
            <w:r w:rsidRPr="009B7E7A">
              <w:rPr>
                <w:rFonts w:ascii="Times New Roman" w:hAnsi="Times New Roman" w:cs="Times New Roman"/>
                <w:szCs w:val="24"/>
              </w:rPr>
              <w:t xml:space="preserve">Small Business </w:t>
            </w:r>
          </w:p>
        </w:tc>
        <w:tc>
          <w:tcPr>
            <w:tcW w:w="3119" w:type="dxa"/>
          </w:tcPr>
          <w:p w14:paraId="7C9CA2BB" w14:textId="69D7CD81" w:rsidR="0004476F" w:rsidRPr="00734A39" w:rsidRDefault="0004476F" w:rsidP="00907089">
            <w:pPr>
              <w:jc w:val="center"/>
              <w:rPr>
                <w:rFonts w:ascii="Times New Roman" w:hAnsi="Times New Roman" w:cs="Times New Roman"/>
                <w:szCs w:val="24"/>
              </w:rPr>
            </w:pPr>
            <w:r w:rsidRPr="00734A39">
              <w:rPr>
                <w:rFonts w:ascii="Times New Roman" w:hAnsi="Times New Roman" w:cs="Times New Roman"/>
                <w:szCs w:val="24"/>
              </w:rPr>
              <w:t>$</w:t>
            </w:r>
            <w:r w:rsidR="0044249E" w:rsidRPr="00734A39">
              <w:rPr>
                <w:rFonts w:ascii="Times New Roman" w:hAnsi="Times New Roman" w:cs="Times New Roman"/>
                <w:szCs w:val="24"/>
              </w:rPr>
              <w:t>5</w:t>
            </w:r>
            <w:r w:rsidRPr="00734A39">
              <w:rPr>
                <w:rFonts w:ascii="Times New Roman" w:hAnsi="Times New Roman" w:cs="Times New Roman"/>
                <w:szCs w:val="24"/>
              </w:rPr>
              <w:t>,</w:t>
            </w:r>
            <w:r w:rsidR="00734A39" w:rsidRPr="00734A39">
              <w:rPr>
                <w:rFonts w:ascii="Times New Roman" w:hAnsi="Times New Roman" w:cs="Times New Roman"/>
                <w:szCs w:val="24"/>
              </w:rPr>
              <w:t>217</w:t>
            </w:r>
          </w:p>
        </w:tc>
      </w:tr>
    </w:tbl>
    <w:p w14:paraId="66BAA452" w14:textId="77777777" w:rsidR="0004476F" w:rsidRDefault="0004476F" w:rsidP="0004476F">
      <w:pPr>
        <w:spacing w:before="300"/>
        <w:ind w:left="720" w:hanging="720"/>
        <w:rPr>
          <w:szCs w:val="24"/>
        </w:rPr>
      </w:pPr>
    </w:p>
    <w:p w14:paraId="784C6937" w14:textId="77777777" w:rsidR="00D24F9A" w:rsidRDefault="00D24F9A" w:rsidP="0004476F">
      <w:pPr>
        <w:spacing w:before="300"/>
        <w:ind w:left="720" w:hanging="720"/>
        <w:rPr>
          <w:szCs w:val="24"/>
        </w:rPr>
      </w:pPr>
    </w:p>
    <w:p w14:paraId="4DB97170" w14:textId="350D66A3" w:rsidR="00D24F9A" w:rsidRPr="009B7E7A" w:rsidRDefault="00D24F9A" w:rsidP="0004476F">
      <w:pPr>
        <w:spacing w:before="300"/>
        <w:ind w:left="720" w:hanging="720"/>
        <w:rPr>
          <w:szCs w:val="24"/>
        </w:rPr>
      </w:pPr>
    </w:p>
    <w:p w14:paraId="3FF4C793" w14:textId="1AC0AB28" w:rsidR="000C6586" w:rsidRPr="003D52AE" w:rsidRDefault="000C6586" w:rsidP="000C6586">
      <w:pPr>
        <w:spacing w:before="720"/>
        <w:rPr>
          <w:szCs w:val="24"/>
        </w:rPr>
      </w:pPr>
      <w:r>
        <w:rPr>
          <w:szCs w:val="24"/>
        </w:rPr>
        <w:t>Chris Steel</w:t>
      </w:r>
      <w:r w:rsidRPr="003D52AE">
        <w:rPr>
          <w:szCs w:val="24"/>
        </w:rPr>
        <w:t xml:space="preserve"> MLA</w:t>
      </w:r>
      <w:r w:rsidRPr="003D52AE">
        <w:rPr>
          <w:szCs w:val="24"/>
        </w:rPr>
        <w:tab/>
      </w:r>
      <w:r w:rsidRPr="003D52AE">
        <w:rPr>
          <w:szCs w:val="24"/>
        </w:rPr>
        <w:tab/>
      </w:r>
      <w:r w:rsidR="00D24F9A">
        <w:rPr>
          <w:szCs w:val="24"/>
        </w:rPr>
        <w:tab/>
      </w:r>
      <w:r w:rsidR="00D24F9A">
        <w:rPr>
          <w:szCs w:val="24"/>
        </w:rPr>
        <w:tab/>
      </w:r>
      <w:r>
        <w:rPr>
          <w:szCs w:val="24"/>
        </w:rPr>
        <w:t>Suzanne Orr</w:t>
      </w:r>
      <w:r w:rsidRPr="003D52AE">
        <w:rPr>
          <w:szCs w:val="24"/>
        </w:rPr>
        <w:t xml:space="preserve"> MLA</w:t>
      </w:r>
    </w:p>
    <w:p w14:paraId="2C993370" w14:textId="36D1A127" w:rsidR="000C6586" w:rsidRPr="003D52AE" w:rsidRDefault="000C6586" w:rsidP="00D24F9A">
      <w:pPr>
        <w:ind w:left="4320" w:hanging="4320"/>
        <w:rPr>
          <w:szCs w:val="24"/>
        </w:rPr>
      </w:pPr>
      <w:r w:rsidRPr="003D52AE">
        <w:rPr>
          <w:szCs w:val="24"/>
        </w:rPr>
        <w:t>Treasurer</w:t>
      </w:r>
      <w:r w:rsidRPr="003D52AE">
        <w:rPr>
          <w:szCs w:val="24"/>
        </w:rPr>
        <w:tab/>
        <w:t xml:space="preserve">Minister for </w:t>
      </w:r>
      <w:r>
        <w:rPr>
          <w:szCs w:val="24"/>
        </w:rPr>
        <w:t>Climate Change</w:t>
      </w:r>
      <w:r w:rsidRPr="003D52AE">
        <w:rPr>
          <w:szCs w:val="24"/>
        </w:rPr>
        <w:t xml:space="preserve">, </w:t>
      </w:r>
      <w:r>
        <w:rPr>
          <w:szCs w:val="24"/>
        </w:rPr>
        <w:t xml:space="preserve">Environment, </w:t>
      </w:r>
      <w:r w:rsidRPr="003D52AE">
        <w:rPr>
          <w:szCs w:val="24"/>
        </w:rPr>
        <w:t>Energy and</w:t>
      </w:r>
      <w:r w:rsidR="00D24F9A">
        <w:rPr>
          <w:szCs w:val="24"/>
        </w:rPr>
        <w:t xml:space="preserve"> </w:t>
      </w:r>
      <w:r>
        <w:rPr>
          <w:szCs w:val="24"/>
        </w:rPr>
        <w:t>Water</w:t>
      </w:r>
    </w:p>
    <w:p w14:paraId="0C570BC9" w14:textId="6C2A8903" w:rsidR="000C6586" w:rsidRPr="003D52AE" w:rsidRDefault="000C6586" w:rsidP="000C6586">
      <w:pPr>
        <w:rPr>
          <w:szCs w:val="24"/>
        </w:rPr>
      </w:pPr>
      <w:r>
        <w:rPr>
          <w:szCs w:val="24"/>
        </w:rPr>
        <w:t xml:space="preserve">   </w:t>
      </w:r>
      <w:r w:rsidR="00D24F9A">
        <w:rPr>
          <w:szCs w:val="24"/>
        </w:rPr>
        <w:tab/>
      </w:r>
      <w:r w:rsidR="00007AB8">
        <w:rPr>
          <w:szCs w:val="24"/>
        </w:rPr>
        <w:t xml:space="preserve">28 </w:t>
      </w:r>
      <w:r w:rsidR="005F2618">
        <w:rPr>
          <w:szCs w:val="24"/>
        </w:rPr>
        <w:t>May</w:t>
      </w:r>
      <w:r w:rsidRPr="003D52AE">
        <w:rPr>
          <w:szCs w:val="24"/>
        </w:rPr>
        <w:t xml:space="preserve"> 202</w:t>
      </w:r>
      <w:r w:rsidR="000F68CD">
        <w:rPr>
          <w:szCs w:val="24"/>
        </w:rPr>
        <w:t>6</w:t>
      </w:r>
      <w:r w:rsidRPr="003D52AE">
        <w:rPr>
          <w:szCs w:val="24"/>
        </w:rPr>
        <w:tab/>
      </w:r>
      <w:r w:rsidRPr="003D52AE">
        <w:rPr>
          <w:szCs w:val="24"/>
        </w:rPr>
        <w:tab/>
      </w:r>
      <w:r w:rsidRPr="003D52AE">
        <w:rPr>
          <w:szCs w:val="24"/>
        </w:rPr>
        <w:tab/>
      </w:r>
      <w:r w:rsidR="00D24F9A">
        <w:rPr>
          <w:szCs w:val="24"/>
        </w:rPr>
        <w:tab/>
      </w:r>
      <w:r w:rsidR="00D24F9A">
        <w:rPr>
          <w:szCs w:val="24"/>
        </w:rPr>
        <w:tab/>
      </w:r>
      <w:r w:rsidR="00D24F9A">
        <w:rPr>
          <w:szCs w:val="24"/>
        </w:rPr>
        <w:tab/>
      </w:r>
      <w:r w:rsidR="00007AB8">
        <w:rPr>
          <w:szCs w:val="24"/>
        </w:rPr>
        <w:t>28</w:t>
      </w:r>
      <w:r w:rsidR="00797ECF">
        <w:rPr>
          <w:szCs w:val="24"/>
        </w:rPr>
        <w:t xml:space="preserve"> </w:t>
      </w:r>
      <w:r w:rsidR="00D24F9A">
        <w:rPr>
          <w:szCs w:val="24"/>
        </w:rPr>
        <w:t xml:space="preserve">May </w:t>
      </w:r>
      <w:r w:rsidRPr="003D52AE">
        <w:rPr>
          <w:szCs w:val="24"/>
        </w:rPr>
        <w:t>202</w:t>
      </w:r>
      <w:r w:rsidR="000F68CD">
        <w:rPr>
          <w:szCs w:val="24"/>
        </w:rPr>
        <w:t>6</w:t>
      </w:r>
    </w:p>
    <w:p w14:paraId="026BC510" w14:textId="77777777" w:rsidR="000C6586" w:rsidRDefault="000C6586" w:rsidP="000C6586">
      <w:pPr>
        <w:spacing w:before="300"/>
        <w:ind w:left="720" w:hanging="720"/>
      </w:pPr>
    </w:p>
    <w:p w14:paraId="12B1DB77" w14:textId="77777777" w:rsidR="0004476F" w:rsidRDefault="0004476F" w:rsidP="0004476F">
      <w:pPr>
        <w:tabs>
          <w:tab w:val="left" w:pos="4320"/>
        </w:tabs>
        <w:rPr>
          <w:szCs w:val="24"/>
        </w:rPr>
      </w:pPr>
    </w:p>
    <w:p w14:paraId="4C3D20D9" w14:textId="77777777" w:rsidR="0004476F" w:rsidRDefault="0004476F" w:rsidP="0004476F">
      <w:pPr>
        <w:tabs>
          <w:tab w:val="left" w:pos="4320"/>
        </w:tabs>
        <w:rPr>
          <w:szCs w:val="24"/>
        </w:rPr>
      </w:pPr>
    </w:p>
    <w:sectPr w:rsidR="0004476F"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CFA9" w14:textId="77777777" w:rsidR="00777A99" w:rsidRDefault="00777A99" w:rsidP="001440B3">
      <w:r>
        <w:separator/>
      </w:r>
    </w:p>
  </w:endnote>
  <w:endnote w:type="continuationSeparator" w:id="0">
    <w:p w14:paraId="07BB3421" w14:textId="77777777" w:rsidR="00777A99" w:rsidRDefault="00777A99"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3727"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3078" w14:textId="27643375" w:rsidR="0042011A" w:rsidRPr="00E00A59" w:rsidRDefault="00E00A59" w:rsidP="00E00A59">
    <w:pPr>
      <w:pStyle w:val="Footer"/>
      <w:jc w:val="center"/>
      <w:rPr>
        <w:rFonts w:cs="Arial"/>
        <w:sz w:val="14"/>
      </w:rPr>
    </w:pPr>
    <w:r w:rsidRPr="00E00A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167A"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DDFA" w14:textId="77777777" w:rsidR="00777A99" w:rsidRDefault="00777A99" w:rsidP="001440B3">
      <w:r>
        <w:separator/>
      </w:r>
    </w:p>
  </w:footnote>
  <w:footnote w:type="continuationSeparator" w:id="0">
    <w:p w14:paraId="5181840A" w14:textId="77777777" w:rsidR="00777A99" w:rsidRDefault="00777A99"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5846"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EA2B"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79D2"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B70841"/>
    <w:multiLevelType w:val="hybridMultilevel"/>
    <w:tmpl w:val="1F8E0A60"/>
    <w:lvl w:ilvl="0" w:tplc="86DAFE00">
      <w:start w:val="1"/>
      <w:numFmt w:val="lowerLetter"/>
      <w:lvlText w:val="%1)"/>
      <w:lvlJc w:val="left"/>
      <w:pPr>
        <w:ind w:left="1440" w:hanging="360"/>
      </w:pPr>
      <w:rPr>
        <w:b w:val="0"/>
        <w:bCs w:val="0"/>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3DD5AAD"/>
    <w:multiLevelType w:val="hybridMultilevel"/>
    <w:tmpl w:val="F2C404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18353348">
    <w:abstractNumId w:val="2"/>
  </w:num>
  <w:num w:numId="2" w16cid:durableId="1189295558">
    <w:abstractNumId w:val="0"/>
  </w:num>
  <w:num w:numId="3" w16cid:durableId="1592931004">
    <w:abstractNumId w:val="3"/>
  </w:num>
  <w:num w:numId="4" w16cid:durableId="2051951261">
    <w:abstractNumId w:val="8"/>
  </w:num>
  <w:num w:numId="5" w16cid:durableId="1946839149">
    <w:abstractNumId w:val="9"/>
  </w:num>
  <w:num w:numId="6" w16cid:durableId="1022053298">
    <w:abstractNumId w:val="1"/>
  </w:num>
  <w:num w:numId="7" w16cid:durableId="1267729823">
    <w:abstractNumId w:val="6"/>
  </w:num>
  <w:num w:numId="8" w16cid:durableId="1021974394">
    <w:abstractNumId w:val="7"/>
  </w:num>
  <w:num w:numId="9" w16cid:durableId="398947064">
    <w:abstractNumId w:val="10"/>
  </w:num>
  <w:num w:numId="10" w16cid:durableId="1554610858">
    <w:abstractNumId w:val="4"/>
  </w:num>
  <w:num w:numId="11" w16cid:durableId="760564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10CF"/>
    <w:rsid w:val="00007AB8"/>
    <w:rsid w:val="0004476F"/>
    <w:rsid w:val="00055273"/>
    <w:rsid w:val="00081E9F"/>
    <w:rsid w:val="000C6586"/>
    <w:rsid w:val="000F1DAD"/>
    <w:rsid w:val="000F68CD"/>
    <w:rsid w:val="0012224F"/>
    <w:rsid w:val="001225EF"/>
    <w:rsid w:val="00123D78"/>
    <w:rsid w:val="0014151B"/>
    <w:rsid w:val="001440B3"/>
    <w:rsid w:val="00172FB7"/>
    <w:rsid w:val="00222933"/>
    <w:rsid w:val="00283719"/>
    <w:rsid w:val="0032754B"/>
    <w:rsid w:val="0035485A"/>
    <w:rsid w:val="003624DA"/>
    <w:rsid w:val="003F1A15"/>
    <w:rsid w:val="0042011A"/>
    <w:rsid w:val="0044249E"/>
    <w:rsid w:val="004D5BF9"/>
    <w:rsid w:val="00517B67"/>
    <w:rsid w:val="00525963"/>
    <w:rsid w:val="00552168"/>
    <w:rsid w:val="00560C8B"/>
    <w:rsid w:val="005F2618"/>
    <w:rsid w:val="006A5574"/>
    <w:rsid w:val="00734A39"/>
    <w:rsid w:val="00736F9C"/>
    <w:rsid w:val="00742906"/>
    <w:rsid w:val="00753E94"/>
    <w:rsid w:val="00777A99"/>
    <w:rsid w:val="00797ECF"/>
    <w:rsid w:val="007A605A"/>
    <w:rsid w:val="007B2528"/>
    <w:rsid w:val="007B6E2F"/>
    <w:rsid w:val="00880938"/>
    <w:rsid w:val="008D1E97"/>
    <w:rsid w:val="00970252"/>
    <w:rsid w:val="00986864"/>
    <w:rsid w:val="009C0143"/>
    <w:rsid w:val="009F4B57"/>
    <w:rsid w:val="00A81F3C"/>
    <w:rsid w:val="00AA35F7"/>
    <w:rsid w:val="00B0409D"/>
    <w:rsid w:val="00B65369"/>
    <w:rsid w:val="00BB176A"/>
    <w:rsid w:val="00C247A8"/>
    <w:rsid w:val="00C36A8F"/>
    <w:rsid w:val="00C411AA"/>
    <w:rsid w:val="00D00B37"/>
    <w:rsid w:val="00D06D2C"/>
    <w:rsid w:val="00D22874"/>
    <w:rsid w:val="00D24F9A"/>
    <w:rsid w:val="00D55D1F"/>
    <w:rsid w:val="00DC73F5"/>
    <w:rsid w:val="00E00A59"/>
    <w:rsid w:val="00E12A1F"/>
    <w:rsid w:val="00E764FB"/>
    <w:rsid w:val="00E96413"/>
    <w:rsid w:val="00EA00FC"/>
    <w:rsid w:val="00F0272E"/>
    <w:rsid w:val="00F7076A"/>
    <w:rsid w:val="00F93F5C"/>
    <w:rsid w:val="00FB046B"/>
    <w:rsid w:val="00FB72E6"/>
    <w:rsid w:val="00FC101D"/>
    <w:rsid w:val="00FC769C"/>
    <w:rsid w:val="00FC7B48"/>
    <w:rsid w:val="00FE3D0F"/>
    <w:rsid w:val="00FF0E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93A43"/>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4476F"/>
    <w:pPr>
      <w:spacing w:before="200" w:after="200" w:line="276" w:lineRule="auto"/>
      <w:ind w:left="720"/>
      <w:contextualSpacing/>
    </w:pPr>
    <w:rPr>
      <w:rFonts w:ascii="Calibri" w:hAnsi="Calibri"/>
      <w:sz w:val="22"/>
    </w:rPr>
  </w:style>
  <w:style w:type="table" w:styleId="TableGrid">
    <w:name w:val="Table Grid"/>
    <w:basedOn w:val="TableNormal"/>
    <w:uiPriority w:val="59"/>
    <w:rsid w:val="000447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273"/>
    <w:rPr>
      <w:sz w:val="16"/>
      <w:szCs w:val="16"/>
    </w:rPr>
  </w:style>
  <w:style w:type="paragraph" w:styleId="CommentText">
    <w:name w:val="annotation text"/>
    <w:basedOn w:val="Normal"/>
    <w:link w:val="CommentTextChar"/>
    <w:uiPriority w:val="99"/>
    <w:unhideWhenUsed/>
    <w:rsid w:val="00055273"/>
    <w:rPr>
      <w:sz w:val="20"/>
    </w:rPr>
  </w:style>
  <w:style w:type="character" w:customStyle="1" w:styleId="CommentTextChar">
    <w:name w:val="Comment Text Char"/>
    <w:basedOn w:val="DefaultParagraphFont"/>
    <w:link w:val="CommentText"/>
    <w:uiPriority w:val="99"/>
    <w:rsid w:val="00055273"/>
    <w:rPr>
      <w:lang w:eastAsia="en-US"/>
    </w:rPr>
  </w:style>
  <w:style w:type="paragraph" w:styleId="CommentSubject">
    <w:name w:val="annotation subject"/>
    <w:basedOn w:val="CommentText"/>
    <w:next w:val="CommentText"/>
    <w:link w:val="CommentSubjectChar"/>
    <w:uiPriority w:val="99"/>
    <w:semiHidden/>
    <w:unhideWhenUsed/>
    <w:rsid w:val="00055273"/>
    <w:rPr>
      <w:b/>
      <w:bCs/>
    </w:rPr>
  </w:style>
  <w:style w:type="character" w:customStyle="1" w:styleId="CommentSubjectChar">
    <w:name w:val="Comment Subject Char"/>
    <w:basedOn w:val="CommentTextChar"/>
    <w:link w:val="CommentSubject"/>
    <w:uiPriority w:val="99"/>
    <w:semiHidden/>
    <w:rsid w:val="00055273"/>
    <w:rPr>
      <w:b/>
      <w:bCs/>
      <w:lang w:eastAsia="en-US"/>
    </w:rPr>
  </w:style>
  <w:style w:type="paragraph" w:styleId="Revision">
    <w:name w:val="Revision"/>
    <w:hidden/>
    <w:uiPriority w:val="99"/>
    <w:semiHidden/>
    <w:rsid w:val="00D55D1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A62205545</value>
    </field>
    <field name="Objective-Title">
      <value order="0">Attachment A - Notifiable instrument - Determination Two 2026-27</value>
    </field>
    <field name="Objective-Description">
      <value order="0"/>
    </field>
    <field name="Objective-CreationStamp">
      <value order="0">2026-05-27T05:40:06Z</value>
    </field>
    <field name="Objective-IsApproved">
      <value order="0">false</value>
    </field>
    <field name="Objective-IsPublished">
      <value order="0">true</value>
    </field>
    <field name="Objective-DatePublished">
      <value order="0">2026-05-28T03:20:16Z</value>
    </field>
    <field name="Objective-ModificationStamp">
      <value order="0">2026-05-28T03:20:16Z</value>
    </field>
    <field name="Objective-Owner">
      <value order="0">Matthew Trpkovski</value>
    </field>
    <field name="Objective-Path">
      <value order="0">Whole of ACT Government:EPSDD - Environment Planning and Sustainable Development Directorate:07. Ministerial, Cabinet and Government Relations:06. Ministerials:2026 - Ministerial Briefs and Correspondence:Climate Change, Energy, Water &amp; Waste:26/0081845 Ministerial-Information Brief ΓÇô Orr/Steel ΓÇô Electricity Reference Price 2026-27 ΓÇô Determination Two</value>
    </field>
    <field name="Objective-Parent">
      <value order="0">26/0081845 Ministerial-Information Brief ΓÇô Orr/Steel ΓÇô Electricity Reference Price 2026-27 ΓÇô Determination Two</value>
    </field>
    <field name="Objective-State">
      <value order="0">Published</value>
    </field>
    <field name="Objective-VersionId">
      <value order="0">vA78883310</value>
    </field>
    <field name="Objective-Version">
      <value order="0">5.0</value>
    </field>
    <field name="Objective-VersionNumber">
      <value order="0">5</value>
    </field>
    <field name="Objective-VersionComment">
      <value order="0"/>
    </field>
    <field name="Objective-FileNumber">
      <value order="0">1-2026/0081845</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2221</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2026-06-02T00:11:00Z</dcterms:created>
  <dcterms:modified xsi:type="dcterms:W3CDTF">2026-06-02T00:11:00Z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2025-04-07T01:50:48Z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e2127f2b-dab4-416f-a56a-34e5458811f8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A62205545</vt:lpwstr>
  </property>
  <property fmtid="{D5CDD505-2E9C-101B-9397-08002B2CF9AE}" pid="13" name="Objective-Title">
    <vt:lpwstr>Attachment A - Notifiable instrument - Determination Two 2026-27</vt:lpwstr>
  </property>
  <property fmtid="{D5CDD505-2E9C-101B-9397-08002B2CF9AE}" pid="14" name="Objective-Description">
    <vt:lpwstr/>
  </property>
  <property fmtid="{D5CDD505-2E9C-101B-9397-08002B2CF9AE}" pid="15" name="Objective-CreationStamp">
    <vt:filetime>2026-05-27T05:40:06Z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2026-05-28T03:20:16Z</vt:filetime>
  </property>
  <property fmtid="{D5CDD505-2E9C-101B-9397-08002B2CF9AE}" pid="19" name="Objective-ModificationStamp">
    <vt:filetime>2026-05-28T03:20:16Z</vt:filetime>
  </property>
  <property fmtid="{D5CDD505-2E9C-101B-9397-08002B2CF9AE}" pid="20" name="Objective-Owner">
    <vt:lpwstr>Matthew Trpkovski</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Correspondence:Climate Change, Energy, Water &amp; Waste:26/0081845 Ministerial-Information Brief – Orr/Steel – Electricity Reference Price 2026-27 – Determination Two:</vt:lpwstr>
  </property>
  <property fmtid="{D5CDD505-2E9C-101B-9397-08002B2CF9AE}" pid="22" name="Objective-Parent">
    <vt:lpwstr>26/0081845 Ministerial-Information Brief – Orr/Steel – Electricity Reference Price 2026-27 – Determination Two</vt:lpwstr>
  </property>
  <property fmtid="{D5CDD505-2E9C-101B-9397-08002B2CF9AE}" pid="23" name="Objective-State">
    <vt:lpwstr>Published</vt:lpwstr>
  </property>
  <property fmtid="{D5CDD505-2E9C-101B-9397-08002B2CF9AE}" pid="24" name="Objective-VersionId">
    <vt:lpwstr>vA78883310</vt:lpwstr>
  </property>
  <property fmtid="{D5CDD505-2E9C-101B-9397-08002B2CF9AE}" pid="25" name="Objective-Version">
    <vt:lpwstr>5.0</vt:lpwstr>
  </property>
  <property fmtid="{D5CDD505-2E9C-101B-9397-08002B2CF9AE}" pid="26" name="Objective-VersionNumber">
    <vt:r8>5</vt:r8>
  </property>
  <property fmtid="{D5CDD505-2E9C-101B-9397-08002B2CF9AE}" pid="27" name="Objective-VersionComment">
    <vt:lpwstr/>
  </property>
  <property fmtid="{D5CDD505-2E9C-101B-9397-08002B2CF9AE}" pid="28" name="Objective-FileNumber">
    <vt:lpwstr>1-2026/0081845</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