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BECF" w14:textId="77777777" w:rsidR="00047BC4" w:rsidRDefault="00047BC4" w:rsidP="00047BC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539C4AC" w14:textId="5F8ED2D6" w:rsidR="00047BC4" w:rsidRDefault="00047BC4" w:rsidP="00047BC4">
      <w:pPr>
        <w:pStyle w:val="Billname"/>
        <w:spacing w:before="700"/>
      </w:pPr>
      <w:r>
        <w:t xml:space="preserve">Medicines, Poisons and Therapeutic Goods (Standing CHO approval for </w:t>
      </w:r>
      <w:r w:rsidR="008A0458">
        <w:t xml:space="preserve">general practitioners </w:t>
      </w:r>
      <w:r>
        <w:t>to prescribe controlled medicines for ADHD) Approval 202</w:t>
      </w:r>
      <w:r w:rsidR="0055790F">
        <w:t>6</w:t>
      </w:r>
      <w:r>
        <w:t xml:space="preserve"> (No </w:t>
      </w:r>
      <w:r w:rsidR="0055790F">
        <w:t>1</w:t>
      </w:r>
      <w:r>
        <w:t>)</w:t>
      </w:r>
    </w:p>
    <w:p w14:paraId="343ABA2D" w14:textId="6EC9D1C9" w:rsidR="00047BC4" w:rsidRDefault="00047BC4" w:rsidP="00047BC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55790F">
        <w:rPr>
          <w:rFonts w:ascii="Arial" w:hAnsi="Arial" w:cs="Arial"/>
          <w:b/>
          <w:bCs/>
        </w:rPr>
        <w:t>6</w:t>
      </w:r>
      <w:r w:rsidRPr="00C01F7A">
        <w:rPr>
          <w:rFonts w:ascii="Arial" w:hAnsi="Arial" w:cs="Arial"/>
          <w:b/>
          <w:bCs/>
        </w:rPr>
        <w:t>–</w:t>
      </w:r>
      <w:r w:rsidR="00BB3AD8">
        <w:rPr>
          <w:rFonts w:ascii="Arial" w:hAnsi="Arial" w:cs="Arial"/>
          <w:b/>
          <w:bCs/>
        </w:rPr>
        <w:t>8</w:t>
      </w:r>
    </w:p>
    <w:p w14:paraId="4C051E76" w14:textId="77777777" w:rsidR="00047BC4" w:rsidRDefault="00047BC4" w:rsidP="00047BC4">
      <w:pPr>
        <w:pStyle w:val="madeunder"/>
        <w:spacing w:before="300" w:after="0"/>
      </w:pPr>
      <w:r>
        <w:t xml:space="preserve">made under the  </w:t>
      </w:r>
    </w:p>
    <w:p w14:paraId="7B6E6958" w14:textId="5F045E3D" w:rsidR="00047BC4" w:rsidRDefault="00047BC4" w:rsidP="00047B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Medicines, Poisons and Therapeutic Goods Regulation 2008, section 554 (Standing CHO approval to prescribe controlled medicines in certain circumstances – Act s 20 (1) (c)</w:t>
      </w:r>
    </w:p>
    <w:p w14:paraId="55CC60A2" w14:textId="77777777" w:rsidR="00047BC4" w:rsidRDefault="00047BC4" w:rsidP="00047BC4">
      <w:pPr>
        <w:pStyle w:val="N-line3"/>
        <w:pBdr>
          <w:bottom w:val="none" w:sz="0" w:space="0" w:color="auto"/>
        </w:pBdr>
        <w:spacing w:before="60"/>
      </w:pPr>
    </w:p>
    <w:p w14:paraId="1CA416DF" w14:textId="77777777" w:rsidR="00047BC4" w:rsidRDefault="00047BC4" w:rsidP="00047BC4">
      <w:pPr>
        <w:pStyle w:val="N-line3"/>
        <w:pBdr>
          <w:top w:val="single" w:sz="12" w:space="1" w:color="auto"/>
          <w:bottom w:val="none" w:sz="0" w:space="0" w:color="auto"/>
        </w:pBdr>
      </w:pPr>
    </w:p>
    <w:p w14:paraId="5E0E31B1" w14:textId="77777777" w:rsidR="00047BC4" w:rsidRDefault="00047BC4" w:rsidP="00047BC4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95347B" w14:textId="703A532D" w:rsidR="00047BC4" w:rsidRPr="00D42D93" w:rsidRDefault="00047BC4" w:rsidP="00047BC4">
      <w:pPr>
        <w:spacing w:before="140"/>
        <w:ind w:left="720"/>
        <w:rPr>
          <w:i/>
          <w:iCs/>
        </w:rPr>
      </w:pPr>
      <w:r>
        <w:t xml:space="preserve">This instrument is the </w:t>
      </w:r>
      <w:r w:rsidRPr="79DCB393">
        <w:rPr>
          <w:i/>
          <w:iCs/>
        </w:rPr>
        <w:t xml:space="preserve">Medicines, Poisons and Therapeutic Goods (Standing CHO approval for </w:t>
      </w:r>
      <w:r w:rsidR="008A0458">
        <w:rPr>
          <w:i/>
          <w:iCs/>
        </w:rPr>
        <w:t>g</w:t>
      </w:r>
      <w:r w:rsidR="008A0458" w:rsidRPr="79DCB393">
        <w:rPr>
          <w:i/>
          <w:iCs/>
        </w:rPr>
        <w:t xml:space="preserve">eneral </w:t>
      </w:r>
      <w:r w:rsidR="008A0458">
        <w:rPr>
          <w:i/>
          <w:iCs/>
        </w:rPr>
        <w:t>p</w:t>
      </w:r>
      <w:r w:rsidR="008A0458" w:rsidRPr="79DCB393">
        <w:rPr>
          <w:i/>
          <w:iCs/>
        </w:rPr>
        <w:t xml:space="preserve">ractitioners </w:t>
      </w:r>
      <w:r w:rsidRPr="79DCB393">
        <w:rPr>
          <w:i/>
          <w:iCs/>
        </w:rPr>
        <w:t>to prescribe controlled medicines</w:t>
      </w:r>
      <w:r>
        <w:rPr>
          <w:i/>
          <w:iCs/>
        </w:rPr>
        <w:t xml:space="preserve"> for ADHD</w:t>
      </w:r>
      <w:r w:rsidRPr="79DCB393">
        <w:rPr>
          <w:i/>
          <w:iCs/>
        </w:rPr>
        <w:t>) Approval 202</w:t>
      </w:r>
      <w:r w:rsidR="0055790F">
        <w:rPr>
          <w:i/>
          <w:iCs/>
        </w:rPr>
        <w:t>6</w:t>
      </w:r>
      <w:r w:rsidRPr="79DCB393">
        <w:rPr>
          <w:i/>
          <w:iCs/>
        </w:rPr>
        <w:t xml:space="preserve"> (No</w:t>
      </w:r>
      <w:r w:rsidR="0055790F">
        <w:rPr>
          <w:i/>
          <w:iCs/>
        </w:rPr>
        <w:t xml:space="preserve"> 1</w:t>
      </w:r>
      <w:r w:rsidRPr="79DCB393">
        <w:rPr>
          <w:i/>
          <w:iCs/>
        </w:rPr>
        <w:t>).</w:t>
      </w:r>
    </w:p>
    <w:p w14:paraId="340B4314" w14:textId="77777777" w:rsidR="00047BC4" w:rsidRDefault="00047BC4" w:rsidP="00047BC4">
      <w:pPr>
        <w:tabs>
          <w:tab w:val="left" w:pos="720"/>
          <w:tab w:val="left" w:pos="1440"/>
          <w:tab w:val="left" w:pos="2160"/>
          <w:tab w:val="left" w:pos="806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  <w:r>
        <w:rPr>
          <w:rFonts w:ascii="Arial" w:hAnsi="Arial" w:cs="Arial"/>
          <w:b/>
          <w:bCs/>
        </w:rPr>
        <w:tab/>
      </w:r>
    </w:p>
    <w:p w14:paraId="2F191B6D" w14:textId="40A55BB7" w:rsidR="00047BC4" w:rsidRDefault="00047BC4" w:rsidP="00047BC4">
      <w:pPr>
        <w:spacing w:before="140"/>
        <w:ind w:left="720"/>
      </w:pPr>
      <w:r>
        <w:t xml:space="preserve">This instrument commences on 11 February 2026.  </w:t>
      </w:r>
    </w:p>
    <w:p w14:paraId="713DF12C" w14:textId="77777777" w:rsidR="00047BC4" w:rsidRDefault="00047BC4" w:rsidP="00047BC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Standing CHO approval to prescribe controlled medicines</w:t>
      </w:r>
    </w:p>
    <w:p w14:paraId="705A173F" w14:textId="581433F9" w:rsidR="00047BC4" w:rsidRDefault="00047BC4" w:rsidP="00047BC4">
      <w:pPr>
        <w:spacing w:before="140"/>
        <w:ind w:left="720"/>
      </w:pPr>
      <w:r>
        <w:t xml:space="preserve">I approve a designated prescriber to prescribe a controlled medicine for a patient in accordance with Schedule 1 – </w:t>
      </w:r>
      <w:r w:rsidRPr="00D42D93">
        <w:rPr>
          <w:i/>
          <w:iCs/>
        </w:rPr>
        <w:t xml:space="preserve">Standing CHO approval </w:t>
      </w:r>
      <w:r>
        <w:rPr>
          <w:i/>
          <w:iCs/>
        </w:rPr>
        <w:t xml:space="preserve">for </w:t>
      </w:r>
      <w:r w:rsidR="008A0458">
        <w:rPr>
          <w:i/>
          <w:iCs/>
        </w:rPr>
        <w:t>g</w:t>
      </w:r>
      <w:r>
        <w:rPr>
          <w:i/>
          <w:iCs/>
        </w:rPr>
        <w:t xml:space="preserve">eneral </w:t>
      </w:r>
      <w:r w:rsidR="008A0458">
        <w:rPr>
          <w:i/>
          <w:iCs/>
        </w:rPr>
        <w:t xml:space="preserve">practitioners </w:t>
      </w:r>
      <w:r>
        <w:rPr>
          <w:i/>
          <w:iCs/>
        </w:rPr>
        <w:t>to</w:t>
      </w:r>
      <w:r w:rsidRPr="00D42D93">
        <w:rPr>
          <w:i/>
          <w:iCs/>
        </w:rPr>
        <w:t xml:space="preserve"> prescribe </w:t>
      </w:r>
      <w:r>
        <w:rPr>
          <w:i/>
          <w:iCs/>
        </w:rPr>
        <w:t>controlled</w:t>
      </w:r>
      <w:r w:rsidRPr="00D42D93">
        <w:rPr>
          <w:i/>
          <w:iCs/>
        </w:rPr>
        <w:t xml:space="preserve"> medicines</w:t>
      </w:r>
      <w:r>
        <w:rPr>
          <w:i/>
          <w:iCs/>
        </w:rPr>
        <w:t xml:space="preserve"> for the continued treatment of ADHD.</w:t>
      </w:r>
      <w:r>
        <w:t xml:space="preserve"> </w:t>
      </w:r>
    </w:p>
    <w:p w14:paraId="4B3ACC3D" w14:textId="77777777" w:rsidR="00047BC4" w:rsidRDefault="00047BC4" w:rsidP="00047BC4">
      <w:pPr>
        <w:spacing w:before="140"/>
        <w:ind w:left="720"/>
      </w:pPr>
    </w:p>
    <w:p w14:paraId="29BA1FD8" w14:textId="77777777" w:rsidR="00047BC4" w:rsidRDefault="00047BC4" w:rsidP="00047BC4">
      <w:pPr>
        <w:spacing w:before="140"/>
        <w:ind w:left="720"/>
      </w:pPr>
      <w:r>
        <w:rPr>
          <w:rFonts w:ascii="Arial" w:hAnsi="Arial" w:cs="Arial"/>
          <w:b/>
          <w:bCs/>
        </w:rPr>
        <w:t xml:space="preserve"> </w:t>
      </w:r>
    </w:p>
    <w:p w14:paraId="64647995" w14:textId="77777777" w:rsidR="00047BC4" w:rsidRDefault="00047BC4" w:rsidP="00047BC4">
      <w:pPr>
        <w:tabs>
          <w:tab w:val="left" w:pos="4320"/>
        </w:tabs>
        <w:spacing w:before="720"/>
      </w:pPr>
      <w:r>
        <w:t>Dr Kerryn Coleman</w:t>
      </w:r>
    </w:p>
    <w:p w14:paraId="7D993A58" w14:textId="77777777" w:rsidR="00047BC4" w:rsidRDefault="00047BC4" w:rsidP="00047BC4">
      <w:pPr>
        <w:tabs>
          <w:tab w:val="left" w:pos="4320"/>
        </w:tabs>
      </w:pPr>
      <w:r>
        <w:t>Chief Health Officer</w:t>
      </w:r>
    </w:p>
    <w:p w14:paraId="7A602D6A" w14:textId="024CE49A" w:rsidR="00047BC4" w:rsidRDefault="000F7B97" w:rsidP="00047BC4">
      <w:pPr>
        <w:tabs>
          <w:tab w:val="left" w:pos="4320"/>
        </w:tabs>
      </w:pPr>
      <w:r>
        <w:t>2 January 2026</w:t>
      </w:r>
    </w:p>
    <w:p w14:paraId="56BB27A1" w14:textId="77777777" w:rsidR="00047BC4" w:rsidRDefault="00047BC4" w:rsidP="00047BC4">
      <w:pPr>
        <w:pStyle w:val="CS-Paragraphnumbering"/>
        <w:tabs>
          <w:tab w:val="left" w:pos="6330"/>
        </w:tabs>
        <w:rPr>
          <w:rFonts w:ascii="Aptos" w:hAnsi="Aptos"/>
        </w:rPr>
      </w:pPr>
      <w:r>
        <w:rPr>
          <w:rFonts w:ascii="Aptos" w:hAnsi="Aptos"/>
        </w:rPr>
        <w:tab/>
      </w:r>
    </w:p>
    <w:p w14:paraId="64EC2985" w14:textId="77777777" w:rsidR="00047BC4" w:rsidRDefault="00047BC4" w:rsidP="00047BC4">
      <w:pPr>
        <w:pStyle w:val="CS-Paragraphnumbering"/>
        <w:tabs>
          <w:tab w:val="left" w:pos="6330"/>
        </w:tabs>
        <w:rPr>
          <w:rFonts w:ascii="Aptos" w:hAnsi="Aptos"/>
        </w:rPr>
      </w:pPr>
      <w:r w:rsidRPr="005D0B04">
        <w:br w:type="page"/>
      </w:r>
    </w:p>
    <w:p w14:paraId="5301D1F2" w14:textId="77777777" w:rsidR="00047BC4" w:rsidRPr="007959EA" w:rsidRDefault="00047BC4" w:rsidP="00047BC4">
      <w:pPr>
        <w:pStyle w:val="CS-Paragraphnumbering"/>
        <w:rPr>
          <w:rFonts w:ascii="Aptos" w:hAnsi="Apto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4BBA6B" wp14:editId="373B6787">
            <wp:simplePos x="0" y="0"/>
            <wp:positionH relativeFrom="column">
              <wp:posOffset>19050</wp:posOffset>
            </wp:positionH>
            <wp:positionV relativeFrom="paragraph">
              <wp:posOffset>-9525</wp:posOffset>
            </wp:positionV>
            <wp:extent cx="1574800" cy="801370"/>
            <wp:effectExtent l="0" t="0" r="0" b="0"/>
            <wp:wrapNone/>
            <wp:docPr id="1756054975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4833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009B5" w14:textId="77777777" w:rsidR="00047BC4" w:rsidRPr="00923FE4" w:rsidRDefault="00047BC4" w:rsidP="00047BC4">
      <w:pPr>
        <w:pStyle w:val="CS-Paragraphnumbering"/>
        <w:jc w:val="right"/>
        <w:rPr>
          <w:rStyle w:val="Heading3Char"/>
          <w:rFonts w:ascii="Aptos" w:hAnsi="Aptos"/>
          <w:b/>
          <w:bCs/>
          <w:color w:val="auto"/>
        </w:rPr>
      </w:pPr>
      <w:r w:rsidRPr="00923FE4">
        <w:rPr>
          <w:rStyle w:val="Heading3Char"/>
          <w:rFonts w:ascii="Aptos" w:hAnsi="Aptos"/>
          <w:b/>
          <w:bCs/>
          <w:color w:val="auto"/>
        </w:rPr>
        <w:t>SCHEDULE 1</w:t>
      </w:r>
    </w:p>
    <w:p w14:paraId="38E12199" w14:textId="60F4DAD9" w:rsidR="00047BC4" w:rsidRPr="007959EA" w:rsidRDefault="00047BC4" w:rsidP="00047BC4">
      <w:pPr>
        <w:pStyle w:val="CS-Paragraphnumbering"/>
        <w:jc w:val="right"/>
        <w:rPr>
          <w:rFonts w:ascii="Aptos" w:hAnsi="Aptos"/>
        </w:rPr>
      </w:pPr>
      <w:r w:rsidRPr="007959EA">
        <w:rPr>
          <w:rStyle w:val="Emphasis"/>
          <w:rFonts w:ascii="Aptos" w:hAnsi="Aptos"/>
        </w:rPr>
        <w:t>HCSD Unique identifying number PHD2025/</w:t>
      </w:r>
      <w:r w:rsidR="00E8360B">
        <w:rPr>
          <w:rStyle w:val="Emphasis"/>
          <w:rFonts w:ascii="Aptos" w:hAnsi="Aptos"/>
        </w:rPr>
        <w:t>0002359B</w:t>
      </w:r>
      <w:r>
        <w:rPr>
          <w:rStyle w:val="Emphasis"/>
          <w:rFonts w:ascii="Aptos" w:hAnsi="Aptos"/>
        </w:rPr>
        <w:br/>
      </w:r>
      <w:r w:rsidRPr="005D0B04">
        <w:rPr>
          <w:rFonts w:ascii="Aptos" w:eastAsia="Times New Roman" w:hAnsi="Aptos"/>
          <w:i/>
          <w:iCs/>
          <w:sz w:val="22"/>
          <w:szCs w:val="22"/>
        </w:rPr>
        <w:t>Medicines, Poisons and Therapeutic Goods Regulation 2008, s 554</w:t>
      </w:r>
    </w:p>
    <w:p w14:paraId="2FD2B0F1" w14:textId="491118B7" w:rsidR="00047BC4" w:rsidRPr="007417A6" w:rsidRDefault="00047BC4" w:rsidP="00A708E4">
      <w:pPr>
        <w:pStyle w:val="CS-Paragraphnumbering"/>
        <w:spacing w:after="0"/>
        <w:rPr>
          <w:rFonts w:ascii="Aptos" w:hAnsi="Aptos" w:cstheme="minorHAnsi"/>
          <w:b/>
          <w:bCs/>
        </w:rPr>
      </w:pPr>
      <w:r w:rsidRPr="007417A6">
        <w:rPr>
          <w:rFonts w:ascii="Calibri" w:eastAsia="Times New Roman" w:hAnsi="Calibri" w:cs="Calibri"/>
          <w:b/>
          <w:bCs/>
          <w:sz w:val="28"/>
          <w:szCs w:val="28"/>
        </w:rPr>
        <w:br/>
        <w:t xml:space="preserve">Standing CHO approval for </w:t>
      </w:r>
      <w:r w:rsidR="008A0458">
        <w:rPr>
          <w:rFonts w:ascii="Calibri" w:eastAsia="Times New Roman" w:hAnsi="Calibri" w:cs="Calibri"/>
          <w:b/>
          <w:bCs/>
          <w:sz w:val="28"/>
          <w:szCs w:val="28"/>
        </w:rPr>
        <w:t>g</w:t>
      </w:r>
      <w:r w:rsidR="008A0458" w:rsidRPr="007417A6">
        <w:rPr>
          <w:rFonts w:ascii="Calibri" w:eastAsia="Times New Roman" w:hAnsi="Calibri" w:cs="Calibri"/>
          <w:b/>
          <w:bCs/>
          <w:sz w:val="28"/>
          <w:szCs w:val="28"/>
        </w:rPr>
        <w:t>eneral</w:t>
      </w:r>
      <w:r w:rsidR="008A0458">
        <w:rPr>
          <w:rFonts w:ascii="Calibri" w:eastAsia="Times New Roman" w:hAnsi="Calibri" w:cs="Calibri"/>
          <w:b/>
          <w:bCs/>
          <w:sz w:val="28"/>
          <w:szCs w:val="28"/>
        </w:rPr>
        <w:t xml:space="preserve"> p</w:t>
      </w:r>
      <w:r w:rsidR="008A0458" w:rsidRPr="007417A6">
        <w:rPr>
          <w:rFonts w:ascii="Calibri" w:eastAsia="Times New Roman" w:hAnsi="Calibri" w:cs="Calibri"/>
          <w:b/>
          <w:bCs/>
          <w:sz w:val="28"/>
          <w:szCs w:val="28"/>
        </w:rPr>
        <w:t>ractitioners</w:t>
      </w:r>
      <w:r w:rsidRPr="007417A6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8A0458">
        <w:rPr>
          <w:rFonts w:ascii="Calibri" w:eastAsia="Times New Roman" w:hAnsi="Calibri" w:cs="Calibri"/>
          <w:b/>
          <w:bCs/>
          <w:sz w:val="28"/>
          <w:szCs w:val="28"/>
        </w:rPr>
        <w:t xml:space="preserve">(GPs) </w:t>
      </w:r>
      <w:r w:rsidRPr="007417A6">
        <w:rPr>
          <w:rFonts w:ascii="Calibri" w:eastAsia="Times New Roman" w:hAnsi="Calibri" w:cs="Calibri"/>
          <w:b/>
          <w:bCs/>
          <w:sz w:val="28"/>
          <w:szCs w:val="28"/>
        </w:rPr>
        <w:t xml:space="preserve">to prescribe controlled medicines for 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the continued treatment of </w:t>
      </w:r>
      <w:r w:rsidRPr="007417A6">
        <w:rPr>
          <w:rFonts w:ascii="Calibri" w:eastAsia="Times New Roman" w:hAnsi="Calibri" w:cs="Calibri"/>
          <w:b/>
          <w:bCs/>
          <w:sz w:val="28"/>
          <w:szCs w:val="28"/>
        </w:rPr>
        <w:t>ADHD</w:t>
      </w:r>
      <w:r w:rsidRPr="007959EA">
        <w:rPr>
          <w:rFonts w:ascii="Aptos" w:eastAsia="Times New Roman" w:hAnsi="Aptos" w:cstheme="minorHAnsi"/>
          <w:b/>
          <w:szCs w:val="22"/>
        </w:rPr>
        <w:br/>
      </w:r>
    </w:p>
    <w:p w14:paraId="40DAD688" w14:textId="77777777" w:rsidR="00047BC4" w:rsidRPr="007959EA" w:rsidRDefault="00047BC4" w:rsidP="00047BC4">
      <w:pPr>
        <w:pStyle w:val="CS-Paragraphnumbering"/>
        <w:numPr>
          <w:ilvl w:val="0"/>
          <w:numId w:val="3"/>
        </w:numPr>
        <w:rPr>
          <w:rFonts w:ascii="Aptos" w:hAnsi="Aptos" w:cstheme="minorHAnsi"/>
          <w:b/>
          <w:bCs/>
          <w:sz w:val="22"/>
          <w:szCs w:val="22"/>
        </w:rPr>
      </w:pPr>
      <w:r w:rsidRPr="007959EA">
        <w:rPr>
          <w:rFonts w:ascii="Aptos" w:hAnsi="Aptos" w:cstheme="minorHAnsi"/>
          <w:b/>
          <w:bCs/>
          <w:sz w:val="22"/>
          <w:szCs w:val="22"/>
        </w:rPr>
        <w:t xml:space="preserve">Authority </w:t>
      </w:r>
    </w:p>
    <w:p w14:paraId="2664F61A" w14:textId="1AFD86FE" w:rsidR="00047BC4" w:rsidRPr="00F47A5E" w:rsidRDefault="00047BC4" w:rsidP="00047BC4">
      <w:pPr>
        <w:pStyle w:val="CS-Paragraphnumbering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This instrument is made under the Medicines, Poisons and Therapeutic Goods Regulation 2008, section 554 and provides a Chief Health Officer </w:t>
      </w:r>
      <w:r w:rsidR="00E8360B">
        <w:rPr>
          <w:rFonts w:ascii="Aptos" w:hAnsi="Aptos" w:cstheme="minorHAnsi"/>
          <w:sz w:val="22"/>
          <w:szCs w:val="22"/>
        </w:rPr>
        <w:t xml:space="preserve">(CHO) </w:t>
      </w:r>
      <w:r>
        <w:rPr>
          <w:rFonts w:ascii="Aptos" w:hAnsi="Aptos" w:cstheme="minorHAnsi"/>
          <w:sz w:val="22"/>
          <w:szCs w:val="22"/>
        </w:rPr>
        <w:t xml:space="preserve">Standing Approval for a class of designated prescribers to prescribe controlled medicines for the treatment of </w:t>
      </w:r>
      <w:r w:rsidRPr="007B0D99">
        <w:rPr>
          <w:rFonts w:ascii="Aptos" w:hAnsi="Aptos" w:cstheme="minorHAnsi"/>
          <w:sz w:val="22"/>
          <w:szCs w:val="22"/>
        </w:rPr>
        <w:t>Attention Deficit Hyperactivity Disorder (ADHD)</w:t>
      </w:r>
      <w:r>
        <w:rPr>
          <w:rFonts w:ascii="Aptos" w:hAnsi="Aptos" w:cstheme="minorHAnsi"/>
          <w:sz w:val="22"/>
          <w:szCs w:val="22"/>
        </w:rPr>
        <w:t xml:space="preserve">. </w:t>
      </w:r>
    </w:p>
    <w:p w14:paraId="0A41FCFE" w14:textId="77777777" w:rsidR="00047BC4" w:rsidRPr="005A01F2" w:rsidRDefault="00047BC4" w:rsidP="00047BC4">
      <w:pPr>
        <w:pStyle w:val="CS-Paragraphnumbering"/>
        <w:numPr>
          <w:ilvl w:val="0"/>
          <w:numId w:val="3"/>
        </w:numPr>
        <w:rPr>
          <w:rFonts w:ascii="Aptos" w:hAnsi="Aptos" w:cstheme="minorHAnsi"/>
          <w:b/>
          <w:bCs/>
          <w:sz w:val="22"/>
          <w:szCs w:val="22"/>
        </w:rPr>
      </w:pPr>
      <w:r w:rsidRPr="009B0C25">
        <w:rPr>
          <w:rFonts w:ascii="Aptos" w:hAnsi="Aptos" w:cstheme="minorHAnsi"/>
          <w:b/>
          <w:bCs/>
          <w:sz w:val="22"/>
          <w:szCs w:val="22"/>
        </w:rPr>
        <w:t>Class of designated prescribers</w:t>
      </w:r>
    </w:p>
    <w:p w14:paraId="209362EF" w14:textId="2285BD95" w:rsidR="00047BC4" w:rsidRPr="00587E88" w:rsidRDefault="00047BC4" w:rsidP="00047BC4">
      <w:pPr>
        <w:pStyle w:val="CS-Paragraphnumbering"/>
        <w:tabs>
          <w:tab w:val="left" w:pos="5679"/>
        </w:tabs>
        <w:rPr>
          <w:rFonts w:ascii="Aptos" w:hAnsi="Aptos" w:cstheme="minorHAnsi"/>
          <w:sz w:val="22"/>
          <w:szCs w:val="22"/>
        </w:rPr>
      </w:pPr>
      <w:r w:rsidRPr="00587E88">
        <w:rPr>
          <w:rFonts w:ascii="Aptos" w:hAnsi="Aptos" w:cstheme="minorHAnsi"/>
          <w:sz w:val="22"/>
          <w:szCs w:val="22"/>
        </w:rPr>
        <w:t>The following are considered designated prescribers for this CHO Standing</w:t>
      </w:r>
      <w:r w:rsidR="00952EE2" w:rsidRPr="00587E88">
        <w:rPr>
          <w:rFonts w:ascii="Aptos" w:hAnsi="Aptos" w:cstheme="minorHAnsi"/>
          <w:sz w:val="22"/>
          <w:szCs w:val="22"/>
        </w:rPr>
        <w:t xml:space="preserve"> </w:t>
      </w:r>
      <w:r w:rsidR="00952EE2">
        <w:rPr>
          <w:rFonts w:ascii="Aptos" w:hAnsi="Aptos" w:cstheme="minorHAnsi"/>
          <w:sz w:val="22"/>
          <w:szCs w:val="22"/>
        </w:rPr>
        <w:t>a</w:t>
      </w:r>
      <w:r w:rsidR="00952EE2" w:rsidRPr="00587E88">
        <w:rPr>
          <w:rFonts w:ascii="Aptos" w:hAnsi="Aptos" w:cstheme="minorHAnsi"/>
          <w:sz w:val="22"/>
          <w:szCs w:val="22"/>
        </w:rPr>
        <w:t>pproval</w:t>
      </w:r>
      <w:r w:rsidRPr="00587E88">
        <w:rPr>
          <w:rFonts w:ascii="Aptos" w:hAnsi="Aptos" w:cstheme="minorHAnsi"/>
          <w:sz w:val="22"/>
          <w:szCs w:val="22"/>
        </w:rPr>
        <w:t>:</w:t>
      </w:r>
    </w:p>
    <w:p w14:paraId="51472950" w14:textId="4CC37EC1" w:rsidR="00047BC4" w:rsidRDefault="00047BC4" w:rsidP="00047BC4">
      <w:pPr>
        <w:pStyle w:val="CS-Paragraphnumbering"/>
        <w:numPr>
          <w:ilvl w:val="0"/>
          <w:numId w:val="7"/>
        </w:numPr>
        <w:tabs>
          <w:tab w:val="left" w:pos="5679"/>
        </w:tabs>
        <w:rPr>
          <w:rFonts w:ascii="Aptos" w:hAnsi="Aptos" w:cstheme="minorHAnsi"/>
          <w:sz w:val="22"/>
          <w:szCs w:val="22"/>
        </w:rPr>
      </w:pPr>
      <w:r w:rsidRPr="00587E88">
        <w:rPr>
          <w:rFonts w:ascii="Aptos" w:hAnsi="Aptos" w:cstheme="minorHAnsi"/>
          <w:sz w:val="22"/>
          <w:szCs w:val="22"/>
        </w:rPr>
        <w:t xml:space="preserve">A medical practitioner who holds specialist registration in General Practice with the Australian Health Practitioner Regulation </w:t>
      </w:r>
      <w:r w:rsidRPr="002E5D06">
        <w:rPr>
          <w:rFonts w:ascii="Aptos" w:hAnsi="Aptos" w:cstheme="minorHAnsi"/>
          <w:sz w:val="22"/>
          <w:szCs w:val="22"/>
        </w:rPr>
        <w:t>Agency (</w:t>
      </w:r>
      <w:r w:rsidR="0081624E" w:rsidRPr="002E5D06">
        <w:rPr>
          <w:rFonts w:ascii="Aptos" w:hAnsi="Aptos" w:cstheme="minorHAnsi"/>
          <w:sz w:val="22"/>
          <w:szCs w:val="22"/>
        </w:rPr>
        <w:t>Ah</w:t>
      </w:r>
      <w:r w:rsidR="00515C20">
        <w:rPr>
          <w:rFonts w:ascii="Aptos" w:hAnsi="Aptos" w:cstheme="minorHAnsi"/>
          <w:sz w:val="22"/>
          <w:szCs w:val="22"/>
        </w:rPr>
        <w:t>p</w:t>
      </w:r>
      <w:r w:rsidR="0081624E" w:rsidRPr="002E5D06">
        <w:rPr>
          <w:rFonts w:ascii="Aptos" w:hAnsi="Aptos" w:cstheme="minorHAnsi"/>
          <w:sz w:val="22"/>
          <w:szCs w:val="22"/>
        </w:rPr>
        <w:t>ra</w:t>
      </w:r>
      <w:r w:rsidRPr="002E5D06">
        <w:rPr>
          <w:rFonts w:ascii="Aptos" w:hAnsi="Aptos" w:cstheme="minorHAnsi"/>
          <w:sz w:val="22"/>
          <w:szCs w:val="22"/>
        </w:rPr>
        <w:t>), including</w:t>
      </w:r>
      <w:r w:rsidRPr="00587E88">
        <w:rPr>
          <w:rFonts w:ascii="Aptos" w:hAnsi="Aptos" w:cstheme="minorHAnsi"/>
          <w:sz w:val="22"/>
          <w:szCs w:val="22"/>
        </w:rPr>
        <w:t xml:space="preserve"> </w:t>
      </w:r>
      <w:r w:rsidRPr="002E5D06">
        <w:rPr>
          <w:rFonts w:ascii="Aptos" w:hAnsi="Aptos" w:cstheme="minorHAnsi"/>
          <w:sz w:val="22"/>
          <w:szCs w:val="22"/>
        </w:rPr>
        <w:t xml:space="preserve">practitioners trained outside Australia but who have been assessed and approved by </w:t>
      </w:r>
      <w:r w:rsidR="002E5D06" w:rsidRPr="002E5D06">
        <w:rPr>
          <w:rFonts w:ascii="Aptos" w:hAnsi="Aptos" w:cstheme="minorHAnsi"/>
          <w:sz w:val="22"/>
          <w:szCs w:val="22"/>
        </w:rPr>
        <w:t>A</w:t>
      </w:r>
      <w:r w:rsidR="002E5D06">
        <w:rPr>
          <w:rFonts w:ascii="Aptos" w:hAnsi="Aptos" w:cstheme="minorHAnsi"/>
          <w:sz w:val="22"/>
          <w:szCs w:val="22"/>
        </w:rPr>
        <w:t>hpra</w:t>
      </w:r>
      <w:r w:rsidR="002E5D06" w:rsidRPr="002E5D06">
        <w:rPr>
          <w:rFonts w:ascii="Aptos" w:hAnsi="Aptos" w:cstheme="minorHAnsi"/>
          <w:sz w:val="22"/>
          <w:szCs w:val="22"/>
        </w:rPr>
        <w:t xml:space="preserve"> </w:t>
      </w:r>
      <w:r w:rsidRPr="002E5D06">
        <w:rPr>
          <w:rFonts w:ascii="Aptos" w:hAnsi="Aptos" w:cstheme="minorHAnsi"/>
          <w:sz w:val="22"/>
          <w:szCs w:val="22"/>
        </w:rPr>
        <w:t>for specialist</w:t>
      </w:r>
      <w:r w:rsidRPr="00587E88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>General Practice</w:t>
      </w:r>
      <w:r w:rsidRPr="00587E88">
        <w:rPr>
          <w:rFonts w:ascii="Aptos" w:hAnsi="Aptos" w:cstheme="minorHAnsi"/>
          <w:sz w:val="22"/>
          <w:szCs w:val="22"/>
        </w:rPr>
        <w:t xml:space="preserve"> registration</w:t>
      </w:r>
      <w:r>
        <w:rPr>
          <w:rFonts w:ascii="Aptos" w:hAnsi="Aptos" w:cstheme="minorHAnsi"/>
          <w:sz w:val="22"/>
          <w:szCs w:val="22"/>
        </w:rPr>
        <w:t xml:space="preserve">; </w:t>
      </w:r>
    </w:p>
    <w:p w14:paraId="3208CEA3" w14:textId="6CA9F071" w:rsidR="00047BC4" w:rsidRDefault="00047BC4" w:rsidP="00047BC4">
      <w:pPr>
        <w:pStyle w:val="CS-Paragraphnumbering"/>
        <w:numPr>
          <w:ilvl w:val="0"/>
          <w:numId w:val="7"/>
        </w:numPr>
        <w:tabs>
          <w:tab w:val="left" w:pos="5679"/>
        </w:tabs>
        <w:rPr>
          <w:rFonts w:ascii="Aptos" w:hAnsi="Aptos"/>
          <w:sz w:val="22"/>
          <w:szCs w:val="22"/>
        </w:rPr>
      </w:pPr>
      <w:r w:rsidRPr="44CAEEB8">
        <w:rPr>
          <w:rFonts w:ascii="Aptos" w:hAnsi="Aptos"/>
          <w:sz w:val="22"/>
          <w:szCs w:val="22"/>
        </w:rPr>
        <w:t xml:space="preserve">A medical practitioner enrolled as a </w:t>
      </w:r>
      <w:r w:rsidR="008A0458">
        <w:rPr>
          <w:rFonts w:ascii="Aptos" w:hAnsi="Aptos"/>
          <w:sz w:val="22"/>
          <w:szCs w:val="22"/>
        </w:rPr>
        <w:t>G</w:t>
      </w:r>
      <w:r w:rsidR="008A0458" w:rsidRPr="44CAEEB8">
        <w:rPr>
          <w:rFonts w:ascii="Aptos" w:hAnsi="Aptos"/>
          <w:sz w:val="22"/>
          <w:szCs w:val="22"/>
        </w:rPr>
        <w:t xml:space="preserve">eneral </w:t>
      </w:r>
      <w:r w:rsidR="008A0458">
        <w:rPr>
          <w:rFonts w:ascii="Aptos" w:hAnsi="Aptos"/>
          <w:sz w:val="22"/>
          <w:szCs w:val="22"/>
        </w:rPr>
        <w:t>P</w:t>
      </w:r>
      <w:r w:rsidR="008A0458" w:rsidRPr="44CAEEB8">
        <w:rPr>
          <w:rFonts w:ascii="Aptos" w:hAnsi="Aptos"/>
          <w:sz w:val="22"/>
          <w:szCs w:val="22"/>
        </w:rPr>
        <w:t xml:space="preserve">ractice </w:t>
      </w:r>
      <w:r w:rsidRPr="44CAEEB8">
        <w:rPr>
          <w:rFonts w:ascii="Aptos" w:hAnsi="Aptos"/>
          <w:sz w:val="22"/>
          <w:szCs w:val="22"/>
        </w:rPr>
        <w:t xml:space="preserve">registrar in a recognised primary care vocational training program administered by the Royal Australian College of General Practitioners (RACGP) or the Australian College of Rural and Remote Medicine (ACRRM).  </w:t>
      </w:r>
    </w:p>
    <w:p w14:paraId="16EBFE43" w14:textId="77777777" w:rsidR="00047BC4" w:rsidRPr="007959EA" w:rsidRDefault="00047BC4" w:rsidP="00047BC4">
      <w:pPr>
        <w:pStyle w:val="CS-Paragraphnumbering"/>
        <w:numPr>
          <w:ilvl w:val="0"/>
          <w:numId w:val="3"/>
        </w:numPr>
        <w:rPr>
          <w:rFonts w:ascii="Aptos" w:hAnsi="Aptos"/>
          <w:b/>
          <w:bCs/>
          <w:sz w:val="22"/>
          <w:szCs w:val="22"/>
        </w:rPr>
      </w:pPr>
      <w:r w:rsidRPr="610F86A4">
        <w:rPr>
          <w:rFonts w:ascii="Aptos" w:hAnsi="Aptos"/>
          <w:b/>
          <w:bCs/>
          <w:sz w:val="22"/>
          <w:szCs w:val="22"/>
        </w:rPr>
        <w:t xml:space="preserve">Conditions </w:t>
      </w:r>
    </w:p>
    <w:p w14:paraId="768608E8" w14:textId="37308541" w:rsidR="00047BC4" w:rsidRPr="007959EA" w:rsidRDefault="00047BC4" w:rsidP="00047BC4">
      <w:pPr>
        <w:pStyle w:val="CS-Paragraphnumbering"/>
        <w:rPr>
          <w:rFonts w:ascii="Aptos" w:hAnsi="Aptos"/>
          <w:sz w:val="22"/>
          <w:szCs w:val="22"/>
        </w:rPr>
      </w:pPr>
      <w:r w:rsidRPr="77DEEF0A">
        <w:rPr>
          <w:rFonts w:ascii="Aptos" w:hAnsi="Aptos"/>
          <w:sz w:val="22"/>
          <w:szCs w:val="22"/>
        </w:rPr>
        <w:t xml:space="preserve">A designated prescriber’s approval to prescribe a controlled medicine </w:t>
      </w:r>
      <w:r w:rsidR="00804226">
        <w:rPr>
          <w:rFonts w:ascii="Aptos" w:hAnsi="Aptos"/>
          <w:sz w:val="22"/>
          <w:szCs w:val="22"/>
        </w:rPr>
        <w:t xml:space="preserve">under this CHO </w:t>
      </w:r>
      <w:r w:rsidR="005152EA">
        <w:rPr>
          <w:rFonts w:ascii="Aptos" w:hAnsi="Aptos"/>
          <w:sz w:val="22"/>
          <w:szCs w:val="22"/>
        </w:rPr>
        <w:t>S</w:t>
      </w:r>
      <w:r w:rsidR="00804226">
        <w:rPr>
          <w:rFonts w:ascii="Aptos" w:hAnsi="Aptos"/>
          <w:sz w:val="22"/>
          <w:szCs w:val="22"/>
        </w:rPr>
        <w:t xml:space="preserve">tanding </w:t>
      </w:r>
      <w:r w:rsidR="00952EE2">
        <w:rPr>
          <w:rFonts w:ascii="Aptos" w:hAnsi="Aptos"/>
          <w:sz w:val="22"/>
          <w:szCs w:val="22"/>
        </w:rPr>
        <w:t>a</w:t>
      </w:r>
      <w:r w:rsidR="00804226">
        <w:rPr>
          <w:rFonts w:ascii="Aptos" w:hAnsi="Aptos"/>
          <w:sz w:val="22"/>
          <w:szCs w:val="22"/>
        </w:rPr>
        <w:t xml:space="preserve">pproval </w:t>
      </w:r>
      <w:r w:rsidRPr="77DEEF0A">
        <w:rPr>
          <w:rFonts w:ascii="Aptos" w:hAnsi="Aptos"/>
          <w:sz w:val="22"/>
          <w:szCs w:val="22"/>
        </w:rPr>
        <w:t>is subject to the following conditions:</w:t>
      </w:r>
    </w:p>
    <w:p w14:paraId="0F10B1CF" w14:textId="6863A1D6" w:rsidR="00047BC4" w:rsidRPr="007959EA" w:rsidRDefault="00047BC4" w:rsidP="00047BC4">
      <w:pPr>
        <w:pStyle w:val="CS-Paragraphnumbering"/>
        <w:numPr>
          <w:ilvl w:val="0"/>
          <w:numId w:val="5"/>
        </w:numPr>
        <w:ind w:left="851"/>
        <w:rPr>
          <w:rFonts w:ascii="Aptos" w:hAnsi="Aptos"/>
          <w:sz w:val="22"/>
          <w:szCs w:val="22"/>
        </w:rPr>
      </w:pPr>
      <w:r w:rsidRPr="610F86A4">
        <w:rPr>
          <w:rFonts w:ascii="Aptos" w:hAnsi="Aptos"/>
          <w:sz w:val="22"/>
          <w:szCs w:val="22"/>
        </w:rPr>
        <w:t>The prescriber must submit a notification form</w:t>
      </w:r>
      <w:r w:rsidRPr="00331104">
        <w:rPr>
          <w:rFonts w:ascii="Aptos" w:hAnsi="Aptos"/>
          <w:sz w:val="22"/>
          <w:szCs w:val="22"/>
          <w:vertAlign w:val="superscript"/>
        </w:rPr>
        <w:t>#</w:t>
      </w:r>
      <w:r w:rsidRPr="610F86A4">
        <w:rPr>
          <w:rFonts w:ascii="Aptos" w:hAnsi="Aptos"/>
          <w:sz w:val="22"/>
          <w:szCs w:val="22"/>
        </w:rPr>
        <w:t xml:space="preserve"> advising the Chief Health Officer of their intention to prescribe controlled medicin</w:t>
      </w:r>
      <w:r>
        <w:rPr>
          <w:rFonts w:ascii="Aptos" w:hAnsi="Aptos"/>
          <w:sz w:val="22"/>
          <w:szCs w:val="22"/>
        </w:rPr>
        <w:t>es</w:t>
      </w:r>
      <w:r w:rsidRPr="610F86A4">
        <w:rPr>
          <w:rFonts w:ascii="Aptos" w:hAnsi="Aptos"/>
          <w:sz w:val="22"/>
          <w:szCs w:val="22"/>
        </w:rPr>
        <w:t xml:space="preserve"> under this </w:t>
      </w:r>
      <w:r>
        <w:rPr>
          <w:rFonts w:ascii="Aptos" w:hAnsi="Aptos"/>
          <w:sz w:val="22"/>
          <w:szCs w:val="22"/>
        </w:rPr>
        <w:t>CHO Standing</w:t>
      </w:r>
      <w:r w:rsidR="00952EE2">
        <w:rPr>
          <w:rFonts w:ascii="Aptos" w:hAnsi="Aptos"/>
          <w:sz w:val="22"/>
          <w:szCs w:val="22"/>
        </w:rPr>
        <w:t xml:space="preserve"> approval</w:t>
      </w:r>
      <w:r w:rsidR="00B60598">
        <w:rPr>
          <w:rFonts w:ascii="Aptos" w:hAnsi="Aptos"/>
          <w:sz w:val="22"/>
          <w:szCs w:val="22"/>
        </w:rPr>
        <w:t xml:space="preserve">; </w:t>
      </w:r>
      <w:r w:rsidR="00B60598" w:rsidRPr="610F86A4">
        <w:rPr>
          <w:rFonts w:ascii="Aptos" w:hAnsi="Aptos"/>
          <w:sz w:val="22"/>
          <w:szCs w:val="22"/>
        </w:rPr>
        <w:t xml:space="preserve">  </w:t>
      </w:r>
    </w:p>
    <w:p w14:paraId="0E81F9B1" w14:textId="7C2BA9C0" w:rsidR="00047BC4" w:rsidRPr="00E8360B" w:rsidRDefault="00047BC4" w:rsidP="00047BC4">
      <w:pPr>
        <w:pStyle w:val="CS-Paragraphnumbering"/>
        <w:numPr>
          <w:ilvl w:val="0"/>
          <w:numId w:val="5"/>
        </w:numPr>
        <w:ind w:left="851"/>
        <w:rPr>
          <w:rFonts w:ascii="Aptos" w:hAnsi="Aptos"/>
          <w:sz w:val="22"/>
          <w:szCs w:val="22"/>
        </w:rPr>
      </w:pPr>
      <w:r w:rsidRPr="610F86A4">
        <w:rPr>
          <w:rFonts w:ascii="Aptos" w:hAnsi="Aptos"/>
          <w:sz w:val="22"/>
          <w:szCs w:val="22"/>
        </w:rPr>
        <w:t xml:space="preserve">The prescription must be indicated for the </w:t>
      </w:r>
      <w:r w:rsidRPr="005D0B04">
        <w:rPr>
          <w:rFonts w:ascii="Aptos" w:hAnsi="Aptos"/>
          <w:sz w:val="22"/>
          <w:szCs w:val="22"/>
        </w:rPr>
        <w:t>treatment of ADHD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Pr="610F86A4">
        <w:rPr>
          <w:rFonts w:ascii="Aptos" w:hAnsi="Aptos"/>
          <w:sz w:val="22"/>
          <w:szCs w:val="22"/>
        </w:rPr>
        <w:t xml:space="preserve">for a </w:t>
      </w:r>
      <w:r w:rsidRPr="00666084">
        <w:rPr>
          <w:rFonts w:ascii="Aptos" w:hAnsi="Aptos"/>
          <w:sz w:val="22"/>
          <w:szCs w:val="22"/>
        </w:rPr>
        <w:t xml:space="preserve">patient </w:t>
      </w:r>
      <w:r w:rsidRPr="005D0B04">
        <w:rPr>
          <w:rFonts w:ascii="Aptos" w:hAnsi="Aptos"/>
          <w:sz w:val="22"/>
          <w:szCs w:val="22"/>
        </w:rPr>
        <w:t xml:space="preserve">aged six (6) </w:t>
      </w:r>
      <w:r w:rsidRPr="00E8360B">
        <w:rPr>
          <w:rFonts w:ascii="Aptos" w:hAnsi="Aptos"/>
          <w:sz w:val="22"/>
          <w:szCs w:val="22"/>
        </w:rPr>
        <w:t xml:space="preserve">years or older; </w:t>
      </w:r>
      <w:r w:rsidR="006C3EAF" w:rsidRPr="000C681E">
        <w:rPr>
          <w:rFonts w:ascii="Aptos" w:hAnsi="Aptos"/>
          <w:sz w:val="22"/>
          <w:szCs w:val="22"/>
        </w:rPr>
        <w:t xml:space="preserve"> </w:t>
      </w:r>
    </w:p>
    <w:p w14:paraId="41743516" w14:textId="77777777" w:rsidR="006C3EAF" w:rsidRPr="00E8360B" w:rsidRDefault="00047BC4" w:rsidP="00047BC4">
      <w:pPr>
        <w:pStyle w:val="CS-Paragraphnumbering"/>
        <w:numPr>
          <w:ilvl w:val="0"/>
          <w:numId w:val="5"/>
        </w:numPr>
        <w:ind w:left="851"/>
        <w:rPr>
          <w:rFonts w:ascii="Aptos" w:hAnsi="Aptos"/>
          <w:sz w:val="22"/>
          <w:szCs w:val="22"/>
        </w:rPr>
      </w:pPr>
      <w:r w:rsidRPr="00E8360B">
        <w:rPr>
          <w:rFonts w:ascii="Aptos" w:hAnsi="Aptos"/>
          <w:sz w:val="22"/>
          <w:szCs w:val="22"/>
        </w:rPr>
        <w:t>The medicine prescribed</w:t>
      </w:r>
      <w:r w:rsidR="006C3EAF" w:rsidRPr="00E8360B">
        <w:rPr>
          <w:rFonts w:ascii="Aptos" w:hAnsi="Aptos"/>
          <w:sz w:val="22"/>
          <w:szCs w:val="22"/>
        </w:rPr>
        <w:t xml:space="preserve"> must be:</w:t>
      </w:r>
    </w:p>
    <w:p w14:paraId="692C8C33" w14:textId="40242E97" w:rsidR="00047BC4" w:rsidRPr="00E8360B" w:rsidRDefault="00047BC4" w:rsidP="006C3EAF">
      <w:pPr>
        <w:pStyle w:val="CS-Paragraphnumbering"/>
        <w:numPr>
          <w:ilvl w:val="2"/>
          <w:numId w:val="8"/>
        </w:numPr>
        <w:tabs>
          <w:tab w:val="clear" w:pos="1080"/>
          <w:tab w:val="num" w:pos="1560"/>
        </w:tabs>
        <w:ind w:left="1276" w:hanging="283"/>
        <w:rPr>
          <w:rFonts w:ascii="Aptos" w:hAnsi="Aptos"/>
          <w:sz w:val="22"/>
          <w:szCs w:val="22"/>
        </w:rPr>
      </w:pPr>
      <w:r w:rsidRPr="00E8360B">
        <w:rPr>
          <w:rFonts w:ascii="Aptos" w:hAnsi="Aptos"/>
          <w:sz w:val="22"/>
          <w:szCs w:val="22"/>
        </w:rPr>
        <w:t>listed in Column 1 of the table below, and</w:t>
      </w:r>
      <w:r w:rsidR="006C3EAF" w:rsidRPr="00E8360B">
        <w:rPr>
          <w:rFonts w:ascii="Aptos" w:hAnsi="Aptos"/>
          <w:sz w:val="22"/>
          <w:szCs w:val="22"/>
        </w:rPr>
        <w:t xml:space="preserve"> </w:t>
      </w:r>
      <w:r w:rsidRPr="00E8360B">
        <w:rPr>
          <w:rFonts w:ascii="Aptos" w:hAnsi="Aptos"/>
          <w:sz w:val="22"/>
          <w:szCs w:val="22"/>
        </w:rPr>
        <w:t xml:space="preserve">the prescribed dose </w:t>
      </w:r>
      <w:r w:rsidR="006C3EAF" w:rsidRPr="00E8360B">
        <w:rPr>
          <w:rFonts w:ascii="Aptos" w:hAnsi="Aptos"/>
          <w:sz w:val="22"/>
          <w:szCs w:val="22"/>
        </w:rPr>
        <w:t xml:space="preserve">must </w:t>
      </w:r>
      <w:r w:rsidRPr="00E8360B">
        <w:rPr>
          <w:rFonts w:ascii="Aptos" w:hAnsi="Aptos"/>
          <w:sz w:val="22"/>
          <w:szCs w:val="22"/>
        </w:rPr>
        <w:t>not exceed the corresponding maximum daily dose limit specified in Column 2; and</w:t>
      </w:r>
    </w:p>
    <w:p w14:paraId="6D0B5F89" w14:textId="4963E0EB" w:rsidR="00047BC4" w:rsidRPr="00E8360B" w:rsidRDefault="00047BC4" w:rsidP="00047BC4">
      <w:pPr>
        <w:pStyle w:val="CS-Paragraphnumbering"/>
        <w:numPr>
          <w:ilvl w:val="2"/>
          <w:numId w:val="8"/>
        </w:numPr>
        <w:tabs>
          <w:tab w:val="clear" w:pos="1080"/>
          <w:tab w:val="num" w:pos="1560"/>
        </w:tabs>
        <w:ind w:left="1276" w:hanging="283"/>
        <w:rPr>
          <w:rFonts w:ascii="Aptos" w:hAnsi="Aptos"/>
          <w:sz w:val="22"/>
          <w:szCs w:val="22"/>
        </w:rPr>
      </w:pPr>
      <w:r w:rsidRPr="00E8360B">
        <w:rPr>
          <w:rFonts w:ascii="Aptos" w:hAnsi="Aptos"/>
          <w:sz w:val="22"/>
          <w:szCs w:val="22"/>
        </w:rPr>
        <w:t xml:space="preserve">for the continuation of a course of treatment that has been initiated or reviewed by a </w:t>
      </w:r>
      <w:r w:rsidRPr="00E8360B">
        <w:rPr>
          <w:rFonts w:ascii="Aptos" w:hAnsi="Aptos"/>
          <w:b/>
          <w:bCs/>
          <w:sz w:val="22"/>
          <w:szCs w:val="22"/>
        </w:rPr>
        <w:t>relevant specialist</w:t>
      </w:r>
      <w:r w:rsidRPr="00E8360B">
        <w:rPr>
          <w:rFonts w:ascii="Aptos" w:hAnsi="Aptos"/>
          <w:sz w:val="22"/>
          <w:szCs w:val="22"/>
        </w:rPr>
        <w:t>; and</w:t>
      </w:r>
    </w:p>
    <w:p w14:paraId="404C2D66" w14:textId="7E0D1D13" w:rsidR="006C3EAF" w:rsidRPr="00A9229D" w:rsidRDefault="006C3EAF" w:rsidP="006C3EAF">
      <w:pPr>
        <w:pStyle w:val="CS-Paragraphnumbering"/>
        <w:numPr>
          <w:ilvl w:val="2"/>
          <w:numId w:val="8"/>
        </w:numPr>
        <w:tabs>
          <w:tab w:val="clear" w:pos="1080"/>
          <w:tab w:val="num" w:pos="1560"/>
        </w:tabs>
        <w:ind w:left="1276" w:hanging="283"/>
        <w:rPr>
          <w:rFonts w:cs="Segoe UI"/>
          <w:sz w:val="22"/>
          <w:szCs w:val="22"/>
          <w:lang w:eastAsia="en-AU"/>
          <w14:ligatures w14:val="none"/>
        </w:rPr>
      </w:pPr>
      <w:r w:rsidRPr="00A9229D">
        <w:rPr>
          <w:rFonts w:cs="Segoe UI"/>
          <w:sz w:val="22"/>
          <w:szCs w:val="22"/>
          <w:lang w:eastAsia="en-AU"/>
          <w14:ligatures w14:val="none"/>
        </w:rPr>
        <w:t>not be a different medicine listed in Column 1 from that previously prescribed, unless:</w:t>
      </w:r>
    </w:p>
    <w:p w14:paraId="6C575A59" w14:textId="5F76A6C3" w:rsidR="006C3EAF" w:rsidRPr="00A9229D" w:rsidRDefault="006C3EAF" w:rsidP="00D6719D">
      <w:pPr>
        <w:pStyle w:val="CS-Paragraphnumbering"/>
        <w:numPr>
          <w:ilvl w:val="0"/>
          <w:numId w:val="9"/>
        </w:numPr>
        <w:rPr>
          <w:rFonts w:cs="Segoe UI"/>
          <w:sz w:val="22"/>
          <w:szCs w:val="22"/>
          <w:lang w:eastAsia="en-AU"/>
          <w14:ligatures w14:val="none"/>
        </w:rPr>
      </w:pPr>
      <w:r w:rsidRPr="00A9229D">
        <w:rPr>
          <w:rFonts w:cs="Segoe UI"/>
          <w:sz w:val="22"/>
          <w:szCs w:val="22"/>
          <w:lang w:eastAsia="en-AU"/>
          <w14:ligatures w14:val="none"/>
        </w:rPr>
        <w:lastRenderedPageBreak/>
        <w:t>the change is between dexamfetamine and lisdexamfetamine and the prescribed dose complies with Column 2</w:t>
      </w:r>
      <w:r w:rsidR="00B60598">
        <w:rPr>
          <w:rFonts w:cs="Segoe UI"/>
          <w:sz w:val="22"/>
          <w:szCs w:val="22"/>
          <w:lang w:eastAsia="en-AU"/>
          <w14:ligatures w14:val="none"/>
        </w:rPr>
        <w:t>;</w:t>
      </w:r>
    </w:p>
    <w:p w14:paraId="50927135" w14:textId="77777777" w:rsidR="00047BC4" w:rsidRPr="00C91754" w:rsidRDefault="00047BC4" w:rsidP="00047BC4">
      <w:pPr>
        <w:rPr>
          <w:b/>
          <w:bCs/>
        </w:rPr>
      </w:pPr>
    </w:p>
    <w:tbl>
      <w:tblPr>
        <w:tblStyle w:val="TableGrid"/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</w:tblGrid>
      <w:tr w:rsidR="00047BC4" w:rsidRPr="003555CF" w14:paraId="77FBFEC6" w14:textId="77777777" w:rsidTr="00C508B0">
        <w:tc>
          <w:tcPr>
            <w:tcW w:w="2835" w:type="dxa"/>
            <w:shd w:val="clear" w:color="auto" w:fill="482D8C"/>
          </w:tcPr>
          <w:p w14:paraId="1D0DED4D" w14:textId="77777777" w:rsidR="00047BC4" w:rsidRPr="003555CF" w:rsidRDefault="00047BC4" w:rsidP="005D0B04">
            <w:pPr>
              <w:pStyle w:val="Tableheaderreverse"/>
              <w:rPr>
                <w:rFonts w:ascii="Aptos" w:eastAsia="Calibri" w:hAnsi="Aptos"/>
                <w:b/>
              </w:rPr>
            </w:pPr>
            <w:r>
              <w:rPr>
                <w:rFonts w:ascii="Aptos" w:eastAsia="Calibri" w:hAnsi="Aptos"/>
                <w:b/>
              </w:rPr>
              <w:t>Column 1 - Medicine</w:t>
            </w:r>
          </w:p>
        </w:tc>
        <w:tc>
          <w:tcPr>
            <w:tcW w:w="5528" w:type="dxa"/>
            <w:shd w:val="clear" w:color="auto" w:fill="482D8C"/>
          </w:tcPr>
          <w:p w14:paraId="3A555DCB" w14:textId="77777777" w:rsidR="00047BC4" w:rsidRPr="003555CF" w:rsidRDefault="00047BC4" w:rsidP="005D0B04">
            <w:pPr>
              <w:pStyle w:val="Tableheaderreverse"/>
              <w:rPr>
                <w:rFonts w:ascii="Aptos" w:eastAsia="Calibri" w:hAnsi="Aptos"/>
                <w:b/>
              </w:rPr>
            </w:pPr>
            <w:r>
              <w:rPr>
                <w:rFonts w:ascii="Aptos" w:eastAsia="Calibri" w:hAnsi="Aptos"/>
                <w:b/>
              </w:rPr>
              <w:t>Column 2 - Maximum daily dose limit</w:t>
            </w:r>
          </w:p>
        </w:tc>
      </w:tr>
      <w:tr w:rsidR="00047BC4" w14:paraId="6F3D799D" w14:textId="77777777" w:rsidTr="00C508B0">
        <w:tc>
          <w:tcPr>
            <w:tcW w:w="2835" w:type="dxa"/>
          </w:tcPr>
          <w:p w14:paraId="1969DD74" w14:textId="77777777" w:rsidR="00047BC4" w:rsidRDefault="00047BC4" w:rsidP="005D0B04">
            <w:pPr>
              <w:pStyle w:val="CS-Paragraphnumbering"/>
              <w:tabs>
                <w:tab w:val="left" w:pos="5679"/>
              </w:tabs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>
              <w:rPr>
                <w:rFonts w:ascii="Aptos" w:hAnsi="Aptos" w:cstheme="minorHAnsi"/>
                <w:i/>
                <w:iCs/>
                <w:sz w:val="22"/>
                <w:szCs w:val="22"/>
              </w:rPr>
              <w:t>Dexamfetamine</w:t>
            </w:r>
          </w:p>
        </w:tc>
        <w:tc>
          <w:tcPr>
            <w:tcW w:w="5528" w:type="dxa"/>
          </w:tcPr>
          <w:p w14:paraId="0D6177CC" w14:textId="77777777" w:rsidR="00047BC4" w:rsidRDefault="00047BC4" w:rsidP="005D0B04">
            <w:pPr>
              <w:pStyle w:val="CS-Paragraphnumbering"/>
              <w:tabs>
                <w:tab w:val="left" w:pos="5679"/>
              </w:tabs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>
              <w:rPr>
                <w:rFonts w:ascii="Aptos" w:hAnsi="Aptos" w:cstheme="minorHAnsi"/>
                <w:i/>
                <w:iCs/>
                <w:sz w:val="22"/>
                <w:szCs w:val="22"/>
              </w:rPr>
              <w:t>50 milligrams</w:t>
            </w:r>
          </w:p>
        </w:tc>
      </w:tr>
      <w:tr w:rsidR="00047BC4" w14:paraId="5FC1AB8B" w14:textId="77777777" w:rsidTr="00C508B0">
        <w:tc>
          <w:tcPr>
            <w:tcW w:w="2835" w:type="dxa"/>
          </w:tcPr>
          <w:p w14:paraId="246F7831" w14:textId="77777777" w:rsidR="00047BC4" w:rsidRDefault="00047BC4" w:rsidP="005D0B04">
            <w:pPr>
              <w:pStyle w:val="CS-Paragraphnumbering"/>
              <w:tabs>
                <w:tab w:val="left" w:pos="5679"/>
              </w:tabs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>
              <w:rPr>
                <w:rFonts w:ascii="Aptos" w:hAnsi="Aptos" w:cstheme="minorHAnsi"/>
                <w:i/>
                <w:iCs/>
                <w:sz w:val="22"/>
                <w:szCs w:val="22"/>
              </w:rPr>
              <w:t>Lisdexamfetamine</w:t>
            </w:r>
          </w:p>
        </w:tc>
        <w:tc>
          <w:tcPr>
            <w:tcW w:w="5528" w:type="dxa"/>
          </w:tcPr>
          <w:p w14:paraId="6362C8E4" w14:textId="77777777" w:rsidR="00047BC4" w:rsidRDefault="00047BC4" w:rsidP="005D0B04">
            <w:pPr>
              <w:pStyle w:val="CS-Paragraphnumbering"/>
              <w:tabs>
                <w:tab w:val="left" w:pos="5679"/>
              </w:tabs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>
              <w:rPr>
                <w:rFonts w:ascii="Aptos" w:hAnsi="Aptos" w:cstheme="minorHAnsi"/>
                <w:i/>
                <w:iCs/>
                <w:sz w:val="22"/>
                <w:szCs w:val="22"/>
              </w:rPr>
              <w:t>70 milligrams</w:t>
            </w:r>
          </w:p>
        </w:tc>
      </w:tr>
      <w:tr w:rsidR="00047BC4" w14:paraId="27537FE6" w14:textId="77777777" w:rsidTr="00C508B0">
        <w:tc>
          <w:tcPr>
            <w:tcW w:w="2835" w:type="dxa"/>
          </w:tcPr>
          <w:p w14:paraId="23DECFBC" w14:textId="77777777" w:rsidR="00047BC4" w:rsidRDefault="00047BC4" w:rsidP="005D0B04">
            <w:pPr>
              <w:pStyle w:val="CS-Paragraphnumbering"/>
              <w:tabs>
                <w:tab w:val="left" w:pos="5679"/>
              </w:tabs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9B0C25">
              <w:rPr>
                <w:rFonts w:ascii="Aptos" w:hAnsi="Aptos" w:cstheme="minorHAnsi"/>
                <w:i/>
                <w:iCs/>
                <w:sz w:val="22"/>
                <w:szCs w:val="22"/>
              </w:rPr>
              <w:t>Methylphenidate</w:t>
            </w:r>
          </w:p>
        </w:tc>
        <w:tc>
          <w:tcPr>
            <w:tcW w:w="5528" w:type="dxa"/>
          </w:tcPr>
          <w:p w14:paraId="35D429C7" w14:textId="77777777" w:rsidR="00047BC4" w:rsidRDefault="00047BC4" w:rsidP="005D0B04">
            <w:pPr>
              <w:pStyle w:val="CS-Paragraphnumbering"/>
              <w:tabs>
                <w:tab w:val="left" w:pos="5679"/>
              </w:tabs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>
              <w:rPr>
                <w:rFonts w:ascii="Aptos" w:hAnsi="Aptos" w:cstheme="minorHAnsi"/>
                <w:i/>
                <w:iCs/>
                <w:sz w:val="22"/>
                <w:szCs w:val="22"/>
              </w:rPr>
              <w:t>108 milligrams</w:t>
            </w:r>
          </w:p>
        </w:tc>
      </w:tr>
    </w:tbl>
    <w:p w14:paraId="495E74C5" w14:textId="77777777" w:rsidR="00047BC4" w:rsidRPr="00C91754" w:rsidRDefault="00047BC4" w:rsidP="00047BC4"/>
    <w:p w14:paraId="47B277B7" w14:textId="77777777" w:rsidR="00047BC4" w:rsidRDefault="00047BC4" w:rsidP="00047BC4">
      <w:pPr>
        <w:pStyle w:val="CS-Paragraphnumbering"/>
        <w:spacing w:after="200"/>
        <w:ind w:left="851"/>
        <w:rPr>
          <w:rFonts w:ascii="Aptos" w:hAnsi="Aptos" w:cstheme="minorHAnsi"/>
          <w:i/>
          <w:iCs/>
          <w:sz w:val="20"/>
          <w:szCs w:val="20"/>
        </w:rPr>
      </w:pPr>
      <w:r w:rsidRPr="00C91754">
        <w:rPr>
          <w:rFonts w:ascii="Aptos" w:hAnsi="Aptos" w:cstheme="minorHAnsi"/>
          <w:i/>
          <w:iCs/>
          <w:sz w:val="20"/>
          <w:szCs w:val="20"/>
        </w:rPr>
        <w:t>Note: This clause does not prevent the prescribing of different formulations of the same medicine (for example, immediate-release and modified-release formulations of methylphenidate).</w:t>
      </w:r>
    </w:p>
    <w:p w14:paraId="24A792A1" w14:textId="60A62CAB" w:rsidR="00047BC4" w:rsidRPr="00465DEF" w:rsidRDefault="00047BC4" w:rsidP="00047BC4">
      <w:pPr>
        <w:pStyle w:val="CS-Paragraphnumbering"/>
        <w:numPr>
          <w:ilvl w:val="0"/>
          <w:numId w:val="5"/>
        </w:numPr>
        <w:ind w:left="851"/>
        <w:rPr>
          <w:rFonts w:ascii="Aptos" w:hAnsi="Aptos"/>
          <w:sz w:val="22"/>
          <w:szCs w:val="22"/>
        </w:rPr>
      </w:pPr>
      <w:r w:rsidRPr="005D0B04">
        <w:rPr>
          <w:rFonts w:ascii="Aptos" w:hAnsi="Aptos"/>
          <w:sz w:val="22"/>
          <w:szCs w:val="22"/>
        </w:rPr>
        <w:t>The prescription must be generated electronically, either as an electronic prescription token or a computer-generated prescription printed from a clinical software system</w:t>
      </w:r>
      <w:r w:rsidR="00190C32">
        <w:rPr>
          <w:rFonts w:ascii="Aptos" w:hAnsi="Aptos"/>
          <w:sz w:val="22"/>
          <w:szCs w:val="22"/>
        </w:rPr>
        <w:t xml:space="preserve"> </w:t>
      </w:r>
      <w:r w:rsidR="00190C32" w:rsidRPr="00465DEF">
        <w:rPr>
          <w:rFonts w:ascii="Aptos" w:hAnsi="Aptos"/>
          <w:sz w:val="22"/>
          <w:szCs w:val="22"/>
        </w:rPr>
        <w:t>with integration to the Australian Digital Health Agency (ADHA) National Data Exchange (NDE)</w:t>
      </w:r>
      <w:r w:rsidR="00BA4171" w:rsidRPr="00465DEF">
        <w:rPr>
          <w:rFonts w:ascii="Aptos" w:hAnsi="Aptos"/>
          <w:sz w:val="22"/>
          <w:szCs w:val="22"/>
        </w:rPr>
        <w:t>;</w:t>
      </w:r>
      <w:r w:rsidR="00EF243B" w:rsidRPr="00465DEF">
        <w:rPr>
          <w:rFonts w:ascii="Aptos" w:hAnsi="Aptos"/>
          <w:sz w:val="22"/>
          <w:szCs w:val="22"/>
        </w:rPr>
        <w:t xml:space="preserve"> </w:t>
      </w:r>
    </w:p>
    <w:p w14:paraId="4BB0FA96" w14:textId="25EE8611" w:rsidR="00047BC4" w:rsidRPr="00841225" w:rsidRDefault="00047BC4" w:rsidP="00047BC4">
      <w:pPr>
        <w:pStyle w:val="CS-Paragraphnumbering"/>
        <w:spacing w:after="200"/>
        <w:ind w:left="851"/>
        <w:rPr>
          <w:rFonts w:ascii="Aptos" w:hAnsi="Aptos"/>
          <w:i/>
          <w:iCs/>
          <w:sz w:val="22"/>
          <w:szCs w:val="22"/>
        </w:rPr>
      </w:pPr>
      <w:r w:rsidRPr="005D0B04">
        <w:rPr>
          <w:rFonts w:ascii="Aptos" w:hAnsi="Aptos"/>
          <w:i/>
          <w:iCs/>
          <w:sz w:val="20"/>
          <w:szCs w:val="20"/>
        </w:rPr>
        <w:t xml:space="preserve">Note: Printed prescriptions generated by clinical software may </w:t>
      </w:r>
      <w:r w:rsidRPr="032876C2">
        <w:rPr>
          <w:rFonts w:ascii="Aptos" w:hAnsi="Aptos"/>
          <w:i/>
          <w:iCs/>
          <w:sz w:val="20"/>
          <w:szCs w:val="20"/>
        </w:rPr>
        <w:t xml:space="preserve">also </w:t>
      </w:r>
      <w:r w:rsidRPr="005D0B04">
        <w:rPr>
          <w:rFonts w:ascii="Aptos" w:hAnsi="Aptos"/>
          <w:i/>
          <w:iCs/>
          <w:sz w:val="20"/>
          <w:szCs w:val="20"/>
        </w:rPr>
        <w:t>be signed manually and provided to the patient in paper form. All prescription particulars, including medicine details and directions for use, must be computer-generated. Handwritten prescriptions cannot be issued under this CHO Standing</w:t>
      </w:r>
      <w:r w:rsidR="00952EE2" w:rsidRPr="005D0B04">
        <w:rPr>
          <w:rFonts w:ascii="Aptos" w:hAnsi="Aptos"/>
          <w:i/>
          <w:iCs/>
          <w:sz w:val="20"/>
          <w:szCs w:val="20"/>
        </w:rPr>
        <w:t xml:space="preserve"> </w:t>
      </w:r>
      <w:r w:rsidR="00952EE2">
        <w:rPr>
          <w:rFonts w:ascii="Aptos" w:hAnsi="Aptos"/>
          <w:i/>
          <w:iCs/>
          <w:sz w:val="20"/>
          <w:szCs w:val="20"/>
        </w:rPr>
        <w:t>a</w:t>
      </w:r>
      <w:r w:rsidR="00952EE2" w:rsidRPr="005D0B04">
        <w:rPr>
          <w:rFonts w:ascii="Aptos" w:hAnsi="Aptos"/>
          <w:i/>
          <w:iCs/>
          <w:sz w:val="20"/>
          <w:szCs w:val="20"/>
        </w:rPr>
        <w:t>pproval</w:t>
      </w:r>
      <w:r w:rsidRPr="005D0B04">
        <w:rPr>
          <w:rFonts w:ascii="Aptos" w:hAnsi="Aptos"/>
          <w:i/>
          <w:iCs/>
          <w:sz w:val="20"/>
          <w:szCs w:val="20"/>
        </w:rPr>
        <w:t xml:space="preserve">. </w:t>
      </w:r>
    </w:p>
    <w:p w14:paraId="5F8A2D00" w14:textId="53626EBE" w:rsidR="00047BC4" w:rsidRPr="00064E65" w:rsidRDefault="00047BC4" w:rsidP="00047BC4">
      <w:pPr>
        <w:pStyle w:val="CS-Paragraphnumbering"/>
        <w:numPr>
          <w:ilvl w:val="0"/>
          <w:numId w:val="5"/>
        </w:numPr>
        <w:ind w:left="851"/>
        <w:rPr>
          <w:rFonts w:ascii="Aptos" w:hAnsi="Aptos" w:cstheme="minorHAnsi"/>
          <w:sz w:val="22"/>
          <w:szCs w:val="22"/>
        </w:rPr>
      </w:pPr>
      <w:r>
        <w:rPr>
          <w:rFonts w:ascii="Aptos" w:hAnsi="Aptos"/>
          <w:sz w:val="22"/>
          <w:szCs w:val="22"/>
        </w:rPr>
        <w:t>The prescriber has completed at least one of the below Approved Training Courses prior to prescribing under this CHO Standing</w:t>
      </w:r>
      <w:r w:rsidR="00952EE2">
        <w:rPr>
          <w:rFonts w:ascii="Aptos" w:hAnsi="Aptos"/>
          <w:sz w:val="22"/>
          <w:szCs w:val="22"/>
        </w:rPr>
        <w:t xml:space="preserve"> approval</w:t>
      </w:r>
      <w:r>
        <w:rPr>
          <w:rFonts w:ascii="Aptos" w:hAnsi="Aptos"/>
          <w:sz w:val="22"/>
          <w:szCs w:val="22"/>
        </w:rPr>
        <w:t>;</w:t>
      </w:r>
    </w:p>
    <w:tbl>
      <w:tblPr>
        <w:tblStyle w:val="ARStandardTable1"/>
        <w:tblW w:w="87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047BC4" w:rsidRPr="007959EA" w14:paraId="5B69454E" w14:textId="77777777" w:rsidTr="008A0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2ED310A" w14:textId="77777777" w:rsidR="00047BC4" w:rsidRPr="007959EA" w:rsidRDefault="00047BC4" w:rsidP="005D0B04">
            <w:pPr>
              <w:pStyle w:val="Tableheaderreverse"/>
              <w:rPr>
                <w:rFonts w:ascii="Aptos" w:hAnsi="Aptos"/>
              </w:rPr>
            </w:pPr>
            <w:r w:rsidRPr="007959EA">
              <w:rPr>
                <w:rFonts w:ascii="Aptos" w:hAnsi="Aptos"/>
              </w:rPr>
              <w:t>Approved course of training</w:t>
            </w:r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7F36E1" w14:textId="77777777" w:rsidR="00047BC4" w:rsidRPr="007959EA" w:rsidRDefault="00047BC4" w:rsidP="005D0B04">
            <w:pPr>
              <w:pStyle w:val="Tableheaderreverse"/>
              <w:rPr>
                <w:rFonts w:ascii="Aptos" w:hAnsi="Aptos"/>
              </w:rPr>
            </w:pPr>
            <w:r w:rsidRPr="007959EA">
              <w:rPr>
                <w:rFonts w:ascii="Aptos" w:hAnsi="Aptos"/>
              </w:rPr>
              <w:t xml:space="preserve">Description of training </w:t>
            </w:r>
          </w:p>
        </w:tc>
      </w:tr>
      <w:tr w:rsidR="00047BC4" w:rsidRPr="007959EA" w14:paraId="31BE5342" w14:textId="77777777" w:rsidTr="008A0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94AD01" w14:textId="77777777" w:rsidR="00047BC4" w:rsidRPr="007959EA" w:rsidRDefault="00047BC4" w:rsidP="00047BC4">
            <w:pPr>
              <w:pStyle w:val="ListParagraph"/>
              <w:numPr>
                <w:ilvl w:val="0"/>
                <w:numId w:val="6"/>
              </w:numPr>
              <w:spacing w:before="60" w:after="60"/>
              <w:ind w:left="336" w:hanging="284"/>
              <w:rPr>
                <w:rFonts w:ascii="Aptos" w:hAnsi="Aptos" w:cs="Arial"/>
                <w:bCs/>
                <w:color w:val="262626"/>
                <w:sz w:val="18"/>
                <w:szCs w:val="18"/>
                <w:lang w:val="en-US"/>
              </w:rPr>
            </w:pPr>
            <w:hyperlink r:id="rId10" w:tgtFrame="_blank" w:history="1">
              <w:r w:rsidRPr="007959EA">
                <w:rPr>
                  <w:rFonts w:ascii="Aptos" w:hAnsi="Aptos" w:cs="Arial"/>
                  <w:bCs/>
                  <w:sz w:val="18"/>
                  <w:szCs w:val="18"/>
                  <w:lang w:val="en-US"/>
                </w:rPr>
                <w:t>RACGP GPlearning</w:t>
              </w:r>
            </w:hyperlink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2BE003E" w14:textId="77777777" w:rsidR="00047BC4" w:rsidRPr="007959EA" w:rsidRDefault="00047BC4" w:rsidP="005D0B04">
            <w:pPr>
              <w:rPr>
                <w:rFonts w:ascii="Aptos" w:hAnsi="Aptos"/>
                <w:bCs/>
                <w:sz w:val="18"/>
                <w:szCs w:val="18"/>
              </w:rPr>
            </w:pPr>
            <w:r w:rsidRPr="007959EA">
              <w:rPr>
                <w:rFonts w:ascii="Aptos" w:hAnsi="Aptos"/>
                <w:bCs/>
                <w:sz w:val="18"/>
                <w:szCs w:val="18"/>
              </w:rPr>
              <w:t>Completion of 2 modules:</w:t>
            </w:r>
          </w:p>
          <w:p w14:paraId="1E1C0E30" w14:textId="77777777" w:rsidR="00047BC4" w:rsidRPr="007959EA" w:rsidRDefault="00047BC4" w:rsidP="00047BC4">
            <w:pPr>
              <w:numPr>
                <w:ilvl w:val="0"/>
                <w:numId w:val="4"/>
              </w:numPr>
              <w:spacing w:before="200" w:after="200"/>
              <w:ind w:left="326"/>
              <w:contextualSpacing/>
              <w:rPr>
                <w:rFonts w:ascii="Aptos" w:hAnsi="Aptos"/>
                <w:bCs/>
                <w:sz w:val="18"/>
                <w:szCs w:val="18"/>
              </w:rPr>
            </w:pPr>
            <w:hyperlink r:id="rId11" w:history="1">
              <w:r w:rsidRPr="007959EA">
                <w:rPr>
                  <w:rFonts w:ascii="Aptos" w:hAnsi="Aptos"/>
                  <w:bCs/>
                  <w:color w:val="0563C1"/>
                  <w:sz w:val="18"/>
                  <w:szCs w:val="18"/>
                  <w:u w:val="single"/>
                </w:rPr>
                <w:t>Identification and management of ADHD</w:t>
              </w:r>
            </w:hyperlink>
            <w:r w:rsidRPr="007959EA">
              <w:rPr>
                <w:rFonts w:ascii="Aptos" w:hAnsi="Aptos"/>
                <w:bCs/>
                <w:sz w:val="18"/>
                <w:szCs w:val="18"/>
              </w:rPr>
              <w:t>; and</w:t>
            </w:r>
          </w:p>
          <w:p w14:paraId="3558FBBD" w14:textId="77777777" w:rsidR="00047BC4" w:rsidRPr="007959EA" w:rsidRDefault="00047BC4" w:rsidP="00047BC4">
            <w:pPr>
              <w:numPr>
                <w:ilvl w:val="0"/>
                <w:numId w:val="4"/>
              </w:numPr>
              <w:spacing w:before="200" w:after="200"/>
              <w:ind w:left="326"/>
              <w:contextualSpacing/>
              <w:rPr>
                <w:rFonts w:ascii="Aptos" w:hAnsi="Aptos"/>
                <w:bCs/>
                <w:sz w:val="18"/>
                <w:szCs w:val="18"/>
              </w:rPr>
            </w:pPr>
            <w:hyperlink r:id="rId12" w:history="1">
              <w:r w:rsidRPr="007959EA">
                <w:rPr>
                  <w:rFonts w:ascii="Aptos" w:hAnsi="Aptos"/>
                  <w:bCs/>
                  <w:color w:val="0563C1"/>
                  <w:sz w:val="18"/>
                  <w:szCs w:val="18"/>
                  <w:u w:val="single"/>
                </w:rPr>
                <w:t>The pharmacological management of ADHD</w:t>
              </w:r>
            </w:hyperlink>
          </w:p>
        </w:tc>
      </w:tr>
      <w:tr w:rsidR="00047BC4" w:rsidRPr="007959EA" w14:paraId="391E54B0" w14:textId="77777777" w:rsidTr="008A04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D8CDD65" w14:textId="77777777" w:rsidR="00047BC4" w:rsidRPr="007959EA" w:rsidRDefault="00047BC4" w:rsidP="00047BC4">
            <w:pPr>
              <w:pStyle w:val="ListParagraph"/>
              <w:numPr>
                <w:ilvl w:val="0"/>
                <w:numId w:val="6"/>
              </w:numPr>
              <w:spacing w:before="60" w:after="60"/>
              <w:ind w:left="336" w:hanging="284"/>
              <w:rPr>
                <w:rFonts w:ascii="Aptos" w:hAnsi="Aptos" w:cs="Arial"/>
                <w:bCs/>
                <w:sz w:val="18"/>
                <w:szCs w:val="18"/>
                <w:lang w:val="en-US"/>
              </w:rPr>
            </w:pPr>
            <w:hyperlink r:id="rId13" w:tgtFrame="_blank" w:history="1">
              <w:r w:rsidRPr="007959EA">
                <w:rPr>
                  <w:rFonts w:ascii="Aptos" w:hAnsi="Aptos" w:cs="Arial"/>
                  <w:bCs/>
                  <w:sz w:val="18"/>
                  <w:szCs w:val="18"/>
                  <w:lang w:val="en-US"/>
                </w:rPr>
                <w:t>Medcast ADHD uncovered: a practical guide for GPs</w:t>
              </w:r>
            </w:hyperlink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166466" w14:textId="77777777" w:rsidR="00047BC4" w:rsidRPr="007959EA" w:rsidRDefault="00047BC4" w:rsidP="005D0B04">
            <w:pPr>
              <w:contextualSpacing/>
              <w:rPr>
                <w:rFonts w:ascii="Aptos" w:hAnsi="Aptos"/>
                <w:bCs/>
                <w:sz w:val="18"/>
                <w:szCs w:val="18"/>
              </w:rPr>
            </w:pPr>
            <w:r w:rsidRPr="007959EA">
              <w:rPr>
                <w:rFonts w:ascii="Aptos" w:hAnsi="Aptos"/>
                <w:bCs/>
                <w:sz w:val="18"/>
                <w:szCs w:val="18"/>
              </w:rPr>
              <w:t>Completion of 2 modules:</w:t>
            </w:r>
          </w:p>
          <w:p w14:paraId="06168EE0" w14:textId="77777777" w:rsidR="00047BC4" w:rsidRPr="007959EA" w:rsidRDefault="00047BC4" w:rsidP="00047BC4">
            <w:pPr>
              <w:numPr>
                <w:ilvl w:val="0"/>
                <w:numId w:val="4"/>
              </w:numPr>
              <w:ind w:left="326"/>
              <w:contextualSpacing/>
              <w:rPr>
                <w:rFonts w:ascii="Aptos" w:hAnsi="Aptos"/>
                <w:bCs/>
                <w:sz w:val="18"/>
                <w:szCs w:val="18"/>
              </w:rPr>
            </w:pPr>
            <w:r w:rsidRPr="007959EA">
              <w:rPr>
                <w:rFonts w:ascii="Aptos" w:hAnsi="Aptos"/>
                <w:bCs/>
                <w:sz w:val="18"/>
                <w:szCs w:val="18"/>
              </w:rPr>
              <w:t>Diagnosis and management of ADHD; and</w:t>
            </w:r>
          </w:p>
          <w:p w14:paraId="2A73D77B" w14:textId="77777777" w:rsidR="00047BC4" w:rsidRPr="007959EA" w:rsidRDefault="00047BC4" w:rsidP="00047BC4">
            <w:pPr>
              <w:numPr>
                <w:ilvl w:val="0"/>
                <w:numId w:val="4"/>
              </w:numPr>
              <w:ind w:left="326"/>
              <w:contextualSpacing/>
              <w:rPr>
                <w:rFonts w:ascii="Aptos" w:hAnsi="Aptos"/>
                <w:bCs/>
                <w:sz w:val="18"/>
                <w:szCs w:val="18"/>
              </w:rPr>
            </w:pPr>
            <w:r w:rsidRPr="007959EA">
              <w:rPr>
                <w:rFonts w:ascii="Aptos" w:hAnsi="Aptos"/>
                <w:bCs/>
                <w:sz w:val="18"/>
                <w:szCs w:val="18"/>
              </w:rPr>
              <w:t>Pharmacological management of ADHD</w:t>
            </w:r>
          </w:p>
        </w:tc>
      </w:tr>
      <w:tr w:rsidR="00047BC4" w:rsidRPr="007959EA" w14:paraId="3B3BE19F" w14:textId="77777777" w:rsidTr="008A0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BA3B6F5" w14:textId="77777777" w:rsidR="00047BC4" w:rsidRPr="007959EA" w:rsidRDefault="00047BC4" w:rsidP="00047BC4">
            <w:pPr>
              <w:pStyle w:val="ListParagraph"/>
              <w:numPr>
                <w:ilvl w:val="0"/>
                <w:numId w:val="6"/>
              </w:numPr>
              <w:spacing w:before="60" w:after="60"/>
              <w:ind w:left="336" w:hanging="284"/>
              <w:rPr>
                <w:rFonts w:ascii="Aptos" w:hAnsi="Aptos" w:cs="Arial"/>
                <w:bCs/>
                <w:sz w:val="18"/>
                <w:szCs w:val="18"/>
                <w:lang w:val="en-US"/>
              </w:rPr>
            </w:pPr>
            <w:hyperlink r:id="rId14" w:anchor="/curricula/d344e98c-8978-4c1b-806d-3d8033e06570" w:tgtFrame="_blank" w:history="1">
              <w:r w:rsidRPr="007959EA">
                <w:rPr>
                  <w:rFonts w:ascii="Aptos" w:hAnsi="Aptos" w:cs="Arial"/>
                  <w:bCs/>
                  <w:sz w:val="18"/>
                  <w:szCs w:val="18"/>
                  <w:lang w:val="en-US"/>
                </w:rPr>
                <w:t>The Academy by Psych Scene</w:t>
              </w:r>
              <w:r w:rsidRPr="007959EA"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​​</w:t>
              </w:r>
              <w:r w:rsidRPr="007959EA">
                <w:rPr>
                  <w:rFonts w:ascii="Aptos" w:hAnsi="Aptos" w:cs="Arial"/>
                  <w:bCs/>
                  <w:sz w:val="18"/>
                  <w:szCs w:val="18"/>
                  <w:lang w:val="en-US"/>
                </w:rPr>
                <w:t>: ADHD Excellence Across the Lifespan</w:t>
              </w:r>
            </w:hyperlink>
          </w:p>
        </w:tc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AEB8BC" w14:textId="77777777" w:rsidR="00047BC4" w:rsidRPr="007959EA" w:rsidRDefault="00047BC4" w:rsidP="005D0B04">
            <w:pPr>
              <w:contextualSpacing/>
              <w:rPr>
                <w:rFonts w:ascii="Aptos" w:hAnsi="Aptos"/>
                <w:bCs/>
                <w:sz w:val="18"/>
                <w:szCs w:val="18"/>
              </w:rPr>
            </w:pPr>
            <w:r w:rsidRPr="007959EA">
              <w:rPr>
                <w:rFonts w:ascii="Aptos" w:hAnsi="Aptos"/>
                <w:bCs/>
                <w:sz w:val="18"/>
                <w:szCs w:val="18"/>
              </w:rPr>
              <w:t>Completion of 3 modules:</w:t>
            </w:r>
          </w:p>
          <w:p w14:paraId="73F1D511" w14:textId="77777777" w:rsidR="00047BC4" w:rsidRPr="007959EA" w:rsidRDefault="00047BC4" w:rsidP="00047BC4">
            <w:pPr>
              <w:numPr>
                <w:ilvl w:val="0"/>
                <w:numId w:val="4"/>
              </w:numPr>
              <w:ind w:left="326"/>
              <w:contextualSpacing/>
              <w:rPr>
                <w:rFonts w:ascii="Aptos" w:hAnsi="Aptos"/>
                <w:bCs/>
                <w:sz w:val="18"/>
                <w:szCs w:val="18"/>
              </w:rPr>
            </w:pPr>
            <w:r w:rsidRPr="007959EA">
              <w:rPr>
                <w:rFonts w:ascii="Aptos" w:hAnsi="Aptos"/>
                <w:bCs/>
                <w:sz w:val="18"/>
                <w:szCs w:val="18"/>
              </w:rPr>
              <w:t>Diagnosis and management of ADHD in childhood and adolescence;</w:t>
            </w:r>
          </w:p>
          <w:p w14:paraId="1F87E60A" w14:textId="2490D9EC" w:rsidR="00047BC4" w:rsidRPr="007959EA" w:rsidRDefault="00047BC4" w:rsidP="00047BC4">
            <w:pPr>
              <w:numPr>
                <w:ilvl w:val="0"/>
                <w:numId w:val="4"/>
              </w:numPr>
              <w:ind w:left="326"/>
              <w:contextualSpacing/>
              <w:rPr>
                <w:rFonts w:ascii="Aptos" w:hAnsi="Aptos"/>
                <w:bCs/>
                <w:sz w:val="18"/>
                <w:szCs w:val="18"/>
              </w:rPr>
            </w:pPr>
            <w:r w:rsidRPr="007959EA">
              <w:rPr>
                <w:rFonts w:ascii="Aptos" w:hAnsi="Aptos"/>
                <w:bCs/>
                <w:sz w:val="18"/>
                <w:szCs w:val="18"/>
              </w:rPr>
              <w:t xml:space="preserve">A comprehensive guide to adult ADHD in </w:t>
            </w:r>
            <w:r w:rsidR="008A0458">
              <w:rPr>
                <w:rFonts w:ascii="Aptos" w:hAnsi="Aptos"/>
                <w:bCs/>
                <w:sz w:val="18"/>
                <w:szCs w:val="18"/>
              </w:rPr>
              <w:t>G</w:t>
            </w:r>
            <w:r w:rsidR="008A0458" w:rsidRPr="007959EA">
              <w:rPr>
                <w:rFonts w:ascii="Aptos" w:hAnsi="Aptos"/>
                <w:bCs/>
                <w:sz w:val="18"/>
                <w:szCs w:val="18"/>
              </w:rPr>
              <w:t xml:space="preserve">eneral </w:t>
            </w:r>
            <w:r w:rsidR="008A0458">
              <w:rPr>
                <w:rFonts w:ascii="Aptos" w:hAnsi="Aptos"/>
                <w:bCs/>
                <w:sz w:val="18"/>
                <w:szCs w:val="18"/>
              </w:rPr>
              <w:t>P</w:t>
            </w:r>
            <w:r w:rsidR="008A0458" w:rsidRPr="007959EA">
              <w:rPr>
                <w:rFonts w:ascii="Aptos" w:hAnsi="Aptos"/>
                <w:bCs/>
                <w:sz w:val="18"/>
                <w:szCs w:val="18"/>
              </w:rPr>
              <w:t>ractice</w:t>
            </w:r>
            <w:r w:rsidRPr="007959EA">
              <w:rPr>
                <w:rFonts w:ascii="Aptos" w:hAnsi="Aptos"/>
                <w:bCs/>
                <w:sz w:val="18"/>
                <w:szCs w:val="18"/>
              </w:rPr>
              <w:t>; and</w:t>
            </w:r>
          </w:p>
          <w:p w14:paraId="3B90C0A9" w14:textId="77777777" w:rsidR="00047BC4" w:rsidRPr="007959EA" w:rsidRDefault="00047BC4" w:rsidP="00047BC4">
            <w:pPr>
              <w:numPr>
                <w:ilvl w:val="0"/>
                <w:numId w:val="4"/>
              </w:numPr>
              <w:ind w:left="326"/>
              <w:contextualSpacing/>
              <w:rPr>
                <w:rFonts w:ascii="Aptos" w:hAnsi="Aptos"/>
                <w:bCs/>
                <w:sz w:val="18"/>
                <w:szCs w:val="18"/>
              </w:rPr>
            </w:pPr>
            <w:r w:rsidRPr="007959EA">
              <w:rPr>
                <w:rFonts w:ascii="Aptos" w:hAnsi="Aptos"/>
                <w:bCs/>
                <w:sz w:val="18"/>
                <w:szCs w:val="18"/>
              </w:rPr>
              <w:t>Advanced ADHD psychopharmacology: Medications, neuroscience and prescribing guidelines for clinicians</w:t>
            </w:r>
          </w:p>
        </w:tc>
      </w:tr>
    </w:tbl>
    <w:p w14:paraId="034B5C85" w14:textId="065968C3" w:rsidR="00047BC4" w:rsidRPr="00197E47" w:rsidRDefault="00047BC4" w:rsidP="00047BC4">
      <w:pPr>
        <w:pStyle w:val="CS-Paragraphnumbering"/>
        <w:numPr>
          <w:ilvl w:val="0"/>
          <w:numId w:val="5"/>
        </w:numPr>
        <w:spacing w:before="240"/>
        <w:ind w:left="851"/>
        <w:rPr>
          <w:rFonts w:ascii="Aptos" w:hAnsi="Aptos"/>
          <w:sz w:val="22"/>
          <w:szCs w:val="22"/>
        </w:rPr>
      </w:pPr>
      <w:r w:rsidRPr="00C324E4">
        <w:rPr>
          <w:rFonts w:ascii="Aptos" w:hAnsi="Aptos" w:cstheme="minorHAnsi"/>
          <w:sz w:val="22"/>
          <w:szCs w:val="22"/>
        </w:rPr>
        <w:t>The prescriber</w:t>
      </w:r>
      <w:r>
        <w:rPr>
          <w:rFonts w:ascii="Aptos" w:hAnsi="Aptos" w:cstheme="minorHAnsi"/>
          <w:sz w:val="22"/>
          <w:szCs w:val="22"/>
        </w:rPr>
        <w:t xml:space="preserve"> </w:t>
      </w:r>
      <w:r w:rsidRPr="00197E47">
        <w:rPr>
          <w:rFonts w:ascii="Aptos" w:hAnsi="Aptos"/>
          <w:sz w:val="22"/>
          <w:szCs w:val="22"/>
        </w:rPr>
        <w:t>reasonably</w:t>
      </w:r>
      <w:r w:rsidRPr="00C324E4">
        <w:rPr>
          <w:rFonts w:ascii="Aptos" w:hAnsi="Aptos" w:cstheme="minorHAnsi"/>
          <w:sz w:val="22"/>
          <w:szCs w:val="22"/>
        </w:rPr>
        <w:t xml:space="preserve"> believe</w:t>
      </w:r>
      <w:r>
        <w:rPr>
          <w:rFonts w:ascii="Aptos" w:hAnsi="Aptos" w:cstheme="minorHAnsi"/>
          <w:sz w:val="22"/>
          <w:szCs w:val="22"/>
        </w:rPr>
        <w:t>s</w:t>
      </w:r>
      <w:r w:rsidRPr="00C324E4">
        <w:rPr>
          <w:rFonts w:ascii="Aptos" w:hAnsi="Aptos" w:cstheme="minorHAnsi"/>
          <w:sz w:val="22"/>
          <w:szCs w:val="22"/>
        </w:rPr>
        <w:t xml:space="preserve"> that the patient is not a drug-dependent person in relation to a</w:t>
      </w:r>
      <w:r>
        <w:rPr>
          <w:rFonts w:ascii="Aptos" w:hAnsi="Aptos" w:cstheme="minorHAnsi"/>
          <w:sz w:val="22"/>
          <w:szCs w:val="22"/>
        </w:rPr>
        <w:t>ny</w:t>
      </w:r>
      <w:r w:rsidRPr="00C324E4">
        <w:rPr>
          <w:rFonts w:ascii="Aptos" w:hAnsi="Aptos" w:cstheme="minorHAnsi"/>
          <w:sz w:val="22"/>
          <w:szCs w:val="22"/>
        </w:rPr>
        <w:t xml:space="preserve"> controlled medicine or prohibited substance</w:t>
      </w:r>
      <w:r>
        <w:rPr>
          <w:rFonts w:ascii="Aptos" w:hAnsi="Aptos" w:cstheme="minorHAnsi"/>
          <w:sz w:val="22"/>
          <w:szCs w:val="22"/>
        </w:rPr>
        <w:t>;</w:t>
      </w:r>
      <w:r w:rsidR="00865033" w:rsidRPr="00865033">
        <w:rPr>
          <w:rFonts w:ascii="Aptos" w:hAnsi="Aptos"/>
          <w:sz w:val="22"/>
          <w:szCs w:val="22"/>
        </w:rPr>
        <w:t xml:space="preserve"> </w:t>
      </w:r>
      <w:r w:rsidR="00B60598">
        <w:rPr>
          <w:rFonts w:ascii="Aptos" w:hAnsi="Aptos"/>
          <w:sz w:val="22"/>
          <w:szCs w:val="22"/>
        </w:rPr>
        <w:t>and</w:t>
      </w:r>
    </w:p>
    <w:p w14:paraId="7D28FFED" w14:textId="2B710419" w:rsidR="00047BC4" w:rsidRPr="008F4CFC" w:rsidRDefault="00047BC4" w:rsidP="00047BC4">
      <w:pPr>
        <w:pStyle w:val="CS-Paragraphnumbering"/>
        <w:numPr>
          <w:ilvl w:val="0"/>
          <w:numId w:val="5"/>
        </w:numPr>
        <w:ind w:left="851"/>
        <w:rPr>
          <w:rFonts w:ascii="Aptos" w:hAnsi="Aptos"/>
          <w:sz w:val="22"/>
          <w:szCs w:val="22"/>
        </w:rPr>
      </w:pPr>
      <w:r w:rsidRPr="610F86A4">
        <w:rPr>
          <w:rFonts w:ascii="Aptos" w:hAnsi="Aptos"/>
          <w:sz w:val="22"/>
          <w:szCs w:val="22"/>
        </w:rPr>
        <w:t xml:space="preserve">The prescriber must register with the ACT Monitored Medicines Database (also known as </w:t>
      </w:r>
      <w:hyperlink r:id="rId15" w:history="1">
        <w:r w:rsidRPr="00666084">
          <w:rPr>
            <w:rStyle w:val="Hyperlink"/>
            <w:rFonts w:ascii="Aptos" w:hAnsi="Aptos"/>
            <w:sz w:val="22"/>
            <w:szCs w:val="22"/>
          </w:rPr>
          <w:t>Canberra Script</w:t>
        </w:r>
      </w:hyperlink>
      <w:r>
        <w:rPr>
          <w:rFonts w:ascii="Aptos" w:hAnsi="Aptos"/>
          <w:sz w:val="22"/>
          <w:szCs w:val="22"/>
        </w:rPr>
        <w:t>^</w:t>
      </w:r>
      <w:r w:rsidRPr="610F86A4">
        <w:rPr>
          <w:rFonts w:ascii="Aptos" w:hAnsi="Aptos"/>
          <w:sz w:val="22"/>
          <w:szCs w:val="22"/>
        </w:rPr>
        <w:t>)</w:t>
      </w:r>
      <w:r>
        <w:rPr>
          <w:rFonts w:ascii="Aptos" w:hAnsi="Aptos"/>
          <w:sz w:val="22"/>
          <w:szCs w:val="22"/>
        </w:rPr>
        <w:t xml:space="preserve">, and must review and consider any relevant patient information in the </w:t>
      </w:r>
      <w:r w:rsidR="00465DEF" w:rsidRPr="00465DEF">
        <w:rPr>
          <w:rFonts w:ascii="Aptos" w:hAnsi="Aptos"/>
          <w:sz w:val="22"/>
          <w:szCs w:val="22"/>
        </w:rPr>
        <w:t>patient profile in Canberra Script</w:t>
      </w:r>
      <w:r w:rsidR="00190C3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before issuing each prescription under this CHO Standing</w:t>
      </w:r>
      <w:r w:rsidR="00952EE2">
        <w:rPr>
          <w:rFonts w:ascii="Aptos" w:hAnsi="Aptos"/>
          <w:sz w:val="22"/>
          <w:szCs w:val="22"/>
        </w:rPr>
        <w:t xml:space="preserve"> approval</w:t>
      </w:r>
      <w:r w:rsidR="00865033">
        <w:rPr>
          <w:rFonts w:ascii="Aptos" w:hAnsi="Aptos"/>
          <w:sz w:val="22"/>
          <w:szCs w:val="22"/>
        </w:rPr>
        <w:t>.</w:t>
      </w:r>
      <w:r>
        <w:rPr>
          <w:rFonts w:ascii="Aptos" w:hAnsi="Aptos"/>
          <w:sz w:val="22"/>
          <w:szCs w:val="22"/>
        </w:rPr>
        <w:t xml:space="preserve"> </w:t>
      </w:r>
    </w:p>
    <w:p w14:paraId="28EF2E59" w14:textId="13B45CF7" w:rsidR="00047BC4" w:rsidRDefault="00047BC4" w:rsidP="00047BC4">
      <w:pPr>
        <w:pStyle w:val="CS-Paragraphnumbering"/>
        <w:spacing w:after="200"/>
        <w:rPr>
          <w:rFonts w:ascii="Aptos" w:hAnsi="Aptos"/>
          <w:sz w:val="22"/>
          <w:szCs w:val="22"/>
        </w:rPr>
      </w:pPr>
      <w:r w:rsidRPr="005D0B04">
        <w:rPr>
          <w:rFonts w:ascii="Aptos" w:hAnsi="Aptos" w:cstheme="minorHAnsi"/>
          <w:sz w:val="20"/>
          <w:szCs w:val="20"/>
        </w:rPr>
        <w:lastRenderedPageBreak/>
        <w:t xml:space="preserve">^Health practitioners can register with Canberra Script at </w:t>
      </w:r>
      <w:hyperlink r:id="rId16" w:history="1">
        <w:r w:rsidRPr="005D0B04">
          <w:rPr>
            <w:rStyle w:val="Hyperlink"/>
            <w:rFonts w:ascii="Aptos" w:hAnsi="Aptos" w:cstheme="minorHAnsi"/>
            <w:sz w:val="20"/>
            <w:szCs w:val="20"/>
          </w:rPr>
          <w:t>www.canberrascript.act.gov.au</w:t>
        </w:r>
      </w:hyperlink>
      <w:r w:rsidRPr="005D0B04">
        <w:rPr>
          <w:rFonts w:ascii="Aptos" w:hAnsi="Aptos" w:cstheme="minorHAnsi"/>
          <w:sz w:val="20"/>
          <w:szCs w:val="20"/>
        </w:rPr>
        <w:t xml:space="preserve"> </w:t>
      </w:r>
      <w:r>
        <w:rPr>
          <w:rFonts w:ascii="Aptos" w:hAnsi="Aptos" w:cstheme="minorHAnsi"/>
          <w:sz w:val="22"/>
          <w:szCs w:val="22"/>
        </w:rPr>
        <w:br/>
      </w:r>
      <w:r w:rsidRPr="005D0B04">
        <w:rPr>
          <w:rFonts w:ascii="Aptos" w:hAnsi="Aptos" w:cstheme="minorHAnsi"/>
          <w:sz w:val="22"/>
          <w:szCs w:val="22"/>
          <w:vertAlign w:val="superscript"/>
        </w:rPr>
        <w:t>#</w:t>
      </w:r>
      <w:r w:rsidRPr="007959EA">
        <w:rPr>
          <w:rFonts w:ascii="Aptos" w:hAnsi="Aptos" w:cstheme="minorHAnsi"/>
          <w:sz w:val="22"/>
          <w:szCs w:val="22"/>
        </w:rPr>
        <w:t xml:space="preserve"> </w:t>
      </w:r>
      <w:r w:rsidRPr="005D0B04">
        <w:rPr>
          <w:rFonts w:ascii="Aptos" w:hAnsi="Aptos" w:cstheme="minorHAnsi"/>
          <w:sz w:val="20"/>
          <w:szCs w:val="20"/>
        </w:rPr>
        <w:t xml:space="preserve">Notification forms are available on the Health and Community Services Directorate webpage </w:t>
      </w:r>
      <w:hyperlink r:id="rId17" w:history="1">
        <w:r w:rsidR="00865033" w:rsidRPr="00865033">
          <w:rPr>
            <w:rStyle w:val="Hyperlink"/>
            <w:rFonts w:ascii="Aptos" w:hAnsi="Aptos" w:cstheme="minorHAnsi"/>
            <w:sz w:val="20"/>
            <w:szCs w:val="20"/>
          </w:rPr>
          <w:t>www.act.gov.au/health/prescribing-controlled-and-monitored-medicines</w:t>
        </w:r>
      </w:hyperlink>
      <w:r w:rsidR="00865033">
        <w:rPr>
          <w:rFonts w:ascii="Aptos" w:hAnsi="Aptos" w:cstheme="minorHAnsi"/>
          <w:sz w:val="20"/>
          <w:szCs w:val="20"/>
        </w:rPr>
        <w:t xml:space="preserve"> </w:t>
      </w:r>
    </w:p>
    <w:p w14:paraId="5E5E9B59" w14:textId="77777777" w:rsidR="00047BC4" w:rsidRPr="007959EA" w:rsidRDefault="00047BC4" w:rsidP="00047BC4">
      <w:pPr>
        <w:pStyle w:val="CS-Paragraphnumbering"/>
        <w:numPr>
          <w:ilvl w:val="0"/>
          <w:numId w:val="3"/>
        </w:numPr>
        <w:rPr>
          <w:rFonts w:ascii="Aptos" w:hAnsi="Aptos" w:cstheme="minorHAnsi"/>
          <w:b/>
          <w:bCs/>
          <w:sz w:val="22"/>
          <w:szCs w:val="22"/>
        </w:rPr>
      </w:pPr>
      <w:r w:rsidRPr="00EF166D">
        <w:rPr>
          <w:rFonts w:ascii="Aptos" w:hAnsi="Aptos"/>
          <w:b/>
          <w:sz w:val="22"/>
          <w:szCs w:val="22"/>
        </w:rPr>
        <w:t>Definitions</w:t>
      </w:r>
    </w:p>
    <w:p w14:paraId="6E7A97BF" w14:textId="77777777" w:rsidR="00047BC4" w:rsidRPr="007959EA" w:rsidRDefault="00047BC4" w:rsidP="00047BC4">
      <w:pPr>
        <w:pStyle w:val="CS-Paragraphnumbering"/>
        <w:spacing w:after="0"/>
        <w:rPr>
          <w:rFonts w:ascii="Aptos" w:hAnsi="Aptos" w:cstheme="minorHAnsi"/>
          <w:sz w:val="22"/>
          <w:szCs w:val="22"/>
        </w:rPr>
      </w:pPr>
      <w:r w:rsidRPr="007959EA">
        <w:rPr>
          <w:rFonts w:ascii="Aptos" w:hAnsi="Aptos" w:cstheme="minorHAnsi"/>
          <w:sz w:val="22"/>
          <w:szCs w:val="22"/>
        </w:rPr>
        <w:t>In this instrument:</w:t>
      </w:r>
    </w:p>
    <w:p w14:paraId="701C623C" w14:textId="26EBD291" w:rsidR="00047BC4" w:rsidRPr="0036205B" w:rsidRDefault="00047BC4" w:rsidP="00047BC4">
      <w:pPr>
        <w:pStyle w:val="Heading3"/>
        <w:numPr>
          <w:ilvl w:val="0"/>
          <w:numId w:val="1"/>
        </w:numPr>
        <w:tabs>
          <w:tab w:val="num" w:pos="360"/>
        </w:tabs>
        <w:ind w:left="284" w:hanging="284"/>
        <w:rPr>
          <w:rFonts w:ascii="Aptos" w:hAnsi="Aptos" w:cstheme="minorHAnsi"/>
          <w:color w:val="000000" w:themeColor="text1"/>
          <w:sz w:val="22"/>
          <w:szCs w:val="22"/>
        </w:rPr>
      </w:pPr>
      <w:r w:rsidRPr="007959EA">
        <w:rPr>
          <w:rFonts w:ascii="Aptos" w:hAnsi="Aptos" w:cstheme="minorHAnsi"/>
          <w:b/>
          <w:color w:val="auto"/>
          <w:sz w:val="22"/>
          <w:szCs w:val="22"/>
        </w:rPr>
        <w:t>Attention Deficit Hyperactivity Disorder (</w:t>
      </w:r>
      <w:r w:rsidRPr="0036205B">
        <w:rPr>
          <w:rFonts w:ascii="Aptos" w:hAnsi="Aptos" w:cstheme="minorHAnsi"/>
          <w:b/>
          <w:color w:val="auto"/>
          <w:sz w:val="22"/>
          <w:szCs w:val="22"/>
        </w:rPr>
        <w:t>ADHD</w:t>
      </w:r>
      <w:r w:rsidRPr="0036205B">
        <w:rPr>
          <w:rFonts w:ascii="Aptos" w:hAnsi="Aptos" w:cstheme="minorHAnsi"/>
          <w:b/>
          <w:color w:val="000000" w:themeColor="text1"/>
          <w:sz w:val="22"/>
          <w:szCs w:val="22"/>
        </w:rPr>
        <w:t>)</w:t>
      </w:r>
      <w:r w:rsidRPr="0036205B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="0036205B" w:rsidRPr="0036205B">
        <w:rPr>
          <w:rFonts w:ascii="Aptos" w:hAnsi="Aptos" w:cstheme="minorHAnsi"/>
          <w:color w:val="000000" w:themeColor="text1"/>
          <w:sz w:val="22"/>
          <w:szCs w:val="22"/>
        </w:rPr>
        <w:t>means a diagnosis meeting the criteria in the:</w:t>
      </w:r>
    </w:p>
    <w:p w14:paraId="0BF18EB6" w14:textId="4D0A0BE3" w:rsidR="00047BC4" w:rsidRPr="0036205B" w:rsidRDefault="00047BC4" w:rsidP="00047BC4">
      <w:pPr>
        <w:pStyle w:val="ListParagraph"/>
        <w:numPr>
          <w:ilvl w:val="0"/>
          <w:numId w:val="2"/>
        </w:numPr>
        <w:spacing w:after="120" w:line="276" w:lineRule="auto"/>
        <w:ind w:left="1077" w:hanging="357"/>
        <w:rPr>
          <w:rFonts w:ascii="Aptos" w:hAnsi="Aptos" w:cstheme="minorHAnsi"/>
          <w:color w:val="000000" w:themeColor="text1"/>
          <w:sz w:val="22"/>
          <w:szCs w:val="22"/>
        </w:rPr>
      </w:pPr>
      <w:r w:rsidRPr="0036205B">
        <w:rPr>
          <w:rFonts w:ascii="Aptos" w:hAnsi="Aptos" w:cstheme="minorHAnsi"/>
          <w:i/>
          <w:iCs/>
          <w:color w:val="000000" w:themeColor="text1"/>
          <w:sz w:val="22"/>
          <w:szCs w:val="22"/>
        </w:rPr>
        <w:t xml:space="preserve">Diagnostic and </w:t>
      </w:r>
      <w:r w:rsidR="0082221B" w:rsidRPr="0036205B">
        <w:rPr>
          <w:rFonts w:ascii="Aptos" w:hAnsi="Aptos" w:cstheme="minorHAnsi"/>
          <w:i/>
          <w:iCs/>
          <w:color w:val="000000" w:themeColor="text1"/>
          <w:sz w:val="22"/>
          <w:szCs w:val="22"/>
        </w:rPr>
        <w:t>Statistical Manual</w:t>
      </w:r>
      <w:r w:rsidRPr="0036205B">
        <w:rPr>
          <w:rFonts w:ascii="Aptos" w:hAnsi="Aptos" w:cstheme="minorHAnsi"/>
          <w:i/>
          <w:iCs/>
          <w:color w:val="000000" w:themeColor="text1"/>
          <w:sz w:val="22"/>
          <w:szCs w:val="22"/>
        </w:rPr>
        <w:t xml:space="preserve"> of Mental Disorders,</w:t>
      </w:r>
      <w:r w:rsidRPr="0036205B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="0036205B" w:rsidRPr="0036205B">
        <w:rPr>
          <w:rFonts w:ascii="Aptos" w:hAnsi="Aptos" w:cstheme="minorHAnsi"/>
          <w:color w:val="000000" w:themeColor="text1"/>
          <w:sz w:val="22"/>
          <w:szCs w:val="22"/>
        </w:rPr>
        <w:t xml:space="preserve">fifth </w:t>
      </w:r>
      <w:r w:rsidRPr="0036205B">
        <w:rPr>
          <w:rFonts w:ascii="Aptos" w:hAnsi="Aptos" w:cstheme="minorHAnsi"/>
          <w:color w:val="000000" w:themeColor="text1"/>
          <w:sz w:val="22"/>
          <w:szCs w:val="22"/>
        </w:rPr>
        <w:t>edition (DSM-5), or any subsequent edition published by the American Psychiatric Association, or</w:t>
      </w:r>
    </w:p>
    <w:p w14:paraId="4CFC99C8" w14:textId="77777777" w:rsidR="00047BC4" w:rsidRPr="0036205B" w:rsidRDefault="00047BC4" w:rsidP="00047BC4">
      <w:pPr>
        <w:pStyle w:val="ListParagraph"/>
        <w:numPr>
          <w:ilvl w:val="0"/>
          <w:numId w:val="2"/>
        </w:numPr>
        <w:spacing w:after="120" w:line="276" w:lineRule="auto"/>
        <w:ind w:left="1077" w:hanging="357"/>
        <w:rPr>
          <w:rFonts w:ascii="Aptos" w:hAnsi="Aptos" w:cstheme="minorHAnsi"/>
          <w:color w:val="000000" w:themeColor="text1"/>
          <w:sz w:val="22"/>
          <w:szCs w:val="22"/>
        </w:rPr>
      </w:pPr>
      <w:r w:rsidRPr="0036205B">
        <w:rPr>
          <w:rFonts w:ascii="Aptos" w:hAnsi="Aptos" w:cstheme="minorHAnsi"/>
          <w:i/>
          <w:iCs/>
          <w:color w:val="000000" w:themeColor="text1"/>
          <w:sz w:val="22"/>
          <w:szCs w:val="22"/>
        </w:rPr>
        <w:t>International Classification of Diseases</w:t>
      </w:r>
      <w:r w:rsidRPr="0036205B">
        <w:rPr>
          <w:rFonts w:ascii="Aptos" w:hAnsi="Aptos" w:cstheme="minorHAnsi"/>
          <w:color w:val="000000" w:themeColor="text1"/>
          <w:sz w:val="22"/>
          <w:szCs w:val="22"/>
        </w:rPr>
        <w:t>, 11</w:t>
      </w:r>
      <w:r w:rsidRPr="0036205B">
        <w:rPr>
          <w:rFonts w:ascii="Aptos" w:hAnsi="Aptos" w:cstheme="minorHAnsi"/>
          <w:color w:val="000000" w:themeColor="text1"/>
          <w:sz w:val="22"/>
          <w:szCs w:val="22"/>
          <w:vertAlign w:val="superscript"/>
        </w:rPr>
        <w:t>th</w:t>
      </w:r>
      <w:r w:rsidRPr="0036205B">
        <w:rPr>
          <w:rFonts w:ascii="Aptos" w:hAnsi="Aptos" w:cstheme="minorHAnsi"/>
          <w:color w:val="000000" w:themeColor="text1"/>
          <w:sz w:val="22"/>
          <w:szCs w:val="22"/>
        </w:rPr>
        <w:t xml:space="preserve"> Revision (ICD-11), or any subsequent revision published by the World Health Organization. </w:t>
      </w:r>
    </w:p>
    <w:p w14:paraId="11A47A4E" w14:textId="77777777" w:rsidR="00047BC4" w:rsidRPr="00716EFF" w:rsidRDefault="00047BC4" w:rsidP="00047BC4">
      <w:pPr>
        <w:pStyle w:val="Heading3"/>
        <w:numPr>
          <w:ilvl w:val="0"/>
          <w:numId w:val="1"/>
        </w:numPr>
        <w:tabs>
          <w:tab w:val="num" w:pos="360"/>
        </w:tabs>
        <w:ind w:left="284" w:hanging="284"/>
        <w:rPr>
          <w:rFonts w:ascii="Aptos" w:hAnsi="Aptos" w:cstheme="minorHAnsi"/>
          <w:color w:val="auto"/>
          <w:sz w:val="22"/>
          <w:szCs w:val="22"/>
        </w:rPr>
      </w:pPr>
      <w:r w:rsidRPr="00716EFF">
        <w:rPr>
          <w:rFonts w:ascii="Aptos" w:hAnsi="Aptos" w:cstheme="minorHAnsi"/>
          <w:b/>
          <w:bCs/>
          <w:color w:val="auto"/>
          <w:sz w:val="22"/>
          <w:szCs w:val="22"/>
        </w:rPr>
        <w:t>Relevant specialist</w:t>
      </w:r>
      <w:r w:rsidRPr="00716EFF">
        <w:t xml:space="preserve"> </w:t>
      </w:r>
      <w:r w:rsidRPr="00716EFF">
        <w:rPr>
          <w:rFonts w:ascii="Aptos" w:hAnsi="Aptos" w:cstheme="minorHAnsi"/>
          <w:color w:val="auto"/>
          <w:sz w:val="22"/>
          <w:szCs w:val="22"/>
        </w:rPr>
        <w:t>means a medical practitioner who holds specialist registration under the Health Practitioner Regulation National Law in one of the following specialties:</w:t>
      </w:r>
    </w:p>
    <w:p w14:paraId="6DF4C458" w14:textId="77777777" w:rsidR="00047BC4" w:rsidRPr="00716EFF" w:rsidRDefault="00047BC4" w:rsidP="00047BC4">
      <w:pPr>
        <w:pStyle w:val="ListParagraph"/>
        <w:numPr>
          <w:ilvl w:val="0"/>
          <w:numId w:val="2"/>
        </w:numPr>
        <w:spacing w:after="120" w:line="276" w:lineRule="auto"/>
        <w:ind w:left="1077" w:hanging="357"/>
        <w:rPr>
          <w:rFonts w:ascii="Aptos" w:hAnsi="Aptos" w:cstheme="minorHAnsi"/>
          <w:sz w:val="22"/>
          <w:szCs w:val="22"/>
        </w:rPr>
      </w:pPr>
      <w:r w:rsidRPr="00716EFF">
        <w:rPr>
          <w:rFonts w:ascii="Aptos" w:hAnsi="Aptos" w:cstheme="minorHAnsi"/>
          <w:sz w:val="22"/>
          <w:szCs w:val="22"/>
        </w:rPr>
        <w:t>Psychiatry</w:t>
      </w:r>
    </w:p>
    <w:p w14:paraId="621D6525" w14:textId="77777777" w:rsidR="00047BC4" w:rsidRPr="00716EFF" w:rsidRDefault="00047BC4" w:rsidP="00047BC4">
      <w:pPr>
        <w:pStyle w:val="ListParagraph"/>
        <w:numPr>
          <w:ilvl w:val="0"/>
          <w:numId w:val="2"/>
        </w:numPr>
        <w:spacing w:after="120" w:line="276" w:lineRule="auto"/>
        <w:ind w:left="1077" w:hanging="357"/>
        <w:rPr>
          <w:rFonts w:ascii="Aptos" w:hAnsi="Aptos" w:cstheme="minorHAnsi"/>
          <w:sz w:val="22"/>
          <w:szCs w:val="22"/>
        </w:rPr>
      </w:pPr>
      <w:r w:rsidRPr="00716EFF">
        <w:rPr>
          <w:rFonts w:ascii="Aptos" w:hAnsi="Aptos" w:cstheme="minorHAnsi"/>
          <w:sz w:val="22"/>
          <w:szCs w:val="22"/>
        </w:rPr>
        <w:t>Paediatrics and Child Health</w:t>
      </w:r>
    </w:p>
    <w:p w14:paraId="1CBE1BFA" w14:textId="77777777" w:rsidR="00047BC4" w:rsidRPr="00465DEF" w:rsidRDefault="00047BC4" w:rsidP="00047BC4">
      <w:pPr>
        <w:pStyle w:val="ListParagraph"/>
        <w:numPr>
          <w:ilvl w:val="0"/>
          <w:numId w:val="2"/>
        </w:numPr>
        <w:spacing w:after="120" w:line="276" w:lineRule="auto"/>
        <w:ind w:left="1077" w:hanging="357"/>
        <w:rPr>
          <w:rFonts w:ascii="Aptos" w:hAnsi="Aptos" w:cstheme="minorHAnsi"/>
          <w:sz w:val="22"/>
          <w:szCs w:val="22"/>
        </w:rPr>
      </w:pPr>
      <w:r w:rsidRPr="00465DEF">
        <w:rPr>
          <w:rFonts w:ascii="Aptos" w:hAnsi="Aptos" w:cstheme="minorHAnsi"/>
          <w:sz w:val="22"/>
          <w:szCs w:val="22"/>
        </w:rPr>
        <w:t>Physician, in the field of specialty practice of Neurology</w:t>
      </w:r>
    </w:p>
    <w:p w14:paraId="44441000" w14:textId="77777777" w:rsidR="00047BC4" w:rsidRPr="00465DEF" w:rsidRDefault="00047BC4" w:rsidP="00047BC4">
      <w:pPr>
        <w:pStyle w:val="Heading3"/>
        <w:numPr>
          <w:ilvl w:val="0"/>
          <w:numId w:val="1"/>
        </w:numPr>
        <w:tabs>
          <w:tab w:val="num" w:pos="360"/>
        </w:tabs>
        <w:ind w:left="284" w:hanging="284"/>
        <w:rPr>
          <w:rFonts w:ascii="Aptos" w:hAnsi="Aptos" w:cstheme="minorHAnsi"/>
          <w:color w:val="auto"/>
          <w:sz w:val="22"/>
          <w:szCs w:val="22"/>
        </w:rPr>
      </w:pPr>
      <w:bookmarkStart w:id="0" w:name="_Hlk216971447"/>
      <w:r w:rsidRPr="00465DEF">
        <w:rPr>
          <w:rFonts w:ascii="Aptos" w:hAnsi="Aptos" w:cstheme="minorHAnsi"/>
          <w:b/>
          <w:bCs/>
          <w:color w:val="auto"/>
          <w:sz w:val="22"/>
          <w:szCs w:val="22"/>
        </w:rPr>
        <w:t xml:space="preserve">Drug-dependent person </w:t>
      </w:r>
      <w:r w:rsidRPr="00465DEF">
        <w:rPr>
          <w:rFonts w:ascii="Aptos" w:hAnsi="Aptos" w:cstheme="minorHAnsi"/>
          <w:color w:val="auto"/>
          <w:sz w:val="22"/>
          <w:szCs w:val="22"/>
        </w:rPr>
        <w:t>has the same meaning as in the Dictionary of the Medicines, Poisons and Therapeutic Goods Regulation 2008.</w:t>
      </w:r>
    </w:p>
    <w:p w14:paraId="24DBAB40" w14:textId="771C399E" w:rsidR="00190C32" w:rsidRPr="00465DEF" w:rsidRDefault="00190C32" w:rsidP="00190C32">
      <w:pPr>
        <w:pStyle w:val="Heading3"/>
        <w:numPr>
          <w:ilvl w:val="0"/>
          <w:numId w:val="1"/>
        </w:numPr>
        <w:tabs>
          <w:tab w:val="num" w:pos="360"/>
        </w:tabs>
        <w:ind w:left="284" w:hanging="284"/>
      </w:pPr>
      <w:bookmarkStart w:id="1" w:name="_Hlk216971463"/>
      <w:r w:rsidRPr="00465DEF">
        <w:rPr>
          <w:rFonts w:ascii="Aptos" w:hAnsi="Aptos" w:cstheme="minorHAnsi"/>
          <w:b/>
          <w:bCs/>
          <w:color w:val="auto"/>
          <w:sz w:val="22"/>
          <w:szCs w:val="22"/>
        </w:rPr>
        <w:t xml:space="preserve">Australian Digital Health Agency (ADHA) National Data Exchange (NDE) </w:t>
      </w:r>
      <w:r w:rsidRPr="00465DEF">
        <w:rPr>
          <w:rFonts w:ascii="Aptos" w:hAnsi="Aptos" w:cstheme="minorHAnsi"/>
          <w:color w:val="auto"/>
          <w:sz w:val="22"/>
          <w:szCs w:val="22"/>
        </w:rPr>
        <w:t>means an ICT system managed by the ADHA, which capture</w:t>
      </w:r>
      <w:r w:rsidR="003A2847" w:rsidRPr="00465DEF">
        <w:rPr>
          <w:rFonts w:ascii="Aptos" w:hAnsi="Aptos" w:cstheme="minorHAnsi"/>
          <w:color w:val="auto"/>
          <w:sz w:val="22"/>
          <w:szCs w:val="22"/>
        </w:rPr>
        <w:t>s</w:t>
      </w:r>
      <w:r w:rsidRPr="00465DEF">
        <w:rPr>
          <w:rFonts w:ascii="Aptos" w:hAnsi="Aptos" w:cstheme="minorHAnsi"/>
          <w:color w:val="auto"/>
          <w:sz w:val="22"/>
          <w:szCs w:val="22"/>
        </w:rPr>
        <w:t>, process</w:t>
      </w:r>
      <w:r w:rsidR="003A2847" w:rsidRPr="00465DEF">
        <w:rPr>
          <w:rFonts w:ascii="Aptos" w:hAnsi="Aptos" w:cstheme="minorHAnsi"/>
          <w:color w:val="auto"/>
          <w:sz w:val="22"/>
          <w:szCs w:val="22"/>
        </w:rPr>
        <w:t>es</w:t>
      </w:r>
      <w:r w:rsidRPr="00465DEF">
        <w:rPr>
          <w:rFonts w:ascii="Aptos" w:hAnsi="Aptos" w:cstheme="minorHAnsi"/>
          <w:color w:val="auto"/>
          <w:sz w:val="22"/>
          <w:szCs w:val="22"/>
        </w:rPr>
        <w:t xml:space="preserve"> and store</w:t>
      </w:r>
      <w:r w:rsidR="003A2847" w:rsidRPr="00465DEF">
        <w:rPr>
          <w:rFonts w:ascii="Aptos" w:hAnsi="Aptos" w:cstheme="minorHAnsi"/>
          <w:color w:val="auto"/>
          <w:sz w:val="22"/>
          <w:szCs w:val="22"/>
        </w:rPr>
        <w:t>s</w:t>
      </w:r>
      <w:r w:rsidRPr="00465DEF">
        <w:rPr>
          <w:rFonts w:ascii="Aptos" w:hAnsi="Aptos" w:cstheme="minorHAnsi"/>
          <w:color w:val="auto"/>
          <w:sz w:val="22"/>
          <w:szCs w:val="22"/>
        </w:rPr>
        <w:t xml:space="preserve"> information received from conformant prescribing and dispensing software and from State and Territory regulatory systems.</w:t>
      </w:r>
    </w:p>
    <w:bookmarkEnd w:id="0"/>
    <w:bookmarkEnd w:id="1"/>
    <w:p w14:paraId="0226A319" w14:textId="77777777" w:rsidR="00047BC4" w:rsidRPr="00001228" w:rsidRDefault="00047BC4" w:rsidP="00047BC4"/>
    <w:p w14:paraId="5D20BB26" w14:textId="77777777" w:rsidR="002B7424" w:rsidRPr="00047BC4" w:rsidRDefault="002B7424" w:rsidP="00047BC4"/>
    <w:sectPr w:rsidR="002B7424" w:rsidRPr="00047BC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C22C" w14:textId="77777777" w:rsidR="00526C79" w:rsidRDefault="00526C79" w:rsidP="00526C79">
      <w:r>
        <w:separator/>
      </w:r>
    </w:p>
  </w:endnote>
  <w:endnote w:type="continuationSeparator" w:id="0">
    <w:p w14:paraId="7EBD0712" w14:textId="77777777" w:rsidR="00526C79" w:rsidRDefault="00526C79" w:rsidP="0052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AFFA" w14:textId="77777777" w:rsidR="00526C79" w:rsidRDefault="00526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8DA4" w14:textId="38E507A2" w:rsidR="00526C79" w:rsidRPr="00526C79" w:rsidRDefault="00526C79" w:rsidP="00526C79">
    <w:pPr>
      <w:pStyle w:val="Footer"/>
      <w:jc w:val="center"/>
      <w:rPr>
        <w:rFonts w:ascii="Arial" w:hAnsi="Arial" w:cs="Arial"/>
        <w:sz w:val="14"/>
      </w:rPr>
    </w:pPr>
    <w:r w:rsidRPr="00526C7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202C" w14:textId="77777777" w:rsidR="00526C79" w:rsidRDefault="0052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01BF" w14:textId="77777777" w:rsidR="00526C79" w:rsidRDefault="00526C79" w:rsidP="00526C79">
      <w:r>
        <w:separator/>
      </w:r>
    </w:p>
  </w:footnote>
  <w:footnote w:type="continuationSeparator" w:id="0">
    <w:p w14:paraId="6DA8EF1E" w14:textId="77777777" w:rsidR="00526C79" w:rsidRDefault="00526C79" w:rsidP="0052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5A17" w14:textId="77777777" w:rsidR="00526C79" w:rsidRDefault="00526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4D0" w14:textId="77777777" w:rsidR="00526C79" w:rsidRDefault="00526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2EB3" w14:textId="77777777" w:rsidR="00526C79" w:rsidRDefault="00526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93B"/>
    <w:multiLevelType w:val="hybridMultilevel"/>
    <w:tmpl w:val="B5AC2B8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930DF3"/>
    <w:multiLevelType w:val="hybridMultilevel"/>
    <w:tmpl w:val="C94CE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4BD9"/>
    <w:multiLevelType w:val="hybridMultilevel"/>
    <w:tmpl w:val="0180E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67AD0"/>
    <w:multiLevelType w:val="hybridMultilevel"/>
    <w:tmpl w:val="66625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4150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3B9D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2CE45EDC"/>
    <w:multiLevelType w:val="hybridMultilevel"/>
    <w:tmpl w:val="535202DE"/>
    <w:lvl w:ilvl="0" w:tplc="69DA2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04D7"/>
    <w:multiLevelType w:val="hybridMultilevel"/>
    <w:tmpl w:val="D70C6EB0"/>
    <w:lvl w:ilvl="0" w:tplc="ED660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F49F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F6631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5BADB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B1E3D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DF40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0964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569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8C6C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5552B4A"/>
    <w:multiLevelType w:val="hybridMultilevel"/>
    <w:tmpl w:val="D6C6E2A4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ascii="Aptos" w:eastAsiaTheme="minorHAnsi" w:hAnsi="Aptos" w:cstheme="minorBidi"/>
      </w:rPr>
    </w:lvl>
    <w:lvl w:ilvl="1" w:tplc="40C8B64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612E"/>
    <w:multiLevelType w:val="hybridMultilevel"/>
    <w:tmpl w:val="E00261B8"/>
    <w:lvl w:ilvl="0" w:tplc="BE28C05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E02A4"/>
    <w:multiLevelType w:val="hybridMultilevel"/>
    <w:tmpl w:val="05A2893A"/>
    <w:lvl w:ilvl="0" w:tplc="D82CB8E4">
      <w:start w:val="1"/>
      <w:numFmt w:val="lowerLetter"/>
      <w:lvlText w:val="%1)"/>
      <w:lvlJc w:val="left"/>
      <w:pPr>
        <w:ind w:left="1080" w:hanging="720"/>
      </w:pPr>
      <w:rPr>
        <w:rFonts w:ascii="Aptos" w:eastAsiaTheme="minorHAnsi" w:hAnsi="Aptos" w:cstheme="minorHAns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44695">
    <w:abstractNumId w:val="1"/>
  </w:num>
  <w:num w:numId="2" w16cid:durableId="1337726569">
    <w:abstractNumId w:val="8"/>
  </w:num>
  <w:num w:numId="3" w16cid:durableId="1083527463">
    <w:abstractNumId w:val="3"/>
  </w:num>
  <w:num w:numId="4" w16cid:durableId="1769810076">
    <w:abstractNumId w:val="2"/>
  </w:num>
  <w:num w:numId="5" w16cid:durableId="1580602767">
    <w:abstractNumId w:val="7"/>
  </w:num>
  <w:num w:numId="6" w16cid:durableId="489104077">
    <w:abstractNumId w:val="5"/>
  </w:num>
  <w:num w:numId="7" w16cid:durableId="343098049">
    <w:abstractNumId w:val="9"/>
  </w:num>
  <w:num w:numId="8" w16cid:durableId="1890067341">
    <w:abstractNumId w:val="4"/>
  </w:num>
  <w:num w:numId="9" w16cid:durableId="101462242">
    <w:abstractNumId w:val="0"/>
  </w:num>
  <w:num w:numId="10" w16cid:durableId="126514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EE"/>
    <w:rsid w:val="000312D6"/>
    <w:rsid w:val="00047BC4"/>
    <w:rsid w:val="000F7B97"/>
    <w:rsid w:val="00110CCB"/>
    <w:rsid w:val="001168A1"/>
    <w:rsid w:val="00127120"/>
    <w:rsid w:val="00134280"/>
    <w:rsid w:val="00160356"/>
    <w:rsid w:val="00190C32"/>
    <w:rsid w:val="001D6736"/>
    <w:rsid w:val="002B7424"/>
    <w:rsid w:val="002E5D06"/>
    <w:rsid w:val="003537BD"/>
    <w:rsid w:val="0036205B"/>
    <w:rsid w:val="003A2260"/>
    <w:rsid w:val="003A2847"/>
    <w:rsid w:val="003D44AC"/>
    <w:rsid w:val="00465DEF"/>
    <w:rsid w:val="004D47C5"/>
    <w:rsid w:val="004E5DAD"/>
    <w:rsid w:val="005152EA"/>
    <w:rsid w:val="00515C20"/>
    <w:rsid w:val="00526C79"/>
    <w:rsid w:val="00530F97"/>
    <w:rsid w:val="0055790F"/>
    <w:rsid w:val="005D342F"/>
    <w:rsid w:val="005D6960"/>
    <w:rsid w:val="00654111"/>
    <w:rsid w:val="00662C5B"/>
    <w:rsid w:val="00691761"/>
    <w:rsid w:val="00692583"/>
    <w:rsid w:val="006A0AC9"/>
    <w:rsid w:val="006C3EAF"/>
    <w:rsid w:val="00797A33"/>
    <w:rsid w:val="007A6D13"/>
    <w:rsid w:val="00804226"/>
    <w:rsid w:val="0081624E"/>
    <w:rsid w:val="0082221B"/>
    <w:rsid w:val="00865033"/>
    <w:rsid w:val="008A0458"/>
    <w:rsid w:val="00952EE2"/>
    <w:rsid w:val="0096370E"/>
    <w:rsid w:val="00967953"/>
    <w:rsid w:val="00984CA4"/>
    <w:rsid w:val="00A25196"/>
    <w:rsid w:val="00A31638"/>
    <w:rsid w:val="00A708E4"/>
    <w:rsid w:val="00A9229D"/>
    <w:rsid w:val="00B25EE6"/>
    <w:rsid w:val="00B525ED"/>
    <w:rsid w:val="00B60598"/>
    <w:rsid w:val="00B72DFC"/>
    <w:rsid w:val="00B73CEE"/>
    <w:rsid w:val="00B93B50"/>
    <w:rsid w:val="00BA4171"/>
    <w:rsid w:val="00BB3AD8"/>
    <w:rsid w:val="00C44462"/>
    <w:rsid w:val="00C508B0"/>
    <w:rsid w:val="00C70345"/>
    <w:rsid w:val="00D1340B"/>
    <w:rsid w:val="00D356B7"/>
    <w:rsid w:val="00D573BA"/>
    <w:rsid w:val="00D6719D"/>
    <w:rsid w:val="00D97F25"/>
    <w:rsid w:val="00E24C15"/>
    <w:rsid w:val="00E8360B"/>
    <w:rsid w:val="00E86758"/>
    <w:rsid w:val="00E92C81"/>
    <w:rsid w:val="00EF243B"/>
    <w:rsid w:val="00EF6953"/>
    <w:rsid w:val="00F81910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EBB24"/>
  <w15:chartTrackingRefBased/>
  <w15:docId w15:val="{2A85471B-C8EC-485C-BB18-61EAC35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73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C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C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C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C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73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C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CEE"/>
    <w:rPr>
      <w:b/>
      <w:bCs/>
      <w:smallCaps/>
      <w:color w:val="0F4761" w:themeColor="accent1" w:themeShade="BF"/>
      <w:spacing w:val="5"/>
    </w:rPr>
  </w:style>
  <w:style w:type="paragraph" w:customStyle="1" w:styleId="Billname">
    <w:name w:val="Billname"/>
    <w:basedOn w:val="Normal"/>
    <w:rsid w:val="00B73CE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B73CE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73CEE"/>
    <w:pPr>
      <w:spacing w:before="180" w:after="60"/>
      <w:jc w:val="both"/>
    </w:pPr>
  </w:style>
  <w:style w:type="paragraph" w:customStyle="1" w:styleId="CoverActName">
    <w:name w:val="CoverActName"/>
    <w:basedOn w:val="Normal"/>
    <w:rsid w:val="00B73CE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Hyperlink">
    <w:name w:val="Hyperlink"/>
    <w:basedOn w:val="DefaultParagraphFont"/>
    <w:semiHidden/>
    <w:rsid w:val="00B73CE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3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C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CEE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CS-Paragraphnumbering">
    <w:name w:val="CS - Paragraph numbering"/>
    <w:basedOn w:val="Normal"/>
    <w:rsid w:val="00B73CEE"/>
    <w:pPr>
      <w:spacing w:after="120" w:line="276" w:lineRule="auto"/>
      <w:ind w:right="-45"/>
    </w:pPr>
    <w:rPr>
      <w:rFonts w:asciiTheme="minorHAnsi" w:eastAsiaTheme="minorHAnsi" w:hAnsiTheme="minorHAnsi" w:cstheme="minorBidi"/>
      <w:szCs w:val="24"/>
    </w:rPr>
  </w:style>
  <w:style w:type="paragraph" w:customStyle="1" w:styleId="Tableheaderreverse">
    <w:name w:val="Table_header_reverse"/>
    <w:basedOn w:val="Normal"/>
    <w:qFormat/>
    <w:rsid w:val="00B73CEE"/>
    <w:pPr>
      <w:spacing w:before="60" w:after="60"/>
    </w:pPr>
    <w:rPr>
      <w:rFonts w:ascii="Arial" w:hAnsi="Arial" w:cstheme="minorHAnsi"/>
      <w:bCs/>
      <w:iCs/>
      <w:color w:val="FFFFFF" w:themeColor="background1"/>
      <w:sz w:val="22"/>
      <w:szCs w:val="22"/>
      <w:lang w:val="en-US" w:eastAsia="en-AU"/>
    </w:rPr>
  </w:style>
  <w:style w:type="table" w:customStyle="1" w:styleId="ARStandardTable1">
    <w:name w:val="AR_Standard Table_1"/>
    <w:basedOn w:val="TableNormal"/>
    <w:uiPriority w:val="99"/>
    <w:rsid w:val="00B73CEE"/>
    <w:pPr>
      <w:spacing w:after="0" w:line="240" w:lineRule="auto"/>
    </w:pPr>
    <w:rPr>
      <w:rFonts w:ascii="Calibri" w:eastAsia="Calibri" w:hAnsi="Calibri" w:cs="Times New Roman"/>
      <w:kern w:val="0"/>
      <w:sz w:val="21"/>
      <w:szCs w:val="20"/>
      <w:lang w:eastAsia="en-AU"/>
    </w:rPr>
    <w:tblPr>
      <w:tblStyleRowBandSize w:val="1"/>
      <w:tblStyleColBandSize w:val="1"/>
    </w:tblPr>
    <w:tcPr>
      <w:tcMar>
        <w:top w:w="85" w:type="dxa"/>
        <w:left w:w="85" w:type="dxa"/>
        <w:bottom w:w="113" w:type="dxa"/>
      </w:tcMar>
    </w:tcPr>
    <w:tblStylePr w:type="firstRow">
      <w:rPr>
        <w:rFonts w:ascii="Arial" w:hAnsi="Arial"/>
        <w:b/>
        <w:i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82D8C"/>
      </w:tcPr>
    </w:tblStylePr>
    <w:tblStylePr w:type="lastRow">
      <w:tblPr/>
      <w:tcPr>
        <w:tcBorders>
          <w:bottom w:val="single" w:sz="2" w:space="0" w:color="D9D9D9" w:themeColor="background1" w:themeShade="D9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2" w:space="0" w:color="D9D9D9" w:themeColor="background1" w:themeShade="D9"/>
          <w:left w:val="nil"/>
          <w:bottom w:val="single" w:sz="2" w:space="0" w:color="D9D9D9" w:themeColor="background1" w:themeShade="D9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B73CEE"/>
    <w:rPr>
      <w:i/>
      <w:iCs/>
    </w:rPr>
  </w:style>
  <w:style w:type="table" w:styleId="TableGrid">
    <w:name w:val="Table Grid"/>
    <w:basedOn w:val="TableNormal"/>
    <w:uiPriority w:val="59"/>
    <w:rsid w:val="00B73C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/>
  </w:style>
  <w:style w:type="paragraph" w:customStyle="1" w:styleId="AH5Sec">
    <w:name w:val="A H5 Sec"/>
    <w:basedOn w:val="Normal"/>
    <w:rsid w:val="00B73CEE"/>
    <w:pPr>
      <w:numPr>
        <w:ilvl w:val="4"/>
        <w:numId w:val="8"/>
      </w:numPr>
    </w:pPr>
  </w:style>
  <w:style w:type="paragraph" w:styleId="Revision">
    <w:name w:val="Revision"/>
    <w:hidden/>
    <w:uiPriority w:val="99"/>
    <w:semiHidden/>
    <w:rsid w:val="007A6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10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3EAF"/>
    <w:pPr>
      <w:spacing w:before="100" w:beforeAutospacing="1" w:after="100" w:afterAutospacing="1"/>
    </w:pPr>
    <w:rPr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6C3EA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50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03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79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26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79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cast.com.au/courses/1104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racgp.org.au/login?client_id=0oae8pkd1a9bZUj2f1t7&amp;code_challenge=IN2hh50xgYs_fVDm0sLJ94CZuBO_emeWBPSKwjMDSvE&amp;code_challenge_method=S256&amp;nonce=8vnroayZ7pW0zDDGAnELeVCxtQFzkkrfryUp5MBlOPMCyzlB8qJvx4171T5GWcfO&amp;redirect_uri=https%3A%2F%2Fmycpd.racgp.org.au%2Fimplicit%2Fcallback&amp;response_type=code&amp;sessionToken=&amp;state=FyLHzCLUGeS5e7dnoEijnXcuJWevhVydLnM86RuehSHP6ZcQC5dPOL86ZltD8Do6&amp;scope=openid%20mycpd%20profile%20email" TargetMode="External"/><Relationship Id="rId17" Type="http://schemas.openxmlformats.org/officeDocument/2006/relationships/hyperlink" Target="http://www.act.gov.au/health/prescribing-controlled-and-monitored-medicin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nberrascript.act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cpd.racgp.org.au/activity/79366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anberrascript.act.gov.a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racgp.org.au/education/professional-development/online-learning/gplearning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sychsceneacademy.com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A57919899</value>
    </field>
    <field name="Objective-Title">
      <value order="0">Attachment B - CHO Standing Approvals - GP Continuation - ADHD</value>
    </field>
    <field name="Objective-Description">
      <value order="0"/>
    </field>
    <field name="Objective-CreationStamp">
      <value order="0">2025-10-17T01:15:40Z</value>
    </field>
    <field name="Objective-IsApproved">
      <value order="0">false</value>
    </field>
    <field name="Objective-IsPublished">
      <value order="0">true</value>
    </field>
    <field name="Objective-DatePublished">
      <value order="0">2026-01-04T21:38:10Z</value>
    </field>
    <field name="Objective-ModificationStamp">
      <value order="0">2026-01-04T21:38:10Z</value>
    </field>
    <field name="Objective-Owner">
      <value order="0">Melody Christensen</value>
    </field>
    <field name="Objective-Path">
      <value order="0">Whole of ACT Government:ACTHD - ACT Health:GROUP: Population Health GROUP (PH):02. Governance:00. Population Health Division Files:2025:11. PHD central files:November 2025:PHD2025/0002359 - HPS - CHO Min - CHO Standing Approvals - ADHD</value>
    </field>
    <field name="Objective-Parent">
      <value order="0">PHD2025/0002359 - HPS - CHO Min - CHO Standing Approvals - ADHD</value>
    </field>
    <field name="Objective-State">
      <value order="0">Published</value>
    </field>
    <field name="Objective-VersionId">
      <value order="0">vA74839370</value>
    </field>
    <field name="Objective-Version">
      <value order="0">14.0</value>
    </field>
    <field name="Objective-VersionNumber">
      <value order="0">22</value>
    </field>
    <field name="Objective-VersionComment">
      <value order="0"/>
    </field>
    <field name="Objective-FileNumber">
      <value order="0">1-2024/128934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CBD30F7-791D-42DA-94A4-A7546834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5751</Characters>
  <Application>Microsoft Office Word</Application>
  <DocSecurity>0</DocSecurity>
  <Lines>139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Adam</dc:creator>
  <cp:keywords/>
  <dc:description/>
  <cp:lastModifiedBy>PCODCS</cp:lastModifiedBy>
  <cp:revision>4</cp:revision>
  <dcterms:created xsi:type="dcterms:W3CDTF">2026-01-06T00:55:00Z</dcterms:created>
  <dcterms:modified xsi:type="dcterms:W3CDTF">2026-01-06T00:55:00Z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2025-11-10T01:49:48Z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5ce76404-703a-4dfd-b38a-36875a956624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A57919899</vt:lpwstr>
  </property>
  <property fmtid="{D5CDD505-2E9C-101B-9397-08002B2CF9AE}" pid="12" name="Objective-Title">
    <vt:lpwstr>Attachment B - CHO Standing Approvals - GP Continuation - ADHD</vt:lpwstr>
  </property>
  <property fmtid="{D5CDD505-2E9C-101B-9397-08002B2CF9AE}" pid="13" name="Objective-Description">
    <vt:lpwstr/>
  </property>
  <property fmtid="{D5CDD505-2E9C-101B-9397-08002B2CF9AE}" pid="14" name="Objective-CreationStamp">
    <vt:filetime>2025-10-17T01:15:40Z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2026-01-04T21:38:10Z</vt:filetime>
  </property>
  <property fmtid="{D5CDD505-2E9C-101B-9397-08002B2CF9AE}" pid="18" name="Objective-ModificationStamp">
    <vt:filetime>2026-01-04T21:38:10Z</vt:filetime>
  </property>
  <property fmtid="{D5CDD505-2E9C-101B-9397-08002B2CF9AE}" pid="19" name="Objective-Owner">
    <vt:lpwstr>Melody Christensen</vt:lpwstr>
  </property>
  <property fmtid="{D5CDD505-2E9C-101B-9397-08002B2CF9AE}" pid="20" name="Objective-Path">
    <vt:lpwstr>Whole of ACT Government:ACTHD - ACT Health:GROUP: Population Health GROUP (PH):02. Governance:00. Population Health Division Files:2025:11. PHD central files:November 2025:PHD2025/0002359 - HPS - CHO Min - CHO Standing Approvals - ADHD</vt:lpwstr>
  </property>
  <property fmtid="{D5CDD505-2E9C-101B-9397-08002B2CF9AE}" pid="21" name="Objective-Parent">
    <vt:lpwstr>PHD2025/0002359 - HPS - CHO Min - CHO Standing Approvals - ADHD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vA74839370</vt:lpwstr>
  </property>
  <property fmtid="{D5CDD505-2E9C-101B-9397-08002B2CF9AE}" pid="24" name="Objective-Version">
    <vt:lpwstr>14.0</vt:lpwstr>
  </property>
  <property fmtid="{D5CDD505-2E9C-101B-9397-08002B2CF9AE}" pid="25" name="Objective-VersionNumber">
    <vt:r8>22</vt:r8>
  </property>
  <property fmtid="{D5CDD505-2E9C-101B-9397-08002B2CF9AE}" pid="26" name="Objective-VersionComment">
    <vt:lpwstr/>
  </property>
  <property fmtid="{D5CDD505-2E9C-101B-9397-08002B2CF9AE}" pid="27" name="Objective-FileNumber">
    <vt:lpwstr>1-2024/128934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Owner Agency">
    <vt:lpwstr>ACTHD - ACT Health Directorate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