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900C" w14:textId="77777777" w:rsidR="00FF184D" w:rsidRDefault="006D6711">
      <w:pPr>
        <w:ind w:left="120"/>
        <w:rPr>
          <w:rFonts w:ascii="Times New Roman"/>
          <w:sz w:val="20"/>
        </w:rPr>
      </w:pPr>
      <w:bookmarkStart w:id="0" w:name="_GoBack"/>
      <w:bookmarkEnd w:id="0"/>
      <w:r>
        <w:rPr>
          <w:rFonts w:ascii="Times New Roman"/>
          <w:noProof/>
          <w:sz w:val="20"/>
        </w:rPr>
        <w:drawing>
          <wp:inline distT="0" distB="0" distL="0" distR="0" wp14:anchorId="796B76BF" wp14:editId="2AB77F04">
            <wp:extent cx="974602" cy="9715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74602" cy="971550"/>
                    </a:xfrm>
                    <a:prstGeom prst="rect">
                      <a:avLst/>
                    </a:prstGeom>
                  </pic:spPr>
                </pic:pic>
              </a:graphicData>
            </a:graphic>
          </wp:inline>
        </w:drawing>
      </w:r>
      <w:r>
        <w:rPr>
          <w:rFonts w:ascii="Times New Roman"/>
          <w:spacing w:val="131"/>
          <w:sz w:val="20"/>
        </w:rPr>
        <w:t xml:space="preserve"> </w:t>
      </w:r>
      <w:r>
        <w:rPr>
          <w:rFonts w:ascii="Times New Roman"/>
          <w:noProof/>
          <w:spacing w:val="131"/>
          <w:position w:val="36"/>
          <w:sz w:val="20"/>
        </w:rPr>
        <w:drawing>
          <wp:inline distT="0" distB="0" distL="0" distR="0" wp14:anchorId="5C907938" wp14:editId="2D873F19">
            <wp:extent cx="817626" cy="5143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817626" cy="514350"/>
                    </a:xfrm>
                    <a:prstGeom prst="rect">
                      <a:avLst/>
                    </a:prstGeom>
                  </pic:spPr>
                </pic:pic>
              </a:graphicData>
            </a:graphic>
          </wp:inline>
        </w:drawing>
      </w:r>
    </w:p>
    <w:p w14:paraId="33EFDAA0" w14:textId="77777777" w:rsidR="00FF184D" w:rsidRDefault="00FF184D">
      <w:pPr>
        <w:pStyle w:val="BodyText"/>
        <w:ind w:left="0"/>
        <w:rPr>
          <w:rFonts w:ascii="Times New Roman"/>
          <w:sz w:val="20"/>
        </w:rPr>
      </w:pPr>
    </w:p>
    <w:p w14:paraId="13A303CB" w14:textId="77777777" w:rsidR="00FF184D" w:rsidRDefault="00FF184D">
      <w:pPr>
        <w:pStyle w:val="BodyText"/>
        <w:ind w:left="0"/>
        <w:rPr>
          <w:rFonts w:ascii="Times New Roman"/>
          <w:sz w:val="20"/>
        </w:rPr>
      </w:pPr>
    </w:p>
    <w:p w14:paraId="6FD54A26" w14:textId="77777777" w:rsidR="00FF184D" w:rsidRDefault="00FF184D">
      <w:pPr>
        <w:pStyle w:val="BodyText"/>
        <w:ind w:left="0"/>
        <w:rPr>
          <w:rFonts w:ascii="Times New Roman"/>
          <w:sz w:val="20"/>
        </w:rPr>
      </w:pPr>
    </w:p>
    <w:p w14:paraId="648A97FA" w14:textId="77777777" w:rsidR="00FF184D" w:rsidRDefault="00FF184D">
      <w:pPr>
        <w:pStyle w:val="BodyText"/>
        <w:ind w:left="0"/>
        <w:rPr>
          <w:rFonts w:ascii="Times New Roman"/>
          <w:sz w:val="20"/>
        </w:rPr>
      </w:pPr>
    </w:p>
    <w:p w14:paraId="33F53B8C" w14:textId="77777777" w:rsidR="00FF184D" w:rsidRDefault="00FF184D">
      <w:pPr>
        <w:pStyle w:val="BodyText"/>
        <w:ind w:left="0"/>
        <w:rPr>
          <w:rFonts w:ascii="Times New Roman"/>
          <w:sz w:val="20"/>
        </w:rPr>
      </w:pPr>
    </w:p>
    <w:p w14:paraId="61FA28A6" w14:textId="77777777" w:rsidR="00FF184D" w:rsidRDefault="00FF184D">
      <w:pPr>
        <w:pStyle w:val="BodyText"/>
        <w:ind w:left="0"/>
        <w:rPr>
          <w:rFonts w:ascii="Times New Roman"/>
          <w:sz w:val="20"/>
        </w:rPr>
      </w:pPr>
    </w:p>
    <w:p w14:paraId="54F64A63" w14:textId="77777777" w:rsidR="00FF184D" w:rsidRDefault="00FF184D">
      <w:pPr>
        <w:pStyle w:val="BodyText"/>
        <w:ind w:left="0"/>
        <w:rPr>
          <w:rFonts w:ascii="Times New Roman"/>
          <w:sz w:val="20"/>
        </w:rPr>
      </w:pPr>
    </w:p>
    <w:p w14:paraId="079088E4" w14:textId="77777777" w:rsidR="00FF184D" w:rsidRDefault="00FF184D">
      <w:pPr>
        <w:pStyle w:val="BodyText"/>
        <w:ind w:left="0"/>
        <w:rPr>
          <w:rFonts w:ascii="Times New Roman"/>
          <w:sz w:val="20"/>
        </w:rPr>
      </w:pPr>
    </w:p>
    <w:p w14:paraId="4EE04CE6" w14:textId="77777777" w:rsidR="00FF184D" w:rsidRDefault="00FF184D">
      <w:pPr>
        <w:pStyle w:val="BodyText"/>
        <w:ind w:left="0"/>
        <w:rPr>
          <w:rFonts w:ascii="Times New Roman"/>
          <w:sz w:val="20"/>
        </w:rPr>
      </w:pPr>
    </w:p>
    <w:p w14:paraId="0DF2E4A1" w14:textId="77777777" w:rsidR="00FF184D" w:rsidRDefault="00FF184D">
      <w:pPr>
        <w:pStyle w:val="BodyText"/>
        <w:spacing w:before="8"/>
        <w:ind w:left="0"/>
        <w:rPr>
          <w:rFonts w:ascii="Times New Roman"/>
        </w:rPr>
      </w:pPr>
    </w:p>
    <w:p w14:paraId="3A39BC7F" w14:textId="77777777" w:rsidR="00FF184D" w:rsidRDefault="006D6711">
      <w:pPr>
        <w:spacing w:before="51"/>
        <w:ind w:left="1468" w:right="1464"/>
        <w:jc w:val="center"/>
        <w:rPr>
          <w:b/>
          <w:sz w:val="24"/>
        </w:rPr>
      </w:pPr>
      <w:r>
        <w:rPr>
          <w:b/>
          <w:sz w:val="24"/>
        </w:rPr>
        <w:t>REGULATORY IMPACT STATEMENT</w:t>
      </w:r>
    </w:p>
    <w:p w14:paraId="54011CF7" w14:textId="77777777" w:rsidR="00FF184D" w:rsidRDefault="00FF184D">
      <w:pPr>
        <w:pStyle w:val="BodyText"/>
        <w:ind w:left="0"/>
        <w:rPr>
          <w:b/>
          <w:sz w:val="24"/>
        </w:rPr>
      </w:pPr>
    </w:p>
    <w:p w14:paraId="49C11ED9" w14:textId="77777777" w:rsidR="00FF184D" w:rsidRDefault="00FF184D">
      <w:pPr>
        <w:pStyle w:val="BodyText"/>
        <w:ind w:left="0"/>
        <w:rPr>
          <w:b/>
          <w:sz w:val="24"/>
        </w:rPr>
      </w:pPr>
    </w:p>
    <w:p w14:paraId="10C952FC" w14:textId="77777777" w:rsidR="00FF184D" w:rsidRDefault="00FF184D">
      <w:pPr>
        <w:pStyle w:val="BodyText"/>
        <w:ind w:left="0"/>
        <w:rPr>
          <w:b/>
          <w:sz w:val="24"/>
        </w:rPr>
      </w:pPr>
    </w:p>
    <w:p w14:paraId="16815375" w14:textId="77777777" w:rsidR="00FF184D" w:rsidRDefault="00FF184D">
      <w:pPr>
        <w:pStyle w:val="BodyText"/>
        <w:ind w:left="0"/>
        <w:rPr>
          <w:b/>
          <w:sz w:val="24"/>
        </w:rPr>
      </w:pPr>
    </w:p>
    <w:p w14:paraId="7A6B7509" w14:textId="77777777" w:rsidR="00FF184D" w:rsidRDefault="00FF184D">
      <w:pPr>
        <w:pStyle w:val="BodyText"/>
        <w:ind w:left="0"/>
        <w:rPr>
          <w:b/>
          <w:sz w:val="24"/>
        </w:rPr>
      </w:pPr>
    </w:p>
    <w:p w14:paraId="0775C9B1" w14:textId="77777777" w:rsidR="00FF184D" w:rsidRDefault="00FF184D">
      <w:pPr>
        <w:pStyle w:val="BodyText"/>
        <w:ind w:left="0"/>
        <w:rPr>
          <w:b/>
          <w:sz w:val="24"/>
        </w:rPr>
      </w:pPr>
    </w:p>
    <w:p w14:paraId="4CC742AC" w14:textId="77777777" w:rsidR="00FF184D" w:rsidRDefault="00FF184D">
      <w:pPr>
        <w:pStyle w:val="BodyText"/>
        <w:ind w:left="0"/>
        <w:rPr>
          <w:b/>
          <w:sz w:val="24"/>
        </w:rPr>
      </w:pPr>
    </w:p>
    <w:p w14:paraId="1355A33E" w14:textId="77777777" w:rsidR="00FF184D" w:rsidRDefault="00FF184D">
      <w:pPr>
        <w:pStyle w:val="BodyText"/>
        <w:ind w:left="0"/>
        <w:rPr>
          <w:b/>
          <w:sz w:val="28"/>
        </w:rPr>
      </w:pPr>
    </w:p>
    <w:p w14:paraId="5764446F" w14:textId="45E5230C" w:rsidR="00FF184D" w:rsidRDefault="006D6711">
      <w:pPr>
        <w:pStyle w:val="Heading2"/>
        <w:spacing w:line="439" w:lineRule="auto"/>
      </w:pPr>
      <w:r>
        <w:t>Planning and Development Amendment Regulation 20</w:t>
      </w:r>
      <w:r w:rsidR="0077561E">
        <w:t>20</w:t>
      </w:r>
      <w:r>
        <w:t xml:space="preserve"> (No </w:t>
      </w:r>
      <w:r w:rsidR="00F6536B">
        <w:t>1</w:t>
      </w:r>
      <w:r>
        <w:t>) Subordinate Law SL20</w:t>
      </w:r>
      <w:r w:rsidR="0077561E">
        <w:t>20</w:t>
      </w:r>
      <w:r>
        <w:t>–</w:t>
      </w:r>
      <w:r w:rsidR="0018141A">
        <w:t>28</w:t>
      </w:r>
    </w:p>
    <w:p w14:paraId="3CA23808" w14:textId="77777777" w:rsidR="00FF184D" w:rsidRDefault="00FF184D">
      <w:pPr>
        <w:pStyle w:val="BodyText"/>
        <w:ind w:left="0"/>
        <w:rPr>
          <w:b/>
          <w:i/>
          <w:sz w:val="24"/>
        </w:rPr>
      </w:pPr>
    </w:p>
    <w:p w14:paraId="364C5F5A" w14:textId="77777777" w:rsidR="00FF184D" w:rsidRDefault="00FF184D">
      <w:pPr>
        <w:pStyle w:val="BodyText"/>
        <w:ind w:left="0"/>
        <w:rPr>
          <w:b/>
          <w:i/>
          <w:sz w:val="24"/>
        </w:rPr>
      </w:pPr>
    </w:p>
    <w:p w14:paraId="2AF2CE5F" w14:textId="77777777" w:rsidR="00FF184D" w:rsidRDefault="00FF184D">
      <w:pPr>
        <w:pStyle w:val="BodyText"/>
        <w:ind w:left="0"/>
        <w:rPr>
          <w:b/>
          <w:i/>
          <w:sz w:val="24"/>
        </w:rPr>
      </w:pPr>
    </w:p>
    <w:p w14:paraId="3FE3E1B6" w14:textId="77777777" w:rsidR="00FF184D" w:rsidRDefault="00FF184D">
      <w:pPr>
        <w:pStyle w:val="BodyText"/>
        <w:ind w:left="0"/>
        <w:rPr>
          <w:b/>
          <w:i/>
          <w:sz w:val="24"/>
        </w:rPr>
      </w:pPr>
    </w:p>
    <w:p w14:paraId="2456DCBC" w14:textId="77777777" w:rsidR="00FF184D" w:rsidRDefault="00FF184D">
      <w:pPr>
        <w:pStyle w:val="BodyText"/>
        <w:ind w:left="0"/>
        <w:rPr>
          <w:b/>
          <w:i/>
          <w:sz w:val="24"/>
        </w:rPr>
      </w:pPr>
    </w:p>
    <w:p w14:paraId="335ED511" w14:textId="77777777" w:rsidR="00FF184D" w:rsidRDefault="00FF184D">
      <w:pPr>
        <w:pStyle w:val="BodyText"/>
        <w:ind w:left="0"/>
        <w:rPr>
          <w:b/>
          <w:i/>
          <w:sz w:val="24"/>
        </w:rPr>
      </w:pPr>
    </w:p>
    <w:p w14:paraId="5820AC90" w14:textId="77777777" w:rsidR="00FF184D" w:rsidRDefault="00FF184D">
      <w:pPr>
        <w:pStyle w:val="BodyText"/>
        <w:ind w:left="0"/>
        <w:rPr>
          <w:b/>
          <w:i/>
          <w:sz w:val="24"/>
        </w:rPr>
      </w:pPr>
    </w:p>
    <w:p w14:paraId="788903C6" w14:textId="77777777" w:rsidR="00FF184D" w:rsidRDefault="00FF184D">
      <w:pPr>
        <w:pStyle w:val="BodyText"/>
        <w:ind w:left="0"/>
        <w:rPr>
          <w:b/>
          <w:i/>
          <w:sz w:val="24"/>
        </w:rPr>
      </w:pPr>
    </w:p>
    <w:p w14:paraId="3B62BF9C" w14:textId="77777777" w:rsidR="00FF184D" w:rsidRDefault="00FF184D">
      <w:pPr>
        <w:pStyle w:val="BodyText"/>
        <w:spacing w:before="1"/>
        <w:ind w:left="0"/>
        <w:rPr>
          <w:b/>
          <w:i/>
          <w:sz w:val="28"/>
        </w:rPr>
      </w:pPr>
    </w:p>
    <w:p w14:paraId="565DA71A" w14:textId="77777777" w:rsidR="00FF184D" w:rsidRDefault="006D6711">
      <w:pPr>
        <w:pStyle w:val="Heading3"/>
        <w:ind w:right="116"/>
      </w:pPr>
      <w:r>
        <w:t>Environment, Planning and Sustainable Development</w:t>
      </w:r>
      <w:r>
        <w:rPr>
          <w:spacing w:val="-33"/>
        </w:rPr>
        <w:t xml:space="preserve"> </w:t>
      </w:r>
      <w:r>
        <w:t>Directorate</w:t>
      </w:r>
    </w:p>
    <w:p w14:paraId="61E06BB5" w14:textId="77777777" w:rsidR="00FF184D" w:rsidRDefault="00FF184D">
      <w:pPr>
        <w:pStyle w:val="BodyText"/>
        <w:spacing w:before="11"/>
        <w:ind w:left="0"/>
        <w:rPr>
          <w:sz w:val="19"/>
        </w:rPr>
      </w:pPr>
    </w:p>
    <w:p w14:paraId="7990E1BB" w14:textId="13CFAAC6" w:rsidR="00FF184D" w:rsidRDefault="00F6536B">
      <w:pPr>
        <w:pStyle w:val="Heading3"/>
      </w:pPr>
      <w:r>
        <w:t xml:space="preserve">June </w:t>
      </w:r>
      <w:r w:rsidR="0077561E">
        <w:t>2020</w:t>
      </w:r>
    </w:p>
    <w:p w14:paraId="4630C11D" w14:textId="77777777" w:rsidR="00FF184D" w:rsidRDefault="00FF184D">
      <w:pPr>
        <w:sectPr w:rsidR="00FF184D">
          <w:footerReference w:type="default" r:id="rId9"/>
          <w:type w:val="continuous"/>
          <w:pgSz w:w="11910" w:h="16840"/>
          <w:pgMar w:top="1000" w:right="1320" w:bottom="1080" w:left="1320" w:header="720" w:footer="895" w:gutter="0"/>
          <w:pgNumType w:start="1"/>
          <w:cols w:space="720"/>
        </w:sectPr>
      </w:pPr>
    </w:p>
    <w:p w14:paraId="576D4AE1" w14:textId="77777777" w:rsidR="00FF184D" w:rsidRDefault="006D6711">
      <w:pPr>
        <w:spacing w:before="72"/>
        <w:ind w:left="120"/>
        <w:rPr>
          <w:rFonts w:ascii="Cambria"/>
          <w:b/>
          <w:sz w:val="24"/>
        </w:rPr>
      </w:pPr>
      <w:r>
        <w:rPr>
          <w:rFonts w:ascii="Cambria"/>
          <w:b/>
          <w:color w:val="355E91"/>
          <w:sz w:val="24"/>
        </w:rPr>
        <w:lastRenderedPageBreak/>
        <w:t>Contents</w:t>
      </w:r>
    </w:p>
    <w:sdt>
      <w:sdtPr>
        <w:id w:val="-945607257"/>
        <w:docPartObj>
          <w:docPartGallery w:val="Table of Contents"/>
          <w:docPartUnique/>
        </w:docPartObj>
      </w:sdtPr>
      <w:sdtEndPr/>
      <w:sdtContent>
        <w:p w14:paraId="16DE6F4F" w14:textId="77777777" w:rsidR="00FF184D" w:rsidRDefault="00E93FE9">
          <w:pPr>
            <w:pStyle w:val="TOC1"/>
            <w:tabs>
              <w:tab w:val="right" w:leader="dot" w:pos="9135"/>
            </w:tabs>
            <w:spacing w:before="42"/>
            <w:ind w:left="339" w:firstLine="0"/>
          </w:pPr>
          <w:hyperlink w:anchor="_bookmark0" w:history="1">
            <w:r w:rsidR="006D6711">
              <w:t>Terms Used</w:t>
            </w:r>
          </w:hyperlink>
          <w:r w:rsidR="006D6711">
            <w:tab/>
            <w:t>3</w:t>
          </w:r>
        </w:p>
        <w:p w14:paraId="6E60EDCE" w14:textId="77777777" w:rsidR="00FF184D" w:rsidRDefault="00E93FE9">
          <w:pPr>
            <w:pStyle w:val="TOC1"/>
            <w:tabs>
              <w:tab w:val="right" w:leader="dot" w:pos="9135"/>
            </w:tabs>
            <w:spacing w:before="141"/>
            <w:ind w:left="339" w:firstLine="0"/>
          </w:pPr>
          <w:hyperlink w:anchor="_bookmark1" w:history="1">
            <w:r w:rsidR="006D6711">
              <w:t>Executive</w:t>
            </w:r>
            <w:r w:rsidR="006D6711">
              <w:rPr>
                <w:spacing w:val="-1"/>
              </w:rPr>
              <w:t xml:space="preserve"> </w:t>
            </w:r>
            <w:r w:rsidR="006D6711">
              <w:t>Summary</w:t>
            </w:r>
          </w:hyperlink>
          <w:r w:rsidR="006D6711">
            <w:tab/>
            <w:t>4</w:t>
          </w:r>
        </w:p>
        <w:p w14:paraId="178FFC50" w14:textId="03BC5E9B" w:rsidR="00FF184D" w:rsidRDefault="00E93FE9">
          <w:pPr>
            <w:pStyle w:val="TOC1"/>
            <w:numPr>
              <w:ilvl w:val="0"/>
              <w:numId w:val="10"/>
            </w:numPr>
            <w:tabs>
              <w:tab w:val="left" w:pos="779"/>
              <w:tab w:val="left" w:pos="780"/>
              <w:tab w:val="right" w:leader="dot" w:pos="9134"/>
            </w:tabs>
          </w:pPr>
          <w:hyperlink w:anchor="_bookmark2" w:history="1">
            <w:r w:rsidR="006D6711">
              <w:t>Introduction</w:t>
            </w:r>
          </w:hyperlink>
          <w:r w:rsidR="006D6711">
            <w:tab/>
          </w:r>
          <w:r w:rsidR="00BB0947">
            <w:t>5</w:t>
          </w:r>
        </w:p>
        <w:p w14:paraId="09CF41F0" w14:textId="6BAF7A59" w:rsidR="00FF184D" w:rsidRDefault="00E93FE9">
          <w:pPr>
            <w:pStyle w:val="TOC1"/>
            <w:numPr>
              <w:ilvl w:val="1"/>
              <w:numId w:val="10"/>
            </w:numPr>
            <w:tabs>
              <w:tab w:val="left" w:pos="667"/>
              <w:tab w:val="right" w:leader="dot" w:pos="9134"/>
            </w:tabs>
          </w:pPr>
          <w:hyperlink w:anchor="_bookmark3" w:history="1">
            <w:r w:rsidR="006D6711">
              <w:t>Purpose</w:t>
            </w:r>
          </w:hyperlink>
          <w:r w:rsidR="006D6711">
            <w:tab/>
          </w:r>
          <w:r w:rsidR="00BB0947">
            <w:t>5</w:t>
          </w:r>
        </w:p>
        <w:p w14:paraId="6F21427E" w14:textId="7B0D6FFF" w:rsidR="00FF184D" w:rsidRDefault="00E93FE9">
          <w:pPr>
            <w:pStyle w:val="TOC1"/>
            <w:numPr>
              <w:ilvl w:val="1"/>
              <w:numId w:val="10"/>
            </w:numPr>
            <w:tabs>
              <w:tab w:val="left" w:pos="667"/>
              <w:tab w:val="right" w:leader="dot" w:pos="9135"/>
            </w:tabs>
            <w:ind w:hanging="329"/>
          </w:pPr>
          <w:hyperlink w:anchor="_bookmark4" w:history="1">
            <w:r w:rsidR="006D6711">
              <w:t>Background</w:t>
            </w:r>
          </w:hyperlink>
          <w:r w:rsidR="006D6711">
            <w:tab/>
          </w:r>
          <w:r w:rsidR="00BB0947">
            <w:t>5</w:t>
          </w:r>
        </w:p>
        <w:p w14:paraId="6A00BF5A" w14:textId="161BFD9E" w:rsidR="00FF184D" w:rsidRDefault="00E93FE9">
          <w:pPr>
            <w:pStyle w:val="TOC1"/>
            <w:numPr>
              <w:ilvl w:val="1"/>
              <w:numId w:val="10"/>
            </w:numPr>
            <w:tabs>
              <w:tab w:val="left" w:pos="668"/>
              <w:tab w:val="right" w:leader="dot" w:pos="9135"/>
            </w:tabs>
            <w:spacing w:before="141"/>
            <w:ind w:left="667" w:hanging="329"/>
          </w:pPr>
          <w:hyperlink w:anchor="_bookmark5" w:history="1">
            <w:r w:rsidR="006D6711">
              <w:t>Objectives</w:t>
            </w:r>
          </w:hyperlink>
          <w:r w:rsidR="006D6711">
            <w:tab/>
          </w:r>
          <w:r w:rsidR="00BB0947">
            <w:t>5</w:t>
          </w:r>
        </w:p>
        <w:p w14:paraId="39B9C8F8" w14:textId="2518AB74" w:rsidR="00FF184D" w:rsidRDefault="00E93FE9">
          <w:pPr>
            <w:pStyle w:val="TOC1"/>
            <w:numPr>
              <w:ilvl w:val="1"/>
              <w:numId w:val="10"/>
            </w:numPr>
            <w:tabs>
              <w:tab w:val="left" w:pos="668"/>
              <w:tab w:val="right" w:leader="dot" w:pos="9135"/>
            </w:tabs>
            <w:ind w:left="667" w:hanging="329"/>
          </w:pPr>
          <w:hyperlink w:anchor="_bookmark6" w:history="1">
            <w:r w:rsidR="006D6711">
              <w:t>Identifying</w:t>
            </w:r>
            <w:r w:rsidR="006D6711">
              <w:rPr>
                <w:spacing w:val="-2"/>
              </w:rPr>
              <w:t xml:space="preserve"> </w:t>
            </w:r>
            <w:r w:rsidR="006D6711">
              <w:t>the</w:t>
            </w:r>
            <w:r w:rsidR="006D6711">
              <w:rPr>
                <w:spacing w:val="-1"/>
              </w:rPr>
              <w:t xml:space="preserve"> </w:t>
            </w:r>
            <w:r w:rsidR="006D6711">
              <w:t>Problem</w:t>
            </w:r>
          </w:hyperlink>
          <w:r w:rsidR="006D6711">
            <w:tab/>
          </w:r>
          <w:r w:rsidR="00BB0947">
            <w:t>6</w:t>
          </w:r>
        </w:p>
        <w:p w14:paraId="1DA83490" w14:textId="5890DA46" w:rsidR="00FF184D" w:rsidRDefault="00E93FE9">
          <w:pPr>
            <w:pStyle w:val="TOC1"/>
            <w:numPr>
              <w:ilvl w:val="0"/>
              <w:numId w:val="10"/>
            </w:numPr>
            <w:tabs>
              <w:tab w:val="left" w:pos="780"/>
              <w:tab w:val="left" w:pos="781"/>
              <w:tab w:val="right" w:leader="dot" w:pos="9135"/>
            </w:tabs>
            <w:spacing w:before="141"/>
            <w:ind w:left="780" w:hanging="442"/>
          </w:pPr>
          <w:hyperlink w:anchor="_bookmark10" w:history="1">
            <w:r w:rsidR="006D6711">
              <w:t>Options</w:t>
            </w:r>
            <w:r w:rsidR="006D6711">
              <w:rPr>
                <w:spacing w:val="-1"/>
              </w:rPr>
              <w:t xml:space="preserve"> </w:t>
            </w:r>
            <w:r w:rsidR="006D6711">
              <w:t>Analysis</w:t>
            </w:r>
          </w:hyperlink>
          <w:r w:rsidR="006D6711">
            <w:tab/>
          </w:r>
          <w:r w:rsidR="00BB0947">
            <w:t>7</w:t>
          </w:r>
        </w:p>
        <w:p w14:paraId="58F52B90" w14:textId="49A77368" w:rsidR="00FF184D" w:rsidRDefault="00BB0947">
          <w:pPr>
            <w:pStyle w:val="TOC1"/>
            <w:numPr>
              <w:ilvl w:val="1"/>
              <w:numId w:val="10"/>
            </w:numPr>
            <w:tabs>
              <w:tab w:val="left" w:pos="668"/>
              <w:tab w:val="right" w:leader="dot" w:pos="9135"/>
            </w:tabs>
            <w:ind w:left="667" w:hanging="329"/>
          </w:pPr>
          <w:r>
            <w:t xml:space="preserve">Do Nothing - </w:t>
          </w:r>
          <w:r w:rsidRPr="00BB0947">
            <w:t>retain existing Regulation (Option 1)</w:t>
          </w:r>
          <w:hyperlink w:anchor="_bookmark11" w:history="1"/>
          <w:r w:rsidR="006D6711">
            <w:tab/>
          </w:r>
          <w:r>
            <w:t>7</w:t>
          </w:r>
        </w:p>
        <w:p w14:paraId="50951671" w14:textId="1EE672F4" w:rsidR="00FF184D" w:rsidRDefault="00BB0947" w:rsidP="00BB0947">
          <w:pPr>
            <w:pStyle w:val="TOC1"/>
            <w:numPr>
              <w:ilvl w:val="1"/>
              <w:numId w:val="10"/>
            </w:numPr>
            <w:tabs>
              <w:tab w:val="left" w:pos="668"/>
              <w:tab w:val="right" w:leader="dot" w:pos="9135"/>
            </w:tabs>
            <w:ind w:left="667" w:hanging="329"/>
          </w:pPr>
          <w:r w:rsidRPr="00BB0947">
            <w:t>Amend the exemptions for</w:t>
          </w:r>
          <w:r w:rsidRPr="00C92849">
            <w:t xml:space="preserve"> </w:t>
          </w:r>
          <w:r w:rsidRPr="00BB0947">
            <w:t>electric vehicle charging points, defined works on school sites and minor public works</w:t>
          </w:r>
          <w:hyperlink w:anchor="_bookmark12" w:history="1">
            <w:r w:rsidR="006D6711" w:rsidRPr="00BB0947">
              <w:t xml:space="preserve"> </w:t>
            </w:r>
            <w:r w:rsidR="006D6711">
              <w:t>(Option</w:t>
            </w:r>
            <w:r w:rsidR="006D6711" w:rsidRPr="00BB0947">
              <w:t xml:space="preserve"> </w:t>
            </w:r>
            <w:r w:rsidR="006D6711">
              <w:t>2)</w:t>
            </w:r>
          </w:hyperlink>
          <w:r w:rsidR="006D6711">
            <w:tab/>
          </w:r>
          <w:r>
            <w:t>7</w:t>
          </w:r>
        </w:p>
        <w:p w14:paraId="028AD2CF" w14:textId="7DE4CCCB" w:rsidR="00FF184D" w:rsidRDefault="00E93FE9">
          <w:pPr>
            <w:pStyle w:val="TOC1"/>
            <w:numPr>
              <w:ilvl w:val="0"/>
              <w:numId w:val="10"/>
            </w:numPr>
            <w:tabs>
              <w:tab w:val="left" w:pos="780"/>
              <w:tab w:val="left" w:pos="781"/>
              <w:tab w:val="right" w:leader="dot" w:pos="9135"/>
            </w:tabs>
            <w:ind w:left="780" w:hanging="442"/>
          </w:pPr>
          <w:hyperlink w:anchor="_bookmark13" w:history="1">
            <w:r w:rsidR="006D6711">
              <w:t>Consistency with</w:t>
            </w:r>
            <w:r w:rsidR="006D6711">
              <w:rPr>
                <w:spacing w:val="-1"/>
              </w:rPr>
              <w:t xml:space="preserve"> </w:t>
            </w:r>
            <w:r w:rsidR="006D6711">
              <w:t>ACT laws</w:t>
            </w:r>
          </w:hyperlink>
          <w:r w:rsidR="006D6711">
            <w:tab/>
          </w:r>
          <w:r w:rsidR="00BB0947">
            <w:t>8</w:t>
          </w:r>
        </w:p>
        <w:p w14:paraId="22C5F5F0" w14:textId="636403A9" w:rsidR="00FF184D" w:rsidRDefault="00E93FE9">
          <w:pPr>
            <w:pStyle w:val="TOC1"/>
            <w:numPr>
              <w:ilvl w:val="1"/>
              <w:numId w:val="10"/>
            </w:numPr>
            <w:tabs>
              <w:tab w:val="left" w:pos="668"/>
              <w:tab w:val="right" w:leader="dot" w:pos="9135"/>
            </w:tabs>
            <w:ind w:left="667" w:hanging="329"/>
          </w:pPr>
          <w:hyperlink w:anchor="_bookmark14" w:history="1">
            <w:r w:rsidR="006D6711">
              <w:t>Consistency of the proposed law with the</w:t>
            </w:r>
            <w:r w:rsidR="006D6711">
              <w:rPr>
                <w:spacing w:val="-3"/>
              </w:rPr>
              <w:t xml:space="preserve"> </w:t>
            </w:r>
            <w:proofErr w:type="spellStart"/>
            <w:r w:rsidR="006D6711">
              <w:t>authorising</w:t>
            </w:r>
            <w:proofErr w:type="spellEnd"/>
            <w:r w:rsidR="006D6711">
              <w:rPr>
                <w:spacing w:val="-2"/>
              </w:rPr>
              <w:t xml:space="preserve"> </w:t>
            </w:r>
            <w:r w:rsidR="006D6711">
              <w:t>law</w:t>
            </w:r>
          </w:hyperlink>
          <w:r w:rsidR="006D6711">
            <w:tab/>
          </w:r>
          <w:r w:rsidR="00BB0947">
            <w:t>8</w:t>
          </w:r>
        </w:p>
        <w:p w14:paraId="1F78CE82" w14:textId="715940E1" w:rsidR="00FF184D" w:rsidRDefault="00E93FE9">
          <w:pPr>
            <w:pStyle w:val="TOC1"/>
            <w:numPr>
              <w:ilvl w:val="1"/>
              <w:numId w:val="10"/>
            </w:numPr>
            <w:tabs>
              <w:tab w:val="left" w:pos="668"/>
              <w:tab w:val="right" w:leader="dot" w:pos="9135"/>
            </w:tabs>
            <w:spacing w:before="141"/>
            <w:ind w:left="667" w:hanging="329"/>
          </w:pPr>
          <w:hyperlink w:anchor="_bookmark15" w:history="1">
            <w:r w:rsidR="006D6711">
              <w:t>Consistency of the proposed law with Scrutiny of Bills</w:t>
            </w:r>
            <w:r w:rsidR="006D6711">
              <w:rPr>
                <w:spacing w:val="-12"/>
              </w:rPr>
              <w:t xml:space="preserve"> </w:t>
            </w:r>
            <w:r w:rsidR="006D6711">
              <w:t>Committee</w:t>
            </w:r>
            <w:r w:rsidR="006D6711">
              <w:rPr>
                <w:spacing w:val="1"/>
              </w:rPr>
              <w:t xml:space="preserve"> </w:t>
            </w:r>
            <w:r w:rsidR="006D6711">
              <w:t>principles</w:t>
            </w:r>
          </w:hyperlink>
          <w:r w:rsidR="006D6711">
            <w:tab/>
          </w:r>
          <w:r w:rsidR="00BB0947">
            <w:t>8</w:t>
          </w:r>
        </w:p>
        <w:p w14:paraId="7897254B" w14:textId="2F63D59C" w:rsidR="00FF184D" w:rsidRDefault="00E93FE9">
          <w:pPr>
            <w:pStyle w:val="TOC1"/>
            <w:numPr>
              <w:ilvl w:val="1"/>
              <w:numId w:val="10"/>
            </w:numPr>
            <w:tabs>
              <w:tab w:val="left" w:pos="668"/>
              <w:tab w:val="right" w:leader="dot" w:pos="9135"/>
            </w:tabs>
            <w:spacing w:before="139"/>
            <w:ind w:left="667" w:hanging="329"/>
          </w:pPr>
          <w:hyperlink w:anchor="_bookmark16" w:history="1">
            <w:r w:rsidR="006D6711">
              <w:t>Human</w:t>
            </w:r>
            <w:r w:rsidR="006D6711">
              <w:rPr>
                <w:spacing w:val="-1"/>
              </w:rPr>
              <w:t xml:space="preserve"> </w:t>
            </w:r>
            <w:r w:rsidR="006D6711">
              <w:t>Rights</w:t>
            </w:r>
            <w:r w:rsidR="006D6711">
              <w:rPr>
                <w:spacing w:val="-1"/>
              </w:rPr>
              <w:t xml:space="preserve"> </w:t>
            </w:r>
            <w:r w:rsidR="006D6711">
              <w:t>analysis</w:t>
            </w:r>
          </w:hyperlink>
          <w:r w:rsidR="006D6711">
            <w:tab/>
          </w:r>
          <w:r w:rsidR="00D7045C">
            <w:t>10</w:t>
          </w:r>
        </w:p>
        <w:p w14:paraId="597EA6CE" w14:textId="50C6DE52" w:rsidR="00FF184D" w:rsidRDefault="00E93FE9" w:rsidP="00D7045C">
          <w:pPr>
            <w:pStyle w:val="TOC1"/>
            <w:numPr>
              <w:ilvl w:val="1"/>
              <w:numId w:val="10"/>
            </w:numPr>
            <w:tabs>
              <w:tab w:val="left" w:pos="668"/>
              <w:tab w:val="right" w:leader="dot" w:pos="9135"/>
            </w:tabs>
            <w:spacing w:before="141"/>
          </w:pPr>
          <w:hyperlink w:anchor="_bookmark17" w:history="1">
            <w:r w:rsidR="006D6711">
              <w:t>Transitional</w:t>
            </w:r>
            <w:r w:rsidR="006D6711">
              <w:rPr>
                <w:spacing w:val="-1"/>
              </w:rPr>
              <w:t xml:space="preserve"> </w:t>
            </w:r>
            <w:r w:rsidR="006D6711">
              <w:t>arrangements</w:t>
            </w:r>
          </w:hyperlink>
          <w:r w:rsidR="006D6711">
            <w:tab/>
          </w:r>
          <w:r w:rsidR="00D7045C">
            <w:t>10</w:t>
          </w:r>
        </w:p>
        <w:p w14:paraId="6AD210B7" w14:textId="7E84942F" w:rsidR="00FF184D" w:rsidRDefault="00D7045C" w:rsidP="00D7045C">
          <w:pPr>
            <w:pStyle w:val="TOC1"/>
            <w:tabs>
              <w:tab w:val="left" w:pos="668"/>
              <w:tab w:val="right" w:leader="dot" w:pos="9135"/>
            </w:tabs>
            <w:spacing w:before="141"/>
          </w:pPr>
          <w:r>
            <w:t xml:space="preserve">3.5 </w:t>
          </w:r>
          <w:hyperlink w:anchor="_bookmark18" w:history="1">
            <w:r w:rsidR="006D6711">
              <w:t>Mutual</w:t>
            </w:r>
            <w:r w:rsidR="006D6711">
              <w:rPr>
                <w:spacing w:val="-1"/>
              </w:rPr>
              <w:t xml:space="preserve"> </w:t>
            </w:r>
            <w:r w:rsidR="006D6711">
              <w:t>Recognition</w:t>
            </w:r>
          </w:hyperlink>
          <w:r w:rsidR="006D6711">
            <w:tab/>
          </w:r>
          <w:r>
            <w:t>10</w:t>
          </w:r>
        </w:p>
        <w:p w14:paraId="17D81B31" w14:textId="3A22C3A4" w:rsidR="00FF184D" w:rsidRDefault="00E93FE9">
          <w:pPr>
            <w:pStyle w:val="TOC1"/>
            <w:numPr>
              <w:ilvl w:val="0"/>
              <w:numId w:val="10"/>
            </w:numPr>
            <w:tabs>
              <w:tab w:val="left" w:pos="780"/>
              <w:tab w:val="left" w:pos="781"/>
              <w:tab w:val="right" w:leader="dot" w:pos="9135"/>
            </w:tabs>
            <w:spacing w:before="139"/>
            <w:ind w:left="780" w:hanging="442"/>
          </w:pPr>
          <w:hyperlink w:anchor="_bookmark19" w:history="1">
            <w:r w:rsidR="006D6711">
              <w:t>Conclusion</w:t>
            </w:r>
          </w:hyperlink>
          <w:r w:rsidR="006D6711">
            <w:tab/>
          </w:r>
          <w:r w:rsidR="00D7045C">
            <w:t>10</w:t>
          </w:r>
        </w:p>
      </w:sdtContent>
    </w:sdt>
    <w:p w14:paraId="5897F10E" w14:textId="77777777" w:rsidR="00FF184D" w:rsidRDefault="00FF184D">
      <w:pPr>
        <w:sectPr w:rsidR="00FF184D">
          <w:pgSz w:w="11910" w:h="16840"/>
          <w:pgMar w:top="920" w:right="1320" w:bottom="1080" w:left="1320" w:header="0" w:footer="895" w:gutter="0"/>
          <w:cols w:space="720"/>
        </w:sectPr>
      </w:pPr>
    </w:p>
    <w:p w14:paraId="58078026" w14:textId="77777777" w:rsidR="00FF184D" w:rsidRDefault="006D6711">
      <w:pPr>
        <w:pStyle w:val="Heading1"/>
        <w:spacing w:before="72"/>
        <w:ind w:left="120" w:firstLine="0"/>
        <w:rPr>
          <w:rFonts w:ascii="Cambria"/>
        </w:rPr>
      </w:pPr>
      <w:bookmarkStart w:id="1" w:name="_bookmark0"/>
      <w:bookmarkEnd w:id="1"/>
      <w:r>
        <w:rPr>
          <w:rFonts w:ascii="Cambria"/>
          <w:color w:val="4E81BD"/>
        </w:rPr>
        <w:lastRenderedPageBreak/>
        <w:t>Terms Used</w:t>
      </w:r>
    </w:p>
    <w:p w14:paraId="32CC1862" w14:textId="77777777" w:rsidR="00FF184D" w:rsidRDefault="006D6711">
      <w:pPr>
        <w:pStyle w:val="BodyText"/>
        <w:spacing w:before="162"/>
      </w:pPr>
      <w:r>
        <w:t>In this Regulatory Impact Statement the following terms are used:</w:t>
      </w:r>
    </w:p>
    <w:p w14:paraId="5AD034A0" w14:textId="77777777" w:rsidR="00FF184D" w:rsidRDefault="00FF184D">
      <w:pPr>
        <w:pStyle w:val="BodyText"/>
        <w:ind w:left="0"/>
        <w:rPr>
          <w:sz w:val="20"/>
        </w:rPr>
      </w:pPr>
    </w:p>
    <w:p w14:paraId="007FD3D7" w14:textId="77777777" w:rsidR="00FF184D" w:rsidRDefault="00FF184D">
      <w:pPr>
        <w:pStyle w:val="BodyText"/>
        <w:spacing w:before="4"/>
        <w:ind w:left="0"/>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6"/>
        <w:gridCol w:w="4511"/>
      </w:tblGrid>
      <w:tr w:rsidR="0098397C" w14:paraId="1DFB2543" w14:textId="77777777" w:rsidTr="0098397C">
        <w:trPr>
          <w:trHeight w:val="309"/>
        </w:trPr>
        <w:tc>
          <w:tcPr>
            <w:tcW w:w="4506" w:type="dxa"/>
          </w:tcPr>
          <w:p w14:paraId="51732720" w14:textId="456CE648" w:rsidR="0098397C" w:rsidRDefault="0098397C">
            <w:pPr>
              <w:pStyle w:val="TableParagraph"/>
              <w:spacing w:line="267" w:lineRule="exact"/>
              <w:ind w:left="108"/>
            </w:pPr>
            <w:r>
              <w:t>ACAT</w:t>
            </w:r>
          </w:p>
        </w:tc>
        <w:tc>
          <w:tcPr>
            <w:tcW w:w="4511" w:type="dxa"/>
          </w:tcPr>
          <w:p w14:paraId="49B0C826" w14:textId="03A754CD" w:rsidR="0098397C" w:rsidRDefault="0098397C">
            <w:pPr>
              <w:pStyle w:val="TableParagraph"/>
              <w:spacing w:line="276" w:lineRule="auto"/>
              <w:ind w:left="108" w:right="252" w:hanging="1"/>
            </w:pPr>
            <w:r>
              <w:t>ACT Civil and Administrative Tribunal</w:t>
            </w:r>
          </w:p>
        </w:tc>
      </w:tr>
      <w:tr w:rsidR="00FF184D" w14:paraId="1FDE6252" w14:textId="77777777">
        <w:trPr>
          <w:trHeight w:val="1045"/>
        </w:trPr>
        <w:tc>
          <w:tcPr>
            <w:tcW w:w="4506" w:type="dxa"/>
          </w:tcPr>
          <w:p w14:paraId="42EEA04B" w14:textId="77777777" w:rsidR="00FF184D" w:rsidRDefault="006D6711">
            <w:pPr>
              <w:pStyle w:val="TableParagraph"/>
              <w:spacing w:line="267" w:lineRule="exact"/>
              <w:ind w:left="108"/>
            </w:pPr>
            <w:r>
              <w:t>Amendment Regulation</w:t>
            </w:r>
          </w:p>
        </w:tc>
        <w:tc>
          <w:tcPr>
            <w:tcW w:w="4511" w:type="dxa"/>
          </w:tcPr>
          <w:p w14:paraId="57883822" w14:textId="77777777" w:rsidR="00FF184D" w:rsidRDefault="006D6711">
            <w:pPr>
              <w:pStyle w:val="TableParagraph"/>
              <w:spacing w:line="276" w:lineRule="auto"/>
              <w:ind w:left="108" w:right="252" w:hanging="1"/>
            </w:pPr>
            <w:r>
              <w:t>The amending regulation that is the subject of this Regulatory Impact Statement and which amends the Regulation</w:t>
            </w:r>
          </w:p>
        </w:tc>
      </w:tr>
      <w:tr w:rsidR="00FF184D" w14:paraId="61977CAB" w14:textId="77777777">
        <w:trPr>
          <w:trHeight w:val="737"/>
        </w:trPr>
        <w:tc>
          <w:tcPr>
            <w:tcW w:w="4506" w:type="dxa"/>
          </w:tcPr>
          <w:p w14:paraId="316EA1D5" w14:textId="77777777" w:rsidR="00FF184D" w:rsidRDefault="006D6711">
            <w:pPr>
              <w:pStyle w:val="TableParagraph"/>
            </w:pPr>
            <w:r>
              <w:t>DA</w:t>
            </w:r>
          </w:p>
        </w:tc>
        <w:tc>
          <w:tcPr>
            <w:tcW w:w="4511" w:type="dxa"/>
          </w:tcPr>
          <w:p w14:paraId="7C432B23" w14:textId="77777777" w:rsidR="00FF184D" w:rsidRDefault="006D6711">
            <w:pPr>
              <w:pStyle w:val="TableParagraph"/>
            </w:pPr>
            <w:r>
              <w:t>Development Application under the ACT</w:t>
            </w:r>
          </w:p>
          <w:p w14:paraId="37DAD7D9" w14:textId="77777777" w:rsidR="00FF184D" w:rsidRDefault="006D6711">
            <w:pPr>
              <w:pStyle w:val="TableParagraph"/>
              <w:spacing w:before="40"/>
              <w:rPr>
                <w:i/>
              </w:rPr>
            </w:pPr>
            <w:r>
              <w:rPr>
                <w:i/>
              </w:rPr>
              <w:t>Planning and Development Act 2007</w:t>
            </w:r>
          </w:p>
        </w:tc>
      </w:tr>
      <w:tr w:rsidR="00FF184D" w14:paraId="71E18411" w14:textId="77777777">
        <w:trPr>
          <w:trHeight w:val="1047"/>
        </w:trPr>
        <w:tc>
          <w:tcPr>
            <w:tcW w:w="4506" w:type="dxa"/>
          </w:tcPr>
          <w:p w14:paraId="0B9687FD" w14:textId="77777777" w:rsidR="00FF184D" w:rsidRDefault="006D6711">
            <w:pPr>
              <w:pStyle w:val="TableParagraph"/>
            </w:pPr>
            <w:r>
              <w:t>Exempt</w:t>
            </w:r>
          </w:p>
        </w:tc>
        <w:tc>
          <w:tcPr>
            <w:tcW w:w="4511" w:type="dxa"/>
          </w:tcPr>
          <w:p w14:paraId="28EB9C8D" w14:textId="77777777" w:rsidR="00FF184D" w:rsidRDefault="006D6711">
            <w:pPr>
              <w:pStyle w:val="TableParagraph"/>
              <w:spacing w:line="276" w:lineRule="auto"/>
              <w:ind w:right="199"/>
              <w:rPr>
                <w:i/>
              </w:rPr>
            </w:pPr>
            <w:r>
              <w:t xml:space="preserve">Development that is exempt from the requirement to obtain development approval under the </w:t>
            </w:r>
            <w:r>
              <w:rPr>
                <w:i/>
              </w:rPr>
              <w:t>Planning and Development Act 2007</w:t>
            </w:r>
          </w:p>
        </w:tc>
      </w:tr>
      <w:tr w:rsidR="00FF184D" w14:paraId="4816902B" w14:textId="77777777">
        <w:trPr>
          <w:trHeight w:val="737"/>
        </w:trPr>
        <w:tc>
          <w:tcPr>
            <w:tcW w:w="4506" w:type="dxa"/>
          </w:tcPr>
          <w:p w14:paraId="73947EE0" w14:textId="77777777" w:rsidR="00FF184D" w:rsidRDefault="006D6711">
            <w:pPr>
              <w:pStyle w:val="TableParagraph"/>
              <w:spacing w:line="268" w:lineRule="exact"/>
            </w:pPr>
            <w:r>
              <w:t>EPSDD</w:t>
            </w:r>
          </w:p>
        </w:tc>
        <w:tc>
          <w:tcPr>
            <w:tcW w:w="4511" w:type="dxa"/>
          </w:tcPr>
          <w:p w14:paraId="22D45D93" w14:textId="77777777" w:rsidR="00FF184D" w:rsidRDefault="006D6711">
            <w:pPr>
              <w:pStyle w:val="TableParagraph"/>
              <w:spacing w:line="276" w:lineRule="auto"/>
              <w:ind w:left="108" w:right="496" w:hanging="1"/>
            </w:pPr>
            <w:r>
              <w:t>The Environment, Planning and Sustainable Development Directorate</w:t>
            </w:r>
          </w:p>
        </w:tc>
      </w:tr>
      <w:tr w:rsidR="00FF184D" w14:paraId="30FBF840" w14:textId="77777777">
        <w:trPr>
          <w:trHeight w:val="429"/>
        </w:trPr>
        <w:tc>
          <w:tcPr>
            <w:tcW w:w="4506" w:type="dxa"/>
          </w:tcPr>
          <w:p w14:paraId="24A58B34" w14:textId="77777777" w:rsidR="00FF184D" w:rsidRDefault="006D6711">
            <w:pPr>
              <w:pStyle w:val="TableParagraph"/>
              <w:spacing w:line="268" w:lineRule="exact"/>
            </w:pPr>
            <w:r>
              <w:t>the Act</w:t>
            </w:r>
          </w:p>
        </w:tc>
        <w:tc>
          <w:tcPr>
            <w:tcW w:w="4511" w:type="dxa"/>
          </w:tcPr>
          <w:p w14:paraId="7DDA0B99" w14:textId="77777777" w:rsidR="00FF184D" w:rsidRDefault="006D6711">
            <w:pPr>
              <w:pStyle w:val="TableParagraph"/>
              <w:spacing w:line="268" w:lineRule="exact"/>
              <w:rPr>
                <w:i/>
              </w:rPr>
            </w:pPr>
            <w:r>
              <w:rPr>
                <w:i/>
              </w:rPr>
              <w:t>Planning and Development Act 2007</w:t>
            </w:r>
          </w:p>
        </w:tc>
      </w:tr>
      <w:tr w:rsidR="00FF184D" w14:paraId="2A5CD28D" w14:textId="77777777">
        <w:trPr>
          <w:trHeight w:val="427"/>
        </w:trPr>
        <w:tc>
          <w:tcPr>
            <w:tcW w:w="4506" w:type="dxa"/>
          </w:tcPr>
          <w:p w14:paraId="4D6F78E7" w14:textId="77777777" w:rsidR="00FF184D" w:rsidRDefault="006D6711">
            <w:pPr>
              <w:pStyle w:val="TableParagraph"/>
              <w:spacing w:line="268" w:lineRule="exact"/>
            </w:pPr>
            <w:r>
              <w:t>the Regulation</w:t>
            </w:r>
          </w:p>
        </w:tc>
        <w:tc>
          <w:tcPr>
            <w:tcW w:w="4511" w:type="dxa"/>
          </w:tcPr>
          <w:p w14:paraId="487E24F6" w14:textId="77777777" w:rsidR="00FF184D" w:rsidRDefault="006D6711">
            <w:pPr>
              <w:pStyle w:val="TableParagraph"/>
              <w:spacing w:line="268" w:lineRule="exact"/>
              <w:rPr>
                <w:i/>
              </w:rPr>
            </w:pPr>
            <w:r>
              <w:rPr>
                <w:i/>
              </w:rPr>
              <w:t>Planning and Development Regulation 2008</w:t>
            </w:r>
          </w:p>
        </w:tc>
      </w:tr>
      <w:tr w:rsidR="00FF184D" w14:paraId="64A44F81" w14:textId="77777777">
        <w:trPr>
          <w:trHeight w:val="429"/>
        </w:trPr>
        <w:tc>
          <w:tcPr>
            <w:tcW w:w="4506" w:type="dxa"/>
          </w:tcPr>
          <w:p w14:paraId="46063540" w14:textId="77777777" w:rsidR="00FF184D" w:rsidRDefault="006D6711">
            <w:pPr>
              <w:pStyle w:val="TableParagraph"/>
            </w:pPr>
            <w:r>
              <w:t>RIS</w:t>
            </w:r>
          </w:p>
        </w:tc>
        <w:tc>
          <w:tcPr>
            <w:tcW w:w="4511" w:type="dxa"/>
          </w:tcPr>
          <w:p w14:paraId="7735C3C5" w14:textId="77777777" w:rsidR="00FF184D" w:rsidRDefault="006D6711">
            <w:pPr>
              <w:pStyle w:val="TableParagraph"/>
            </w:pPr>
            <w:r>
              <w:t>This Regulatory Impact Statement</w:t>
            </w:r>
          </w:p>
        </w:tc>
      </w:tr>
    </w:tbl>
    <w:p w14:paraId="0E8AFA48" w14:textId="77777777" w:rsidR="00FF184D" w:rsidRDefault="00FF184D">
      <w:pPr>
        <w:sectPr w:rsidR="00FF184D">
          <w:pgSz w:w="11910" w:h="16840"/>
          <w:pgMar w:top="920" w:right="1320" w:bottom="1080" w:left="1320" w:header="0" w:footer="895" w:gutter="0"/>
          <w:cols w:space="720"/>
        </w:sectPr>
      </w:pPr>
    </w:p>
    <w:p w14:paraId="04B05DA6" w14:textId="77777777" w:rsidR="00FF184D" w:rsidRDefault="006D6711">
      <w:pPr>
        <w:pStyle w:val="Heading1"/>
        <w:spacing w:before="30"/>
        <w:ind w:left="120" w:firstLine="0"/>
      </w:pPr>
      <w:bookmarkStart w:id="2" w:name="_bookmark1"/>
      <w:bookmarkEnd w:id="2"/>
      <w:r>
        <w:rPr>
          <w:color w:val="4E81BD"/>
        </w:rPr>
        <w:lastRenderedPageBreak/>
        <w:t>Executive Summary</w:t>
      </w:r>
    </w:p>
    <w:p w14:paraId="30BF63EA" w14:textId="1DB241C9" w:rsidR="00FF184D" w:rsidRDefault="006D6711" w:rsidP="00681508">
      <w:pPr>
        <w:pStyle w:val="BodyText"/>
        <w:spacing w:before="166" w:line="276" w:lineRule="auto"/>
        <w:ind w:left="119" w:right="116"/>
        <w:jc w:val="both"/>
      </w:pPr>
      <w:r>
        <w:t xml:space="preserve">The purpose of this Regulatory Impact Statement (RIS) is to assess the impact of the </w:t>
      </w:r>
      <w:r>
        <w:rPr>
          <w:i/>
        </w:rPr>
        <w:t xml:space="preserve">Planning and Development Amendment Regulation </w:t>
      </w:r>
      <w:r w:rsidR="00464930">
        <w:rPr>
          <w:i/>
        </w:rPr>
        <w:t>2020</w:t>
      </w:r>
      <w:r>
        <w:rPr>
          <w:i/>
        </w:rPr>
        <w:t xml:space="preserve"> (No 1) </w:t>
      </w:r>
      <w:r>
        <w:t>(the amendment regulation)</w:t>
      </w:r>
      <w:r w:rsidR="005E2430">
        <w:t xml:space="preserve">. The amendment regulation </w:t>
      </w:r>
      <w:r w:rsidR="00C94CB3">
        <w:t xml:space="preserve">makes minor </w:t>
      </w:r>
      <w:r w:rsidR="005E2430">
        <w:t>exten</w:t>
      </w:r>
      <w:r w:rsidR="00C94CB3">
        <w:t>sions to</w:t>
      </w:r>
      <w:r w:rsidR="005E2430">
        <w:t xml:space="preserve"> the existing exemptions for electric vehicle charging points, works on school sites and minor public works.</w:t>
      </w:r>
      <w:r>
        <w:t xml:space="preserve"> </w:t>
      </w:r>
    </w:p>
    <w:p w14:paraId="687060C5" w14:textId="6F02BBD3" w:rsidR="005E2430" w:rsidRDefault="00C94CB3" w:rsidP="00681508">
      <w:pPr>
        <w:pStyle w:val="BodyText"/>
        <w:spacing w:before="165" w:line="276" w:lineRule="auto"/>
        <w:ind w:right="264" w:hanging="1"/>
        <w:jc w:val="both"/>
      </w:pPr>
      <w:r>
        <w:t>The</w:t>
      </w:r>
      <w:r w:rsidR="005E2430">
        <w:t xml:space="preserve"> exemptions for electric vehicle charging points, schools and minor public works</w:t>
      </w:r>
      <w:r>
        <w:t xml:space="preserve"> have been reviewed and it is considered that they could be expanded to</w:t>
      </w:r>
      <w:r w:rsidR="005E2430">
        <w:t xml:space="preserve"> capture an appropriate scale of development. Th</w:t>
      </w:r>
      <w:r>
        <w:t xml:space="preserve">e current drafting of the exemptions </w:t>
      </w:r>
      <w:r w:rsidR="005E2430">
        <w:t>unnecessarily disqualifie</w:t>
      </w:r>
      <w:r>
        <w:t>s</w:t>
      </w:r>
      <w:r w:rsidR="005E2430">
        <w:t xml:space="preserve"> a range of proposals from being considered </w:t>
      </w:r>
      <w:r>
        <w:t>through the exemption provisions</w:t>
      </w:r>
      <w:r w:rsidR="005E2430">
        <w:t xml:space="preserve">. </w:t>
      </w:r>
    </w:p>
    <w:p w14:paraId="57818602" w14:textId="32C0A756" w:rsidR="005E2430" w:rsidRDefault="005E2430" w:rsidP="00681508">
      <w:pPr>
        <w:pStyle w:val="BodyText"/>
        <w:spacing w:before="165" w:line="276" w:lineRule="auto"/>
        <w:ind w:right="264" w:hanging="1"/>
        <w:jc w:val="both"/>
      </w:pPr>
      <w:r>
        <w:t xml:space="preserve">This </w:t>
      </w:r>
      <w:r w:rsidR="00C94CB3">
        <w:t>means that</w:t>
      </w:r>
      <w:r>
        <w:t xml:space="preserve"> development applications </w:t>
      </w:r>
      <w:r w:rsidR="00C94CB3">
        <w:t>are</w:t>
      </w:r>
      <w:r>
        <w:t xml:space="preserve"> required for minor and low impact proposals that </w:t>
      </w:r>
      <w:r w:rsidR="00C94CB3">
        <w:t xml:space="preserve">would very likely receive planning approval through the </w:t>
      </w:r>
      <w:r>
        <w:t>development assessment and approvals process. This unnecessarily complicate</w:t>
      </w:r>
      <w:r w:rsidR="00C94CB3">
        <w:t>s</w:t>
      </w:r>
      <w:r>
        <w:t xml:space="preserve"> the planning system and contribute</w:t>
      </w:r>
      <w:r w:rsidR="00C94CB3">
        <w:t>s</w:t>
      </w:r>
      <w:r>
        <w:t xml:space="preserve"> to the inefficient allocation of public resource</w:t>
      </w:r>
      <w:r w:rsidR="00C94CB3">
        <w:t>s</w:t>
      </w:r>
      <w:r>
        <w:t>.</w:t>
      </w:r>
      <w:r w:rsidR="00681508">
        <w:t xml:space="preserve"> This amendment seeks to</w:t>
      </w:r>
      <w:r w:rsidR="00C94CB3">
        <w:t xml:space="preserve"> expand the exemptions to capture other minor and low impact developments to</w:t>
      </w:r>
      <w:r w:rsidR="00681508">
        <w:t xml:space="preserve"> alleviate these issues.</w:t>
      </w:r>
    </w:p>
    <w:p w14:paraId="6CF9A9BD" w14:textId="670E5EF7" w:rsidR="00CF567F" w:rsidRDefault="005E2430" w:rsidP="00681508">
      <w:pPr>
        <w:spacing w:before="120" w:line="273" w:lineRule="auto"/>
        <w:ind w:left="119"/>
        <w:jc w:val="both"/>
      </w:pPr>
      <w:r>
        <w:t>It is acknowledged that the amendment regulation w</w:t>
      </w:r>
      <w:r w:rsidR="00C94CB3">
        <w:t>ill</w:t>
      </w:r>
      <w:r w:rsidR="00CF567F">
        <w:t xml:space="preserve"> </w:t>
      </w:r>
      <w:r w:rsidR="00681508">
        <w:t xml:space="preserve">result in </w:t>
      </w:r>
      <w:r w:rsidR="00C94CB3">
        <w:t>a regulatory impact on existing statutory rights for development applications. T</w:t>
      </w:r>
      <w:r w:rsidR="00681508">
        <w:t>h</w:t>
      </w:r>
      <w:r w:rsidR="00C94CB3">
        <w:t>is includes the</w:t>
      </w:r>
      <w:r w:rsidR="00681508">
        <w:t xml:space="preserve"> </w:t>
      </w:r>
      <w:r w:rsidR="00CF567F">
        <w:t>r</w:t>
      </w:r>
      <w:r>
        <w:t>emov</w:t>
      </w:r>
      <w:r w:rsidR="00681508">
        <w:t>al of the</w:t>
      </w:r>
      <w:r>
        <w:t xml:space="preserve"> opportunity for the public to comment on development applications for some</w:t>
      </w:r>
      <w:r w:rsidR="00C94CB3">
        <w:t xml:space="preserve"> developments </w:t>
      </w:r>
      <w:r>
        <w:t xml:space="preserve">and the potential for third-party </w:t>
      </w:r>
      <w:r w:rsidR="00C94CB3">
        <w:t xml:space="preserve">merits </w:t>
      </w:r>
      <w:r>
        <w:t>review of</w:t>
      </w:r>
      <w:r w:rsidR="00C94CB3">
        <w:t xml:space="preserve"> development approval decisions</w:t>
      </w:r>
      <w:r>
        <w:t>.</w:t>
      </w:r>
      <w:r w:rsidR="00681508">
        <w:t xml:space="preserve"> </w:t>
      </w:r>
      <w:r w:rsidR="00CF567F">
        <w:t>However, the amending regulation is specific, not general in its application, and only exempts a limited amount of additional development types</w:t>
      </w:r>
      <w:r w:rsidR="00C94CB3">
        <w:t xml:space="preserve"> which are considered to have a very minor impact</w:t>
      </w:r>
      <w:r w:rsidR="00CF567F">
        <w:t xml:space="preserve">. Further, </w:t>
      </w:r>
      <w:r w:rsidR="00CF567F" w:rsidRPr="00E91428">
        <w:t>without this amendment regulation, a development application submitted for the</w:t>
      </w:r>
      <w:r w:rsidR="00CF567F">
        <w:t>se</w:t>
      </w:r>
      <w:r w:rsidR="00CF567F" w:rsidRPr="00E91428">
        <w:t xml:space="preserve"> development</w:t>
      </w:r>
      <w:r w:rsidR="00CF567F">
        <w:t>s</w:t>
      </w:r>
      <w:r w:rsidR="00CF567F" w:rsidRPr="00E91428">
        <w:t xml:space="preserve"> would be very likely to receive development approval based on the minimal potential impacts of these developments. </w:t>
      </w:r>
      <w:r w:rsidR="00C94CB3">
        <w:t>Based on this, it is considered unreasonable to put these developments through the development application process, with its associated time and financial costs, where the benefit of that assessment is limited.</w:t>
      </w:r>
    </w:p>
    <w:p w14:paraId="727BC581" w14:textId="19C063CE" w:rsidR="00C94CB3" w:rsidRDefault="00C94CB3" w:rsidP="00C94CB3">
      <w:pPr>
        <w:spacing w:before="120" w:line="273" w:lineRule="auto"/>
        <w:ind w:left="119"/>
        <w:jc w:val="both"/>
      </w:pPr>
      <w:r>
        <w:t>It is considered that the extension of the exemptions, with the conditions and limits applied in the provisions, to be a reasonable and justified approach.</w:t>
      </w:r>
      <w:r>
        <w:br w:type="page"/>
      </w:r>
    </w:p>
    <w:p w14:paraId="10C33B57" w14:textId="210914E1" w:rsidR="00FF184D" w:rsidRDefault="006D6711">
      <w:pPr>
        <w:pStyle w:val="ListParagraph"/>
        <w:numPr>
          <w:ilvl w:val="0"/>
          <w:numId w:val="6"/>
        </w:numPr>
        <w:tabs>
          <w:tab w:val="left" w:pos="481"/>
        </w:tabs>
        <w:spacing w:before="32"/>
        <w:rPr>
          <w:b/>
          <w:color w:val="1E487C"/>
          <w:sz w:val="26"/>
        </w:rPr>
      </w:pPr>
      <w:r>
        <w:rPr>
          <w:b/>
          <w:color w:val="1E487C"/>
          <w:sz w:val="26"/>
        </w:rPr>
        <w:lastRenderedPageBreak/>
        <w:t>Introduction</w:t>
      </w:r>
    </w:p>
    <w:p w14:paraId="2CC84376" w14:textId="77777777" w:rsidR="00FF184D" w:rsidRDefault="006D6711">
      <w:pPr>
        <w:pStyle w:val="Heading1"/>
        <w:numPr>
          <w:ilvl w:val="1"/>
          <w:numId w:val="6"/>
        </w:numPr>
        <w:tabs>
          <w:tab w:val="left" w:pos="482"/>
        </w:tabs>
        <w:spacing w:before="167"/>
      </w:pPr>
      <w:bookmarkStart w:id="3" w:name="_bookmark3"/>
      <w:bookmarkEnd w:id="3"/>
      <w:r>
        <w:rPr>
          <w:color w:val="4E81BD"/>
        </w:rPr>
        <w:t>Purpose</w:t>
      </w:r>
    </w:p>
    <w:p w14:paraId="19D0CAF4" w14:textId="5DF5A2FA" w:rsidR="00FF184D" w:rsidRDefault="006D6711" w:rsidP="00681508">
      <w:pPr>
        <w:spacing w:before="164" w:line="276" w:lineRule="auto"/>
        <w:ind w:left="119" w:right="409"/>
      </w:pPr>
      <w:r>
        <w:t xml:space="preserve">The purpose of this Regulatory Impact Statement (RIS) is to assess the impact of the </w:t>
      </w:r>
      <w:r>
        <w:rPr>
          <w:i/>
        </w:rPr>
        <w:t>Planning and Development Amendment Regulation 20</w:t>
      </w:r>
      <w:r w:rsidR="00662497">
        <w:rPr>
          <w:i/>
        </w:rPr>
        <w:t>20</w:t>
      </w:r>
      <w:r>
        <w:rPr>
          <w:i/>
        </w:rPr>
        <w:t xml:space="preserve"> (No</w:t>
      </w:r>
      <w:r w:rsidR="00CD2209">
        <w:rPr>
          <w:i/>
        </w:rPr>
        <w:t xml:space="preserve"> 1</w:t>
      </w:r>
      <w:r>
        <w:rPr>
          <w:i/>
        </w:rPr>
        <w:t xml:space="preserve">) </w:t>
      </w:r>
      <w:r>
        <w:t xml:space="preserve">(the amendment regulation) which </w:t>
      </w:r>
      <w:r w:rsidR="00992CB3" w:rsidRPr="00992CB3">
        <w:t>proposes changes to</w:t>
      </w:r>
      <w:r w:rsidR="00CD2209">
        <w:t xml:space="preserve"> the exemptions from the requirement for development approval</w:t>
      </w:r>
      <w:r w:rsidR="00992CB3" w:rsidRPr="00992CB3">
        <w:t xml:space="preserve"> </w:t>
      </w:r>
      <w:r w:rsidR="00681508">
        <w:t>for</w:t>
      </w:r>
      <w:r w:rsidR="00992CB3" w:rsidRPr="00992CB3">
        <w:t xml:space="preserve"> electric vehicle charging points, </w:t>
      </w:r>
      <w:r w:rsidR="00681508">
        <w:t>works</w:t>
      </w:r>
      <w:r w:rsidR="00992CB3" w:rsidRPr="00992CB3">
        <w:t xml:space="preserve"> on school sites and minor public works when undertaken by, or on behalf of the Territory in reserves.</w:t>
      </w:r>
    </w:p>
    <w:p w14:paraId="7A06B83F" w14:textId="063AC79A" w:rsidR="00253628" w:rsidRDefault="006D6711" w:rsidP="00681508">
      <w:pPr>
        <w:pStyle w:val="BodyText"/>
        <w:spacing w:before="121" w:line="276" w:lineRule="auto"/>
        <w:ind w:left="119" w:right="311"/>
        <w:jc w:val="both"/>
      </w:pPr>
      <w:r>
        <w:t xml:space="preserve">The amendment regulation </w:t>
      </w:r>
      <w:r w:rsidR="00CD2209">
        <w:t>adds additional development types to</w:t>
      </w:r>
      <w:r w:rsidR="00B0375B">
        <w:t xml:space="preserve"> the existing exemptions for </w:t>
      </w:r>
      <w:r w:rsidR="00B0375B" w:rsidRPr="00992CB3">
        <w:t>electric vehicle charging points, school</w:t>
      </w:r>
      <w:r w:rsidR="00B0375B">
        <w:t>s</w:t>
      </w:r>
      <w:r w:rsidR="00B0375B" w:rsidRPr="00992CB3">
        <w:t xml:space="preserve"> </w:t>
      </w:r>
      <w:r w:rsidR="00B0375B">
        <w:t>and</w:t>
      </w:r>
      <w:r w:rsidR="00B0375B" w:rsidRPr="00992CB3">
        <w:t xml:space="preserve"> minor public works</w:t>
      </w:r>
      <w:r w:rsidR="00B0375B">
        <w:t xml:space="preserve"> to</w:t>
      </w:r>
      <w:r w:rsidR="00253628">
        <w:t>:</w:t>
      </w:r>
      <w:r>
        <w:t xml:space="preserve"> </w:t>
      </w:r>
    </w:p>
    <w:p w14:paraId="23FF889D" w14:textId="5179E4F5" w:rsidR="00B0375B" w:rsidRPr="00B0375B" w:rsidRDefault="00B0375B" w:rsidP="00253628">
      <w:pPr>
        <w:pStyle w:val="BodyText"/>
        <w:numPr>
          <w:ilvl w:val="2"/>
          <w:numId w:val="6"/>
        </w:numPr>
        <w:spacing w:before="121" w:line="276" w:lineRule="auto"/>
        <w:ind w:right="311"/>
        <w:rPr>
          <w:i/>
        </w:rPr>
      </w:pPr>
      <w:r>
        <w:rPr>
          <w:iCs/>
        </w:rPr>
        <w:t xml:space="preserve">simplify the </w:t>
      </w:r>
      <w:r w:rsidR="00681508">
        <w:rPr>
          <w:iCs/>
        </w:rPr>
        <w:t>assessment and</w:t>
      </w:r>
      <w:r>
        <w:rPr>
          <w:iCs/>
        </w:rPr>
        <w:t xml:space="preserve"> approvals process and reduce the regulatory burden for </w:t>
      </w:r>
      <w:r w:rsidR="00681508">
        <w:rPr>
          <w:iCs/>
        </w:rPr>
        <w:t xml:space="preserve">these </w:t>
      </w:r>
      <w:r>
        <w:rPr>
          <w:iCs/>
        </w:rPr>
        <w:t>low impact develop</w:t>
      </w:r>
      <w:r w:rsidR="00681508">
        <w:rPr>
          <w:iCs/>
        </w:rPr>
        <w:t>ment</w:t>
      </w:r>
      <w:r>
        <w:rPr>
          <w:iCs/>
        </w:rPr>
        <w:t>s;</w:t>
      </w:r>
    </w:p>
    <w:p w14:paraId="11FD42F1" w14:textId="27BE928D" w:rsidR="00B0375B" w:rsidRPr="00B0375B" w:rsidRDefault="00B0375B" w:rsidP="00253628">
      <w:pPr>
        <w:pStyle w:val="BodyText"/>
        <w:numPr>
          <w:ilvl w:val="2"/>
          <w:numId w:val="6"/>
        </w:numPr>
        <w:spacing w:before="121" w:line="276" w:lineRule="auto"/>
        <w:ind w:right="311"/>
        <w:rPr>
          <w:i/>
        </w:rPr>
      </w:pPr>
      <w:r>
        <w:rPr>
          <w:iCs/>
        </w:rPr>
        <w:t xml:space="preserve">permit </w:t>
      </w:r>
      <w:r w:rsidR="00681508">
        <w:rPr>
          <w:iCs/>
        </w:rPr>
        <w:t>the provision of infrastructure in a timely manner</w:t>
      </w:r>
      <w:r>
        <w:rPr>
          <w:iCs/>
        </w:rPr>
        <w:t xml:space="preserve"> that will operate to the public’s benefit;</w:t>
      </w:r>
    </w:p>
    <w:p w14:paraId="23FB49C2" w14:textId="324B346A" w:rsidR="00B0375B" w:rsidRPr="00B0375B" w:rsidRDefault="00B0375B" w:rsidP="00253628">
      <w:pPr>
        <w:pStyle w:val="BodyText"/>
        <w:numPr>
          <w:ilvl w:val="2"/>
          <w:numId w:val="6"/>
        </w:numPr>
        <w:spacing w:before="121" w:line="276" w:lineRule="auto"/>
        <w:ind w:right="311"/>
        <w:rPr>
          <w:i/>
        </w:rPr>
      </w:pPr>
      <w:r>
        <w:rPr>
          <w:iCs/>
        </w:rPr>
        <w:t xml:space="preserve">allow the efficient allocation of public resources; </w:t>
      </w:r>
    </w:p>
    <w:p w14:paraId="6ED73F45" w14:textId="30E93651" w:rsidR="00253628" w:rsidRPr="00253628" w:rsidRDefault="00992CB3" w:rsidP="00253628">
      <w:pPr>
        <w:pStyle w:val="BodyText"/>
        <w:numPr>
          <w:ilvl w:val="2"/>
          <w:numId w:val="6"/>
        </w:numPr>
        <w:spacing w:before="121" w:line="276" w:lineRule="auto"/>
        <w:ind w:right="311"/>
        <w:rPr>
          <w:i/>
        </w:rPr>
      </w:pPr>
      <w:r>
        <w:t xml:space="preserve">facilitate investment in electric vehicle charging </w:t>
      </w:r>
      <w:r w:rsidR="007C536C">
        <w:t>points</w:t>
      </w:r>
      <w:r>
        <w:t xml:space="preserve"> in the ACT, </w:t>
      </w:r>
      <w:r w:rsidRPr="00992CB3">
        <w:t>leading to increased use of electric vehicles and a reduction of greenhouse gas emissions in the transport sector</w:t>
      </w:r>
      <w:r w:rsidR="00681508">
        <w:t>,</w:t>
      </w:r>
      <w:r>
        <w:t xml:space="preserve"> </w:t>
      </w:r>
      <w:r w:rsidR="00681508">
        <w:t>and</w:t>
      </w:r>
    </w:p>
    <w:p w14:paraId="52A339F8" w14:textId="195DB4B5" w:rsidR="00253628" w:rsidRPr="00253628" w:rsidRDefault="00253628" w:rsidP="00253628">
      <w:pPr>
        <w:pStyle w:val="BodyText"/>
        <w:numPr>
          <w:ilvl w:val="2"/>
          <w:numId w:val="6"/>
        </w:numPr>
        <w:spacing w:before="121" w:line="276" w:lineRule="auto"/>
        <w:ind w:right="311"/>
        <w:rPr>
          <w:i/>
        </w:rPr>
      </w:pPr>
      <w:r w:rsidRPr="00253628">
        <w:t>assist the Education Directorate</w:t>
      </w:r>
      <w:r w:rsidR="00CD2209">
        <w:t xml:space="preserve"> and Major Projects Canberra</w:t>
      </w:r>
      <w:r w:rsidRPr="00253628">
        <w:t xml:space="preserve"> in their</w:t>
      </w:r>
      <w:r w:rsidR="00CD2209">
        <w:t xml:space="preserve"> demand</w:t>
      </w:r>
      <w:r w:rsidRPr="00253628">
        <w:t xml:space="preserve"> responsiveness to school enrolments, particularly in new and developing suburbs in the Territory</w:t>
      </w:r>
      <w:r w:rsidR="00681508">
        <w:t>.</w:t>
      </w:r>
    </w:p>
    <w:p w14:paraId="5366765B" w14:textId="0A4655FB" w:rsidR="00FF184D" w:rsidRDefault="006D6711">
      <w:pPr>
        <w:pStyle w:val="Heading1"/>
        <w:numPr>
          <w:ilvl w:val="1"/>
          <w:numId w:val="6"/>
        </w:numPr>
        <w:tabs>
          <w:tab w:val="left" w:pos="480"/>
        </w:tabs>
        <w:spacing w:before="118"/>
        <w:ind w:left="480" w:hanging="360"/>
      </w:pPr>
      <w:bookmarkStart w:id="4" w:name="_bookmark4"/>
      <w:bookmarkEnd w:id="4"/>
      <w:r>
        <w:rPr>
          <w:color w:val="4E81BD"/>
        </w:rPr>
        <w:t>Background</w:t>
      </w:r>
    </w:p>
    <w:p w14:paraId="1CD77008" w14:textId="1716EE71" w:rsidR="002E24CB" w:rsidRDefault="002E24CB" w:rsidP="005D40FA">
      <w:pPr>
        <w:pStyle w:val="BodyText"/>
        <w:spacing w:before="165" w:line="276" w:lineRule="auto"/>
        <w:ind w:right="264" w:hanging="1"/>
      </w:pPr>
      <w:r w:rsidRPr="002E24CB">
        <w:t xml:space="preserve">Schedule 1 of the </w:t>
      </w:r>
      <w:r w:rsidRPr="002E24CB">
        <w:rPr>
          <w:i/>
          <w:iCs/>
        </w:rPr>
        <w:t>Planning and Development Regulation 2008</w:t>
      </w:r>
      <w:r>
        <w:t xml:space="preserve"> (the Regulation)</w:t>
      </w:r>
      <w:r w:rsidRPr="002E24CB">
        <w:t xml:space="preserve"> provides for types of development that are exempt from</w:t>
      </w:r>
      <w:r w:rsidR="00CD2209">
        <w:t xml:space="preserve"> the requirement to obtain </w:t>
      </w:r>
      <w:r w:rsidRPr="002E24CB">
        <w:t xml:space="preserve">development approval under the </w:t>
      </w:r>
      <w:r w:rsidRPr="002E24CB">
        <w:rPr>
          <w:i/>
          <w:iCs/>
        </w:rPr>
        <w:t>Planning and Development Act 2007</w:t>
      </w:r>
      <w:r w:rsidRPr="002E24CB">
        <w:t xml:space="preserve"> (the Act)</w:t>
      </w:r>
      <w:r w:rsidR="00B379F6">
        <w:t>, provided certain requirements are met</w:t>
      </w:r>
      <w:r w:rsidRPr="002E24CB">
        <w:t xml:space="preserve">.  </w:t>
      </w:r>
    </w:p>
    <w:p w14:paraId="0FF196C3" w14:textId="1C2EA45F" w:rsidR="00843DC2" w:rsidRDefault="00843DC2" w:rsidP="005D40FA">
      <w:pPr>
        <w:pStyle w:val="BodyText"/>
        <w:spacing w:before="165" w:line="276" w:lineRule="auto"/>
        <w:ind w:right="264" w:hanging="1"/>
      </w:pPr>
      <w:r>
        <w:t xml:space="preserve">As exempt developments do not require </w:t>
      </w:r>
      <w:r w:rsidR="00C94CB3">
        <w:t>development</w:t>
      </w:r>
      <w:r>
        <w:t xml:space="preserve"> approval, </w:t>
      </w:r>
      <w:r w:rsidR="00B379F6">
        <w:t xml:space="preserve">they are </w:t>
      </w:r>
      <w:r>
        <w:t>not subject to</w:t>
      </w:r>
      <w:r w:rsidR="00CD2209">
        <w:t xml:space="preserve"> the development application (DA) process, including the requirement for</w:t>
      </w:r>
      <w:r>
        <w:t xml:space="preserve"> public notification</w:t>
      </w:r>
      <w:r w:rsidR="00CD2209">
        <w:t>,</w:t>
      </w:r>
      <w:r>
        <w:t xml:space="preserve"> and therefore there is no opportunity for the community to </w:t>
      </w:r>
      <w:r w:rsidR="00C94CB3">
        <w:t>make</w:t>
      </w:r>
      <w:r>
        <w:t xml:space="preserve"> representations. In addition, there is no potential for third parties</w:t>
      </w:r>
      <w:r w:rsidR="00CD2209">
        <w:t>, such as a person who makes a representation on a DA,</w:t>
      </w:r>
      <w:r>
        <w:t xml:space="preserve"> to seek </w:t>
      </w:r>
      <w:r w:rsidR="00C94CB3">
        <w:t xml:space="preserve">merits </w:t>
      </w:r>
      <w:r>
        <w:t>review of a decision to approve</w:t>
      </w:r>
      <w:r w:rsidR="00CD2209">
        <w:t xml:space="preserve"> a</w:t>
      </w:r>
      <w:r>
        <w:t xml:space="preserve"> development</w:t>
      </w:r>
      <w:r w:rsidR="00D77535">
        <w:t xml:space="preserve"> </w:t>
      </w:r>
      <w:r w:rsidR="00CD2209">
        <w:t xml:space="preserve">through </w:t>
      </w:r>
      <w:r w:rsidR="00D77535">
        <w:t>the ACT Civil and Administrative Tribunal (ACAT)</w:t>
      </w:r>
      <w:r>
        <w:t>.</w:t>
      </w:r>
    </w:p>
    <w:p w14:paraId="42315EA1" w14:textId="4372CA64" w:rsidR="002E24CB" w:rsidRDefault="00F30778" w:rsidP="005D40FA">
      <w:pPr>
        <w:pStyle w:val="BodyText"/>
        <w:spacing w:before="165" w:line="276" w:lineRule="auto"/>
        <w:ind w:right="264" w:hanging="1"/>
      </w:pPr>
      <w:r>
        <w:t>The purpose of exempt</w:t>
      </w:r>
      <w:r w:rsidR="00843DC2">
        <w:t xml:space="preserve"> developments</w:t>
      </w:r>
      <w:r>
        <w:t xml:space="preserve"> is to </w:t>
      </w:r>
      <w:r w:rsidR="0065356E">
        <w:t>remove the regulatory requirement of</w:t>
      </w:r>
      <w:r w:rsidR="00C94CB3">
        <w:t xml:space="preserve"> development</w:t>
      </w:r>
      <w:r w:rsidR="0065356E">
        <w:t xml:space="preserve"> approval for </w:t>
      </w:r>
      <w:r w:rsidR="00B379F6">
        <w:t xml:space="preserve">low impact </w:t>
      </w:r>
      <w:r w:rsidR="0065356E">
        <w:t>proposals</w:t>
      </w:r>
      <w:r w:rsidR="00B379F6">
        <w:t>.</w:t>
      </w:r>
      <w:r w:rsidR="0065356E">
        <w:t xml:space="preserve"> </w:t>
      </w:r>
      <w:r w:rsidR="00B379F6">
        <w:t>These are proposal</w:t>
      </w:r>
      <w:r w:rsidR="00A119FF">
        <w:t>s</w:t>
      </w:r>
      <w:r w:rsidR="00B379F6">
        <w:t xml:space="preserve"> </w:t>
      </w:r>
      <w:r w:rsidR="0065356E">
        <w:t xml:space="preserve">that </w:t>
      </w:r>
      <w:r w:rsidR="001140C5">
        <w:t xml:space="preserve">are </w:t>
      </w:r>
      <w:r w:rsidR="00B379F6">
        <w:t>very likely</w:t>
      </w:r>
      <w:r w:rsidR="00C94CB3">
        <w:t xml:space="preserve"> to</w:t>
      </w:r>
      <w:r w:rsidR="00B379F6">
        <w:t xml:space="preserve"> receive approval</w:t>
      </w:r>
      <w:r w:rsidR="00C94CB3">
        <w:t xml:space="preserve"> and raise minimal assessment issues if constructed within defined limits</w:t>
      </w:r>
      <w:r w:rsidR="0065356E">
        <w:t>.</w:t>
      </w:r>
    </w:p>
    <w:p w14:paraId="7EA54C86" w14:textId="7EAC33BB" w:rsidR="00FF184D" w:rsidRDefault="0065356E" w:rsidP="005D40FA">
      <w:pPr>
        <w:pStyle w:val="BodyText"/>
        <w:spacing w:before="121" w:line="276" w:lineRule="auto"/>
        <w:ind w:right="141"/>
      </w:pPr>
      <w:r>
        <w:t>The detailed background</w:t>
      </w:r>
      <w:r w:rsidR="001140C5">
        <w:t xml:space="preserve"> of</w:t>
      </w:r>
      <w:r>
        <w:t xml:space="preserve"> the exemptions for electric vehicle charging points, schools and minor public works </w:t>
      </w:r>
      <w:r w:rsidR="001140C5">
        <w:t xml:space="preserve">and an overview of the proposed amendments </w:t>
      </w:r>
      <w:r>
        <w:t xml:space="preserve">is provided in the </w:t>
      </w:r>
      <w:r w:rsidR="00D82AE6">
        <w:t xml:space="preserve">accompanying </w:t>
      </w:r>
      <w:r>
        <w:t>Explanatory Statement</w:t>
      </w:r>
      <w:r w:rsidR="00D82AE6">
        <w:t xml:space="preserve"> for the amendment regulation</w:t>
      </w:r>
      <w:r>
        <w:t>.</w:t>
      </w:r>
    </w:p>
    <w:p w14:paraId="2675B7A1" w14:textId="77777777" w:rsidR="00FF184D" w:rsidRDefault="006D6711">
      <w:pPr>
        <w:pStyle w:val="Heading1"/>
        <w:numPr>
          <w:ilvl w:val="1"/>
          <w:numId w:val="6"/>
        </w:numPr>
        <w:tabs>
          <w:tab w:val="left" w:pos="482"/>
        </w:tabs>
        <w:spacing w:line="276" w:lineRule="auto"/>
        <w:ind w:left="119" w:right="754" w:firstLine="0"/>
      </w:pPr>
      <w:bookmarkStart w:id="5" w:name="_bookmark5"/>
      <w:bookmarkEnd w:id="5"/>
      <w:r>
        <w:rPr>
          <w:color w:val="4E81BD"/>
        </w:rPr>
        <w:t>Objectives</w:t>
      </w:r>
    </w:p>
    <w:p w14:paraId="0D125436" w14:textId="39FC0823" w:rsidR="00FF184D" w:rsidRDefault="001140C5" w:rsidP="005D40FA">
      <w:pPr>
        <w:pStyle w:val="BodyText"/>
        <w:spacing w:before="122" w:line="276" w:lineRule="auto"/>
      </w:pPr>
      <w:r>
        <w:t>As outlined above, t</w:t>
      </w:r>
      <w:r w:rsidR="006D6711">
        <w:t xml:space="preserve">he objectives of </w:t>
      </w:r>
      <w:r>
        <w:t xml:space="preserve">exempt developments and </w:t>
      </w:r>
      <w:r w:rsidR="006D6711">
        <w:t>Schedule 1 of the Regulation is to remove the regulatory requirement of</w:t>
      </w:r>
      <w:r w:rsidR="00D82AE6">
        <w:t xml:space="preserve"> obtaining development approval</w:t>
      </w:r>
      <w:r>
        <w:t xml:space="preserve">. Exempt developments are </w:t>
      </w:r>
      <w:r w:rsidR="006D6711">
        <w:t xml:space="preserve">low impact </w:t>
      </w:r>
      <w:r w:rsidR="0098397C">
        <w:t xml:space="preserve">proposals that </w:t>
      </w:r>
      <w:r w:rsidR="006D6711">
        <w:t>would very likely receive approval if they were subject to the development application and approvals process.</w:t>
      </w:r>
    </w:p>
    <w:p w14:paraId="2A32BC11" w14:textId="5B6E2050" w:rsidR="00933CCC" w:rsidRDefault="0098397C" w:rsidP="005D40FA">
      <w:pPr>
        <w:pStyle w:val="BodyText"/>
        <w:spacing w:before="122" w:line="276" w:lineRule="auto"/>
      </w:pPr>
      <w:r>
        <w:lastRenderedPageBreak/>
        <w:t>The e</w:t>
      </w:r>
      <w:r w:rsidR="00933CCC">
        <w:t>xemptions also serve to improve the efficiency of the development assessment process</w:t>
      </w:r>
      <w:r>
        <w:t>.</w:t>
      </w:r>
      <w:r w:rsidR="00933CCC">
        <w:t xml:space="preserve"> </w:t>
      </w:r>
      <w:r>
        <w:t xml:space="preserve">This allows </w:t>
      </w:r>
      <w:r w:rsidR="00A119FF">
        <w:t>both the proponent and g</w:t>
      </w:r>
      <w:r w:rsidR="00933CCC">
        <w:t xml:space="preserve">overnment </w:t>
      </w:r>
      <w:r>
        <w:t xml:space="preserve">to allocate </w:t>
      </w:r>
      <w:r w:rsidR="00933CCC">
        <w:t>resources</w:t>
      </w:r>
      <w:r w:rsidR="00A119FF">
        <w:t xml:space="preserve"> </w:t>
      </w:r>
      <w:r>
        <w:t>more</w:t>
      </w:r>
      <w:r w:rsidR="00A119FF">
        <w:t xml:space="preserve"> efficiently </w:t>
      </w:r>
      <w:r w:rsidR="00933CCC">
        <w:t xml:space="preserve">by ensuring that only matters </w:t>
      </w:r>
      <w:r w:rsidR="00A119FF">
        <w:t>that</w:t>
      </w:r>
      <w:r w:rsidR="00933CCC">
        <w:t xml:space="preserve"> have the potential to result in </w:t>
      </w:r>
      <w:r>
        <w:t>greater</w:t>
      </w:r>
      <w:r w:rsidR="00933CCC">
        <w:t xml:space="preserve"> impacts </w:t>
      </w:r>
      <w:r>
        <w:t>be</w:t>
      </w:r>
      <w:r w:rsidR="00933CCC">
        <w:t xml:space="preserve"> </w:t>
      </w:r>
      <w:r>
        <w:t xml:space="preserve">subject </w:t>
      </w:r>
      <w:r w:rsidR="00933CCC">
        <w:t xml:space="preserve">to the development </w:t>
      </w:r>
      <w:r>
        <w:t xml:space="preserve">assessment and approvals </w:t>
      </w:r>
      <w:r w:rsidR="00933CCC">
        <w:t>process.</w:t>
      </w:r>
    </w:p>
    <w:p w14:paraId="5B46669F" w14:textId="5FA4018D" w:rsidR="005D40FA" w:rsidRDefault="001140C5" w:rsidP="005D40FA">
      <w:pPr>
        <w:pStyle w:val="BodyText"/>
        <w:spacing w:before="122" w:line="276" w:lineRule="auto"/>
      </w:pPr>
      <w:r>
        <w:t xml:space="preserve">The regulation amendment </w:t>
      </w:r>
      <w:r w:rsidR="005D40FA">
        <w:t xml:space="preserve">expands the existing exemptions for </w:t>
      </w:r>
      <w:r>
        <w:t xml:space="preserve">electric vehicle charging </w:t>
      </w:r>
      <w:r w:rsidR="007C536C">
        <w:t>points</w:t>
      </w:r>
      <w:r>
        <w:t>, defined works on school sites and minor public works undertaken by or for the Territory</w:t>
      </w:r>
      <w:r w:rsidR="005D40FA">
        <w:t xml:space="preserve">. The aim of this amendment is to reduce the regulatory burden and improve the efficiency of the development assessment process, </w:t>
      </w:r>
      <w:r>
        <w:t>whilst ensuring appropriate considerations are given to</w:t>
      </w:r>
      <w:r w:rsidR="005D40FA">
        <w:t xml:space="preserve"> the users of the developments and</w:t>
      </w:r>
      <w:r>
        <w:t xml:space="preserve"> surrounding land uses</w:t>
      </w:r>
      <w:r w:rsidR="00933CCC">
        <w:t xml:space="preserve">. </w:t>
      </w:r>
    </w:p>
    <w:p w14:paraId="1335625A" w14:textId="581FE94F" w:rsidR="006D6711" w:rsidRDefault="00933CCC" w:rsidP="006D6711">
      <w:pPr>
        <w:pStyle w:val="BodyText"/>
        <w:spacing w:before="122"/>
      </w:pPr>
      <w:r>
        <w:t>In summary, the regulation amendment seeks to:</w:t>
      </w:r>
      <w:r w:rsidR="001140C5">
        <w:t xml:space="preserve">  </w:t>
      </w:r>
    </w:p>
    <w:p w14:paraId="04A307D3" w14:textId="01ED4352" w:rsidR="00933CCC" w:rsidRDefault="005E7DEC" w:rsidP="005D40FA">
      <w:pPr>
        <w:pStyle w:val="BodyText"/>
        <w:numPr>
          <w:ilvl w:val="2"/>
          <w:numId w:val="6"/>
        </w:numPr>
        <w:spacing w:before="122" w:line="276" w:lineRule="auto"/>
      </w:pPr>
      <w:r>
        <w:t>r</w:t>
      </w:r>
      <w:r w:rsidR="00933CCC">
        <w:t xml:space="preserve">educe unnecessary regulatory burden for the development of defined electric vehicle charging </w:t>
      </w:r>
      <w:r w:rsidR="007C536C">
        <w:t>points</w:t>
      </w:r>
      <w:r w:rsidR="00933CCC">
        <w:t>, works on school sites and minor public works;</w:t>
      </w:r>
    </w:p>
    <w:p w14:paraId="35868C41" w14:textId="0FD8B2AC" w:rsidR="00933CCC" w:rsidRDefault="005E7DEC" w:rsidP="005D40FA">
      <w:pPr>
        <w:pStyle w:val="BodyText"/>
        <w:numPr>
          <w:ilvl w:val="2"/>
          <w:numId w:val="6"/>
        </w:numPr>
        <w:spacing w:before="122" w:line="276" w:lineRule="auto"/>
      </w:pPr>
      <w:r>
        <w:t>i</w:t>
      </w:r>
      <w:r w:rsidR="00933CCC">
        <w:t xml:space="preserve">ncrease the efficiency of the development assessment process for defined electric vehicle charging </w:t>
      </w:r>
      <w:r w:rsidR="007C536C">
        <w:t>points</w:t>
      </w:r>
      <w:r w:rsidR="00933CCC">
        <w:t>, works on school sites and minor public works;</w:t>
      </w:r>
    </w:p>
    <w:p w14:paraId="11BD4659" w14:textId="77777777" w:rsidR="005E7DEC" w:rsidRDefault="005E7DEC" w:rsidP="005D40FA">
      <w:pPr>
        <w:pStyle w:val="BodyText"/>
        <w:numPr>
          <w:ilvl w:val="2"/>
          <w:numId w:val="6"/>
        </w:numPr>
        <w:spacing w:before="122" w:line="276" w:lineRule="auto"/>
      </w:pPr>
      <w:r>
        <w:t>r</w:t>
      </w:r>
      <w:r w:rsidR="00933CCC">
        <w:t xml:space="preserve">etain </w:t>
      </w:r>
      <w:r w:rsidR="005D40FA">
        <w:t>and incorporate an appropriate level of protection to</w:t>
      </w:r>
      <w:r>
        <w:t>:</w:t>
      </w:r>
      <w:r w:rsidR="005D40FA">
        <w:t xml:space="preserve"> </w:t>
      </w:r>
    </w:p>
    <w:p w14:paraId="7912B0E7" w14:textId="168F5834" w:rsidR="005E7DEC" w:rsidRDefault="005D40FA" w:rsidP="005E7DEC">
      <w:pPr>
        <w:pStyle w:val="BodyText"/>
        <w:numPr>
          <w:ilvl w:val="3"/>
          <w:numId w:val="11"/>
        </w:numPr>
        <w:spacing w:before="122" w:line="276" w:lineRule="auto"/>
        <w:ind w:left="1276"/>
      </w:pPr>
      <w:r>
        <w:t xml:space="preserve">users of the developments, </w:t>
      </w:r>
      <w:r w:rsidR="005E7DEC">
        <w:t>for example protection to school structures within bushfire prone areas</w:t>
      </w:r>
      <w:r>
        <w:t xml:space="preserve"> and </w:t>
      </w:r>
      <w:r w:rsidR="005E7DEC">
        <w:t xml:space="preserve">users of electric vehicle charging </w:t>
      </w:r>
      <w:r w:rsidR="007C536C">
        <w:t>points</w:t>
      </w:r>
      <w:r w:rsidR="005E7DEC">
        <w:t xml:space="preserve"> at some commercial sites;</w:t>
      </w:r>
    </w:p>
    <w:p w14:paraId="5837718D" w14:textId="14D0F2C5" w:rsidR="00FF184D" w:rsidRPr="005E7DEC" w:rsidRDefault="005D40FA" w:rsidP="005E7DEC">
      <w:pPr>
        <w:pStyle w:val="BodyText"/>
        <w:numPr>
          <w:ilvl w:val="3"/>
          <w:numId w:val="11"/>
        </w:numPr>
        <w:spacing w:before="122" w:line="276" w:lineRule="auto"/>
        <w:ind w:left="1276"/>
      </w:pPr>
      <w:r>
        <w:t>surrounding land uses, for example residential zones</w:t>
      </w:r>
      <w:r w:rsidR="005E7DEC">
        <w:t xml:space="preserve"> in</w:t>
      </w:r>
      <w:r w:rsidR="00D82AE6">
        <w:t xml:space="preserve"> </w:t>
      </w:r>
      <w:r w:rsidR="005E7DEC">
        <w:t>proximity to school sites.</w:t>
      </w:r>
    </w:p>
    <w:p w14:paraId="32A9A796" w14:textId="68ACB67B" w:rsidR="00FF184D" w:rsidRDefault="005E7DEC" w:rsidP="00681508">
      <w:pPr>
        <w:pStyle w:val="BodyText"/>
        <w:spacing w:before="122" w:line="276" w:lineRule="auto"/>
      </w:pPr>
      <w:r w:rsidRPr="005E7DEC">
        <w:t xml:space="preserve">The amendment regulation will assist in enhancing the timeliness and efficiency of the planning processes for the </w:t>
      </w:r>
      <w:r w:rsidR="009324FA">
        <w:t>identified</w:t>
      </w:r>
      <w:r w:rsidR="009324FA" w:rsidRPr="005E7DEC">
        <w:t xml:space="preserve"> </w:t>
      </w:r>
      <w:r w:rsidRPr="005E7DEC">
        <w:t xml:space="preserve">developments. The amendment regulation does not remove the requirement for </w:t>
      </w:r>
      <w:r>
        <w:t>proposals</w:t>
      </w:r>
      <w:r w:rsidRPr="005E7DEC">
        <w:t xml:space="preserve"> that do not meet the exemption criteria to be assessed against the Territory Plan through the development assessment and approvals process. </w:t>
      </w:r>
    </w:p>
    <w:p w14:paraId="70649835" w14:textId="03403B9C" w:rsidR="00B0375B" w:rsidRPr="00B0375B" w:rsidRDefault="00B0375B" w:rsidP="00B0375B">
      <w:pPr>
        <w:pStyle w:val="Heading1"/>
        <w:numPr>
          <w:ilvl w:val="1"/>
          <w:numId w:val="6"/>
        </w:numPr>
        <w:tabs>
          <w:tab w:val="left" w:pos="482"/>
        </w:tabs>
        <w:spacing w:before="120"/>
      </w:pPr>
      <w:r>
        <w:rPr>
          <w:color w:val="4E81BD"/>
        </w:rPr>
        <w:t>Identifying the</w:t>
      </w:r>
      <w:r>
        <w:rPr>
          <w:color w:val="4E81BD"/>
          <w:spacing w:val="-3"/>
        </w:rPr>
        <w:t xml:space="preserve"> </w:t>
      </w:r>
      <w:r>
        <w:rPr>
          <w:color w:val="4E81BD"/>
        </w:rPr>
        <w:t>Problem</w:t>
      </w:r>
    </w:p>
    <w:p w14:paraId="0CE1988A" w14:textId="29A0E2EF" w:rsidR="00B53C26" w:rsidRDefault="009324FA" w:rsidP="00B53C26">
      <w:pPr>
        <w:pStyle w:val="BodyText"/>
        <w:spacing w:before="165" w:line="276" w:lineRule="auto"/>
        <w:ind w:right="264" w:hanging="1"/>
      </w:pPr>
      <w:r>
        <w:t>The exemptions for electric vehicle charging points, schools and minor public works have been reviewed and it is considered that they could be expanded to capture an appropriate scale of development. The current drafting of the exemptions unnecessarily disqualifies a range of proposals from being considered through the exemption provisions.</w:t>
      </w:r>
    </w:p>
    <w:p w14:paraId="62F60453" w14:textId="692D34DA" w:rsidR="009324FA" w:rsidRDefault="009324FA" w:rsidP="00B53C26">
      <w:pPr>
        <w:pStyle w:val="BodyText"/>
        <w:spacing w:before="165" w:line="276" w:lineRule="auto"/>
        <w:ind w:right="264" w:hanging="1"/>
      </w:pPr>
      <w:r>
        <w:t>This means that development applications are required for minor and low impact proposals that would very likely receive planning approval through the development assessment and approvals process. This unnecessarily complicates the planning system and contributes to the inefficient allocation of public resources. This amendment seeks to expand the exemptions to capture other minor and low impact developments to alleviate these issues.</w:t>
      </w:r>
    </w:p>
    <w:p w14:paraId="06517FAB" w14:textId="4464972B" w:rsidR="00BB0947" w:rsidRDefault="00BB0947">
      <w:r>
        <w:br w:type="page"/>
      </w:r>
    </w:p>
    <w:p w14:paraId="393E0D41" w14:textId="77777777" w:rsidR="00FF184D" w:rsidRDefault="006D6711">
      <w:pPr>
        <w:pStyle w:val="ListParagraph"/>
        <w:numPr>
          <w:ilvl w:val="0"/>
          <w:numId w:val="6"/>
        </w:numPr>
        <w:tabs>
          <w:tab w:val="left" w:pos="481"/>
        </w:tabs>
        <w:spacing w:before="0"/>
        <w:rPr>
          <w:rFonts w:ascii="Cambria"/>
          <w:b/>
          <w:color w:val="1E487C"/>
          <w:sz w:val="26"/>
        </w:rPr>
      </w:pPr>
      <w:bookmarkStart w:id="6" w:name="_bookmark7"/>
      <w:bookmarkStart w:id="7" w:name="_bookmark10"/>
      <w:bookmarkEnd w:id="6"/>
      <w:bookmarkEnd w:id="7"/>
      <w:r>
        <w:rPr>
          <w:b/>
          <w:color w:val="1E487C"/>
          <w:sz w:val="26"/>
        </w:rPr>
        <w:lastRenderedPageBreak/>
        <w:t>Options</w:t>
      </w:r>
      <w:r>
        <w:rPr>
          <w:b/>
          <w:color w:val="1E487C"/>
          <w:spacing w:val="-3"/>
          <w:sz w:val="26"/>
        </w:rPr>
        <w:t xml:space="preserve"> </w:t>
      </w:r>
      <w:r>
        <w:rPr>
          <w:b/>
          <w:color w:val="1E487C"/>
          <w:sz w:val="26"/>
        </w:rPr>
        <w:t>Analysis</w:t>
      </w:r>
    </w:p>
    <w:p w14:paraId="1C8F4C2F" w14:textId="77777777" w:rsidR="00FF184D" w:rsidRDefault="006D6711">
      <w:pPr>
        <w:pStyle w:val="BodyText"/>
        <w:spacing w:before="169"/>
      </w:pPr>
      <w:r>
        <w:t>The following options have been considered:</w:t>
      </w:r>
    </w:p>
    <w:p w14:paraId="406A6B2F" w14:textId="2EB242A6" w:rsidR="00FF184D" w:rsidRDefault="00C92849">
      <w:pPr>
        <w:pStyle w:val="ListParagraph"/>
        <w:numPr>
          <w:ilvl w:val="0"/>
          <w:numId w:val="5"/>
        </w:numPr>
        <w:tabs>
          <w:tab w:val="left" w:pos="481"/>
        </w:tabs>
        <w:spacing w:before="160" w:line="276" w:lineRule="auto"/>
        <w:ind w:right="1001"/>
      </w:pPr>
      <w:r>
        <w:t>Do nothing – retain existing Regulation</w:t>
      </w:r>
      <w:r w:rsidR="006D6711">
        <w:t>;</w:t>
      </w:r>
      <w:r w:rsidR="006D6711">
        <w:rPr>
          <w:spacing w:val="-26"/>
        </w:rPr>
        <w:t xml:space="preserve"> </w:t>
      </w:r>
      <w:r w:rsidR="006D6711">
        <w:t>or</w:t>
      </w:r>
    </w:p>
    <w:p w14:paraId="4D9EC82F" w14:textId="5CDC00D3" w:rsidR="00FF184D" w:rsidRDefault="00C92849">
      <w:pPr>
        <w:pStyle w:val="ListParagraph"/>
        <w:numPr>
          <w:ilvl w:val="0"/>
          <w:numId w:val="5"/>
        </w:numPr>
        <w:tabs>
          <w:tab w:val="left" w:pos="481"/>
        </w:tabs>
        <w:spacing w:before="0" w:line="276" w:lineRule="auto"/>
        <w:ind w:left="481" w:right="164" w:hanging="362"/>
      </w:pPr>
      <w:r>
        <w:t>E</w:t>
      </w:r>
      <w:r w:rsidRPr="00C92849">
        <w:t>xpand the existing exemptions for electric vehicle charging points, defined works on school sites and minor public works undertaken by or for the Territory</w:t>
      </w:r>
      <w:r w:rsidR="006D6711">
        <w:t>.</w:t>
      </w:r>
    </w:p>
    <w:p w14:paraId="5F72924E" w14:textId="2456A19C" w:rsidR="00FF184D" w:rsidRDefault="00C92849">
      <w:pPr>
        <w:pStyle w:val="Heading1"/>
        <w:numPr>
          <w:ilvl w:val="1"/>
          <w:numId w:val="6"/>
        </w:numPr>
        <w:tabs>
          <w:tab w:val="left" w:pos="480"/>
        </w:tabs>
        <w:spacing w:before="118"/>
        <w:ind w:left="480" w:hanging="360"/>
      </w:pPr>
      <w:bookmarkStart w:id="8" w:name="_bookmark11"/>
      <w:bookmarkEnd w:id="8"/>
      <w:r>
        <w:rPr>
          <w:color w:val="4E81BD"/>
        </w:rPr>
        <w:t>Do nothing – retain existing Regulation</w:t>
      </w:r>
      <w:r w:rsidR="006D6711">
        <w:rPr>
          <w:color w:val="4E81BD"/>
        </w:rPr>
        <w:t xml:space="preserve"> (Option</w:t>
      </w:r>
      <w:r w:rsidR="006D6711">
        <w:rPr>
          <w:color w:val="4E81BD"/>
          <w:spacing w:val="-5"/>
        </w:rPr>
        <w:t xml:space="preserve"> </w:t>
      </w:r>
      <w:r w:rsidR="006D6711">
        <w:rPr>
          <w:color w:val="4E81BD"/>
        </w:rPr>
        <w:t>1)</w:t>
      </w:r>
    </w:p>
    <w:p w14:paraId="6052EB07" w14:textId="262805C5" w:rsidR="00C92849" w:rsidRDefault="00C92849" w:rsidP="00C92849">
      <w:pPr>
        <w:pStyle w:val="BodyText"/>
        <w:spacing w:before="166" w:line="276" w:lineRule="auto"/>
        <w:ind w:right="400" w:hanging="1"/>
      </w:pPr>
      <w:r>
        <w:t xml:space="preserve">This option would result in the retention of the current </w:t>
      </w:r>
      <w:r w:rsidR="00265CCD">
        <w:t>r</w:t>
      </w:r>
      <w:r>
        <w:t xml:space="preserve">egulation with no changes. </w:t>
      </w:r>
      <w:r w:rsidR="000568D1">
        <w:t>As highlighted in section 1.4 above, t</w:t>
      </w:r>
      <w:r>
        <w:t xml:space="preserve">here are a </w:t>
      </w:r>
      <w:r w:rsidR="000C556B">
        <w:t>several issues raised</w:t>
      </w:r>
      <w:r>
        <w:t xml:space="preserve"> </w:t>
      </w:r>
      <w:r w:rsidR="000C556B">
        <w:t xml:space="preserve">by </w:t>
      </w:r>
      <w:r>
        <w:t>the operation of the current exemptions</w:t>
      </w:r>
      <w:r w:rsidR="000568D1">
        <w:t>. In summary this would result in:</w:t>
      </w:r>
    </w:p>
    <w:p w14:paraId="731DB58A" w14:textId="0FD55638" w:rsidR="006C1703" w:rsidRDefault="000568D1" w:rsidP="006C1703">
      <w:pPr>
        <w:pStyle w:val="BodyText"/>
        <w:numPr>
          <w:ilvl w:val="2"/>
          <w:numId w:val="6"/>
        </w:numPr>
        <w:spacing w:before="165" w:line="276" w:lineRule="auto"/>
        <w:ind w:right="116"/>
      </w:pPr>
      <w:r>
        <w:t>The unnecessary disqualification of a range of electric vehicle charging points, works on school sites and minor public works from being considered exempt.</w:t>
      </w:r>
      <w:r w:rsidR="006C1703" w:rsidRPr="006C1703">
        <w:t xml:space="preserve"> </w:t>
      </w:r>
      <w:r w:rsidR="006C1703">
        <w:t>This adds regulatory burden</w:t>
      </w:r>
      <w:r w:rsidR="00357E3A">
        <w:t xml:space="preserve"> </w:t>
      </w:r>
      <w:r w:rsidR="000C556B">
        <w:t>for low impact development.</w:t>
      </w:r>
    </w:p>
    <w:p w14:paraId="13B5F8D1" w14:textId="5DAF2CE1" w:rsidR="000568D1" w:rsidRDefault="000C556B" w:rsidP="00C92849">
      <w:pPr>
        <w:pStyle w:val="BodyText"/>
        <w:numPr>
          <w:ilvl w:val="2"/>
          <w:numId w:val="6"/>
        </w:numPr>
        <w:spacing w:before="165" w:line="276" w:lineRule="auto"/>
        <w:ind w:right="116"/>
      </w:pPr>
      <w:r>
        <w:t xml:space="preserve">Government resources, </w:t>
      </w:r>
      <w:r w:rsidR="006C1703">
        <w:t xml:space="preserve">including the </w:t>
      </w:r>
      <w:r w:rsidR="000568D1">
        <w:t>Education Directorate</w:t>
      </w:r>
      <w:r w:rsidR="001B3FD1">
        <w:t xml:space="preserve"> </w:t>
      </w:r>
      <w:r w:rsidR="000568D1">
        <w:t>and ACT government agencies undertaking public works such as the Parks and Conservation Service</w:t>
      </w:r>
      <w:r w:rsidR="006C1703">
        <w:t>,</w:t>
      </w:r>
      <w:r w:rsidR="000568D1">
        <w:t xml:space="preserve"> would continue to be unnecessarily focused on preparing documentation for development applications.</w:t>
      </w:r>
      <w:r>
        <w:t xml:space="preserve"> Development applications are also required to be assessed by the planning and land authority. This is considered a regulatory and administrative burden, without a commensurate benefit given the low impact nature of these types of identified</w:t>
      </w:r>
      <w:r w:rsidR="003C4B40">
        <w:t xml:space="preserve"> development and that the developments are very likely to receive approval. This could contribute to inefficiencies in the development assessment and approvals process and prevent other applications from being assessed in a timely manner.</w:t>
      </w:r>
      <w:r w:rsidR="003C4B40" w:rsidDel="003C4B40">
        <w:t xml:space="preserve"> </w:t>
      </w:r>
    </w:p>
    <w:p w14:paraId="4E64BEA8" w14:textId="18080370" w:rsidR="000568D1" w:rsidRDefault="001B3FD1" w:rsidP="00BB0947">
      <w:pPr>
        <w:pStyle w:val="BodyText"/>
        <w:numPr>
          <w:ilvl w:val="2"/>
          <w:numId w:val="6"/>
        </w:numPr>
        <w:spacing w:before="165" w:line="276" w:lineRule="auto"/>
        <w:ind w:right="116"/>
      </w:pPr>
      <w:r>
        <w:t>A development application</w:t>
      </w:r>
      <w:r w:rsidR="003C4B40">
        <w:t>, with associated timeframes and fees,</w:t>
      </w:r>
      <w:r>
        <w:t xml:space="preserve"> would continue to be required for </w:t>
      </w:r>
      <w:r w:rsidR="003C4B40">
        <w:t xml:space="preserve">many </w:t>
      </w:r>
      <w:r>
        <w:t xml:space="preserve">electric vehicle charging </w:t>
      </w:r>
      <w:r w:rsidR="00856BBD">
        <w:t>points</w:t>
      </w:r>
      <w:r w:rsidR="00357E3A">
        <w:t xml:space="preserve"> on the Australian market</w:t>
      </w:r>
      <w:r w:rsidR="003C4B40">
        <w:t>, acting as a barrier and disincentive to investment in the ACT</w:t>
      </w:r>
      <w:r>
        <w:t>. In turn, this may reduce the uptake of electric vehicles in the Territory and restrict the ability to reduce emissions in the transport sector.</w:t>
      </w:r>
    </w:p>
    <w:p w14:paraId="4C8A284C" w14:textId="66745983" w:rsidR="00856BBD" w:rsidRDefault="00856BBD" w:rsidP="00856BBD">
      <w:pPr>
        <w:pStyle w:val="BodyText"/>
        <w:spacing w:before="165" w:line="276" w:lineRule="auto"/>
        <w:ind w:right="116"/>
      </w:pPr>
      <w:r>
        <w:t>However, this option would allow the retention of:</w:t>
      </w:r>
    </w:p>
    <w:p w14:paraId="4EB54155" w14:textId="26F3330B" w:rsidR="00856BBD" w:rsidRDefault="00856BBD" w:rsidP="00C92849">
      <w:pPr>
        <w:pStyle w:val="BodyText"/>
        <w:numPr>
          <w:ilvl w:val="2"/>
          <w:numId w:val="6"/>
        </w:numPr>
        <w:spacing w:before="165" w:line="276" w:lineRule="auto"/>
        <w:ind w:right="116"/>
      </w:pPr>
      <w:r>
        <w:t>the opportunity for the public to comment on development applications for some electric vehicle charging points, works on school sites and minor public works; and</w:t>
      </w:r>
    </w:p>
    <w:p w14:paraId="1261B5A9" w14:textId="689F217C" w:rsidR="00856BBD" w:rsidRDefault="00856BBD" w:rsidP="00C92849">
      <w:pPr>
        <w:pStyle w:val="BodyText"/>
        <w:numPr>
          <w:ilvl w:val="2"/>
          <w:numId w:val="6"/>
        </w:numPr>
        <w:spacing w:before="165" w:line="276" w:lineRule="auto"/>
        <w:ind w:right="116"/>
      </w:pPr>
      <w:r>
        <w:t xml:space="preserve">The potential for third-party review of </w:t>
      </w:r>
      <w:r w:rsidR="003C4B40">
        <w:t xml:space="preserve">decisions on these applications </w:t>
      </w:r>
      <w:r>
        <w:t>through the ACAT.</w:t>
      </w:r>
    </w:p>
    <w:p w14:paraId="16DBE43D" w14:textId="6592FB53" w:rsidR="001B3FD1" w:rsidRDefault="001B3FD1" w:rsidP="001B3FD1">
      <w:pPr>
        <w:pStyle w:val="BodyText"/>
        <w:spacing w:before="165" w:line="276" w:lineRule="auto"/>
        <w:ind w:right="116"/>
      </w:pPr>
      <w:r>
        <w:t xml:space="preserve">Option 1 is </w:t>
      </w:r>
      <w:r w:rsidRPr="00856A8B">
        <w:rPr>
          <w:u w:val="single"/>
        </w:rPr>
        <w:t>not recommended</w:t>
      </w:r>
      <w:r>
        <w:t xml:space="preserve">. </w:t>
      </w:r>
    </w:p>
    <w:p w14:paraId="60C2D469" w14:textId="755178DA" w:rsidR="00FF184D" w:rsidRDefault="00C92849">
      <w:pPr>
        <w:pStyle w:val="Heading1"/>
        <w:numPr>
          <w:ilvl w:val="1"/>
          <w:numId w:val="6"/>
        </w:numPr>
        <w:tabs>
          <w:tab w:val="left" w:pos="480"/>
        </w:tabs>
        <w:spacing w:before="160"/>
        <w:ind w:left="480" w:hanging="360"/>
      </w:pPr>
      <w:bookmarkStart w:id="9" w:name="_bookmark12"/>
      <w:bookmarkEnd w:id="9"/>
      <w:r>
        <w:rPr>
          <w:color w:val="4E81BD"/>
        </w:rPr>
        <w:t>Amend the exemptions for</w:t>
      </w:r>
      <w:r w:rsidRPr="00C92849">
        <w:t xml:space="preserve"> </w:t>
      </w:r>
      <w:r w:rsidRPr="00C92849">
        <w:rPr>
          <w:color w:val="4E81BD"/>
        </w:rPr>
        <w:t>electric vehicle charging points, defined works on school sites and minor public works</w:t>
      </w:r>
      <w:r>
        <w:rPr>
          <w:color w:val="4E81BD"/>
        </w:rPr>
        <w:t xml:space="preserve"> (</w:t>
      </w:r>
      <w:r w:rsidR="006D6711">
        <w:rPr>
          <w:color w:val="4E81BD"/>
        </w:rPr>
        <w:t>Option</w:t>
      </w:r>
      <w:r w:rsidR="006D6711">
        <w:rPr>
          <w:color w:val="4E81BD"/>
          <w:spacing w:val="-3"/>
        </w:rPr>
        <w:t xml:space="preserve"> </w:t>
      </w:r>
      <w:r w:rsidR="006D6711">
        <w:rPr>
          <w:color w:val="4E81BD"/>
        </w:rPr>
        <w:t>2)</w:t>
      </w:r>
    </w:p>
    <w:p w14:paraId="6A25F648" w14:textId="4DFF7B0D" w:rsidR="00265CCD" w:rsidRDefault="00856A8B" w:rsidP="00C92849">
      <w:pPr>
        <w:pStyle w:val="BodyText"/>
        <w:spacing w:before="165" w:line="276" w:lineRule="auto"/>
        <w:ind w:left="119" w:right="390"/>
      </w:pPr>
      <w:r>
        <w:t>This option would involve extending the existing exemptions for electric vehicle charging points, schools and minor public works</w:t>
      </w:r>
      <w:r w:rsidR="003C4B40">
        <w:t xml:space="preserve"> to include other minor types of development</w:t>
      </w:r>
      <w:r>
        <w:t xml:space="preserve">. </w:t>
      </w:r>
      <w:r w:rsidR="00265CCD">
        <w:t>As discussed in section 1.3 above, this option would permit:</w:t>
      </w:r>
    </w:p>
    <w:p w14:paraId="0D9586F8" w14:textId="669B34BA" w:rsidR="00DA1912" w:rsidRDefault="00265CCD" w:rsidP="00A237B3">
      <w:pPr>
        <w:pStyle w:val="BodyText"/>
        <w:numPr>
          <w:ilvl w:val="2"/>
          <w:numId w:val="6"/>
        </w:numPr>
        <w:spacing w:before="165" w:line="276" w:lineRule="auto"/>
        <w:ind w:right="390"/>
      </w:pPr>
      <w:r>
        <w:t>Specific</w:t>
      </w:r>
      <w:r w:rsidR="00DA1912">
        <w:t xml:space="preserve"> </w:t>
      </w:r>
      <w:r>
        <w:t xml:space="preserve">types of low impact </w:t>
      </w:r>
      <w:r w:rsidR="00DA1912">
        <w:t>development to be considered exempt</w:t>
      </w:r>
      <w:r>
        <w:t>. This would reduce the</w:t>
      </w:r>
      <w:r w:rsidR="00DA1912">
        <w:t xml:space="preserve"> regulatory burden</w:t>
      </w:r>
      <w:r>
        <w:t xml:space="preserve"> of requiring</w:t>
      </w:r>
      <w:r w:rsidR="003C4B40">
        <w:t xml:space="preserve"> a</w:t>
      </w:r>
      <w:r>
        <w:t xml:space="preserve"> DA</w:t>
      </w:r>
      <w:r w:rsidR="003C4B40">
        <w:t>,</w:t>
      </w:r>
      <w:r w:rsidR="00A237B3">
        <w:t xml:space="preserve"> thereby simplifying the approvals process.</w:t>
      </w:r>
      <w:r w:rsidR="00A237B3" w:rsidRPr="005E7DEC">
        <w:t xml:space="preserve"> </w:t>
      </w:r>
    </w:p>
    <w:p w14:paraId="7AC4150A" w14:textId="7A468125" w:rsidR="00A237B3" w:rsidRDefault="00A237B3" w:rsidP="00983E8A">
      <w:pPr>
        <w:pStyle w:val="BodyText"/>
        <w:numPr>
          <w:ilvl w:val="2"/>
          <w:numId w:val="6"/>
        </w:numPr>
        <w:spacing w:before="165" w:line="276" w:lineRule="auto"/>
        <w:ind w:right="390"/>
      </w:pPr>
      <w:r>
        <w:t xml:space="preserve">Allow </w:t>
      </w:r>
      <w:r w:rsidR="003C4B40">
        <w:t>proponents of these developments</w:t>
      </w:r>
      <w:r>
        <w:t>, including the Education Directorate</w:t>
      </w:r>
      <w:r w:rsidR="003C4B40">
        <w:t>, Parks and Conservation Service,</w:t>
      </w:r>
      <w:r>
        <w:t xml:space="preserve"> and </w:t>
      </w:r>
      <w:r w:rsidR="003C4B40">
        <w:t xml:space="preserve">electric vehicle infrastructure providers </w:t>
      </w:r>
      <w:r>
        <w:t>to provide</w:t>
      </w:r>
      <w:r w:rsidR="00277F42">
        <w:t xml:space="preserve"> public</w:t>
      </w:r>
      <w:r>
        <w:t xml:space="preserve"> </w:t>
      </w:r>
      <w:r>
        <w:lastRenderedPageBreak/>
        <w:t>infrastructure in a</w:t>
      </w:r>
      <w:r w:rsidR="00277F42">
        <w:t xml:space="preserve"> timely and</w:t>
      </w:r>
      <w:r>
        <w:t xml:space="preserve"> efficient manner.</w:t>
      </w:r>
    </w:p>
    <w:p w14:paraId="44BFE44C" w14:textId="4E2336BF" w:rsidR="00A237B3" w:rsidRDefault="00A237B3" w:rsidP="00983E8A">
      <w:pPr>
        <w:pStyle w:val="BodyText"/>
        <w:numPr>
          <w:ilvl w:val="2"/>
          <w:numId w:val="6"/>
        </w:numPr>
        <w:spacing w:before="165" w:line="276" w:lineRule="auto"/>
        <w:ind w:right="390"/>
      </w:pPr>
      <w:r>
        <w:t xml:space="preserve">The majority of electric vehicle charging points currently on the Australian market to be considered exempt. This </w:t>
      </w:r>
      <w:r w:rsidR="00277F42">
        <w:t xml:space="preserve">would encourage investment in the ACT, the </w:t>
      </w:r>
      <w:r>
        <w:t xml:space="preserve">increase </w:t>
      </w:r>
      <w:r w:rsidR="00277F42">
        <w:t>in</w:t>
      </w:r>
      <w:r>
        <w:t xml:space="preserve"> supply of electric vehicle charging technology across the </w:t>
      </w:r>
      <w:r w:rsidR="00277F42">
        <w:t>Territory,</w:t>
      </w:r>
      <w:r w:rsidR="004033E7">
        <w:t xml:space="preserve"> encourage the use of electric vehicles and </w:t>
      </w:r>
      <w:r w:rsidR="00277F42">
        <w:t xml:space="preserve">therefore </w:t>
      </w:r>
      <w:r w:rsidR="004033E7" w:rsidRPr="004033E7">
        <w:t>reduce emissions in the transport sector</w:t>
      </w:r>
      <w:r w:rsidR="004033E7">
        <w:t>.</w:t>
      </w:r>
    </w:p>
    <w:p w14:paraId="57203123" w14:textId="65B27C63" w:rsidR="00A237B3" w:rsidRDefault="003C4B40" w:rsidP="00983E8A">
      <w:pPr>
        <w:pStyle w:val="BodyText"/>
        <w:numPr>
          <w:ilvl w:val="2"/>
          <w:numId w:val="6"/>
        </w:numPr>
        <w:spacing w:before="165" w:line="276" w:lineRule="auto"/>
        <w:ind w:right="390"/>
      </w:pPr>
      <w:r>
        <w:t xml:space="preserve">Allow </w:t>
      </w:r>
      <w:r w:rsidR="00A237B3">
        <w:t xml:space="preserve">the re-allocation of </w:t>
      </w:r>
      <w:r>
        <w:t xml:space="preserve">administrative </w:t>
      </w:r>
      <w:r w:rsidR="00A237B3">
        <w:t xml:space="preserve">resources within </w:t>
      </w:r>
      <w:r>
        <w:t xml:space="preserve">the planning and land authority </w:t>
      </w:r>
      <w:r w:rsidR="00A237B3">
        <w:t xml:space="preserve">to higher impact developments that are more likely to benefit from the development assessment and approvals process. </w:t>
      </w:r>
    </w:p>
    <w:p w14:paraId="07E2F77B" w14:textId="77777777" w:rsidR="00277F42" w:rsidRDefault="00277F42" w:rsidP="00277F42">
      <w:pPr>
        <w:spacing w:before="120" w:line="273" w:lineRule="auto"/>
        <w:ind w:left="119"/>
      </w:pPr>
      <w:r>
        <w:t>It is acknowledged that this option would:</w:t>
      </w:r>
    </w:p>
    <w:p w14:paraId="293CCF60" w14:textId="77777777" w:rsidR="00277F42" w:rsidRDefault="00277F42" w:rsidP="00277F42">
      <w:pPr>
        <w:pStyle w:val="BodyText"/>
        <w:numPr>
          <w:ilvl w:val="2"/>
          <w:numId w:val="6"/>
        </w:numPr>
        <w:spacing w:before="165" w:line="276" w:lineRule="auto"/>
        <w:ind w:right="116"/>
      </w:pPr>
      <w:r>
        <w:t>Remove opportunity for the public to comment on development applications for some electric vehicle charging points, works on school sites and minor public works; and</w:t>
      </w:r>
    </w:p>
    <w:p w14:paraId="1CEC575D" w14:textId="0B5ADB6D" w:rsidR="00277F42" w:rsidRDefault="00277F42" w:rsidP="00277F42">
      <w:pPr>
        <w:pStyle w:val="BodyText"/>
        <w:numPr>
          <w:ilvl w:val="2"/>
          <w:numId w:val="6"/>
        </w:numPr>
        <w:spacing w:before="165" w:line="276" w:lineRule="auto"/>
        <w:ind w:right="116"/>
      </w:pPr>
      <w:r>
        <w:t xml:space="preserve">Remove the potential for third-party review of </w:t>
      </w:r>
      <w:r w:rsidR="003C4B40">
        <w:t xml:space="preserve">decisions on these developments </w:t>
      </w:r>
      <w:r>
        <w:t>through the ACAT.</w:t>
      </w:r>
    </w:p>
    <w:p w14:paraId="210AC9A2" w14:textId="0678A4C6" w:rsidR="00856A8B" w:rsidRDefault="00277F42" w:rsidP="00C92849">
      <w:pPr>
        <w:pStyle w:val="BodyText"/>
        <w:spacing w:before="165" w:line="276" w:lineRule="auto"/>
        <w:ind w:left="119" w:right="390"/>
      </w:pPr>
      <w:r>
        <w:t>However</w:t>
      </w:r>
      <w:r w:rsidR="00DA1912">
        <w:t xml:space="preserve">, </w:t>
      </w:r>
      <w:r w:rsidR="00357E3A">
        <w:t>the inclusion of</w:t>
      </w:r>
      <w:r w:rsidR="007A7BA6">
        <w:t xml:space="preserve"> </w:t>
      </w:r>
      <w:r w:rsidR="003C4B40">
        <w:t>limitations and statutory criteria within the provisions</w:t>
      </w:r>
      <w:r w:rsidR="006C1703">
        <w:t xml:space="preserve"> </w:t>
      </w:r>
      <w:r>
        <w:t>ensures</w:t>
      </w:r>
      <w:r w:rsidR="003C4B40">
        <w:t xml:space="preserve"> that</w:t>
      </w:r>
      <w:r>
        <w:t xml:space="preserve"> the amendments are specific</w:t>
      </w:r>
      <w:r w:rsidR="003C4B40">
        <w:t xml:space="preserve"> and targeted</w:t>
      </w:r>
      <w:r>
        <w:t xml:space="preserve"> in their operation. This </w:t>
      </w:r>
      <w:r w:rsidR="00357E3A">
        <w:t>helps achieve an</w:t>
      </w:r>
      <w:r w:rsidR="00856A8B">
        <w:t xml:space="preserve"> appropriate balance between reducing red tape and regulatory burden</w:t>
      </w:r>
      <w:r w:rsidR="003C4B40">
        <w:t xml:space="preserve"> on one hand,</w:t>
      </w:r>
      <w:r w:rsidR="00357E3A">
        <w:t xml:space="preserve"> and maintaining public</w:t>
      </w:r>
      <w:r w:rsidR="00DA1912">
        <w:t xml:space="preserve"> safety</w:t>
      </w:r>
      <w:r w:rsidR="003C4B40">
        <w:t xml:space="preserve"> and good development outcomes on the other</w:t>
      </w:r>
      <w:r w:rsidR="00357E3A">
        <w:t>.</w:t>
      </w:r>
      <w:r w:rsidR="00DA1912">
        <w:t xml:space="preserve"> </w:t>
      </w:r>
    </w:p>
    <w:p w14:paraId="0EB01DD6" w14:textId="7E8DA8B4" w:rsidR="00265CCD" w:rsidRDefault="00277F42" w:rsidP="00265CCD">
      <w:pPr>
        <w:pStyle w:val="BodyText"/>
        <w:spacing w:before="165" w:line="276" w:lineRule="auto"/>
        <w:ind w:left="119" w:right="390"/>
      </w:pPr>
      <w:r>
        <w:t>It should also be noted that this</w:t>
      </w:r>
      <w:r w:rsidR="00265CCD">
        <w:t xml:space="preserve"> option also</w:t>
      </w:r>
      <w:r w:rsidR="00265CCD" w:rsidRPr="00265CCD">
        <w:t xml:space="preserve"> </w:t>
      </w:r>
      <w:r w:rsidR="00265CCD">
        <w:t xml:space="preserve">does </w:t>
      </w:r>
      <w:r w:rsidR="00265CCD" w:rsidRPr="00265CCD">
        <w:t>not remove the requirement for proposals that do not meet the exemption criteria to be assessed against the Territory Plan through the development assessment and approvals process.</w:t>
      </w:r>
    </w:p>
    <w:p w14:paraId="62DB07DA" w14:textId="48C61234" w:rsidR="00C92849" w:rsidRDefault="00C92849" w:rsidP="00421256">
      <w:pPr>
        <w:pStyle w:val="ListParagraph"/>
        <w:spacing w:before="120" w:line="273" w:lineRule="auto"/>
        <w:ind w:left="119" w:firstLine="0"/>
      </w:pPr>
      <w:r>
        <w:t xml:space="preserve">Option </w:t>
      </w:r>
      <w:r w:rsidR="00856BBD">
        <w:t>2</w:t>
      </w:r>
      <w:r>
        <w:t xml:space="preserve"> is </w:t>
      </w:r>
      <w:r w:rsidRPr="00421256">
        <w:rPr>
          <w:u w:val="single"/>
        </w:rPr>
        <w:t>recommended</w:t>
      </w:r>
      <w:r>
        <w:t>.</w:t>
      </w:r>
    </w:p>
    <w:p w14:paraId="799DD0AC" w14:textId="77777777" w:rsidR="00FF184D" w:rsidRDefault="00FF184D">
      <w:pPr>
        <w:pStyle w:val="BodyText"/>
        <w:spacing w:before="4"/>
        <w:ind w:left="0"/>
        <w:rPr>
          <w:sz w:val="24"/>
        </w:rPr>
      </w:pPr>
    </w:p>
    <w:p w14:paraId="365B5544" w14:textId="77777777" w:rsidR="00FF184D" w:rsidRDefault="006D6711" w:rsidP="00BB0947">
      <w:pPr>
        <w:pStyle w:val="ListParagraph"/>
        <w:numPr>
          <w:ilvl w:val="0"/>
          <w:numId w:val="4"/>
        </w:numPr>
        <w:tabs>
          <w:tab w:val="left" w:pos="481"/>
        </w:tabs>
        <w:spacing w:before="48"/>
        <w:rPr>
          <w:b/>
          <w:sz w:val="26"/>
        </w:rPr>
      </w:pPr>
      <w:bookmarkStart w:id="10" w:name="_bookmark13"/>
      <w:bookmarkEnd w:id="10"/>
      <w:r>
        <w:rPr>
          <w:b/>
          <w:color w:val="1E487C"/>
          <w:sz w:val="26"/>
        </w:rPr>
        <w:t>Consistency with ACT</w:t>
      </w:r>
      <w:r>
        <w:rPr>
          <w:b/>
          <w:color w:val="1E487C"/>
          <w:spacing w:val="-4"/>
          <w:sz w:val="26"/>
        </w:rPr>
        <w:t xml:space="preserve"> </w:t>
      </w:r>
      <w:r>
        <w:rPr>
          <w:b/>
          <w:color w:val="1E487C"/>
          <w:sz w:val="26"/>
        </w:rPr>
        <w:t>laws</w:t>
      </w:r>
    </w:p>
    <w:p w14:paraId="68E2D210" w14:textId="77777777" w:rsidR="00FF184D" w:rsidRDefault="006D6711">
      <w:pPr>
        <w:pStyle w:val="Heading1"/>
        <w:numPr>
          <w:ilvl w:val="1"/>
          <w:numId w:val="4"/>
        </w:numPr>
        <w:tabs>
          <w:tab w:val="left" w:pos="480"/>
        </w:tabs>
        <w:spacing w:before="167"/>
      </w:pPr>
      <w:bookmarkStart w:id="11" w:name="_bookmark14"/>
      <w:bookmarkEnd w:id="11"/>
      <w:r>
        <w:rPr>
          <w:color w:val="4E81BD"/>
        </w:rPr>
        <w:t xml:space="preserve">Consistency of the proposed law with the </w:t>
      </w:r>
      <w:proofErr w:type="spellStart"/>
      <w:r>
        <w:rPr>
          <w:color w:val="4E81BD"/>
        </w:rPr>
        <w:t>authorising</w:t>
      </w:r>
      <w:proofErr w:type="spellEnd"/>
      <w:r>
        <w:rPr>
          <w:color w:val="4E81BD"/>
          <w:spacing w:val="-8"/>
        </w:rPr>
        <w:t xml:space="preserve"> </w:t>
      </w:r>
      <w:r>
        <w:rPr>
          <w:color w:val="4E81BD"/>
        </w:rPr>
        <w:t>law</w:t>
      </w:r>
    </w:p>
    <w:p w14:paraId="60A1B123" w14:textId="77777777" w:rsidR="00FF184D" w:rsidRDefault="006D6711" w:rsidP="00421256">
      <w:pPr>
        <w:spacing w:before="120" w:line="276" w:lineRule="auto"/>
        <w:ind w:left="120" w:right="484" w:hanging="1"/>
      </w:pPr>
      <w:r>
        <w:t xml:space="preserve">Section 133(1)(c) of the Act states that exempt development means </w:t>
      </w:r>
      <w:r>
        <w:rPr>
          <w:i/>
        </w:rPr>
        <w:t>‘development that is exempt from requiring development approval under a regulation’</w:t>
      </w:r>
      <w:r>
        <w:t>.</w:t>
      </w:r>
    </w:p>
    <w:p w14:paraId="70D6E85F" w14:textId="477FD6C7" w:rsidR="00FF184D" w:rsidRDefault="006D6711" w:rsidP="00421256">
      <w:pPr>
        <w:pStyle w:val="BodyText"/>
        <w:spacing w:before="120" w:line="276" w:lineRule="auto"/>
        <w:ind w:right="141" w:hanging="1"/>
      </w:pPr>
      <w:r>
        <w:t xml:space="preserve">The amending regulation is within the parameters of the </w:t>
      </w:r>
      <w:proofErr w:type="spellStart"/>
      <w:r>
        <w:t>authorising</w:t>
      </w:r>
      <w:proofErr w:type="spellEnd"/>
      <w:r>
        <w:t xml:space="preserve"> law. Section 133(1)(c) of the Act expressly </w:t>
      </w:r>
      <w:proofErr w:type="spellStart"/>
      <w:r>
        <w:t>authorises</w:t>
      </w:r>
      <w:proofErr w:type="spellEnd"/>
      <w:r>
        <w:t xml:space="preserve"> the making of exemptions from the requirement to obtain development approval. </w:t>
      </w:r>
      <w:r w:rsidR="00277F42">
        <w:t>Electric vehicle charging points, works on school sites and minor public works are</w:t>
      </w:r>
      <w:r>
        <w:t xml:space="preserve"> type</w:t>
      </w:r>
      <w:r w:rsidR="00421256">
        <w:t>s</w:t>
      </w:r>
      <w:r>
        <w:t xml:space="preserve"> of development</w:t>
      </w:r>
      <w:r w:rsidR="00277F42">
        <w:t xml:space="preserve"> that</w:t>
      </w:r>
      <w:r>
        <w:t xml:space="preserve"> </w:t>
      </w:r>
      <w:r w:rsidR="00421256">
        <w:t>are</w:t>
      </w:r>
      <w:r>
        <w:t xml:space="preserve"> currently considered exempt from requiring development approval. There are also a number of other existing DA exemptions set out in </w:t>
      </w:r>
      <w:r w:rsidR="00421256">
        <w:t>S</w:t>
      </w:r>
      <w:r>
        <w:t>chedule 1 to the Regulation</w:t>
      </w:r>
      <w:r w:rsidR="00421256">
        <w:t>.</w:t>
      </w:r>
      <w:r>
        <w:t xml:space="preserve"> </w:t>
      </w:r>
      <w:r w:rsidR="00421256">
        <w:t>T</w:t>
      </w:r>
      <w:r>
        <w:t>he amending regulation would be consistent with existing exemptions for other minor developments</w:t>
      </w:r>
      <w:r w:rsidR="00277F42">
        <w:t xml:space="preserve"> set out in Schedule 1</w:t>
      </w:r>
      <w:r>
        <w:t xml:space="preserve">. </w:t>
      </w:r>
    </w:p>
    <w:p w14:paraId="7F9D7EB7" w14:textId="5C1C80FA" w:rsidR="00FF184D" w:rsidRDefault="006D6711" w:rsidP="00421256">
      <w:pPr>
        <w:pStyle w:val="BodyText"/>
        <w:spacing w:before="120" w:line="276" w:lineRule="auto"/>
        <w:ind w:left="119"/>
      </w:pPr>
      <w:r>
        <w:t>The proposed amendment is also consistent with the objects of the Act</w:t>
      </w:r>
      <w:r w:rsidR="00277F42">
        <w:t>,</w:t>
      </w:r>
      <w:r>
        <w:t xml:space="preserve"> as noted </w:t>
      </w:r>
      <w:r w:rsidR="00277F42">
        <w:t>in section 4.2 below</w:t>
      </w:r>
      <w:r>
        <w:t>.</w:t>
      </w:r>
    </w:p>
    <w:p w14:paraId="58133C92" w14:textId="545B516D" w:rsidR="00FF184D" w:rsidRDefault="006D6711" w:rsidP="00421256">
      <w:pPr>
        <w:pStyle w:val="BodyText"/>
        <w:spacing w:before="120" w:line="276" w:lineRule="auto"/>
        <w:ind w:right="168" w:hanging="1"/>
      </w:pPr>
      <w:r>
        <w:t xml:space="preserve">The amending regulation does not create a new category of exempt development, rather it modifies the qualifying criteria </w:t>
      </w:r>
      <w:r w:rsidR="00421256">
        <w:t>and supporting provisions of developments that are already exempt</w:t>
      </w:r>
      <w:r>
        <w:t>.</w:t>
      </w:r>
    </w:p>
    <w:p w14:paraId="7507A43F" w14:textId="77777777" w:rsidR="00FF184D" w:rsidRDefault="006D6711">
      <w:pPr>
        <w:pStyle w:val="Heading1"/>
        <w:numPr>
          <w:ilvl w:val="1"/>
          <w:numId w:val="4"/>
        </w:numPr>
        <w:tabs>
          <w:tab w:val="left" w:pos="480"/>
        </w:tabs>
      </w:pPr>
      <w:bookmarkStart w:id="12" w:name="_bookmark15"/>
      <w:bookmarkEnd w:id="12"/>
      <w:r>
        <w:rPr>
          <w:color w:val="4E81BD"/>
        </w:rPr>
        <w:t>Consistency of the proposed law with Scrutiny of Bills Committee</w:t>
      </w:r>
      <w:r>
        <w:rPr>
          <w:color w:val="4E81BD"/>
          <w:spacing w:val="-14"/>
        </w:rPr>
        <w:t xml:space="preserve"> </w:t>
      </w:r>
      <w:r>
        <w:rPr>
          <w:color w:val="4E81BD"/>
        </w:rPr>
        <w:t>principles</w:t>
      </w:r>
    </w:p>
    <w:p w14:paraId="413504B7" w14:textId="77777777" w:rsidR="00FF184D" w:rsidRDefault="006D6711" w:rsidP="00277F42">
      <w:pPr>
        <w:pStyle w:val="BodyText"/>
        <w:spacing w:before="165" w:line="276" w:lineRule="auto"/>
        <w:ind w:left="119" w:right="851"/>
      </w:pPr>
      <w:r>
        <w:t>The Committee's terms of reference require it to consider whether (among other things) any instrument of a legislative nature made under an Act which is subject to disallowance and/or disapproval by the Assembly (including a regulation, rule or by‐law):</w:t>
      </w:r>
    </w:p>
    <w:p w14:paraId="2A02B5D3" w14:textId="77777777" w:rsidR="00FF184D" w:rsidRDefault="006D6711" w:rsidP="00277F42">
      <w:pPr>
        <w:pStyle w:val="ListParagraph"/>
        <w:numPr>
          <w:ilvl w:val="0"/>
          <w:numId w:val="3"/>
        </w:numPr>
        <w:tabs>
          <w:tab w:val="left" w:pos="993"/>
        </w:tabs>
        <w:spacing w:before="120"/>
        <w:ind w:left="993" w:hanging="567"/>
      </w:pPr>
      <w:r>
        <w:lastRenderedPageBreak/>
        <w:t>is in accord with the general objects of the Act under which it is</w:t>
      </w:r>
      <w:r>
        <w:rPr>
          <w:spacing w:val="-11"/>
        </w:rPr>
        <w:t xml:space="preserve"> </w:t>
      </w:r>
      <w:r>
        <w:t>made;</w:t>
      </w:r>
    </w:p>
    <w:p w14:paraId="45063538" w14:textId="77777777" w:rsidR="00FF184D" w:rsidRDefault="006D6711" w:rsidP="00277F42">
      <w:pPr>
        <w:pStyle w:val="ListParagraph"/>
        <w:numPr>
          <w:ilvl w:val="0"/>
          <w:numId w:val="3"/>
        </w:numPr>
        <w:tabs>
          <w:tab w:val="left" w:pos="560"/>
        </w:tabs>
        <w:spacing w:before="160"/>
        <w:ind w:left="993" w:hanging="567"/>
      </w:pPr>
      <w:r>
        <w:t>unduly trespasses on rights previously established by</w:t>
      </w:r>
      <w:r>
        <w:rPr>
          <w:spacing w:val="-7"/>
        </w:rPr>
        <w:t xml:space="preserve"> </w:t>
      </w:r>
      <w:r>
        <w:t>law;</w:t>
      </w:r>
    </w:p>
    <w:p w14:paraId="1A348FD2" w14:textId="77777777" w:rsidR="00FF184D" w:rsidRDefault="006D6711" w:rsidP="00277F42">
      <w:pPr>
        <w:pStyle w:val="ListParagraph"/>
        <w:numPr>
          <w:ilvl w:val="0"/>
          <w:numId w:val="3"/>
        </w:numPr>
        <w:tabs>
          <w:tab w:val="left" w:pos="538"/>
        </w:tabs>
        <w:spacing w:before="161"/>
        <w:ind w:left="993" w:hanging="567"/>
      </w:pPr>
      <w:r>
        <w:t>makes rights, liberties and/or obligations unduly dependent upon non reviewable</w:t>
      </w:r>
      <w:r>
        <w:rPr>
          <w:spacing w:val="-23"/>
        </w:rPr>
        <w:t xml:space="preserve"> </w:t>
      </w:r>
      <w:r>
        <w:t>decisions;</w:t>
      </w:r>
    </w:p>
    <w:p w14:paraId="6D7E2309" w14:textId="77777777" w:rsidR="00FF184D" w:rsidRDefault="006D6711" w:rsidP="00277F42">
      <w:pPr>
        <w:pStyle w:val="ListParagraph"/>
        <w:numPr>
          <w:ilvl w:val="0"/>
          <w:numId w:val="3"/>
        </w:numPr>
        <w:tabs>
          <w:tab w:val="left" w:pos="560"/>
        </w:tabs>
        <w:spacing w:before="160" w:line="276" w:lineRule="auto"/>
        <w:ind w:left="993" w:right="448" w:hanging="567"/>
      </w:pPr>
      <w:r>
        <w:t>contains a matter which in the opinion of the Committee should properly be dealt with in an Act of the Legislative</w:t>
      </w:r>
      <w:r>
        <w:rPr>
          <w:spacing w:val="-5"/>
        </w:rPr>
        <w:t xml:space="preserve"> </w:t>
      </w:r>
      <w:r>
        <w:t>Assembly.</w:t>
      </w:r>
    </w:p>
    <w:p w14:paraId="1B12EF82" w14:textId="297DA57A" w:rsidR="00FF184D" w:rsidRDefault="006D6711" w:rsidP="00277F42">
      <w:pPr>
        <w:pStyle w:val="BodyText"/>
        <w:spacing w:before="120" w:line="276" w:lineRule="auto"/>
        <w:ind w:right="457" w:hanging="1"/>
      </w:pPr>
      <w:r>
        <w:t>The Legislation Act requires a brief assessment of the consistency of the proposed law with the scrutiny committee principles (see section 35(5)). This amendment is consistent with the scrutiny committee principles as outlined below:</w:t>
      </w:r>
    </w:p>
    <w:p w14:paraId="510C17C8" w14:textId="77777777" w:rsidR="00421256" w:rsidRDefault="006D6711" w:rsidP="002D3603">
      <w:pPr>
        <w:pStyle w:val="ListParagraph"/>
        <w:numPr>
          <w:ilvl w:val="0"/>
          <w:numId w:val="2"/>
        </w:numPr>
        <w:tabs>
          <w:tab w:val="left" w:pos="709"/>
        </w:tabs>
        <w:spacing w:before="120" w:line="276" w:lineRule="auto"/>
        <w:ind w:left="567" w:right="126" w:hanging="426"/>
      </w:pPr>
      <w:r>
        <w:t xml:space="preserve">The amending regulation is consistent with the object of the Act in that it maintains the orderly and sustainable development of the ACT and is consistent with the social, environmental and economic aspirations of the people. </w:t>
      </w:r>
    </w:p>
    <w:p w14:paraId="3B61050B" w14:textId="4648C36A" w:rsidR="00300D93" w:rsidRDefault="00AC66B0" w:rsidP="002D3603">
      <w:pPr>
        <w:tabs>
          <w:tab w:val="left" w:pos="709"/>
        </w:tabs>
        <w:spacing w:before="120" w:line="276" w:lineRule="auto"/>
        <w:ind w:left="567" w:right="126" w:hanging="426"/>
      </w:pPr>
      <w:r>
        <w:tab/>
      </w:r>
      <w:r w:rsidR="00300D93">
        <w:t xml:space="preserve">The </w:t>
      </w:r>
      <w:r w:rsidR="006D6711">
        <w:t>amending regulation will</w:t>
      </w:r>
      <w:r w:rsidR="00300D93">
        <w:t xml:space="preserve"> </w:t>
      </w:r>
      <w:r w:rsidR="00AF6FCD">
        <w:t xml:space="preserve">extend </w:t>
      </w:r>
      <w:r w:rsidR="00E91428">
        <w:t xml:space="preserve">the </w:t>
      </w:r>
      <w:r w:rsidR="00AF6FCD">
        <w:t>existing exemptions for electric vehicle charging points, works on schoo</w:t>
      </w:r>
      <w:r w:rsidR="00E91428">
        <w:t>l</w:t>
      </w:r>
      <w:r w:rsidR="00AF6FCD">
        <w:t xml:space="preserve"> sites and minor public works. Although </w:t>
      </w:r>
      <w:r w:rsidR="001E6FF1">
        <w:t>this</w:t>
      </w:r>
      <w:r w:rsidR="00AF6FCD">
        <w:t xml:space="preserve"> will </w:t>
      </w:r>
      <w:r w:rsidR="00300D93">
        <w:t xml:space="preserve">remove the requirement for a </w:t>
      </w:r>
      <w:r w:rsidR="00AF6FCD">
        <w:t xml:space="preserve">small amount of </w:t>
      </w:r>
      <w:r w:rsidR="00300D93">
        <w:t>development application</w:t>
      </w:r>
      <w:r w:rsidR="001E6FF1">
        <w:t>s</w:t>
      </w:r>
      <w:r w:rsidR="00300D93">
        <w:t xml:space="preserve"> to be lodged, </w:t>
      </w:r>
      <w:r w:rsidR="00E01583">
        <w:t xml:space="preserve">the changes </w:t>
      </w:r>
      <w:r w:rsidR="00AF6FCD">
        <w:t>will maintain orderly and sustainable development</w:t>
      </w:r>
      <w:r w:rsidR="00E01583">
        <w:t xml:space="preserve">. </w:t>
      </w:r>
      <w:r w:rsidR="00AF6FCD">
        <w:t xml:space="preserve">This is because </w:t>
      </w:r>
      <w:r w:rsidR="001E6FF1">
        <w:t>t</w:t>
      </w:r>
      <w:r w:rsidR="001E6FF1" w:rsidRPr="001E6FF1">
        <w:t>he amendment regulation is specific, not general in its application, and only exempts limited additional types of development from requiring development approval.</w:t>
      </w:r>
      <w:r w:rsidR="001E6FF1">
        <w:t xml:space="preserve"> Additionally, </w:t>
      </w:r>
      <w:r w:rsidR="00300D93">
        <w:t xml:space="preserve">the </w:t>
      </w:r>
      <w:r w:rsidR="001E6FF1">
        <w:t xml:space="preserve">development </w:t>
      </w:r>
      <w:r w:rsidR="00300D93">
        <w:t xml:space="preserve">assessment and approvals process </w:t>
      </w:r>
      <w:r w:rsidR="001E6FF1">
        <w:t xml:space="preserve">very rarely improve the development outcome for low impact proposals such as these. </w:t>
      </w:r>
    </w:p>
    <w:p w14:paraId="5C263558" w14:textId="04DA8999" w:rsidR="001E6FF1" w:rsidRDefault="001E6FF1" w:rsidP="002D3603">
      <w:pPr>
        <w:pStyle w:val="ListParagraph"/>
        <w:numPr>
          <w:ilvl w:val="0"/>
          <w:numId w:val="2"/>
        </w:numPr>
        <w:tabs>
          <w:tab w:val="left" w:pos="709"/>
        </w:tabs>
        <w:spacing w:before="120" w:line="276" w:lineRule="auto"/>
        <w:ind w:left="567" w:right="127" w:hanging="426"/>
      </w:pPr>
      <w:r>
        <w:t xml:space="preserve">As discussed above, the amending regulation will result in the exemption of a small </w:t>
      </w:r>
      <w:r w:rsidR="00B62145">
        <w:t xml:space="preserve">number </w:t>
      </w:r>
      <w:r w:rsidR="00E91428">
        <w:t>of additional developments. Therefore, the proposals</w:t>
      </w:r>
      <w:r w:rsidR="00471634">
        <w:t xml:space="preserve"> in the amending regulation</w:t>
      </w:r>
      <w:r w:rsidR="00E91428">
        <w:t xml:space="preserve"> will not be subject to public notification, and the possibility of third-party review in the ACAT.</w:t>
      </w:r>
    </w:p>
    <w:p w14:paraId="4832F245" w14:textId="60B162B9" w:rsidR="00E91428" w:rsidRDefault="00AC66B0" w:rsidP="002D3603">
      <w:pPr>
        <w:tabs>
          <w:tab w:val="left" w:pos="709"/>
        </w:tabs>
        <w:spacing w:before="120" w:line="276" w:lineRule="auto"/>
        <w:ind w:left="567" w:right="127" w:hanging="426"/>
      </w:pPr>
      <w:r>
        <w:tab/>
      </w:r>
      <w:r w:rsidR="00E91428">
        <w:t xml:space="preserve">However, as the amending regulation is specific, not general in its application, only a limited amount of additional development types will be exempt. Additionally, </w:t>
      </w:r>
      <w:r w:rsidR="00E91428" w:rsidRPr="00E91428">
        <w:t>without this amendment regulation, a development application submitted for the</w:t>
      </w:r>
      <w:r w:rsidR="002D3603">
        <w:t>se</w:t>
      </w:r>
      <w:r w:rsidR="00E91428" w:rsidRPr="00E91428">
        <w:t xml:space="preserve"> types of development would be very likely to receive development approval based on the minimal potential impacts. </w:t>
      </w:r>
      <w:r w:rsidR="00B62145">
        <w:t>It should also be noted that these are minor increases to existing categories of exemptions for these development types.</w:t>
      </w:r>
    </w:p>
    <w:p w14:paraId="2DEDA667" w14:textId="72520DFA" w:rsidR="00B62145" w:rsidRDefault="00AC66B0" w:rsidP="002D3603">
      <w:pPr>
        <w:tabs>
          <w:tab w:val="left" w:pos="709"/>
        </w:tabs>
        <w:spacing w:before="120" w:line="276" w:lineRule="auto"/>
        <w:ind w:left="567" w:right="127" w:hanging="426"/>
      </w:pPr>
      <w:r>
        <w:tab/>
      </w:r>
      <w:r w:rsidR="00E91428">
        <w:t xml:space="preserve">On this basis, the amendment regulation is not considered to unduly trespass on the </w:t>
      </w:r>
      <w:r w:rsidR="00B62145">
        <w:t xml:space="preserve">statutory rights to comment on a DA and seek merits review, as the minor increases are reasonable and justified. </w:t>
      </w:r>
    </w:p>
    <w:p w14:paraId="7036E98E" w14:textId="08FD9BBC" w:rsidR="00FF184D" w:rsidRDefault="006D6711" w:rsidP="002D3603">
      <w:pPr>
        <w:pStyle w:val="ListParagraph"/>
        <w:numPr>
          <w:ilvl w:val="0"/>
          <w:numId w:val="2"/>
        </w:numPr>
        <w:tabs>
          <w:tab w:val="left" w:pos="709"/>
        </w:tabs>
        <w:spacing w:before="120" w:line="276" w:lineRule="auto"/>
        <w:ind w:left="567" w:right="142" w:hanging="426"/>
      </w:pPr>
      <w:r>
        <w:t xml:space="preserve">The proposed amending regulation does not make rights, liberties and/or obligations unduly dependent upon non reviewable decisions. The amending regulation </w:t>
      </w:r>
      <w:r w:rsidRPr="00660970">
        <w:t xml:space="preserve">will </w:t>
      </w:r>
      <w:r w:rsidR="00660970" w:rsidRPr="00660970">
        <w:t>exempt</w:t>
      </w:r>
      <w:r w:rsidRPr="00660970">
        <w:t xml:space="preserve"> some</w:t>
      </w:r>
      <w:r>
        <w:t xml:space="preserve"> developments from requiring approval, thereby </w:t>
      </w:r>
      <w:r w:rsidR="00660970">
        <w:t>removing</w:t>
      </w:r>
      <w:r>
        <w:t xml:space="preserve"> the ability </w:t>
      </w:r>
      <w:r w:rsidR="00660970">
        <w:t xml:space="preserve">of the public </w:t>
      </w:r>
      <w:r>
        <w:t xml:space="preserve">to comment and </w:t>
      </w:r>
      <w:r w:rsidR="00660970">
        <w:t>potential third-party</w:t>
      </w:r>
      <w:r>
        <w:t xml:space="preserve"> appeal rights. </w:t>
      </w:r>
      <w:r w:rsidR="00E91428">
        <w:t>However,</w:t>
      </w:r>
      <w:r>
        <w:t xml:space="preserve"> this decision is made in the context that these developments are unlikely to affect </w:t>
      </w:r>
      <w:r w:rsidR="00E91428">
        <w:t xml:space="preserve">the general public or </w:t>
      </w:r>
      <w:r w:rsidR="00274D23">
        <w:t>adjoining</w:t>
      </w:r>
      <w:r>
        <w:t xml:space="preserve"> lessees</w:t>
      </w:r>
      <w:r w:rsidR="00660970">
        <w:t>, therefore</w:t>
      </w:r>
      <w:r>
        <w:t xml:space="preserve"> there is no planning or development rationale to require development approval.</w:t>
      </w:r>
    </w:p>
    <w:p w14:paraId="0A396879" w14:textId="045630ED" w:rsidR="00FF184D" w:rsidRDefault="00AC66B0" w:rsidP="002D3603">
      <w:pPr>
        <w:pStyle w:val="BodyText"/>
        <w:numPr>
          <w:ilvl w:val="0"/>
          <w:numId w:val="2"/>
        </w:numPr>
        <w:tabs>
          <w:tab w:val="left" w:pos="709"/>
        </w:tabs>
        <w:spacing w:before="120" w:line="276" w:lineRule="auto"/>
        <w:ind w:left="567" w:right="214" w:hanging="426"/>
      </w:pPr>
      <w:r>
        <w:t>S</w:t>
      </w:r>
      <w:r w:rsidR="006D6711">
        <w:t xml:space="preserve">ection 133(1)(c) of the Act expressly </w:t>
      </w:r>
      <w:proofErr w:type="spellStart"/>
      <w:r w:rsidR="006D6711">
        <w:t>authorises</w:t>
      </w:r>
      <w:proofErr w:type="spellEnd"/>
      <w:r w:rsidR="006D6711">
        <w:t xml:space="preserve"> the making of exemptions from the requirement for development approval. Th</w:t>
      </w:r>
      <w:r>
        <w:t>e</w:t>
      </w:r>
      <w:r w:rsidR="006D6711">
        <w:t xml:space="preserve"> type</w:t>
      </w:r>
      <w:r>
        <w:t>s</w:t>
      </w:r>
      <w:r w:rsidR="006D6711">
        <w:t xml:space="preserve"> of development </w:t>
      </w:r>
      <w:r w:rsidR="00224372">
        <w:t xml:space="preserve">in the amendment regulation </w:t>
      </w:r>
      <w:r>
        <w:t>are</w:t>
      </w:r>
      <w:r w:rsidR="006D6711">
        <w:t xml:space="preserve"> currently considered exempt from requiring development approval</w:t>
      </w:r>
      <w:r>
        <w:t xml:space="preserve"> under Schedule 1 of the Regulation</w:t>
      </w:r>
      <w:r w:rsidR="006D6711">
        <w:t xml:space="preserve">. </w:t>
      </w:r>
      <w:r>
        <w:t xml:space="preserve">It should also be noted that Schedule 1 of the Regulation also exempts numerous other types of development </w:t>
      </w:r>
      <w:r w:rsidR="006D6711">
        <w:t xml:space="preserve">and the amending regulation would be of a type that is consistent with existing exemptions. </w:t>
      </w:r>
    </w:p>
    <w:p w14:paraId="5769AE24" w14:textId="55F0C6AB" w:rsidR="00FF184D" w:rsidRDefault="006D6711" w:rsidP="002D3603">
      <w:pPr>
        <w:pStyle w:val="BodyText"/>
        <w:tabs>
          <w:tab w:val="left" w:pos="709"/>
        </w:tabs>
        <w:spacing w:before="120" w:line="276" w:lineRule="auto"/>
        <w:ind w:left="567" w:right="174"/>
      </w:pPr>
      <w:r>
        <w:lastRenderedPageBreak/>
        <w:t xml:space="preserve">The </w:t>
      </w:r>
      <w:r w:rsidR="00224372">
        <w:t xml:space="preserve">types of development mentioned in the amending regulation are </w:t>
      </w:r>
      <w:r>
        <w:t>not likely to</w:t>
      </w:r>
      <w:r w:rsidR="00224372">
        <w:t xml:space="preserve"> adversely</w:t>
      </w:r>
      <w:r>
        <w:t xml:space="preserve"> impact on the public, therefore there is no planning or development rationale to require development approval. It is appropriately dealt with through an exemption in the Regulation.</w:t>
      </w:r>
    </w:p>
    <w:p w14:paraId="0C4A8029" w14:textId="77777777" w:rsidR="00FF184D" w:rsidRDefault="00FF184D" w:rsidP="002D3603">
      <w:pPr>
        <w:pStyle w:val="BodyText"/>
        <w:tabs>
          <w:tab w:val="left" w:pos="709"/>
        </w:tabs>
        <w:spacing w:before="5"/>
        <w:ind w:left="567"/>
        <w:rPr>
          <w:sz w:val="16"/>
        </w:rPr>
      </w:pPr>
    </w:p>
    <w:p w14:paraId="212359A5" w14:textId="1E81808C" w:rsidR="00FF184D" w:rsidRDefault="00224372" w:rsidP="002D3603">
      <w:pPr>
        <w:pStyle w:val="BodyText"/>
        <w:tabs>
          <w:tab w:val="left" w:pos="709"/>
        </w:tabs>
        <w:spacing w:line="276" w:lineRule="auto"/>
        <w:ind w:left="567" w:right="167"/>
      </w:pPr>
      <w:r>
        <w:t>In summary, t</w:t>
      </w:r>
      <w:r w:rsidR="006D6711">
        <w:t>he amending regulation does not create a new category of exempt development, rather it modifies the qualifying criteria to retain existing development rights</w:t>
      </w:r>
      <w:r>
        <w:t xml:space="preserve"> and these changes are consistent with the types of development that are </w:t>
      </w:r>
      <w:r w:rsidR="00BD6A0A">
        <w:t xml:space="preserve">already </w:t>
      </w:r>
      <w:r>
        <w:t xml:space="preserve">exempt </w:t>
      </w:r>
      <w:r w:rsidR="00BD6A0A">
        <w:t xml:space="preserve">under </w:t>
      </w:r>
      <w:r>
        <w:t>the Regulation.</w:t>
      </w:r>
    </w:p>
    <w:p w14:paraId="6432E3FC" w14:textId="77777777" w:rsidR="00FF184D" w:rsidRDefault="006D6711" w:rsidP="002D3603">
      <w:pPr>
        <w:pStyle w:val="BodyText"/>
        <w:spacing w:before="119" w:line="276" w:lineRule="auto"/>
        <w:ind w:right="628"/>
      </w:pPr>
      <w:r>
        <w:t>For these reasons, the proposed amendment regulation is considered to be consistent with the Scrutiny of Bills Committee’s principles.</w:t>
      </w:r>
    </w:p>
    <w:p w14:paraId="0F611A9C" w14:textId="5A79F1BE" w:rsidR="00FF184D" w:rsidRPr="00BB0947" w:rsidRDefault="006D6711">
      <w:pPr>
        <w:pStyle w:val="Heading1"/>
        <w:numPr>
          <w:ilvl w:val="1"/>
          <w:numId w:val="4"/>
        </w:numPr>
        <w:tabs>
          <w:tab w:val="left" w:pos="482"/>
        </w:tabs>
        <w:ind w:left="481" w:hanging="362"/>
      </w:pPr>
      <w:bookmarkStart w:id="13" w:name="_bookmark16"/>
      <w:bookmarkEnd w:id="13"/>
      <w:r>
        <w:rPr>
          <w:color w:val="4E81BD"/>
        </w:rPr>
        <w:t>Human Rights</w:t>
      </w:r>
      <w:r>
        <w:rPr>
          <w:color w:val="4E81BD"/>
          <w:spacing w:val="-1"/>
        </w:rPr>
        <w:t xml:space="preserve"> </w:t>
      </w:r>
      <w:r>
        <w:rPr>
          <w:color w:val="4E81BD"/>
        </w:rPr>
        <w:t>analysis</w:t>
      </w:r>
    </w:p>
    <w:p w14:paraId="25DDFC3A" w14:textId="77777777" w:rsidR="00BB0947" w:rsidRDefault="00BB0947" w:rsidP="00BB0947">
      <w:pPr>
        <w:pStyle w:val="BodyText"/>
        <w:spacing w:before="166" w:line="276" w:lineRule="auto"/>
        <w:ind w:left="119" w:right="746"/>
      </w:pPr>
      <w:r>
        <w:t>The amendment regulation potentially engages</w:t>
      </w:r>
      <w:r w:rsidRPr="00224372">
        <w:t xml:space="preserve"> the right of taking part in public life, in particular the right and/or opportunity to take part in the conduct of public affairs, being the development application and approval process. The right is defined in Section 17(a) of the </w:t>
      </w:r>
      <w:r w:rsidRPr="00224372">
        <w:rPr>
          <w:i/>
          <w:iCs/>
        </w:rPr>
        <w:t>Human Rights Act 2004</w:t>
      </w:r>
      <w:r>
        <w:t xml:space="preserve">. </w:t>
      </w:r>
    </w:p>
    <w:p w14:paraId="50220167" w14:textId="77777777" w:rsidR="00BB0947" w:rsidRDefault="00BB0947" w:rsidP="00BB0947">
      <w:pPr>
        <w:pStyle w:val="BodyText"/>
        <w:spacing w:before="166" w:line="276" w:lineRule="auto"/>
        <w:ind w:right="746"/>
      </w:pPr>
      <w:r>
        <w:t>However, the approach proposed is considered to be the least restrictive way of achieving the desired outcome. This is discussed in more detail in the Explanatory Statement.</w:t>
      </w:r>
    </w:p>
    <w:p w14:paraId="7E56FA5C" w14:textId="4839D2CB" w:rsidR="00FF184D" w:rsidRPr="00BB0947" w:rsidRDefault="006D6711" w:rsidP="00BB0947">
      <w:pPr>
        <w:pStyle w:val="Heading1"/>
        <w:numPr>
          <w:ilvl w:val="1"/>
          <w:numId w:val="4"/>
        </w:numPr>
        <w:tabs>
          <w:tab w:val="left" w:pos="480"/>
        </w:tabs>
        <w:ind w:left="481" w:hanging="362"/>
      </w:pPr>
      <w:bookmarkStart w:id="14" w:name="_bookmark17"/>
      <w:bookmarkEnd w:id="14"/>
      <w:r w:rsidRPr="00BB0947">
        <w:rPr>
          <w:color w:val="4E81BD"/>
        </w:rPr>
        <w:t>Transitional</w:t>
      </w:r>
      <w:r w:rsidRPr="00BB0947">
        <w:rPr>
          <w:color w:val="4E81BD"/>
          <w:spacing w:val="-1"/>
        </w:rPr>
        <w:t xml:space="preserve"> </w:t>
      </w:r>
      <w:r w:rsidRPr="00BB0947">
        <w:rPr>
          <w:color w:val="4E81BD"/>
        </w:rPr>
        <w:t>arrangements</w:t>
      </w:r>
    </w:p>
    <w:p w14:paraId="01D117FA" w14:textId="77777777" w:rsidR="00BB0947" w:rsidRDefault="00BB0947" w:rsidP="00BB0947">
      <w:pPr>
        <w:pStyle w:val="BodyText"/>
        <w:spacing w:before="164" w:line="276" w:lineRule="auto"/>
      </w:pPr>
      <w:r>
        <w:t>The proposed regulation does not have retrospective effect. No transitional arrangements are necessary.</w:t>
      </w:r>
    </w:p>
    <w:p w14:paraId="5CA919D6" w14:textId="77777777" w:rsidR="00FF184D" w:rsidRDefault="006D6711" w:rsidP="00BB0947">
      <w:pPr>
        <w:pStyle w:val="Heading1"/>
        <w:numPr>
          <w:ilvl w:val="1"/>
          <w:numId w:val="4"/>
        </w:numPr>
        <w:tabs>
          <w:tab w:val="left" w:pos="480"/>
        </w:tabs>
        <w:ind w:left="481" w:hanging="362"/>
      </w:pPr>
      <w:bookmarkStart w:id="15" w:name="_bookmark18"/>
      <w:bookmarkEnd w:id="15"/>
      <w:r w:rsidRPr="00BB0947">
        <w:rPr>
          <w:color w:val="4E81BD"/>
        </w:rPr>
        <w:t>Mutual Recognition</w:t>
      </w:r>
    </w:p>
    <w:p w14:paraId="5E510C7E" w14:textId="233213B1" w:rsidR="00FF184D" w:rsidRDefault="006D6711">
      <w:pPr>
        <w:pStyle w:val="BodyText"/>
        <w:spacing w:before="166"/>
      </w:pPr>
      <w:r>
        <w:t>There are no mutual recognition issues.</w:t>
      </w:r>
    </w:p>
    <w:p w14:paraId="532A3502" w14:textId="77777777" w:rsidR="00BB0947" w:rsidRDefault="00BB0947">
      <w:pPr>
        <w:pStyle w:val="BodyText"/>
        <w:spacing w:before="166"/>
      </w:pPr>
    </w:p>
    <w:p w14:paraId="6659313C" w14:textId="77777777" w:rsidR="00FF184D" w:rsidRDefault="006D6711">
      <w:pPr>
        <w:pStyle w:val="ListParagraph"/>
        <w:numPr>
          <w:ilvl w:val="0"/>
          <w:numId w:val="4"/>
        </w:numPr>
        <w:tabs>
          <w:tab w:val="left" w:pos="481"/>
        </w:tabs>
        <w:spacing w:before="160"/>
        <w:rPr>
          <w:b/>
          <w:sz w:val="26"/>
        </w:rPr>
      </w:pPr>
      <w:bookmarkStart w:id="16" w:name="_bookmark19"/>
      <w:bookmarkEnd w:id="16"/>
      <w:r>
        <w:rPr>
          <w:b/>
          <w:color w:val="1E487C"/>
          <w:sz w:val="26"/>
        </w:rPr>
        <w:t>Conclusion</w:t>
      </w:r>
    </w:p>
    <w:p w14:paraId="06C2C77B" w14:textId="64BA6C7C" w:rsidR="00FF184D" w:rsidRPr="007746A2" w:rsidRDefault="006D6711" w:rsidP="007746A2">
      <w:pPr>
        <w:pStyle w:val="BodyText"/>
        <w:spacing w:line="276" w:lineRule="auto"/>
        <w:ind w:left="119"/>
      </w:pPr>
      <w:r w:rsidRPr="007746A2">
        <w:t xml:space="preserve">The proposed </w:t>
      </w:r>
      <w:r w:rsidR="00F347A7" w:rsidRPr="007746A2">
        <w:t>regulation</w:t>
      </w:r>
      <w:r w:rsidRPr="007746A2">
        <w:t xml:space="preserve"> amendment </w:t>
      </w:r>
      <w:r w:rsidR="00F347A7" w:rsidRPr="007746A2">
        <w:t>extends the existing exemptions for electric vehicle charging points, works on school sites and minor public works. Th</w:t>
      </w:r>
      <w:r w:rsidR="005E2430" w:rsidRPr="007746A2">
        <w:t>is will assist in streamlining the planning approvals process for these developments, create efficiencies, reduce red tape and decrease regulatory burden.</w:t>
      </w:r>
      <w:r w:rsidR="00AA378A" w:rsidRPr="007746A2">
        <w:t xml:space="preserve"> It is considered that the regulatory impact of removing these developments from the development application is reasonable and justified, given the low impact nature of the developments and that these developments are unlikely to affect the general public or </w:t>
      </w:r>
      <w:proofErr w:type="spellStart"/>
      <w:r w:rsidR="00274D23">
        <w:t>neighbouring</w:t>
      </w:r>
      <w:proofErr w:type="spellEnd"/>
      <w:r w:rsidR="00AA378A" w:rsidRPr="007746A2">
        <w:t xml:space="preserve"> lessees.</w:t>
      </w:r>
    </w:p>
    <w:sectPr w:rsidR="00FF184D" w:rsidRPr="007746A2">
      <w:pgSz w:w="11910" w:h="16840"/>
      <w:pgMar w:top="960" w:right="1320" w:bottom="1080" w:left="13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9BF44" w14:textId="77777777" w:rsidR="007A2E0F" w:rsidRDefault="007A2E0F">
      <w:r>
        <w:separator/>
      </w:r>
    </w:p>
  </w:endnote>
  <w:endnote w:type="continuationSeparator" w:id="0">
    <w:p w14:paraId="41E1000F" w14:textId="77777777" w:rsidR="007A2E0F" w:rsidRDefault="007A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24DF" w14:textId="70E5C207" w:rsidR="00DA1912" w:rsidRPr="00E93FE9" w:rsidRDefault="00E93FE9" w:rsidP="00E93FE9">
    <w:pPr>
      <w:jc w:val="center"/>
      <w:rPr>
        <w:rFonts w:ascii="Arial" w:hAnsi="Arial" w:cs="Arial"/>
        <w:sz w:val="14"/>
        <w:szCs w:val="14"/>
      </w:rPr>
    </w:pPr>
    <w:r w:rsidRPr="00E93FE9">
      <w:rPr>
        <w:rFonts w:ascii="Arial" w:hAnsi="Arial" w:cs="Arial"/>
        <w:sz w:val="14"/>
        <w:szCs w:val="14"/>
      </w:rPr>
      <w:pict w14:anchorId="45C7D951">
        <v:shapetype id="_x0000_t202" coordsize="21600,21600" o:spt="202" path="m,l,21600r21600,l21600,xe">
          <v:stroke joinstyle="miter"/>
          <v:path gradientshapeok="t" o:connecttype="rect"/>
        </v:shapetype>
        <v:shape id="_x0000_s2050" type="#_x0000_t202" style="position:absolute;left:0;text-align:left;margin-left:509.15pt;margin-top:786.25pt;width:17.2pt;height:13pt;z-index:-251658752;mso-position-horizontal-relative:page;mso-position-vertical-relative:page" filled="f" stroked="f">
          <v:textbox inset="0,0,0,0">
            <w:txbxContent>
              <w:p w14:paraId="672A519A" w14:textId="77777777" w:rsidR="00DA1912" w:rsidRDefault="00DA1912">
                <w:pPr>
                  <w:pStyle w:val="BodyText"/>
                  <w:spacing w:line="244" w:lineRule="exact"/>
                  <w:ind w:left="60"/>
                </w:pPr>
                <w:r>
                  <w:fldChar w:fldCharType="begin"/>
                </w:r>
                <w:r>
                  <w:instrText xml:space="preserve"> PAGE </w:instrText>
                </w:r>
                <w:r>
                  <w:fldChar w:fldCharType="separate"/>
                </w:r>
                <w:r>
                  <w:t>10</w:t>
                </w:r>
                <w:r>
                  <w:fldChar w:fldCharType="end"/>
                </w:r>
              </w:p>
            </w:txbxContent>
          </v:textbox>
          <w10:wrap anchorx="page" anchory="page"/>
        </v:shape>
      </w:pict>
    </w:r>
    <w:proofErr w:type="spellStart"/>
    <w:r w:rsidR="00A73EB5" w:rsidRPr="00E93FE9">
      <w:rPr>
        <w:rFonts w:ascii="Arial" w:hAnsi="Arial" w:cs="Arial"/>
        <w:sz w:val="14"/>
        <w:szCs w:val="14"/>
      </w:rPr>
      <w:t>Unauthorised</w:t>
    </w:r>
    <w:proofErr w:type="spellEnd"/>
    <w:r w:rsidR="00A73EB5" w:rsidRPr="00E93FE9">
      <w:rPr>
        <w:rFonts w:ascii="Arial" w:hAnsi="Arial" w:cs="Arial"/>
        <w:sz w:val="14"/>
        <w:szCs w:val="14"/>
      </w:rPr>
      <w:t xml:space="preserve">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1A66F" w14:textId="77777777" w:rsidR="007A2E0F" w:rsidRDefault="007A2E0F">
      <w:r>
        <w:separator/>
      </w:r>
    </w:p>
  </w:footnote>
  <w:footnote w:type="continuationSeparator" w:id="0">
    <w:p w14:paraId="75FFD2D8" w14:textId="77777777" w:rsidR="007A2E0F" w:rsidRDefault="007A2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3B99"/>
    <w:multiLevelType w:val="multilevel"/>
    <w:tmpl w:val="B726A390"/>
    <w:lvl w:ilvl="0">
      <w:start w:val="1"/>
      <w:numFmt w:val="decimal"/>
      <w:lvlText w:val="%1."/>
      <w:lvlJc w:val="left"/>
      <w:pPr>
        <w:ind w:left="480" w:hanging="361"/>
      </w:pPr>
      <w:rPr>
        <w:rFonts w:hint="default"/>
        <w:b/>
        <w:bCs/>
        <w:w w:val="100"/>
      </w:rPr>
    </w:lvl>
    <w:lvl w:ilvl="1">
      <w:start w:val="1"/>
      <w:numFmt w:val="decimal"/>
      <w:lvlText w:val="%1.%2"/>
      <w:lvlJc w:val="left"/>
      <w:pPr>
        <w:ind w:left="481" w:hanging="362"/>
      </w:pPr>
      <w:rPr>
        <w:rFonts w:ascii="Calibri" w:eastAsia="Calibri" w:hAnsi="Calibri" w:cs="Calibri" w:hint="default"/>
        <w:b/>
        <w:bCs/>
        <w:color w:val="4E81BD"/>
        <w:spacing w:val="-1"/>
        <w:w w:val="100"/>
        <w:sz w:val="24"/>
        <w:szCs w:val="24"/>
      </w:rPr>
    </w:lvl>
    <w:lvl w:ilvl="2">
      <w:numFmt w:val="bullet"/>
      <w:lvlText w:val=""/>
      <w:lvlJc w:val="left"/>
      <w:pPr>
        <w:ind w:left="839" w:hanging="360"/>
      </w:pPr>
      <w:rPr>
        <w:rFonts w:ascii="Symbol" w:eastAsia="Symbol" w:hAnsi="Symbol" w:cs="Symbol" w:hint="default"/>
        <w:w w:val="99"/>
        <w:sz w:val="22"/>
        <w:szCs w:val="22"/>
      </w:rPr>
    </w:lvl>
    <w:lvl w:ilvl="3">
      <w:numFmt w:val="bullet"/>
      <w:lvlText w:val="•"/>
      <w:lvlJc w:val="left"/>
      <w:pPr>
        <w:ind w:left="2712" w:hanging="360"/>
      </w:pPr>
      <w:rPr>
        <w:rFonts w:hint="default"/>
      </w:rPr>
    </w:lvl>
    <w:lvl w:ilvl="4">
      <w:numFmt w:val="bullet"/>
      <w:lvlText w:val="•"/>
      <w:lvlJc w:val="left"/>
      <w:pPr>
        <w:ind w:left="3648" w:hanging="360"/>
      </w:pPr>
      <w:rPr>
        <w:rFonts w:hint="default"/>
      </w:rPr>
    </w:lvl>
    <w:lvl w:ilvl="5">
      <w:numFmt w:val="bullet"/>
      <w:lvlText w:val="•"/>
      <w:lvlJc w:val="left"/>
      <w:pPr>
        <w:ind w:left="4584" w:hanging="360"/>
      </w:pPr>
      <w:rPr>
        <w:rFonts w:hint="default"/>
      </w:rPr>
    </w:lvl>
    <w:lvl w:ilvl="6">
      <w:numFmt w:val="bullet"/>
      <w:lvlText w:val="•"/>
      <w:lvlJc w:val="left"/>
      <w:pPr>
        <w:ind w:left="5520" w:hanging="360"/>
      </w:pPr>
      <w:rPr>
        <w:rFonts w:hint="default"/>
      </w:rPr>
    </w:lvl>
    <w:lvl w:ilvl="7">
      <w:numFmt w:val="bullet"/>
      <w:lvlText w:val="•"/>
      <w:lvlJc w:val="left"/>
      <w:pPr>
        <w:ind w:left="6456" w:hanging="360"/>
      </w:pPr>
      <w:rPr>
        <w:rFonts w:hint="default"/>
      </w:rPr>
    </w:lvl>
    <w:lvl w:ilvl="8">
      <w:numFmt w:val="bullet"/>
      <w:lvlText w:val="•"/>
      <w:lvlJc w:val="left"/>
      <w:pPr>
        <w:ind w:left="7392" w:hanging="360"/>
      </w:pPr>
      <w:rPr>
        <w:rFonts w:hint="default"/>
      </w:rPr>
    </w:lvl>
  </w:abstractNum>
  <w:abstractNum w:abstractNumId="1" w15:restartNumberingAfterBreak="0">
    <w:nsid w:val="0C501920"/>
    <w:multiLevelType w:val="multilevel"/>
    <w:tmpl w:val="7BA4E428"/>
    <w:lvl w:ilvl="0">
      <w:start w:val="4"/>
      <w:numFmt w:val="decimal"/>
      <w:lvlText w:val="%1"/>
      <w:lvlJc w:val="left"/>
      <w:pPr>
        <w:ind w:left="667" w:hanging="328"/>
      </w:pPr>
      <w:rPr>
        <w:rFonts w:hint="default"/>
      </w:rPr>
    </w:lvl>
    <w:lvl w:ilvl="1">
      <w:start w:val="3"/>
      <w:numFmt w:val="decimal"/>
      <w:lvlText w:val="%1.%2"/>
      <w:lvlJc w:val="left"/>
      <w:pPr>
        <w:ind w:left="667" w:hanging="328"/>
      </w:pPr>
      <w:rPr>
        <w:rFonts w:ascii="Calibri" w:eastAsia="Calibri" w:hAnsi="Calibri" w:cs="Calibri" w:hint="default"/>
        <w:w w:val="99"/>
        <w:sz w:val="22"/>
        <w:szCs w:val="22"/>
      </w:rPr>
    </w:lvl>
    <w:lvl w:ilvl="2">
      <w:numFmt w:val="bullet"/>
      <w:lvlText w:val="•"/>
      <w:lvlJc w:val="left"/>
      <w:pPr>
        <w:ind w:left="2380" w:hanging="328"/>
      </w:pPr>
      <w:rPr>
        <w:rFonts w:hint="default"/>
      </w:rPr>
    </w:lvl>
    <w:lvl w:ilvl="3">
      <w:numFmt w:val="bullet"/>
      <w:lvlText w:val="•"/>
      <w:lvlJc w:val="left"/>
      <w:pPr>
        <w:ind w:left="3241" w:hanging="328"/>
      </w:pPr>
      <w:rPr>
        <w:rFonts w:hint="default"/>
      </w:rPr>
    </w:lvl>
    <w:lvl w:ilvl="4">
      <w:numFmt w:val="bullet"/>
      <w:lvlText w:val="•"/>
      <w:lvlJc w:val="left"/>
      <w:pPr>
        <w:ind w:left="4101" w:hanging="328"/>
      </w:pPr>
      <w:rPr>
        <w:rFonts w:hint="default"/>
      </w:rPr>
    </w:lvl>
    <w:lvl w:ilvl="5">
      <w:numFmt w:val="bullet"/>
      <w:lvlText w:val="•"/>
      <w:lvlJc w:val="left"/>
      <w:pPr>
        <w:ind w:left="4962" w:hanging="328"/>
      </w:pPr>
      <w:rPr>
        <w:rFonts w:hint="default"/>
      </w:rPr>
    </w:lvl>
    <w:lvl w:ilvl="6">
      <w:numFmt w:val="bullet"/>
      <w:lvlText w:val="•"/>
      <w:lvlJc w:val="left"/>
      <w:pPr>
        <w:ind w:left="5822" w:hanging="328"/>
      </w:pPr>
      <w:rPr>
        <w:rFonts w:hint="default"/>
      </w:rPr>
    </w:lvl>
    <w:lvl w:ilvl="7">
      <w:numFmt w:val="bullet"/>
      <w:lvlText w:val="•"/>
      <w:lvlJc w:val="left"/>
      <w:pPr>
        <w:ind w:left="6683" w:hanging="328"/>
      </w:pPr>
      <w:rPr>
        <w:rFonts w:hint="default"/>
      </w:rPr>
    </w:lvl>
    <w:lvl w:ilvl="8">
      <w:numFmt w:val="bullet"/>
      <w:lvlText w:val="•"/>
      <w:lvlJc w:val="left"/>
      <w:pPr>
        <w:ind w:left="7543" w:hanging="328"/>
      </w:pPr>
      <w:rPr>
        <w:rFonts w:hint="default"/>
      </w:rPr>
    </w:lvl>
  </w:abstractNum>
  <w:abstractNum w:abstractNumId="2" w15:restartNumberingAfterBreak="0">
    <w:nsid w:val="15CB3A21"/>
    <w:multiLevelType w:val="hybridMultilevel"/>
    <w:tmpl w:val="82706720"/>
    <w:lvl w:ilvl="0" w:tplc="AECEC774">
      <w:start w:val="1"/>
      <w:numFmt w:val="lowerLetter"/>
      <w:lvlText w:val="(%1)"/>
      <w:lvlJc w:val="left"/>
      <w:pPr>
        <w:ind w:left="119" w:hanging="289"/>
      </w:pPr>
      <w:rPr>
        <w:rFonts w:ascii="Calibri" w:eastAsia="Calibri" w:hAnsi="Calibri" w:cs="Calibri" w:hint="default"/>
        <w:spacing w:val="-1"/>
        <w:w w:val="99"/>
        <w:sz w:val="22"/>
        <w:szCs w:val="22"/>
      </w:rPr>
    </w:lvl>
    <w:lvl w:ilvl="1" w:tplc="23F24D52">
      <w:numFmt w:val="bullet"/>
      <w:lvlText w:val="•"/>
      <w:lvlJc w:val="left"/>
      <w:pPr>
        <w:ind w:left="1034" w:hanging="289"/>
      </w:pPr>
      <w:rPr>
        <w:rFonts w:hint="default"/>
      </w:rPr>
    </w:lvl>
    <w:lvl w:ilvl="2" w:tplc="A1C4750E">
      <w:numFmt w:val="bullet"/>
      <w:lvlText w:val="•"/>
      <w:lvlJc w:val="left"/>
      <w:pPr>
        <w:ind w:left="1948" w:hanging="289"/>
      </w:pPr>
      <w:rPr>
        <w:rFonts w:hint="default"/>
      </w:rPr>
    </w:lvl>
    <w:lvl w:ilvl="3" w:tplc="1BAAC870">
      <w:numFmt w:val="bullet"/>
      <w:lvlText w:val="•"/>
      <w:lvlJc w:val="left"/>
      <w:pPr>
        <w:ind w:left="2863" w:hanging="289"/>
      </w:pPr>
      <w:rPr>
        <w:rFonts w:hint="default"/>
      </w:rPr>
    </w:lvl>
    <w:lvl w:ilvl="4" w:tplc="E94A43EA">
      <w:numFmt w:val="bullet"/>
      <w:lvlText w:val="•"/>
      <w:lvlJc w:val="left"/>
      <w:pPr>
        <w:ind w:left="3777" w:hanging="289"/>
      </w:pPr>
      <w:rPr>
        <w:rFonts w:hint="default"/>
      </w:rPr>
    </w:lvl>
    <w:lvl w:ilvl="5" w:tplc="CBF4E15A">
      <w:numFmt w:val="bullet"/>
      <w:lvlText w:val="•"/>
      <w:lvlJc w:val="left"/>
      <w:pPr>
        <w:ind w:left="4692" w:hanging="289"/>
      </w:pPr>
      <w:rPr>
        <w:rFonts w:hint="default"/>
      </w:rPr>
    </w:lvl>
    <w:lvl w:ilvl="6" w:tplc="DC125D46">
      <w:numFmt w:val="bullet"/>
      <w:lvlText w:val="•"/>
      <w:lvlJc w:val="left"/>
      <w:pPr>
        <w:ind w:left="5606" w:hanging="289"/>
      </w:pPr>
      <w:rPr>
        <w:rFonts w:hint="default"/>
      </w:rPr>
    </w:lvl>
    <w:lvl w:ilvl="7" w:tplc="B3CA03FA">
      <w:numFmt w:val="bullet"/>
      <w:lvlText w:val="•"/>
      <w:lvlJc w:val="left"/>
      <w:pPr>
        <w:ind w:left="6521" w:hanging="289"/>
      </w:pPr>
      <w:rPr>
        <w:rFonts w:hint="default"/>
      </w:rPr>
    </w:lvl>
    <w:lvl w:ilvl="8" w:tplc="E91EE272">
      <w:numFmt w:val="bullet"/>
      <w:lvlText w:val="•"/>
      <w:lvlJc w:val="left"/>
      <w:pPr>
        <w:ind w:left="7435" w:hanging="289"/>
      </w:pPr>
      <w:rPr>
        <w:rFonts w:hint="default"/>
      </w:rPr>
    </w:lvl>
  </w:abstractNum>
  <w:abstractNum w:abstractNumId="3" w15:restartNumberingAfterBreak="0">
    <w:nsid w:val="20355AD5"/>
    <w:multiLevelType w:val="hybridMultilevel"/>
    <w:tmpl w:val="CBBC63A0"/>
    <w:lvl w:ilvl="0" w:tplc="7B4455DC">
      <w:start w:val="1"/>
      <w:numFmt w:val="lowerLetter"/>
      <w:lvlText w:val="(%1)"/>
      <w:lvlJc w:val="left"/>
      <w:pPr>
        <w:ind w:left="1560" w:hanging="720"/>
      </w:pPr>
      <w:rPr>
        <w:rFonts w:ascii="Calibri" w:eastAsia="Calibri" w:hAnsi="Calibri" w:cs="Calibri" w:hint="default"/>
        <w:spacing w:val="-1"/>
        <w:w w:val="99"/>
        <w:sz w:val="22"/>
        <w:szCs w:val="22"/>
      </w:rPr>
    </w:lvl>
    <w:lvl w:ilvl="1" w:tplc="667E8C40">
      <w:numFmt w:val="bullet"/>
      <w:lvlText w:val="•"/>
      <w:lvlJc w:val="left"/>
      <w:pPr>
        <w:ind w:left="2330" w:hanging="720"/>
      </w:pPr>
      <w:rPr>
        <w:rFonts w:hint="default"/>
      </w:rPr>
    </w:lvl>
    <w:lvl w:ilvl="2" w:tplc="0E541DF8">
      <w:numFmt w:val="bullet"/>
      <w:lvlText w:val="•"/>
      <w:lvlJc w:val="left"/>
      <w:pPr>
        <w:ind w:left="3100" w:hanging="720"/>
      </w:pPr>
      <w:rPr>
        <w:rFonts w:hint="default"/>
      </w:rPr>
    </w:lvl>
    <w:lvl w:ilvl="3" w:tplc="25AA468A">
      <w:numFmt w:val="bullet"/>
      <w:lvlText w:val="•"/>
      <w:lvlJc w:val="left"/>
      <w:pPr>
        <w:ind w:left="3871" w:hanging="720"/>
      </w:pPr>
      <w:rPr>
        <w:rFonts w:hint="default"/>
      </w:rPr>
    </w:lvl>
    <w:lvl w:ilvl="4" w:tplc="6A20CE84">
      <w:numFmt w:val="bullet"/>
      <w:lvlText w:val="•"/>
      <w:lvlJc w:val="left"/>
      <w:pPr>
        <w:ind w:left="4641" w:hanging="720"/>
      </w:pPr>
      <w:rPr>
        <w:rFonts w:hint="default"/>
      </w:rPr>
    </w:lvl>
    <w:lvl w:ilvl="5" w:tplc="3A9A80B4">
      <w:numFmt w:val="bullet"/>
      <w:lvlText w:val="•"/>
      <w:lvlJc w:val="left"/>
      <w:pPr>
        <w:ind w:left="5412" w:hanging="720"/>
      </w:pPr>
      <w:rPr>
        <w:rFonts w:hint="default"/>
      </w:rPr>
    </w:lvl>
    <w:lvl w:ilvl="6" w:tplc="DF566C3E">
      <w:numFmt w:val="bullet"/>
      <w:lvlText w:val="•"/>
      <w:lvlJc w:val="left"/>
      <w:pPr>
        <w:ind w:left="6182" w:hanging="720"/>
      </w:pPr>
      <w:rPr>
        <w:rFonts w:hint="default"/>
      </w:rPr>
    </w:lvl>
    <w:lvl w:ilvl="7" w:tplc="FB8A653E">
      <w:numFmt w:val="bullet"/>
      <w:lvlText w:val="•"/>
      <w:lvlJc w:val="left"/>
      <w:pPr>
        <w:ind w:left="6953" w:hanging="720"/>
      </w:pPr>
      <w:rPr>
        <w:rFonts w:hint="default"/>
      </w:rPr>
    </w:lvl>
    <w:lvl w:ilvl="8" w:tplc="712037EE">
      <w:numFmt w:val="bullet"/>
      <w:lvlText w:val="•"/>
      <w:lvlJc w:val="left"/>
      <w:pPr>
        <w:ind w:left="7723" w:hanging="720"/>
      </w:pPr>
      <w:rPr>
        <w:rFonts w:hint="default"/>
      </w:rPr>
    </w:lvl>
  </w:abstractNum>
  <w:abstractNum w:abstractNumId="4" w15:restartNumberingAfterBreak="0">
    <w:nsid w:val="4F2635C0"/>
    <w:multiLevelType w:val="multilevel"/>
    <w:tmpl w:val="E7D435EC"/>
    <w:lvl w:ilvl="0">
      <w:start w:val="3"/>
      <w:numFmt w:val="decimal"/>
      <w:lvlText w:val="%1."/>
      <w:lvlJc w:val="left"/>
      <w:pPr>
        <w:ind w:left="480" w:hanging="361"/>
      </w:pPr>
      <w:rPr>
        <w:rFonts w:ascii="Calibri" w:eastAsia="Calibri" w:hAnsi="Calibri" w:cs="Calibri" w:hint="default"/>
        <w:b/>
        <w:bCs/>
        <w:color w:val="1E487C"/>
        <w:w w:val="100"/>
        <w:sz w:val="26"/>
        <w:szCs w:val="26"/>
      </w:rPr>
    </w:lvl>
    <w:lvl w:ilvl="1">
      <w:start w:val="1"/>
      <w:numFmt w:val="decimal"/>
      <w:lvlText w:val="%1.%2"/>
      <w:lvlJc w:val="left"/>
      <w:pPr>
        <w:ind w:left="480" w:hanging="360"/>
      </w:pPr>
      <w:rPr>
        <w:rFonts w:ascii="Calibri" w:eastAsia="Calibri" w:hAnsi="Calibri" w:cs="Calibri" w:hint="default"/>
        <w:b/>
        <w:bCs/>
        <w:color w:val="4E81BD"/>
        <w:spacing w:val="-1"/>
        <w:w w:val="100"/>
        <w:sz w:val="24"/>
        <w:szCs w:val="24"/>
      </w:rPr>
    </w:lvl>
    <w:lvl w:ilvl="2">
      <w:numFmt w:val="bullet"/>
      <w:lvlText w:val="•"/>
      <w:lvlJc w:val="left"/>
      <w:pPr>
        <w:ind w:left="2236" w:hanging="360"/>
      </w:pPr>
      <w:rPr>
        <w:rFonts w:hint="default"/>
      </w:rPr>
    </w:lvl>
    <w:lvl w:ilvl="3">
      <w:numFmt w:val="bullet"/>
      <w:lvlText w:val="•"/>
      <w:lvlJc w:val="left"/>
      <w:pPr>
        <w:ind w:left="3115" w:hanging="360"/>
      </w:pPr>
      <w:rPr>
        <w:rFonts w:hint="default"/>
      </w:rPr>
    </w:lvl>
    <w:lvl w:ilvl="4">
      <w:numFmt w:val="bullet"/>
      <w:lvlText w:val="•"/>
      <w:lvlJc w:val="left"/>
      <w:pPr>
        <w:ind w:left="3993" w:hanging="360"/>
      </w:pPr>
      <w:rPr>
        <w:rFonts w:hint="default"/>
      </w:rPr>
    </w:lvl>
    <w:lvl w:ilvl="5">
      <w:numFmt w:val="bullet"/>
      <w:lvlText w:val="•"/>
      <w:lvlJc w:val="left"/>
      <w:pPr>
        <w:ind w:left="4872" w:hanging="360"/>
      </w:pPr>
      <w:rPr>
        <w:rFonts w:hint="default"/>
      </w:rPr>
    </w:lvl>
    <w:lvl w:ilvl="6">
      <w:numFmt w:val="bullet"/>
      <w:lvlText w:val="•"/>
      <w:lvlJc w:val="left"/>
      <w:pPr>
        <w:ind w:left="5750" w:hanging="360"/>
      </w:pPr>
      <w:rPr>
        <w:rFonts w:hint="default"/>
      </w:rPr>
    </w:lvl>
    <w:lvl w:ilvl="7">
      <w:numFmt w:val="bullet"/>
      <w:lvlText w:val="•"/>
      <w:lvlJc w:val="left"/>
      <w:pPr>
        <w:ind w:left="6629" w:hanging="360"/>
      </w:pPr>
      <w:rPr>
        <w:rFonts w:hint="default"/>
      </w:rPr>
    </w:lvl>
    <w:lvl w:ilvl="8">
      <w:numFmt w:val="bullet"/>
      <w:lvlText w:val="•"/>
      <w:lvlJc w:val="left"/>
      <w:pPr>
        <w:ind w:left="7507" w:hanging="360"/>
      </w:pPr>
      <w:rPr>
        <w:rFonts w:hint="default"/>
      </w:rPr>
    </w:lvl>
  </w:abstractNum>
  <w:abstractNum w:abstractNumId="5" w15:restartNumberingAfterBreak="0">
    <w:nsid w:val="506A35EC"/>
    <w:multiLevelType w:val="multilevel"/>
    <w:tmpl w:val="CE788CAC"/>
    <w:lvl w:ilvl="0">
      <w:start w:val="1"/>
      <w:numFmt w:val="decimal"/>
      <w:lvlText w:val="%1."/>
      <w:lvlJc w:val="left"/>
      <w:pPr>
        <w:ind w:left="480" w:hanging="361"/>
      </w:pPr>
      <w:rPr>
        <w:rFonts w:hint="default"/>
        <w:b/>
        <w:bCs/>
        <w:w w:val="100"/>
      </w:rPr>
    </w:lvl>
    <w:lvl w:ilvl="1">
      <w:start w:val="1"/>
      <w:numFmt w:val="decimal"/>
      <w:lvlText w:val="%1.%2"/>
      <w:lvlJc w:val="left"/>
      <w:pPr>
        <w:ind w:left="481" w:hanging="362"/>
      </w:pPr>
      <w:rPr>
        <w:rFonts w:ascii="Calibri" w:eastAsia="Calibri" w:hAnsi="Calibri" w:cs="Calibri" w:hint="default"/>
        <w:b/>
        <w:bCs/>
        <w:color w:val="4E81BD"/>
        <w:spacing w:val="-1"/>
        <w:w w:val="100"/>
        <w:sz w:val="24"/>
        <w:szCs w:val="24"/>
      </w:rPr>
    </w:lvl>
    <w:lvl w:ilvl="2">
      <w:numFmt w:val="bullet"/>
      <w:lvlText w:val=""/>
      <w:lvlJc w:val="left"/>
      <w:pPr>
        <w:ind w:left="839" w:hanging="360"/>
      </w:pPr>
      <w:rPr>
        <w:rFonts w:ascii="Symbol" w:eastAsia="Symbol" w:hAnsi="Symbol" w:cs="Symbol" w:hint="default"/>
        <w:w w:val="99"/>
        <w:sz w:val="22"/>
        <w:szCs w:val="22"/>
      </w:rPr>
    </w:lvl>
    <w:lvl w:ilvl="3">
      <w:start w:val="1"/>
      <w:numFmt w:val="bullet"/>
      <w:lvlText w:val="o"/>
      <w:lvlJc w:val="left"/>
      <w:pPr>
        <w:ind w:left="2712" w:hanging="360"/>
      </w:pPr>
      <w:rPr>
        <w:rFonts w:ascii="Courier New" w:hAnsi="Courier New" w:cs="Courier New" w:hint="default"/>
      </w:rPr>
    </w:lvl>
    <w:lvl w:ilvl="4">
      <w:numFmt w:val="bullet"/>
      <w:lvlText w:val="•"/>
      <w:lvlJc w:val="left"/>
      <w:pPr>
        <w:ind w:left="3648" w:hanging="360"/>
      </w:pPr>
      <w:rPr>
        <w:rFonts w:hint="default"/>
      </w:rPr>
    </w:lvl>
    <w:lvl w:ilvl="5">
      <w:numFmt w:val="bullet"/>
      <w:lvlText w:val="•"/>
      <w:lvlJc w:val="left"/>
      <w:pPr>
        <w:ind w:left="4584" w:hanging="360"/>
      </w:pPr>
      <w:rPr>
        <w:rFonts w:hint="default"/>
      </w:rPr>
    </w:lvl>
    <w:lvl w:ilvl="6">
      <w:numFmt w:val="bullet"/>
      <w:lvlText w:val="•"/>
      <w:lvlJc w:val="left"/>
      <w:pPr>
        <w:ind w:left="5520" w:hanging="360"/>
      </w:pPr>
      <w:rPr>
        <w:rFonts w:hint="default"/>
      </w:rPr>
    </w:lvl>
    <w:lvl w:ilvl="7">
      <w:numFmt w:val="bullet"/>
      <w:lvlText w:val="•"/>
      <w:lvlJc w:val="left"/>
      <w:pPr>
        <w:ind w:left="6456" w:hanging="360"/>
      </w:pPr>
      <w:rPr>
        <w:rFonts w:hint="default"/>
      </w:rPr>
    </w:lvl>
    <w:lvl w:ilvl="8">
      <w:numFmt w:val="bullet"/>
      <w:lvlText w:val="•"/>
      <w:lvlJc w:val="left"/>
      <w:pPr>
        <w:ind w:left="7392" w:hanging="360"/>
      </w:pPr>
      <w:rPr>
        <w:rFonts w:hint="default"/>
      </w:rPr>
    </w:lvl>
  </w:abstractNum>
  <w:abstractNum w:abstractNumId="6" w15:restartNumberingAfterBreak="0">
    <w:nsid w:val="58A33887"/>
    <w:multiLevelType w:val="hybridMultilevel"/>
    <w:tmpl w:val="A476F3D0"/>
    <w:lvl w:ilvl="0" w:tplc="3BB4CECC">
      <w:start w:val="1"/>
      <w:numFmt w:val="decimal"/>
      <w:lvlText w:val="%1."/>
      <w:lvlJc w:val="left"/>
      <w:pPr>
        <w:ind w:left="840" w:hanging="361"/>
      </w:pPr>
      <w:rPr>
        <w:rFonts w:ascii="Calibri" w:eastAsia="Calibri" w:hAnsi="Calibri" w:cs="Calibri" w:hint="default"/>
        <w:w w:val="99"/>
        <w:sz w:val="22"/>
        <w:szCs w:val="22"/>
      </w:rPr>
    </w:lvl>
    <w:lvl w:ilvl="1" w:tplc="168C5B34">
      <w:numFmt w:val="bullet"/>
      <w:lvlText w:val="•"/>
      <w:lvlJc w:val="left"/>
      <w:pPr>
        <w:ind w:left="1682" w:hanging="361"/>
      </w:pPr>
      <w:rPr>
        <w:rFonts w:hint="default"/>
      </w:rPr>
    </w:lvl>
    <w:lvl w:ilvl="2" w:tplc="6EDC90BE">
      <w:numFmt w:val="bullet"/>
      <w:lvlText w:val="•"/>
      <w:lvlJc w:val="left"/>
      <w:pPr>
        <w:ind w:left="2524" w:hanging="361"/>
      </w:pPr>
      <w:rPr>
        <w:rFonts w:hint="default"/>
      </w:rPr>
    </w:lvl>
    <w:lvl w:ilvl="3" w:tplc="6166DEC6">
      <w:numFmt w:val="bullet"/>
      <w:lvlText w:val="•"/>
      <w:lvlJc w:val="left"/>
      <w:pPr>
        <w:ind w:left="3367" w:hanging="361"/>
      </w:pPr>
      <w:rPr>
        <w:rFonts w:hint="default"/>
      </w:rPr>
    </w:lvl>
    <w:lvl w:ilvl="4" w:tplc="E152AD94">
      <w:numFmt w:val="bullet"/>
      <w:lvlText w:val="•"/>
      <w:lvlJc w:val="left"/>
      <w:pPr>
        <w:ind w:left="4209" w:hanging="361"/>
      </w:pPr>
      <w:rPr>
        <w:rFonts w:hint="default"/>
      </w:rPr>
    </w:lvl>
    <w:lvl w:ilvl="5" w:tplc="8D98AC82">
      <w:numFmt w:val="bullet"/>
      <w:lvlText w:val="•"/>
      <w:lvlJc w:val="left"/>
      <w:pPr>
        <w:ind w:left="5052" w:hanging="361"/>
      </w:pPr>
      <w:rPr>
        <w:rFonts w:hint="default"/>
      </w:rPr>
    </w:lvl>
    <w:lvl w:ilvl="6" w:tplc="8CCC02CE">
      <w:numFmt w:val="bullet"/>
      <w:lvlText w:val="•"/>
      <w:lvlJc w:val="left"/>
      <w:pPr>
        <w:ind w:left="5894" w:hanging="361"/>
      </w:pPr>
      <w:rPr>
        <w:rFonts w:hint="default"/>
      </w:rPr>
    </w:lvl>
    <w:lvl w:ilvl="7" w:tplc="FAD2FEEA">
      <w:numFmt w:val="bullet"/>
      <w:lvlText w:val="•"/>
      <w:lvlJc w:val="left"/>
      <w:pPr>
        <w:ind w:left="6737" w:hanging="361"/>
      </w:pPr>
      <w:rPr>
        <w:rFonts w:hint="default"/>
      </w:rPr>
    </w:lvl>
    <w:lvl w:ilvl="8" w:tplc="F4BE9C94">
      <w:numFmt w:val="bullet"/>
      <w:lvlText w:val="•"/>
      <w:lvlJc w:val="left"/>
      <w:pPr>
        <w:ind w:left="7579" w:hanging="361"/>
      </w:pPr>
      <w:rPr>
        <w:rFonts w:hint="default"/>
      </w:rPr>
    </w:lvl>
  </w:abstractNum>
  <w:abstractNum w:abstractNumId="7" w15:restartNumberingAfterBreak="0">
    <w:nsid w:val="623C60F3"/>
    <w:multiLevelType w:val="multilevel"/>
    <w:tmpl w:val="94EA6A3A"/>
    <w:lvl w:ilvl="0">
      <w:start w:val="1"/>
      <w:numFmt w:val="decimal"/>
      <w:lvlText w:val="%1."/>
      <w:lvlJc w:val="left"/>
      <w:pPr>
        <w:ind w:left="779" w:hanging="441"/>
      </w:pPr>
      <w:rPr>
        <w:rFonts w:ascii="Calibri" w:eastAsia="Calibri" w:hAnsi="Calibri" w:cs="Calibri" w:hint="default"/>
        <w:w w:val="99"/>
        <w:sz w:val="22"/>
        <w:szCs w:val="22"/>
      </w:rPr>
    </w:lvl>
    <w:lvl w:ilvl="1">
      <w:start w:val="1"/>
      <w:numFmt w:val="decimal"/>
      <w:lvlText w:val="%1.%2"/>
      <w:lvlJc w:val="left"/>
      <w:pPr>
        <w:ind w:left="666" w:hanging="328"/>
      </w:pPr>
      <w:rPr>
        <w:rFonts w:ascii="Calibri" w:eastAsia="Calibri" w:hAnsi="Calibri" w:cs="Calibri" w:hint="default"/>
        <w:w w:val="99"/>
        <w:sz w:val="22"/>
        <w:szCs w:val="22"/>
      </w:rPr>
    </w:lvl>
    <w:lvl w:ilvl="2">
      <w:numFmt w:val="bullet"/>
      <w:lvlText w:val="•"/>
      <w:lvlJc w:val="left"/>
      <w:pPr>
        <w:ind w:left="1722" w:hanging="328"/>
      </w:pPr>
      <w:rPr>
        <w:rFonts w:hint="default"/>
      </w:rPr>
    </w:lvl>
    <w:lvl w:ilvl="3">
      <w:numFmt w:val="bullet"/>
      <w:lvlText w:val="•"/>
      <w:lvlJc w:val="left"/>
      <w:pPr>
        <w:ind w:left="2665" w:hanging="328"/>
      </w:pPr>
      <w:rPr>
        <w:rFonts w:hint="default"/>
      </w:rPr>
    </w:lvl>
    <w:lvl w:ilvl="4">
      <w:numFmt w:val="bullet"/>
      <w:lvlText w:val="•"/>
      <w:lvlJc w:val="left"/>
      <w:pPr>
        <w:ind w:left="3608" w:hanging="328"/>
      </w:pPr>
      <w:rPr>
        <w:rFonts w:hint="default"/>
      </w:rPr>
    </w:lvl>
    <w:lvl w:ilvl="5">
      <w:numFmt w:val="bullet"/>
      <w:lvlText w:val="•"/>
      <w:lvlJc w:val="left"/>
      <w:pPr>
        <w:ind w:left="4550" w:hanging="328"/>
      </w:pPr>
      <w:rPr>
        <w:rFonts w:hint="default"/>
      </w:rPr>
    </w:lvl>
    <w:lvl w:ilvl="6">
      <w:numFmt w:val="bullet"/>
      <w:lvlText w:val="•"/>
      <w:lvlJc w:val="left"/>
      <w:pPr>
        <w:ind w:left="5493" w:hanging="328"/>
      </w:pPr>
      <w:rPr>
        <w:rFonts w:hint="default"/>
      </w:rPr>
    </w:lvl>
    <w:lvl w:ilvl="7">
      <w:numFmt w:val="bullet"/>
      <w:lvlText w:val="•"/>
      <w:lvlJc w:val="left"/>
      <w:pPr>
        <w:ind w:left="6436" w:hanging="328"/>
      </w:pPr>
      <w:rPr>
        <w:rFonts w:hint="default"/>
      </w:rPr>
    </w:lvl>
    <w:lvl w:ilvl="8">
      <w:numFmt w:val="bullet"/>
      <w:lvlText w:val="•"/>
      <w:lvlJc w:val="left"/>
      <w:pPr>
        <w:ind w:left="7378" w:hanging="328"/>
      </w:pPr>
      <w:rPr>
        <w:rFonts w:hint="default"/>
      </w:rPr>
    </w:lvl>
  </w:abstractNum>
  <w:abstractNum w:abstractNumId="8" w15:restartNumberingAfterBreak="0">
    <w:nsid w:val="67991A6C"/>
    <w:multiLevelType w:val="hybridMultilevel"/>
    <w:tmpl w:val="D0E43D12"/>
    <w:lvl w:ilvl="0" w:tplc="435818B2">
      <w:start w:val="1"/>
      <w:numFmt w:val="decimal"/>
      <w:lvlText w:val="%1."/>
      <w:lvlJc w:val="left"/>
      <w:pPr>
        <w:ind w:left="480" w:hanging="361"/>
      </w:pPr>
      <w:rPr>
        <w:rFonts w:ascii="Calibri" w:eastAsia="Calibri" w:hAnsi="Calibri" w:cs="Calibri" w:hint="default"/>
        <w:w w:val="99"/>
        <w:sz w:val="22"/>
        <w:szCs w:val="22"/>
      </w:rPr>
    </w:lvl>
    <w:lvl w:ilvl="1" w:tplc="CC346BD2">
      <w:numFmt w:val="bullet"/>
      <w:lvlText w:val="•"/>
      <w:lvlJc w:val="left"/>
      <w:pPr>
        <w:ind w:left="1358" w:hanging="361"/>
      </w:pPr>
      <w:rPr>
        <w:rFonts w:hint="default"/>
      </w:rPr>
    </w:lvl>
    <w:lvl w:ilvl="2" w:tplc="F63048EC">
      <w:numFmt w:val="bullet"/>
      <w:lvlText w:val="•"/>
      <w:lvlJc w:val="left"/>
      <w:pPr>
        <w:ind w:left="2236" w:hanging="361"/>
      </w:pPr>
      <w:rPr>
        <w:rFonts w:hint="default"/>
      </w:rPr>
    </w:lvl>
    <w:lvl w:ilvl="3" w:tplc="E4948ED0">
      <w:numFmt w:val="bullet"/>
      <w:lvlText w:val="•"/>
      <w:lvlJc w:val="left"/>
      <w:pPr>
        <w:ind w:left="3115" w:hanging="361"/>
      </w:pPr>
      <w:rPr>
        <w:rFonts w:hint="default"/>
      </w:rPr>
    </w:lvl>
    <w:lvl w:ilvl="4" w:tplc="25080944">
      <w:numFmt w:val="bullet"/>
      <w:lvlText w:val="•"/>
      <w:lvlJc w:val="left"/>
      <w:pPr>
        <w:ind w:left="3993" w:hanging="361"/>
      </w:pPr>
      <w:rPr>
        <w:rFonts w:hint="default"/>
      </w:rPr>
    </w:lvl>
    <w:lvl w:ilvl="5" w:tplc="BAC21C3A">
      <w:numFmt w:val="bullet"/>
      <w:lvlText w:val="•"/>
      <w:lvlJc w:val="left"/>
      <w:pPr>
        <w:ind w:left="4872" w:hanging="361"/>
      </w:pPr>
      <w:rPr>
        <w:rFonts w:hint="default"/>
      </w:rPr>
    </w:lvl>
    <w:lvl w:ilvl="6" w:tplc="52EC855A">
      <w:numFmt w:val="bullet"/>
      <w:lvlText w:val="•"/>
      <w:lvlJc w:val="left"/>
      <w:pPr>
        <w:ind w:left="5750" w:hanging="361"/>
      </w:pPr>
      <w:rPr>
        <w:rFonts w:hint="default"/>
      </w:rPr>
    </w:lvl>
    <w:lvl w:ilvl="7" w:tplc="31FC1C26">
      <w:numFmt w:val="bullet"/>
      <w:lvlText w:val="•"/>
      <w:lvlJc w:val="left"/>
      <w:pPr>
        <w:ind w:left="6629" w:hanging="361"/>
      </w:pPr>
      <w:rPr>
        <w:rFonts w:hint="default"/>
      </w:rPr>
    </w:lvl>
    <w:lvl w:ilvl="8" w:tplc="2F264DEE">
      <w:numFmt w:val="bullet"/>
      <w:lvlText w:val="•"/>
      <w:lvlJc w:val="left"/>
      <w:pPr>
        <w:ind w:left="7507" w:hanging="361"/>
      </w:pPr>
      <w:rPr>
        <w:rFonts w:hint="default"/>
      </w:rPr>
    </w:lvl>
  </w:abstractNum>
  <w:abstractNum w:abstractNumId="9" w15:restartNumberingAfterBreak="0">
    <w:nsid w:val="6F590184"/>
    <w:multiLevelType w:val="hybridMultilevel"/>
    <w:tmpl w:val="C3C2A496"/>
    <w:lvl w:ilvl="0" w:tplc="9E8005AE">
      <w:start w:val="1"/>
      <w:numFmt w:val="lowerLetter"/>
      <w:lvlText w:val="(%1)"/>
      <w:lvlJc w:val="left"/>
      <w:pPr>
        <w:ind w:left="549" w:hanging="289"/>
      </w:pPr>
      <w:rPr>
        <w:rFonts w:asciiTheme="minorHAnsi" w:eastAsia="Calibri" w:hAnsiTheme="minorHAnsi" w:cstheme="minorHAnsi" w:hint="default"/>
        <w:spacing w:val="-1"/>
        <w:w w:val="99"/>
        <w:sz w:val="22"/>
        <w:szCs w:val="22"/>
      </w:rPr>
    </w:lvl>
    <w:lvl w:ilvl="1" w:tplc="86502138">
      <w:numFmt w:val="bullet"/>
      <w:lvlText w:val="•"/>
      <w:lvlJc w:val="left"/>
      <w:pPr>
        <w:ind w:left="1412" w:hanging="289"/>
      </w:pPr>
      <w:rPr>
        <w:rFonts w:hint="default"/>
      </w:rPr>
    </w:lvl>
    <w:lvl w:ilvl="2" w:tplc="B45848D0">
      <w:numFmt w:val="bullet"/>
      <w:lvlText w:val="•"/>
      <w:lvlJc w:val="left"/>
      <w:pPr>
        <w:ind w:left="2284" w:hanging="289"/>
      </w:pPr>
      <w:rPr>
        <w:rFonts w:hint="default"/>
      </w:rPr>
    </w:lvl>
    <w:lvl w:ilvl="3" w:tplc="B43E1AF0">
      <w:numFmt w:val="bullet"/>
      <w:lvlText w:val="•"/>
      <w:lvlJc w:val="left"/>
      <w:pPr>
        <w:ind w:left="3157" w:hanging="289"/>
      </w:pPr>
      <w:rPr>
        <w:rFonts w:hint="default"/>
      </w:rPr>
    </w:lvl>
    <w:lvl w:ilvl="4" w:tplc="D6421BBA">
      <w:numFmt w:val="bullet"/>
      <w:lvlText w:val="•"/>
      <w:lvlJc w:val="left"/>
      <w:pPr>
        <w:ind w:left="4029" w:hanging="289"/>
      </w:pPr>
      <w:rPr>
        <w:rFonts w:hint="default"/>
      </w:rPr>
    </w:lvl>
    <w:lvl w:ilvl="5" w:tplc="1D4AEE96">
      <w:numFmt w:val="bullet"/>
      <w:lvlText w:val="•"/>
      <w:lvlJc w:val="left"/>
      <w:pPr>
        <w:ind w:left="4902" w:hanging="289"/>
      </w:pPr>
      <w:rPr>
        <w:rFonts w:hint="default"/>
      </w:rPr>
    </w:lvl>
    <w:lvl w:ilvl="6" w:tplc="881E873A">
      <w:numFmt w:val="bullet"/>
      <w:lvlText w:val="•"/>
      <w:lvlJc w:val="left"/>
      <w:pPr>
        <w:ind w:left="5774" w:hanging="289"/>
      </w:pPr>
      <w:rPr>
        <w:rFonts w:hint="default"/>
      </w:rPr>
    </w:lvl>
    <w:lvl w:ilvl="7" w:tplc="35380184">
      <w:numFmt w:val="bullet"/>
      <w:lvlText w:val="•"/>
      <w:lvlJc w:val="left"/>
      <w:pPr>
        <w:ind w:left="6647" w:hanging="289"/>
      </w:pPr>
      <w:rPr>
        <w:rFonts w:hint="default"/>
      </w:rPr>
    </w:lvl>
    <w:lvl w:ilvl="8" w:tplc="8C1EEFA8">
      <w:numFmt w:val="bullet"/>
      <w:lvlText w:val="•"/>
      <w:lvlJc w:val="left"/>
      <w:pPr>
        <w:ind w:left="7519" w:hanging="289"/>
      </w:pPr>
      <w:rPr>
        <w:rFonts w:hint="default"/>
      </w:rPr>
    </w:lvl>
  </w:abstractNum>
  <w:abstractNum w:abstractNumId="10" w15:restartNumberingAfterBreak="0">
    <w:nsid w:val="7879115D"/>
    <w:multiLevelType w:val="multilevel"/>
    <w:tmpl w:val="AD32E0DA"/>
    <w:lvl w:ilvl="0">
      <w:start w:val="4"/>
      <w:numFmt w:val="decimal"/>
      <w:lvlText w:val="%1"/>
      <w:lvlJc w:val="left"/>
      <w:pPr>
        <w:ind w:left="480" w:hanging="360"/>
      </w:pPr>
      <w:rPr>
        <w:rFonts w:hint="default"/>
      </w:rPr>
    </w:lvl>
    <w:lvl w:ilvl="1">
      <w:start w:val="3"/>
      <w:numFmt w:val="decimal"/>
      <w:lvlText w:val="%1.%2"/>
      <w:lvlJc w:val="left"/>
      <w:pPr>
        <w:ind w:left="480" w:hanging="360"/>
      </w:pPr>
      <w:rPr>
        <w:rFonts w:ascii="Calibri" w:eastAsia="Calibri" w:hAnsi="Calibri" w:cs="Calibri" w:hint="default"/>
        <w:b/>
        <w:bCs/>
        <w:color w:val="4E81BD"/>
        <w:spacing w:val="-1"/>
        <w:w w:val="100"/>
        <w:sz w:val="24"/>
        <w:szCs w:val="24"/>
      </w:rPr>
    </w:lvl>
    <w:lvl w:ilvl="2">
      <w:numFmt w:val="bullet"/>
      <w:lvlText w:val="•"/>
      <w:lvlJc w:val="left"/>
      <w:pPr>
        <w:ind w:left="2236" w:hanging="360"/>
      </w:pPr>
      <w:rPr>
        <w:rFonts w:hint="default"/>
      </w:rPr>
    </w:lvl>
    <w:lvl w:ilvl="3">
      <w:numFmt w:val="bullet"/>
      <w:lvlText w:val="•"/>
      <w:lvlJc w:val="left"/>
      <w:pPr>
        <w:ind w:left="3115" w:hanging="360"/>
      </w:pPr>
      <w:rPr>
        <w:rFonts w:hint="default"/>
      </w:rPr>
    </w:lvl>
    <w:lvl w:ilvl="4">
      <w:numFmt w:val="bullet"/>
      <w:lvlText w:val="•"/>
      <w:lvlJc w:val="left"/>
      <w:pPr>
        <w:ind w:left="3993" w:hanging="360"/>
      </w:pPr>
      <w:rPr>
        <w:rFonts w:hint="default"/>
      </w:rPr>
    </w:lvl>
    <w:lvl w:ilvl="5">
      <w:numFmt w:val="bullet"/>
      <w:lvlText w:val="•"/>
      <w:lvlJc w:val="left"/>
      <w:pPr>
        <w:ind w:left="4872" w:hanging="360"/>
      </w:pPr>
      <w:rPr>
        <w:rFonts w:hint="default"/>
      </w:rPr>
    </w:lvl>
    <w:lvl w:ilvl="6">
      <w:numFmt w:val="bullet"/>
      <w:lvlText w:val="•"/>
      <w:lvlJc w:val="left"/>
      <w:pPr>
        <w:ind w:left="5750" w:hanging="360"/>
      </w:pPr>
      <w:rPr>
        <w:rFonts w:hint="default"/>
      </w:rPr>
    </w:lvl>
    <w:lvl w:ilvl="7">
      <w:numFmt w:val="bullet"/>
      <w:lvlText w:val="•"/>
      <w:lvlJc w:val="left"/>
      <w:pPr>
        <w:ind w:left="6629" w:hanging="360"/>
      </w:pPr>
      <w:rPr>
        <w:rFonts w:hint="default"/>
      </w:rPr>
    </w:lvl>
    <w:lvl w:ilvl="8">
      <w:numFmt w:val="bullet"/>
      <w:lvlText w:val="•"/>
      <w:lvlJc w:val="left"/>
      <w:pPr>
        <w:ind w:left="7507" w:hanging="360"/>
      </w:pPr>
      <w:rPr>
        <w:rFonts w:hint="default"/>
      </w:rPr>
    </w:lvl>
  </w:abstractNum>
  <w:num w:numId="1">
    <w:abstractNumId w:val="10"/>
  </w:num>
  <w:num w:numId="2">
    <w:abstractNumId w:val="2"/>
  </w:num>
  <w:num w:numId="3">
    <w:abstractNumId w:val="9"/>
  </w:num>
  <w:num w:numId="4">
    <w:abstractNumId w:val="4"/>
  </w:num>
  <w:num w:numId="5">
    <w:abstractNumId w:val="8"/>
  </w:num>
  <w:num w:numId="6">
    <w:abstractNumId w:val="0"/>
  </w:num>
  <w:num w:numId="7">
    <w:abstractNumId w:val="6"/>
  </w:num>
  <w:num w:numId="8">
    <w:abstractNumId w:val="3"/>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F184D"/>
    <w:rsid w:val="000568D1"/>
    <w:rsid w:val="000A678A"/>
    <w:rsid w:val="000C556B"/>
    <w:rsid w:val="000F5619"/>
    <w:rsid w:val="001140C5"/>
    <w:rsid w:val="0015074E"/>
    <w:rsid w:val="0018141A"/>
    <w:rsid w:val="001B3FD1"/>
    <w:rsid w:val="001E6FF1"/>
    <w:rsid w:val="0021264D"/>
    <w:rsid w:val="00224372"/>
    <w:rsid w:val="00253628"/>
    <w:rsid w:val="00255331"/>
    <w:rsid w:val="00265CCD"/>
    <w:rsid w:val="00274D23"/>
    <w:rsid w:val="00277F42"/>
    <w:rsid w:val="002D3603"/>
    <w:rsid w:val="002E24CB"/>
    <w:rsid w:val="00300D93"/>
    <w:rsid w:val="00357E3A"/>
    <w:rsid w:val="003C4B40"/>
    <w:rsid w:val="004033E7"/>
    <w:rsid w:val="00421256"/>
    <w:rsid w:val="00433B30"/>
    <w:rsid w:val="00464930"/>
    <w:rsid w:val="00471634"/>
    <w:rsid w:val="00487A31"/>
    <w:rsid w:val="004B2C91"/>
    <w:rsid w:val="004E2863"/>
    <w:rsid w:val="005D40FA"/>
    <w:rsid w:val="005E2430"/>
    <w:rsid w:val="005E7DEC"/>
    <w:rsid w:val="0065356E"/>
    <w:rsid w:val="00660970"/>
    <w:rsid w:val="00662497"/>
    <w:rsid w:val="00681508"/>
    <w:rsid w:val="006C1703"/>
    <w:rsid w:val="006D6711"/>
    <w:rsid w:val="006E7C44"/>
    <w:rsid w:val="007746A2"/>
    <w:rsid w:val="0077561E"/>
    <w:rsid w:val="007A2E0F"/>
    <w:rsid w:val="007A7BA6"/>
    <w:rsid w:val="007C536C"/>
    <w:rsid w:val="007D103F"/>
    <w:rsid w:val="00843DC2"/>
    <w:rsid w:val="008551E1"/>
    <w:rsid w:val="00856A8B"/>
    <w:rsid w:val="00856BBD"/>
    <w:rsid w:val="00860223"/>
    <w:rsid w:val="00923C47"/>
    <w:rsid w:val="009324FA"/>
    <w:rsid w:val="009331A9"/>
    <w:rsid w:val="00933CCC"/>
    <w:rsid w:val="0098397C"/>
    <w:rsid w:val="00992CB3"/>
    <w:rsid w:val="009D1ABE"/>
    <w:rsid w:val="00A119FF"/>
    <w:rsid w:val="00A237B3"/>
    <w:rsid w:val="00A30525"/>
    <w:rsid w:val="00A34495"/>
    <w:rsid w:val="00A73EB5"/>
    <w:rsid w:val="00AA378A"/>
    <w:rsid w:val="00AC66B0"/>
    <w:rsid w:val="00AF6FCD"/>
    <w:rsid w:val="00B0375B"/>
    <w:rsid w:val="00B379F6"/>
    <w:rsid w:val="00B53C26"/>
    <w:rsid w:val="00B62145"/>
    <w:rsid w:val="00BB0947"/>
    <w:rsid w:val="00BD6A0A"/>
    <w:rsid w:val="00C22D1E"/>
    <w:rsid w:val="00C84A7D"/>
    <w:rsid w:val="00C92849"/>
    <w:rsid w:val="00C94CB3"/>
    <w:rsid w:val="00CD2209"/>
    <w:rsid w:val="00CF567F"/>
    <w:rsid w:val="00D7045C"/>
    <w:rsid w:val="00D77535"/>
    <w:rsid w:val="00D82AE6"/>
    <w:rsid w:val="00D87930"/>
    <w:rsid w:val="00DA1912"/>
    <w:rsid w:val="00E01583"/>
    <w:rsid w:val="00E91428"/>
    <w:rsid w:val="00E93FE9"/>
    <w:rsid w:val="00F02B13"/>
    <w:rsid w:val="00F03D68"/>
    <w:rsid w:val="00F30778"/>
    <w:rsid w:val="00F347A7"/>
    <w:rsid w:val="00F6536B"/>
    <w:rsid w:val="00FA4CAC"/>
    <w:rsid w:val="00FF184D"/>
    <w:rsid w:val="00FF5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3AD1BF"/>
  <w15:docId w15:val="{F1B97834-155E-49D3-A765-2B43E1F0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9"/>
      <w:ind w:left="480" w:hanging="360"/>
      <w:outlineLvl w:val="0"/>
    </w:pPr>
    <w:rPr>
      <w:b/>
      <w:bCs/>
      <w:sz w:val="24"/>
      <w:szCs w:val="24"/>
    </w:rPr>
  </w:style>
  <w:style w:type="paragraph" w:styleId="Heading2">
    <w:name w:val="heading 2"/>
    <w:basedOn w:val="Normal"/>
    <w:uiPriority w:val="9"/>
    <w:unhideWhenUsed/>
    <w:qFormat/>
    <w:pPr>
      <w:ind w:left="1468" w:right="1464"/>
      <w:jc w:val="center"/>
      <w:outlineLvl w:val="1"/>
    </w:pPr>
    <w:rPr>
      <w:b/>
      <w:bCs/>
      <w:i/>
      <w:sz w:val="24"/>
      <w:szCs w:val="24"/>
    </w:rPr>
  </w:style>
  <w:style w:type="paragraph" w:styleId="Heading3">
    <w:name w:val="heading 3"/>
    <w:basedOn w:val="Normal"/>
    <w:uiPriority w:val="9"/>
    <w:unhideWhenUsed/>
    <w:qFormat/>
    <w:pPr>
      <w:ind w:right="115"/>
      <w:jc w:val="right"/>
      <w:outlineLvl w:val="2"/>
    </w:pPr>
    <w:rPr>
      <w:sz w:val="24"/>
      <w:szCs w:val="24"/>
    </w:rPr>
  </w:style>
  <w:style w:type="paragraph" w:styleId="Heading4">
    <w:name w:val="heading 4"/>
    <w:basedOn w:val="Normal"/>
    <w:uiPriority w:val="9"/>
    <w:unhideWhenUsed/>
    <w:qFormat/>
    <w:pPr>
      <w:spacing w:before="119"/>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667" w:hanging="329"/>
    </w:pPr>
  </w:style>
  <w:style w:type="paragraph" w:styleId="BodyText">
    <w:name w:val="Body Text"/>
    <w:basedOn w:val="Normal"/>
    <w:uiPriority w:val="1"/>
    <w:qFormat/>
    <w:pPr>
      <w:ind w:left="120"/>
    </w:pPr>
  </w:style>
  <w:style w:type="paragraph" w:styleId="ListParagraph">
    <w:name w:val="List Paragraph"/>
    <w:basedOn w:val="Normal"/>
    <w:uiPriority w:val="1"/>
    <w:qFormat/>
    <w:pPr>
      <w:spacing w:before="140"/>
      <w:ind w:left="480" w:hanging="36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D87930"/>
    <w:rPr>
      <w:sz w:val="16"/>
      <w:szCs w:val="16"/>
    </w:rPr>
  </w:style>
  <w:style w:type="paragraph" w:styleId="CommentText">
    <w:name w:val="annotation text"/>
    <w:basedOn w:val="Normal"/>
    <w:link w:val="CommentTextChar"/>
    <w:uiPriority w:val="99"/>
    <w:semiHidden/>
    <w:unhideWhenUsed/>
    <w:rsid w:val="00D87930"/>
    <w:rPr>
      <w:sz w:val="20"/>
      <w:szCs w:val="20"/>
    </w:rPr>
  </w:style>
  <w:style w:type="character" w:customStyle="1" w:styleId="CommentTextChar">
    <w:name w:val="Comment Text Char"/>
    <w:basedOn w:val="DefaultParagraphFont"/>
    <w:link w:val="CommentText"/>
    <w:uiPriority w:val="99"/>
    <w:semiHidden/>
    <w:rsid w:val="00D879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87930"/>
    <w:rPr>
      <w:b/>
      <w:bCs/>
    </w:rPr>
  </w:style>
  <w:style w:type="character" w:customStyle="1" w:styleId="CommentSubjectChar">
    <w:name w:val="Comment Subject Char"/>
    <w:basedOn w:val="CommentTextChar"/>
    <w:link w:val="CommentSubject"/>
    <w:uiPriority w:val="99"/>
    <w:semiHidden/>
    <w:rsid w:val="00D8793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87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930"/>
    <w:rPr>
      <w:rFonts w:ascii="Segoe UI" w:eastAsia="Calibri" w:hAnsi="Segoe UI" w:cs="Segoe UI"/>
      <w:sz w:val="18"/>
      <w:szCs w:val="18"/>
    </w:rPr>
  </w:style>
  <w:style w:type="paragraph" w:styleId="Header">
    <w:name w:val="header"/>
    <w:basedOn w:val="Normal"/>
    <w:link w:val="HeaderChar"/>
    <w:uiPriority w:val="99"/>
    <w:unhideWhenUsed/>
    <w:rsid w:val="00C94CB3"/>
    <w:pPr>
      <w:tabs>
        <w:tab w:val="center" w:pos="4513"/>
        <w:tab w:val="right" w:pos="9026"/>
      </w:tabs>
    </w:pPr>
  </w:style>
  <w:style w:type="character" w:customStyle="1" w:styleId="HeaderChar">
    <w:name w:val="Header Char"/>
    <w:basedOn w:val="DefaultParagraphFont"/>
    <w:link w:val="Header"/>
    <w:uiPriority w:val="99"/>
    <w:rsid w:val="00C94CB3"/>
    <w:rPr>
      <w:rFonts w:ascii="Calibri" w:eastAsia="Calibri" w:hAnsi="Calibri" w:cs="Calibri"/>
    </w:rPr>
  </w:style>
  <w:style w:type="paragraph" w:styleId="Footer">
    <w:name w:val="footer"/>
    <w:basedOn w:val="Normal"/>
    <w:link w:val="FooterChar"/>
    <w:uiPriority w:val="99"/>
    <w:unhideWhenUsed/>
    <w:rsid w:val="00C94CB3"/>
    <w:pPr>
      <w:tabs>
        <w:tab w:val="center" w:pos="4513"/>
        <w:tab w:val="right" w:pos="9026"/>
      </w:tabs>
    </w:pPr>
  </w:style>
  <w:style w:type="character" w:customStyle="1" w:styleId="FooterChar">
    <w:name w:val="Footer Char"/>
    <w:basedOn w:val="DefaultParagraphFont"/>
    <w:link w:val="Footer"/>
    <w:uiPriority w:val="99"/>
    <w:rsid w:val="00C94CB3"/>
    <w:rPr>
      <w:rFonts w:ascii="Calibri" w:eastAsia="Calibri" w:hAnsi="Calibri" w:cs="Calibri"/>
    </w:rPr>
  </w:style>
  <w:style w:type="character" w:styleId="Hyperlink">
    <w:name w:val="Hyperlink"/>
    <w:basedOn w:val="DefaultParagraphFont"/>
    <w:uiPriority w:val="99"/>
    <w:unhideWhenUsed/>
    <w:rsid w:val="00C94CB3"/>
    <w:rPr>
      <w:color w:val="0000FF" w:themeColor="hyperlink"/>
      <w:u w:val="single"/>
    </w:rPr>
  </w:style>
  <w:style w:type="character" w:styleId="UnresolvedMention">
    <w:name w:val="Unresolved Mention"/>
    <w:basedOn w:val="DefaultParagraphFont"/>
    <w:uiPriority w:val="99"/>
    <w:semiHidden/>
    <w:unhideWhenUsed/>
    <w:rsid w:val="00C94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669824">
      <w:bodyDiv w:val="1"/>
      <w:marLeft w:val="0"/>
      <w:marRight w:val="0"/>
      <w:marTop w:val="0"/>
      <w:marBottom w:val="0"/>
      <w:divBdr>
        <w:top w:val="none" w:sz="0" w:space="0" w:color="auto"/>
        <w:left w:val="none" w:sz="0" w:space="0" w:color="auto"/>
        <w:bottom w:val="none" w:sz="0" w:space="0" w:color="auto"/>
        <w:right w:val="none" w:sz="0" w:space="0" w:color="auto"/>
      </w:divBdr>
    </w:div>
    <w:div w:id="1262375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3085</Words>
  <Characters>17776</Characters>
  <Application>Microsoft Office Word</Application>
  <DocSecurity>0</DocSecurity>
  <Lines>348</Lines>
  <Paragraphs>158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keywords>2</cp:keywords>
  <cp:lastModifiedBy>Moxon, KarenL</cp:lastModifiedBy>
  <cp:revision>5</cp:revision>
  <dcterms:created xsi:type="dcterms:W3CDTF">2020-07-14T02:37:00Z</dcterms:created>
  <dcterms:modified xsi:type="dcterms:W3CDTF">2020-07-16T00:02:00Z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Acrobat PDFMaker 18 for Word</vt:lpwstr>
  </property>
  <property fmtid="{D5CDD505-2E9C-101B-9397-08002B2CF9AE}" pid="4" name="LastSaved">
    <vt:filetime>2020-05-26T00:00:00Z</vt:filetime>
  </property>
  <property fmtid="{D5CDD505-2E9C-101B-9397-08002B2CF9AE}" pid="5" name="Objective-Id">
    <vt:lpwstr>A25670236</vt:lpwstr>
  </property>
  <property fmtid="{D5CDD505-2E9C-101B-9397-08002B2CF9AE}" pid="6" name="Objective-Title">
    <vt:lpwstr>RIS - DA exemption amendments - PD Regulation</vt:lpwstr>
  </property>
  <property fmtid="{D5CDD505-2E9C-101B-9397-08002B2CF9AE}" pid="7" name="Objective-Comment">
    <vt:lpwstr/>
  </property>
  <property fmtid="{D5CDD505-2E9C-101B-9397-08002B2CF9AE}" pid="8" name="Objective-CreationStamp">
    <vt:filetime>2020-05-28T02:04:51Z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2020-06-11T13:01:52Z</vt:filetime>
  </property>
  <property fmtid="{D5CDD505-2E9C-101B-9397-08002B2CF9AE}" pid="13" name="Objective-Owner">
    <vt:lpwstr>Brad Maxwell</vt:lpwstr>
  </property>
  <property fmtid="{D5CDD505-2E9C-101B-9397-08002B2CF9AE}" pid="14" name="Objective-Path">
    <vt:lpwstr>Whole of ACT Government:EPSDD - Environment Planning and Sustainable Development Directorate:DIVISION - Planning Delivery:05. Planning Delivery - BRANCH - Impact Assessment &amp; Business Improvement:04. Current Projects:19 Update to Planning and Development </vt:lpwstr>
  </property>
  <property fmtid="{D5CDD505-2E9C-101B-9397-08002B2CF9AE}" pid="15" name="Objective-Parent">
    <vt:lpwstr>Combined - Schools and EV Charging</vt:lpwstr>
  </property>
  <property fmtid="{D5CDD505-2E9C-101B-9397-08002B2CF9AE}" pid="16" name="Objective-State">
    <vt:lpwstr>Being Drafted</vt:lpwstr>
  </property>
  <property fmtid="{D5CDD505-2E9C-101B-9397-08002B2CF9AE}" pid="17" name="Objective-Version">
    <vt:lpwstr>5.1</vt:lpwstr>
  </property>
  <property fmtid="{D5CDD505-2E9C-101B-9397-08002B2CF9AE}" pid="18" name="Objective-VersionNumber">
    <vt:r8>6</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Owner Agency [system]">
    <vt:lpwstr>EPSDD</vt:lpwstr>
  </property>
  <property fmtid="{D5CDD505-2E9C-101B-9397-08002B2CF9AE}" pid="24" name="Objective-Document Type [system]">
    <vt:lpwstr>0-Document</vt:lpwstr>
  </property>
  <property fmtid="{D5CDD505-2E9C-101B-9397-08002B2CF9AE}" pid="25" name="Objective-Language [system]">
    <vt:lpwstr>English (en)</vt:lpwstr>
  </property>
  <property fmtid="{D5CDD505-2E9C-101B-9397-08002B2CF9AE}" pid="26" name="Objective-Jurisdiction [system]">
    <vt:lpwstr>ACT</vt:lpwstr>
  </property>
  <property fmtid="{D5CDD505-2E9C-101B-9397-08002B2CF9AE}" pid="27" name="Objective-Customers [system]">
    <vt:lpwstr/>
  </property>
  <property fmtid="{D5CDD505-2E9C-101B-9397-08002B2CF9AE}" pid="28" name="Objective-Places [system]">
    <vt:lpwstr/>
  </property>
  <property fmtid="{D5CDD505-2E9C-101B-9397-08002B2CF9AE}" pid="29" name="Objective-Transaction Reference [system]">
    <vt:lpwstr/>
  </property>
  <property fmtid="{D5CDD505-2E9C-101B-9397-08002B2CF9AE}" pid="30" name="Objective-Document Created By [system]">
    <vt:lpwstr/>
  </property>
  <property fmtid="{D5CDD505-2E9C-101B-9397-08002B2CF9AE}" pid="31" name="Objective-Document Created On [system]">
    <vt:lpwstr/>
  </property>
  <property fmtid="{D5CDD505-2E9C-101B-9397-08002B2CF9AE}" pid="32" name="Objective-Covers Period From [system]">
    <vt:lpwstr/>
  </property>
  <property fmtid="{D5CDD505-2E9C-101B-9397-08002B2CF9AE}" pid="33" name="Objective-Covers Period To [system]">
    <vt:lpwstr/>
  </property>
</Properties>
</file>