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ACABB" w14:textId="018B7301" w:rsidR="001A5C42" w:rsidRPr="009E5708" w:rsidRDefault="00F46C7E" w:rsidP="001A5C42">
      <w:pPr>
        <w:jc w:val="center"/>
        <w:rPr>
          <w:b/>
          <w:sz w:val="32"/>
        </w:rPr>
      </w:pPr>
      <w:bookmarkStart w:id="0" w:name="_GoBack"/>
      <w:bookmarkEnd w:id="0"/>
      <w:r>
        <w:rPr>
          <w:b/>
          <w:noProof/>
        </w:rPr>
        <w:drawing>
          <wp:inline distT="0" distB="0" distL="0" distR="0" wp14:anchorId="6B406A42" wp14:editId="222F097B">
            <wp:extent cx="2026920" cy="750570"/>
            <wp:effectExtent l="0" t="0" r="0" b="0"/>
            <wp:docPr id="1" name="Picture 2" descr="ACTGov_EPSD_inline_bla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Gov_EPSD_inline_blac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6920" cy="750570"/>
                    </a:xfrm>
                    <a:prstGeom prst="rect">
                      <a:avLst/>
                    </a:prstGeom>
                    <a:noFill/>
                    <a:ln>
                      <a:noFill/>
                    </a:ln>
                  </pic:spPr>
                </pic:pic>
              </a:graphicData>
            </a:graphic>
          </wp:inline>
        </w:drawing>
      </w:r>
    </w:p>
    <w:p w14:paraId="40E01F88" w14:textId="77777777" w:rsidR="001A5C42" w:rsidRDefault="001A5C42" w:rsidP="001A5C42">
      <w:pPr>
        <w:jc w:val="center"/>
        <w:rPr>
          <w:b/>
          <w:sz w:val="32"/>
        </w:rPr>
      </w:pPr>
    </w:p>
    <w:p w14:paraId="3CC99E10" w14:textId="77777777" w:rsidR="00AC772A" w:rsidRPr="00AC772A" w:rsidRDefault="00AC772A" w:rsidP="00AC772A">
      <w:pPr>
        <w:tabs>
          <w:tab w:val="left" w:pos="2400"/>
          <w:tab w:val="left" w:pos="2880"/>
        </w:tabs>
        <w:autoSpaceDE/>
        <w:autoSpaceDN/>
        <w:adjustRightInd/>
        <w:spacing w:before="700" w:after="100" w:line="240" w:lineRule="auto"/>
        <w:rPr>
          <w:rFonts w:ascii="Arial" w:hAnsi="Arial" w:cs="Times New Roman"/>
          <w:b/>
          <w:bCs w:val="0"/>
          <w:sz w:val="40"/>
          <w:szCs w:val="20"/>
          <w:lang w:eastAsia="en-US"/>
        </w:rPr>
      </w:pPr>
      <w:r w:rsidRPr="00AC772A">
        <w:rPr>
          <w:rFonts w:ascii="Arial" w:hAnsi="Arial" w:cs="Times New Roman"/>
          <w:b/>
          <w:bCs w:val="0"/>
          <w:sz w:val="40"/>
          <w:szCs w:val="20"/>
          <w:lang w:eastAsia="en-US"/>
        </w:rPr>
        <w:t>Energy Efficiency (Cost of Living) Improvement (Eligible Activities) Determination 2020 (No 2)</w:t>
      </w:r>
    </w:p>
    <w:p w14:paraId="1DC198C4" w14:textId="09C49C7F" w:rsidR="00AC772A" w:rsidRPr="00AC772A" w:rsidRDefault="00AC772A" w:rsidP="00AC772A">
      <w:pPr>
        <w:autoSpaceDE/>
        <w:autoSpaceDN/>
        <w:adjustRightInd/>
        <w:spacing w:before="340" w:after="0" w:line="240" w:lineRule="auto"/>
        <w:rPr>
          <w:rFonts w:ascii="Arial" w:hAnsi="Arial" w:cs="Arial"/>
          <w:b/>
          <w:szCs w:val="20"/>
          <w:lang w:eastAsia="en-US"/>
        </w:rPr>
      </w:pPr>
      <w:r w:rsidRPr="00AC772A">
        <w:rPr>
          <w:rFonts w:ascii="Arial" w:hAnsi="Arial" w:cs="Arial"/>
          <w:b/>
          <w:szCs w:val="20"/>
          <w:lang w:eastAsia="en-US"/>
        </w:rPr>
        <w:t xml:space="preserve">Disallowable instrument </w:t>
      </w:r>
      <w:r w:rsidRPr="00574B8B">
        <w:rPr>
          <w:rFonts w:ascii="Arial" w:hAnsi="Arial" w:cs="Arial"/>
          <w:b/>
          <w:szCs w:val="20"/>
          <w:lang w:eastAsia="en-US"/>
        </w:rPr>
        <w:t>DI2020–</w:t>
      </w:r>
      <w:r w:rsidR="00D2308A">
        <w:rPr>
          <w:rFonts w:ascii="Arial" w:hAnsi="Arial" w:cs="Arial"/>
          <w:b/>
          <w:szCs w:val="20"/>
          <w:lang w:eastAsia="en-US"/>
        </w:rPr>
        <w:t>218</w:t>
      </w:r>
    </w:p>
    <w:p w14:paraId="270E5F96" w14:textId="622AD2DE" w:rsidR="00AC772A" w:rsidRPr="00AC772A" w:rsidRDefault="00AC772A" w:rsidP="00AC772A">
      <w:pPr>
        <w:autoSpaceDE/>
        <w:autoSpaceDN/>
        <w:adjustRightInd/>
        <w:spacing w:before="300" w:after="0" w:line="240" w:lineRule="auto"/>
        <w:jc w:val="both"/>
        <w:rPr>
          <w:rFonts w:ascii="Times New Roman" w:hAnsi="Times New Roman" w:cs="Times New Roman"/>
          <w:bCs w:val="0"/>
          <w:szCs w:val="20"/>
          <w:lang w:eastAsia="en-US"/>
        </w:rPr>
      </w:pPr>
      <w:r w:rsidRPr="00AC772A">
        <w:rPr>
          <w:rFonts w:ascii="Times New Roman" w:hAnsi="Times New Roman" w:cs="Times New Roman"/>
          <w:bCs w:val="0"/>
          <w:szCs w:val="20"/>
          <w:lang w:eastAsia="en-US"/>
        </w:rPr>
        <w:t xml:space="preserve">made under the  </w:t>
      </w:r>
    </w:p>
    <w:p w14:paraId="6D75C2CC" w14:textId="77777777" w:rsidR="00AC772A" w:rsidRPr="00AC772A" w:rsidRDefault="00AC772A" w:rsidP="00AC772A">
      <w:pPr>
        <w:tabs>
          <w:tab w:val="left" w:pos="2600"/>
        </w:tabs>
        <w:autoSpaceDE/>
        <w:autoSpaceDN/>
        <w:adjustRightInd/>
        <w:spacing w:before="320" w:after="0" w:line="240" w:lineRule="auto"/>
        <w:jc w:val="both"/>
        <w:rPr>
          <w:rFonts w:ascii="Arial" w:hAnsi="Arial" w:cs="Arial"/>
          <w:b/>
          <w:bCs w:val="0"/>
          <w:sz w:val="20"/>
          <w:szCs w:val="20"/>
          <w:lang w:eastAsia="en-US"/>
        </w:rPr>
      </w:pPr>
      <w:r w:rsidRPr="00AC772A">
        <w:rPr>
          <w:rFonts w:ascii="Arial" w:hAnsi="Arial" w:cs="Arial"/>
          <w:b/>
          <w:bCs w:val="0"/>
          <w:sz w:val="20"/>
          <w:szCs w:val="20"/>
          <w:lang w:eastAsia="en-US"/>
        </w:rPr>
        <w:t>Energy Efficiency (Cost of Living) Improvement Act 2012, s10 (Eligible activities)</w:t>
      </w:r>
    </w:p>
    <w:p w14:paraId="688A2698" w14:textId="77777777" w:rsidR="00AC772A" w:rsidRDefault="00AC772A" w:rsidP="00340FD5">
      <w:pPr>
        <w:rPr>
          <w:b/>
          <w:sz w:val="32"/>
        </w:rPr>
      </w:pPr>
    </w:p>
    <w:p w14:paraId="6B7E574D" w14:textId="61265740" w:rsidR="001A5C42" w:rsidRDefault="001A5C42" w:rsidP="00340FD5">
      <w:pPr>
        <w:rPr>
          <w:b/>
          <w:sz w:val="32"/>
        </w:rPr>
      </w:pPr>
      <w:r w:rsidRPr="009E5708">
        <w:rPr>
          <w:b/>
          <w:sz w:val="32"/>
        </w:rPr>
        <w:t>Regulatory Impact Statement</w:t>
      </w:r>
    </w:p>
    <w:p w14:paraId="68E807CD" w14:textId="77777777" w:rsidR="001A5C42" w:rsidRPr="006E4E98" w:rsidRDefault="001A5C42" w:rsidP="008C168D">
      <w:pPr>
        <w:rPr>
          <w:b/>
        </w:rPr>
      </w:pPr>
      <w:r w:rsidRPr="006E4E98">
        <w:rPr>
          <w:b/>
        </w:rPr>
        <w:t xml:space="preserve">Prepared in accordance with Chapter 5 of the </w:t>
      </w:r>
      <w:r w:rsidRPr="006E4E98">
        <w:rPr>
          <w:b/>
          <w:i/>
        </w:rPr>
        <w:t>Legislation Act 2001</w:t>
      </w:r>
    </w:p>
    <w:p w14:paraId="288033CB" w14:textId="1FDEF257" w:rsidR="001A5C42" w:rsidRPr="006E4E98" w:rsidRDefault="001451A3" w:rsidP="008C168D">
      <w:pPr>
        <w:rPr>
          <w:b/>
          <w:bCs w:val="0"/>
        </w:rPr>
      </w:pPr>
      <w:r>
        <w:rPr>
          <w:b/>
          <w:bCs w:val="0"/>
        </w:rPr>
        <w:t>June</w:t>
      </w:r>
      <w:r w:rsidR="00626440" w:rsidRPr="006E4E98">
        <w:rPr>
          <w:b/>
          <w:bCs w:val="0"/>
        </w:rPr>
        <w:t xml:space="preserve"> 2020</w:t>
      </w:r>
    </w:p>
    <w:p w14:paraId="594FB0EF" w14:textId="36B2550F" w:rsidR="001A5C42" w:rsidRDefault="00F46C7E" w:rsidP="001A5C42">
      <w:pPr>
        <w:jc w:val="center"/>
      </w:pPr>
      <w:r>
        <w:rPr>
          <w:noProof/>
        </w:rPr>
        <w:drawing>
          <wp:inline distT="0" distB="0" distL="0" distR="0" wp14:anchorId="39D4F3C4" wp14:editId="77ACAE94">
            <wp:extent cx="5288280" cy="3528060"/>
            <wp:effectExtent l="0" t="0" r="0" b="0"/>
            <wp:docPr id="2" name="Picture 2" descr="EPSDD Climate 10mb_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DD Climate 10mb_0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8280" cy="3528060"/>
                    </a:xfrm>
                    <a:prstGeom prst="rect">
                      <a:avLst/>
                    </a:prstGeom>
                    <a:noFill/>
                    <a:ln>
                      <a:noFill/>
                    </a:ln>
                  </pic:spPr>
                </pic:pic>
              </a:graphicData>
            </a:graphic>
          </wp:inline>
        </w:drawing>
      </w:r>
    </w:p>
    <w:p w14:paraId="5312ADE2" w14:textId="68B3AEB9" w:rsidR="00336513" w:rsidRDefault="00336513">
      <w:pPr>
        <w:pStyle w:val="TOC1"/>
      </w:pPr>
    </w:p>
    <w:p w14:paraId="54CE5901" w14:textId="0B395581" w:rsidR="00344F08" w:rsidRDefault="00344F08" w:rsidP="00344F08"/>
    <w:p w14:paraId="3191FD0C" w14:textId="48A57E44" w:rsidR="00344F08" w:rsidRDefault="00344F08" w:rsidP="00344F08"/>
    <w:p w14:paraId="0FE9C66E" w14:textId="77777777" w:rsidR="00344F08" w:rsidRPr="00344F08" w:rsidRDefault="00344F08" w:rsidP="006E4E98"/>
    <w:sdt>
      <w:sdtPr>
        <w:rPr>
          <w:rFonts w:ascii="Calibri" w:hAnsi="Calibri" w:cs="Calibri-Bold"/>
          <w:b w:val="0"/>
          <w:bCs/>
          <w:color w:val="auto"/>
          <w:sz w:val="24"/>
          <w:szCs w:val="24"/>
          <w:lang w:val="en-AU"/>
        </w:rPr>
        <w:id w:val="-160628888"/>
        <w:docPartObj>
          <w:docPartGallery w:val="Table of Contents"/>
          <w:docPartUnique/>
        </w:docPartObj>
      </w:sdtPr>
      <w:sdtEndPr>
        <w:rPr>
          <w:noProof/>
        </w:rPr>
      </w:sdtEndPr>
      <w:sdtContent>
        <w:p w14:paraId="4E63534D" w14:textId="209CD46E" w:rsidR="00344F08" w:rsidRDefault="00344F08">
          <w:pPr>
            <w:pStyle w:val="TOCHeading"/>
          </w:pPr>
          <w:r>
            <w:t>Contents</w:t>
          </w:r>
        </w:p>
        <w:p w14:paraId="0DA99E00" w14:textId="07727CDA" w:rsidR="007E523C" w:rsidRDefault="00344F08">
          <w:pPr>
            <w:pStyle w:val="TOC1"/>
            <w:rPr>
              <w:rFonts w:asciiTheme="minorHAnsi" w:eastAsiaTheme="minorEastAsia" w:hAnsiTheme="minorHAnsi" w:cstheme="minorBidi"/>
              <w:bCs w:val="0"/>
              <w:noProof/>
              <w:sz w:val="22"/>
              <w:szCs w:val="22"/>
            </w:rPr>
          </w:pPr>
          <w:r>
            <w:fldChar w:fldCharType="begin"/>
          </w:r>
          <w:r>
            <w:instrText xml:space="preserve"> TOC \o "1-3" \h \z \u </w:instrText>
          </w:r>
          <w:r>
            <w:fldChar w:fldCharType="separate"/>
          </w:r>
          <w:hyperlink w:anchor="_Toc41564613" w:history="1">
            <w:r w:rsidR="007E523C" w:rsidRPr="00CC5071">
              <w:rPr>
                <w:rStyle w:val="Hyperlink"/>
                <w:noProof/>
              </w:rPr>
              <w:t>1.Executive Summary</w:t>
            </w:r>
            <w:r w:rsidR="007E523C">
              <w:rPr>
                <w:noProof/>
                <w:webHidden/>
              </w:rPr>
              <w:tab/>
            </w:r>
            <w:r w:rsidR="007E523C">
              <w:rPr>
                <w:noProof/>
                <w:webHidden/>
              </w:rPr>
              <w:fldChar w:fldCharType="begin"/>
            </w:r>
            <w:r w:rsidR="007E523C">
              <w:rPr>
                <w:noProof/>
                <w:webHidden/>
              </w:rPr>
              <w:instrText xml:space="preserve"> PAGEREF _Toc41564613 \h </w:instrText>
            </w:r>
            <w:r w:rsidR="007E523C">
              <w:rPr>
                <w:noProof/>
                <w:webHidden/>
              </w:rPr>
            </w:r>
            <w:r w:rsidR="007E523C">
              <w:rPr>
                <w:noProof/>
                <w:webHidden/>
              </w:rPr>
              <w:fldChar w:fldCharType="separate"/>
            </w:r>
            <w:r w:rsidR="00574B8B">
              <w:rPr>
                <w:noProof/>
                <w:webHidden/>
              </w:rPr>
              <w:t>3</w:t>
            </w:r>
            <w:r w:rsidR="007E523C">
              <w:rPr>
                <w:noProof/>
                <w:webHidden/>
              </w:rPr>
              <w:fldChar w:fldCharType="end"/>
            </w:r>
          </w:hyperlink>
        </w:p>
        <w:p w14:paraId="3F1F1175" w14:textId="463817D9" w:rsidR="007E523C" w:rsidRDefault="00845A85">
          <w:pPr>
            <w:pStyle w:val="TOC1"/>
            <w:rPr>
              <w:rFonts w:asciiTheme="minorHAnsi" w:eastAsiaTheme="minorEastAsia" w:hAnsiTheme="minorHAnsi" w:cstheme="minorBidi"/>
              <w:bCs w:val="0"/>
              <w:noProof/>
              <w:sz w:val="22"/>
              <w:szCs w:val="22"/>
            </w:rPr>
          </w:pPr>
          <w:hyperlink w:anchor="_Toc41564614" w:history="1">
            <w:r w:rsidR="007E523C" w:rsidRPr="00CC5071">
              <w:rPr>
                <w:rStyle w:val="Hyperlink"/>
                <w:noProof/>
              </w:rPr>
              <w:t>2.Background</w:t>
            </w:r>
            <w:r w:rsidR="007E523C">
              <w:rPr>
                <w:noProof/>
                <w:webHidden/>
              </w:rPr>
              <w:tab/>
            </w:r>
            <w:r w:rsidR="007E523C">
              <w:rPr>
                <w:noProof/>
                <w:webHidden/>
              </w:rPr>
              <w:fldChar w:fldCharType="begin"/>
            </w:r>
            <w:r w:rsidR="007E523C">
              <w:rPr>
                <w:noProof/>
                <w:webHidden/>
              </w:rPr>
              <w:instrText xml:space="preserve"> PAGEREF _Toc41564614 \h </w:instrText>
            </w:r>
            <w:r w:rsidR="007E523C">
              <w:rPr>
                <w:noProof/>
                <w:webHidden/>
              </w:rPr>
            </w:r>
            <w:r w:rsidR="007E523C">
              <w:rPr>
                <w:noProof/>
                <w:webHidden/>
              </w:rPr>
              <w:fldChar w:fldCharType="separate"/>
            </w:r>
            <w:r w:rsidR="00574B8B">
              <w:rPr>
                <w:noProof/>
                <w:webHidden/>
              </w:rPr>
              <w:t>3</w:t>
            </w:r>
            <w:r w:rsidR="007E523C">
              <w:rPr>
                <w:noProof/>
                <w:webHidden/>
              </w:rPr>
              <w:fldChar w:fldCharType="end"/>
            </w:r>
          </w:hyperlink>
        </w:p>
        <w:p w14:paraId="25ED9CD5" w14:textId="1A7171A3" w:rsidR="007E523C" w:rsidRDefault="00845A85">
          <w:pPr>
            <w:pStyle w:val="TOC1"/>
            <w:rPr>
              <w:rFonts w:asciiTheme="minorHAnsi" w:eastAsiaTheme="minorEastAsia" w:hAnsiTheme="minorHAnsi" w:cstheme="minorBidi"/>
              <w:bCs w:val="0"/>
              <w:noProof/>
              <w:sz w:val="22"/>
              <w:szCs w:val="22"/>
            </w:rPr>
          </w:pPr>
          <w:hyperlink w:anchor="_Toc41564615" w:history="1">
            <w:r w:rsidR="007E523C" w:rsidRPr="00CC5071">
              <w:rPr>
                <w:rStyle w:val="Hyperlink"/>
                <w:noProof/>
              </w:rPr>
              <w:t>3.The authorising law</w:t>
            </w:r>
            <w:r w:rsidR="007E523C">
              <w:rPr>
                <w:noProof/>
                <w:webHidden/>
              </w:rPr>
              <w:tab/>
            </w:r>
            <w:r w:rsidR="007E523C">
              <w:rPr>
                <w:noProof/>
                <w:webHidden/>
              </w:rPr>
              <w:fldChar w:fldCharType="begin"/>
            </w:r>
            <w:r w:rsidR="007E523C">
              <w:rPr>
                <w:noProof/>
                <w:webHidden/>
              </w:rPr>
              <w:instrText xml:space="preserve"> PAGEREF _Toc41564615 \h </w:instrText>
            </w:r>
            <w:r w:rsidR="007E523C">
              <w:rPr>
                <w:noProof/>
                <w:webHidden/>
              </w:rPr>
            </w:r>
            <w:r w:rsidR="007E523C">
              <w:rPr>
                <w:noProof/>
                <w:webHidden/>
              </w:rPr>
              <w:fldChar w:fldCharType="separate"/>
            </w:r>
            <w:r w:rsidR="00574B8B">
              <w:rPr>
                <w:noProof/>
                <w:webHidden/>
              </w:rPr>
              <w:t>6</w:t>
            </w:r>
            <w:r w:rsidR="007E523C">
              <w:rPr>
                <w:noProof/>
                <w:webHidden/>
              </w:rPr>
              <w:fldChar w:fldCharType="end"/>
            </w:r>
          </w:hyperlink>
        </w:p>
        <w:p w14:paraId="27A65D5D" w14:textId="6DFDF92C" w:rsidR="007E523C" w:rsidRDefault="00845A85">
          <w:pPr>
            <w:pStyle w:val="TOC1"/>
            <w:rPr>
              <w:rFonts w:asciiTheme="minorHAnsi" w:eastAsiaTheme="minorEastAsia" w:hAnsiTheme="minorHAnsi" w:cstheme="minorBidi"/>
              <w:bCs w:val="0"/>
              <w:noProof/>
              <w:sz w:val="22"/>
              <w:szCs w:val="22"/>
            </w:rPr>
          </w:pPr>
          <w:hyperlink w:anchor="_Toc41564616" w:history="1">
            <w:r w:rsidR="007E523C" w:rsidRPr="00CC5071">
              <w:rPr>
                <w:rStyle w:val="Hyperlink"/>
                <w:noProof/>
              </w:rPr>
              <w:t>4.Rationale for changing the metric - Problems being addressed and policy objectives.</w:t>
            </w:r>
            <w:r w:rsidR="007E523C">
              <w:rPr>
                <w:noProof/>
                <w:webHidden/>
              </w:rPr>
              <w:tab/>
            </w:r>
            <w:r w:rsidR="007E523C">
              <w:rPr>
                <w:noProof/>
                <w:webHidden/>
              </w:rPr>
              <w:fldChar w:fldCharType="begin"/>
            </w:r>
            <w:r w:rsidR="007E523C">
              <w:rPr>
                <w:noProof/>
                <w:webHidden/>
              </w:rPr>
              <w:instrText xml:space="preserve"> PAGEREF _Toc41564616 \h </w:instrText>
            </w:r>
            <w:r w:rsidR="007E523C">
              <w:rPr>
                <w:noProof/>
                <w:webHidden/>
              </w:rPr>
            </w:r>
            <w:r w:rsidR="007E523C">
              <w:rPr>
                <w:noProof/>
                <w:webHidden/>
              </w:rPr>
              <w:fldChar w:fldCharType="separate"/>
            </w:r>
            <w:r w:rsidR="00574B8B">
              <w:rPr>
                <w:noProof/>
                <w:webHidden/>
              </w:rPr>
              <w:t>7</w:t>
            </w:r>
            <w:r w:rsidR="007E523C">
              <w:rPr>
                <w:noProof/>
                <w:webHidden/>
              </w:rPr>
              <w:fldChar w:fldCharType="end"/>
            </w:r>
          </w:hyperlink>
        </w:p>
        <w:p w14:paraId="3458854A" w14:textId="16887711" w:rsidR="007E523C" w:rsidRDefault="00845A85">
          <w:pPr>
            <w:pStyle w:val="TOC1"/>
            <w:rPr>
              <w:rFonts w:asciiTheme="minorHAnsi" w:eastAsiaTheme="minorEastAsia" w:hAnsiTheme="minorHAnsi" w:cstheme="minorBidi"/>
              <w:bCs w:val="0"/>
              <w:noProof/>
              <w:sz w:val="22"/>
              <w:szCs w:val="22"/>
            </w:rPr>
          </w:pPr>
          <w:hyperlink w:anchor="_Toc41564617" w:history="1">
            <w:r w:rsidR="007E523C" w:rsidRPr="00CC5071">
              <w:rPr>
                <w:rStyle w:val="Hyperlink"/>
                <w:noProof/>
              </w:rPr>
              <w:t>5. Consistency of the proposed law with other Territory Laws</w:t>
            </w:r>
            <w:r w:rsidR="007E523C">
              <w:rPr>
                <w:noProof/>
                <w:webHidden/>
              </w:rPr>
              <w:tab/>
            </w:r>
            <w:r w:rsidR="007E523C">
              <w:rPr>
                <w:noProof/>
                <w:webHidden/>
              </w:rPr>
              <w:fldChar w:fldCharType="begin"/>
            </w:r>
            <w:r w:rsidR="007E523C">
              <w:rPr>
                <w:noProof/>
                <w:webHidden/>
              </w:rPr>
              <w:instrText xml:space="preserve"> PAGEREF _Toc41564617 \h </w:instrText>
            </w:r>
            <w:r w:rsidR="007E523C">
              <w:rPr>
                <w:noProof/>
                <w:webHidden/>
              </w:rPr>
            </w:r>
            <w:r w:rsidR="007E523C">
              <w:rPr>
                <w:noProof/>
                <w:webHidden/>
              </w:rPr>
              <w:fldChar w:fldCharType="separate"/>
            </w:r>
            <w:r w:rsidR="00574B8B">
              <w:rPr>
                <w:noProof/>
                <w:webHidden/>
              </w:rPr>
              <w:t>8</w:t>
            </w:r>
            <w:r w:rsidR="007E523C">
              <w:rPr>
                <w:noProof/>
                <w:webHidden/>
              </w:rPr>
              <w:fldChar w:fldCharType="end"/>
            </w:r>
          </w:hyperlink>
        </w:p>
        <w:p w14:paraId="42FE2CD1" w14:textId="43899950" w:rsidR="007E523C" w:rsidRDefault="00845A85">
          <w:pPr>
            <w:pStyle w:val="TOC1"/>
            <w:rPr>
              <w:rFonts w:asciiTheme="minorHAnsi" w:eastAsiaTheme="minorEastAsia" w:hAnsiTheme="minorHAnsi" w:cstheme="minorBidi"/>
              <w:bCs w:val="0"/>
              <w:noProof/>
              <w:sz w:val="22"/>
              <w:szCs w:val="22"/>
            </w:rPr>
          </w:pPr>
          <w:hyperlink w:anchor="_Toc41564618" w:history="1">
            <w:r w:rsidR="007E523C" w:rsidRPr="00CC5071">
              <w:rPr>
                <w:rStyle w:val="Hyperlink"/>
                <w:noProof/>
              </w:rPr>
              <w:t>6. Mutual recognition and consistency with the policy objectives of another Territory law</w:t>
            </w:r>
            <w:r w:rsidR="007E523C">
              <w:rPr>
                <w:noProof/>
                <w:webHidden/>
              </w:rPr>
              <w:tab/>
            </w:r>
            <w:r w:rsidR="007E523C">
              <w:rPr>
                <w:noProof/>
                <w:webHidden/>
              </w:rPr>
              <w:fldChar w:fldCharType="begin"/>
            </w:r>
            <w:r w:rsidR="007E523C">
              <w:rPr>
                <w:noProof/>
                <w:webHidden/>
              </w:rPr>
              <w:instrText xml:space="preserve"> PAGEREF _Toc41564618 \h </w:instrText>
            </w:r>
            <w:r w:rsidR="007E523C">
              <w:rPr>
                <w:noProof/>
                <w:webHidden/>
              </w:rPr>
            </w:r>
            <w:r w:rsidR="007E523C">
              <w:rPr>
                <w:noProof/>
                <w:webHidden/>
              </w:rPr>
              <w:fldChar w:fldCharType="separate"/>
            </w:r>
            <w:r w:rsidR="00574B8B">
              <w:rPr>
                <w:noProof/>
                <w:webHidden/>
              </w:rPr>
              <w:t>8</w:t>
            </w:r>
            <w:r w:rsidR="007E523C">
              <w:rPr>
                <w:noProof/>
                <w:webHidden/>
              </w:rPr>
              <w:fldChar w:fldCharType="end"/>
            </w:r>
          </w:hyperlink>
        </w:p>
        <w:p w14:paraId="2C0A2BF6" w14:textId="40A4DF7B" w:rsidR="007E523C" w:rsidRDefault="00845A85">
          <w:pPr>
            <w:pStyle w:val="TOC1"/>
            <w:rPr>
              <w:rFonts w:asciiTheme="minorHAnsi" w:eastAsiaTheme="minorEastAsia" w:hAnsiTheme="minorHAnsi" w:cstheme="minorBidi"/>
              <w:bCs w:val="0"/>
              <w:noProof/>
              <w:sz w:val="22"/>
              <w:szCs w:val="22"/>
            </w:rPr>
          </w:pPr>
          <w:hyperlink w:anchor="_Toc41564619" w:history="1">
            <w:r w:rsidR="007E523C" w:rsidRPr="00CC5071">
              <w:rPr>
                <w:rStyle w:val="Hyperlink"/>
                <w:noProof/>
              </w:rPr>
              <w:t>7. Assessment of the consistency of the proposed law with Scrutiny of Bills Committee principles</w:t>
            </w:r>
            <w:r w:rsidR="007E523C">
              <w:rPr>
                <w:noProof/>
                <w:webHidden/>
              </w:rPr>
              <w:tab/>
            </w:r>
            <w:r w:rsidR="007E523C">
              <w:rPr>
                <w:noProof/>
                <w:webHidden/>
              </w:rPr>
              <w:fldChar w:fldCharType="begin"/>
            </w:r>
            <w:r w:rsidR="007E523C">
              <w:rPr>
                <w:noProof/>
                <w:webHidden/>
              </w:rPr>
              <w:instrText xml:space="preserve"> PAGEREF _Toc41564619 \h </w:instrText>
            </w:r>
            <w:r w:rsidR="007E523C">
              <w:rPr>
                <w:noProof/>
                <w:webHidden/>
              </w:rPr>
            </w:r>
            <w:r w:rsidR="007E523C">
              <w:rPr>
                <w:noProof/>
                <w:webHidden/>
              </w:rPr>
              <w:fldChar w:fldCharType="separate"/>
            </w:r>
            <w:r w:rsidR="00574B8B">
              <w:rPr>
                <w:noProof/>
                <w:webHidden/>
              </w:rPr>
              <w:t>8</w:t>
            </w:r>
            <w:r w:rsidR="007E523C">
              <w:rPr>
                <w:noProof/>
                <w:webHidden/>
              </w:rPr>
              <w:fldChar w:fldCharType="end"/>
            </w:r>
          </w:hyperlink>
        </w:p>
        <w:p w14:paraId="1D4554A3" w14:textId="563633A2" w:rsidR="007E523C" w:rsidRDefault="00845A85">
          <w:pPr>
            <w:pStyle w:val="TOC1"/>
            <w:rPr>
              <w:rFonts w:asciiTheme="minorHAnsi" w:eastAsiaTheme="minorEastAsia" w:hAnsiTheme="minorHAnsi" w:cstheme="minorBidi"/>
              <w:bCs w:val="0"/>
              <w:noProof/>
              <w:sz w:val="22"/>
              <w:szCs w:val="22"/>
            </w:rPr>
          </w:pPr>
          <w:hyperlink w:anchor="_Toc41564620" w:history="1">
            <w:r w:rsidR="007E523C" w:rsidRPr="00CC5071">
              <w:rPr>
                <w:rStyle w:val="Hyperlink"/>
                <w:noProof/>
              </w:rPr>
              <w:t>8. Conclusion</w:t>
            </w:r>
            <w:r w:rsidR="007E523C">
              <w:rPr>
                <w:noProof/>
                <w:webHidden/>
              </w:rPr>
              <w:tab/>
            </w:r>
            <w:r w:rsidR="007E523C">
              <w:rPr>
                <w:noProof/>
                <w:webHidden/>
              </w:rPr>
              <w:fldChar w:fldCharType="begin"/>
            </w:r>
            <w:r w:rsidR="007E523C">
              <w:rPr>
                <w:noProof/>
                <w:webHidden/>
              </w:rPr>
              <w:instrText xml:space="preserve"> PAGEREF _Toc41564620 \h </w:instrText>
            </w:r>
            <w:r w:rsidR="007E523C">
              <w:rPr>
                <w:noProof/>
                <w:webHidden/>
              </w:rPr>
            </w:r>
            <w:r w:rsidR="007E523C">
              <w:rPr>
                <w:noProof/>
                <w:webHidden/>
              </w:rPr>
              <w:fldChar w:fldCharType="separate"/>
            </w:r>
            <w:r w:rsidR="00574B8B">
              <w:rPr>
                <w:noProof/>
                <w:webHidden/>
              </w:rPr>
              <w:t>9</w:t>
            </w:r>
            <w:r w:rsidR="007E523C">
              <w:rPr>
                <w:noProof/>
                <w:webHidden/>
              </w:rPr>
              <w:fldChar w:fldCharType="end"/>
            </w:r>
          </w:hyperlink>
        </w:p>
        <w:p w14:paraId="537F9D3E" w14:textId="6839BDC1" w:rsidR="00344F08" w:rsidRDefault="00344F08">
          <w:r>
            <w:rPr>
              <w:b/>
              <w:noProof/>
            </w:rPr>
            <w:fldChar w:fldCharType="end"/>
          </w:r>
        </w:p>
      </w:sdtContent>
    </w:sdt>
    <w:p w14:paraId="69C161FF" w14:textId="77777777" w:rsidR="00344F08" w:rsidRDefault="00344F08">
      <w:pPr>
        <w:tabs>
          <w:tab w:val="left" w:pos="3138"/>
        </w:tabs>
      </w:pPr>
    </w:p>
    <w:p w14:paraId="6B36AB3A" w14:textId="77777777" w:rsidR="00344F08" w:rsidRDefault="00344F08">
      <w:pPr>
        <w:tabs>
          <w:tab w:val="left" w:pos="3138"/>
        </w:tabs>
      </w:pPr>
    </w:p>
    <w:p w14:paraId="4F9FCDE6" w14:textId="4C05E3E5" w:rsidR="00820FDD" w:rsidRDefault="00820FDD" w:rsidP="006E4E98">
      <w:pPr>
        <w:tabs>
          <w:tab w:val="left" w:pos="3138"/>
        </w:tabs>
      </w:pPr>
      <w:r>
        <w:tab/>
      </w:r>
    </w:p>
    <w:p w14:paraId="1904A4BB" w14:textId="19004BA7" w:rsidR="00A056DD" w:rsidRPr="00A056DD" w:rsidRDefault="00A056DD" w:rsidP="00A056DD"/>
    <w:p w14:paraId="3B62F300" w14:textId="5E111CB7" w:rsidR="00A056DD" w:rsidRPr="00A056DD" w:rsidRDefault="00A056DD" w:rsidP="00A056DD"/>
    <w:p w14:paraId="518790E4" w14:textId="58CE50B2" w:rsidR="00A056DD" w:rsidRPr="00A056DD" w:rsidRDefault="00A056DD" w:rsidP="00A056DD"/>
    <w:p w14:paraId="7DFA9CA5" w14:textId="125859EF" w:rsidR="00A056DD" w:rsidRPr="00A056DD" w:rsidRDefault="00A056DD" w:rsidP="00A056DD"/>
    <w:p w14:paraId="627EE031" w14:textId="386BA4BF" w:rsidR="00A056DD" w:rsidRPr="00A056DD" w:rsidRDefault="00A056DD" w:rsidP="00A056DD"/>
    <w:p w14:paraId="149C1146" w14:textId="424F74C2" w:rsidR="00A056DD" w:rsidRPr="00A056DD" w:rsidRDefault="00A056DD" w:rsidP="00A056DD"/>
    <w:p w14:paraId="7D3F1781" w14:textId="7875B8AE" w:rsidR="00A056DD" w:rsidRPr="00A056DD" w:rsidRDefault="00A056DD" w:rsidP="00A056DD"/>
    <w:p w14:paraId="573ADF20" w14:textId="088EA878" w:rsidR="00A056DD" w:rsidRPr="00A056DD" w:rsidRDefault="00A056DD" w:rsidP="00A056DD"/>
    <w:p w14:paraId="63E1AEE7" w14:textId="63FFAD4E" w:rsidR="00A056DD" w:rsidRPr="00A056DD" w:rsidRDefault="00A056DD" w:rsidP="00A056DD"/>
    <w:p w14:paraId="784FE812" w14:textId="34CEDC32" w:rsidR="00A056DD" w:rsidRPr="00A056DD" w:rsidRDefault="00A056DD" w:rsidP="00A056DD">
      <w:pPr>
        <w:tabs>
          <w:tab w:val="left" w:pos="2201"/>
        </w:tabs>
      </w:pPr>
    </w:p>
    <w:p w14:paraId="0EA5A9D2" w14:textId="77777777" w:rsidR="001A5C42" w:rsidRDefault="001A5C42" w:rsidP="006E4E98">
      <w:pPr>
        <w:pStyle w:val="Heading1"/>
        <w:pageBreakBefore/>
        <w:numPr>
          <w:ilvl w:val="0"/>
          <w:numId w:val="4"/>
        </w:numPr>
        <w:ind w:left="284" w:hanging="284"/>
      </w:pPr>
      <w:bookmarkStart w:id="1" w:name="_Toc31363068"/>
      <w:bookmarkStart w:id="2" w:name="_Toc31363376"/>
      <w:bookmarkStart w:id="3" w:name="_Toc41564613"/>
      <w:r>
        <w:lastRenderedPageBreak/>
        <w:t>Executive Summary</w:t>
      </w:r>
      <w:bookmarkEnd w:id="1"/>
      <w:bookmarkEnd w:id="2"/>
      <w:bookmarkEnd w:id="3"/>
    </w:p>
    <w:p w14:paraId="0470944A" w14:textId="77777777" w:rsidR="001A5C42" w:rsidRDefault="001A5C42" w:rsidP="006E4E98">
      <w:pPr>
        <w:spacing w:before="120"/>
      </w:pPr>
      <w:r w:rsidRPr="004455C3">
        <w:t xml:space="preserve">The </w:t>
      </w:r>
      <w:r w:rsidRPr="004455C3">
        <w:rPr>
          <w:i/>
        </w:rPr>
        <w:t xml:space="preserve">Energy Efficiency (Cost of Living) Improvement Act 2012 </w:t>
      </w:r>
      <w:r w:rsidRPr="004455C3">
        <w:t xml:space="preserve">(the Act) establishes the Energy Efficiency Improvement Scheme (EEIS). EEIS objectives are to encourage the efficient use of energy, reduce greenhouse gas emissions, reduce household and business energy use and costs, and increase opportunities for priority households to reduce energy use and costs. </w:t>
      </w:r>
    </w:p>
    <w:p w14:paraId="7ABF4348" w14:textId="0CA574DD" w:rsidR="004455C3" w:rsidRPr="004455C3" w:rsidRDefault="004455C3" w:rsidP="004455C3">
      <w:pPr>
        <w:spacing w:before="240"/>
      </w:pPr>
      <w:r w:rsidRPr="004455C3">
        <w:t xml:space="preserve">EEIS works by requiring electricity retailers to deliver eligible activities that reduce emissions and provide for energy bill savings. </w:t>
      </w:r>
    </w:p>
    <w:p w14:paraId="4423ABA5" w14:textId="767DE40A" w:rsidR="004455C3" w:rsidRDefault="001A5C42" w:rsidP="004455C3">
      <w:pPr>
        <w:spacing w:after="60"/>
        <w:rPr>
          <w:bCs w:val="0"/>
          <w:color w:val="000000"/>
        </w:rPr>
      </w:pPr>
      <w:r w:rsidRPr="004455C3">
        <w:rPr>
          <w:bCs w:val="0"/>
        </w:rPr>
        <w:t xml:space="preserve">This Regulatory Impact Statement (RIS) analyses </w:t>
      </w:r>
      <w:r w:rsidR="003A7FF2" w:rsidRPr="004455C3">
        <w:rPr>
          <w:bCs w:val="0"/>
        </w:rPr>
        <w:t xml:space="preserve">the </w:t>
      </w:r>
      <w:r w:rsidR="005E2AB0" w:rsidRPr="004455C3">
        <w:rPr>
          <w:bCs w:val="0"/>
        </w:rPr>
        <w:t>policy</w:t>
      </w:r>
      <w:r w:rsidR="004455C3" w:rsidRPr="004455C3">
        <w:rPr>
          <w:bCs w:val="0"/>
        </w:rPr>
        <w:t xml:space="preserve"> impacts </w:t>
      </w:r>
      <w:r w:rsidR="004455C3">
        <w:rPr>
          <w:bCs w:val="0"/>
        </w:rPr>
        <w:t xml:space="preserve">of </w:t>
      </w:r>
      <w:r w:rsidR="00AC772A">
        <w:rPr>
          <w:bCs w:val="0"/>
        </w:rPr>
        <w:t>the Energy Efficiency (Cost of Living) Improvement (Eligible Activities Determination 2020 (No 2) (the Determination)</w:t>
      </w:r>
      <w:r w:rsidR="00A06732">
        <w:rPr>
          <w:bCs w:val="0"/>
        </w:rPr>
        <w:t xml:space="preserve">, one of the </w:t>
      </w:r>
      <w:r w:rsidR="00462615" w:rsidRPr="004455C3">
        <w:rPr>
          <w:bCs w:val="0"/>
        </w:rPr>
        <w:t>EEIS instruments</w:t>
      </w:r>
      <w:r w:rsidR="00E77753" w:rsidRPr="004455C3">
        <w:rPr>
          <w:bCs w:val="0"/>
        </w:rPr>
        <w:t>.</w:t>
      </w:r>
      <w:r w:rsidR="003B6E5A" w:rsidRPr="004455C3">
        <w:rPr>
          <w:bCs w:val="0"/>
        </w:rPr>
        <w:t xml:space="preserve"> </w:t>
      </w:r>
    </w:p>
    <w:p w14:paraId="47498323" w14:textId="7FB4E742" w:rsidR="00D90771" w:rsidRPr="00D90771" w:rsidRDefault="00D90771" w:rsidP="004455C3">
      <w:pPr>
        <w:spacing w:after="60"/>
        <w:rPr>
          <w:bCs w:val="0"/>
          <w:color w:val="000000"/>
        </w:rPr>
      </w:pPr>
      <w:r>
        <w:rPr>
          <w:bCs w:val="0"/>
          <w:color w:val="000000"/>
        </w:rPr>
        <w:t>I</w:t>
      </w:r>
      <w:r w:rsidRPr="00D90771">
        <w:rPr>
          <w:bCs w:val="0"/>
          <w:color w:val="000000"/>
        </w:rPr>
        <w:t xml:space="preserve">n accordance with recommendations stemming from the 2018 Review of the Energy Efficiency Improvement </w:t>
      </w:r>
      <w:r>
        <w:rPr>
          <w:bCs w:val="0"/>
          <w:color w:val="000000"/>
        </w:rPr>
        <w:t xml:space="preserve">Scheme (Point Advisory 2018), the </w:t>
      </w:r>
      <w:r w:rsidR="00AC772A">
        <w:rPr>
          <w:bCs w:val="0"/>
          <w:color w:val="000000"/>
        </w:rPr>
        <w:t xml:space="preserve">Determination uses a different </w:t>
      </w:r>
      <w:r w:rsidRPr="00D90771">
        <w:rPr>
          <w:bCs w:val="0"/>
          <w:color w:val="000000"/>
        </w:rPr>
        <w:t>core metric</w:t>
      </w:r>
      <w:r w:rsidR="00F421AA">
        <w:rPr>
          <w:bCs w:val="0"/>
          <w:color w:val="000000"/>
        </w:rPr>
        <w:t xml:space="preserve"> from previous Determinations</w:t>
      </w:r>
      <w:r>
        <w:rPr>
          <w:bCs w:val="0"/>
          <w:color w:val="000000"/>
        </w:rPr>
        <w:t xml:space="preserve"> to calculate and award credits under the </w:t>
      </w:r>
      <w:r w:rsidR="00D557A7">
        <w:rPr>
          <w:bCs w:val="0"/>
          <w:color w:val="000000"/>
        </w:rPr>
        <w:t>S</w:t>
      </w:r>
      <w:r>
        <w:rPr>
          <w:bCs w:val="0"/>
          <w:color w:val="000000"/>
        </w:rPr>
        <w:t>cheme</w:t>
      </w:r>
      <w:r w:rsidR="00AC772A">
        <w:rPr>
          <w:bCs w:val="0"/>
          <w:color w:val="000000"/>
        </w:rPr>
        <w:t xml:space="preserve">. The Determination uses an energy saving metric, rather than a greenhouse gas emissions metric. </w:t>
      </w:r>
      <w:r w:rsidRPr="00D90771">
        <w:rPr>
          <w:bCs w:val="0"/>
          <w:color w:val="000000"/>
        </w:rPr>
        <w:t xml:space="preserve"> </w:t>
      </w:r>
    </w:p>
    <w:p w14:paraId="318ABB50" w14:textId="028683D8" w:rsidR="00D90771" w:rsidRDefault="004455C3" w:rsidP="004455C3">
      <w:pPr>
        <w:spacing w:before="120"/>
        <w:rPr>
          <w:rFonts w:asciiTheme="minorHAnsi" w:hAnsiTheme="minorHAnsi" w:cstheme="minorHAnsi"/>
        </w:rPr>
      </w:pPr>
      <w:r w:rsidRPr="004455C3">
        <w:t xml:space="preserve">In the context of the </w:t>
      </w:r>
      <w:r w:rsidRPr="004455C3">
        <w:rPr>
          <w:rFonts w:asciiTheme="minorHAnsi" w:hAnsiTheme="minorHAnsi" w:cstheme="minorHAnsi"/>
        </w:rPr>
        <w:t xml:space="preserve">ACT policy of a 100% Renewable Energy Target (RET) by 2020, </w:t>
      </w:r>
      <w:r w:rsidR="00D90771">
        <w:t>t</w:t>
      </w:r>
      <w:r w:rsidRPr="004455C3">
        <w:t xml:space="preserve">his </w:t>
      </w:r>
      <w:r w:rsidR="00AC772A">
        <w:t xml:space="preserve">new Determination </w:t>
      </w:r>
      <w:r w:rsidRPr="004455C3">
        <w:t xml:space="preserve">will ensure that the </w:t>
      </w:r>
      <w:r w:rsidR="00D557A7">
        <w:t>S</w:t>
      </w:r>
      <w:r w:rsidRPr="004455C3">
        <w:t xml:space="preserve">cheme will continue to deliver on its objectives particularly in relation to activities under the </w:t>
      </w:r>
      <w:r w:rsidR="00D557A7">
        <w:t>S</w:t>
      </w:r>
      <w:r w:rsidRPr="004455C3">
        <w:t>cheme designed to save on electricity consumption</w:t>
      </w:r>
      <w:r w:rsidRPr="004455C3">
        <w:rPr>
          <w:rFonts w:asciiTheme="minorHAnsi" w:hAnsiTheme="minorHAnsi" w:cstheme="minorHAnsi"/>
        </w:rPr>
        <w:t xml:space="preserve">. </w:t>
      </w:r>
    </w:p>
    <w:p w14:paraId="4BDB7B11" w14:textId="32E5B807" w:rsidR="004455C3" w:rsidRDefault="004455C3" w:rsidP="004455C3">
      <w:pPr>
        <w:spacing w:before="120"/>
      </w:pPr>
      <w:r w:rsidRPr="004455C3">
        <w:t>W</w:t>
      </w:r>
      <w:r w:rsidR="00D90771">
        <w:t>ithout this</w:t>
      </w:r>
      <w:r w:rsidR="00AC772A">
        <w:t xml:space="preserve"> new Determination</w:t>
      </w:r>
      <w:r w:rsidR="00D90771">
        <w:t>,</w:t>
      </w:r>
      <w:r w:rsidRPr="004455C3">
        <w:t xml:space="preserve"> the </w:t>
      </w:r>
      <w:r w:rsidR="00D557A7">
        <w:t>S</w:t>
      </w:r>
      <w:r w:rsidRPr="004455C3">
        <w:t>cheme</w:t>
      </w:r>
      <w:r w:rsidR="00D557A7">
        <w:t>’</w:t>
      </w:r>
      <w:r w:rsidRPr="004455C3">
        <w:t>s objectives would be compromised particularly in</w:t>
      </w:r>
      <w:r>
        <w:t xml:space="preserve"> relation to the </w:t>
      </w:r>
      <w:r w:rsidR="00D557A7">
        <w:t>S</w:t>
      </w:r>
      <w:r>
        <w:t>cheme</w:t>
      </w:r>
      <w:r w:rsidR="00515657">
        <w:t>’</w:t>
      </w:r>
      <w:r>
        <w:t>s capacity to:</w:t>
      </w:r>
    </w:p>
    <w:p w14:paraId="3E0D2188" w14:textId="03FCEED3" w:rsidR="004455C3" w:rsidRPr="00E048A0" w:rsidRDefault="004455C3" w:rsidP="004455C3">
      <w:pPr>
        <w:pStyle w:val="ListParagraph"/>
        <w:numPr>
          <w:ilvl w:val="0"/>
          <w:numId w:val="48"/>
        </w:numPr>
        <w:spacing w:before="480" w:line="240" w:lineRule="auto"/>
        <w:rPr>
          <w:rFonts w:asciiTheme="minorHAnsi" w:hAnsiTheme="minorHAnsi" w:cstheme="minorHAnsi"/>
        </w:rPr>
      </w:pPr>
      <w:r w:rsidRPr="00E048A0">
        <w:t>encourage the efficient use of energy</w:t>
      </w:r>
      <w:r w:rsidR="00DC7013">
        <w:t>;</w:t>
      </w:r>
    </w:p>
    <w:p w14:paraId="18CC2D89" w14:textId="655BE89A" w:rsidR="004455C3" w:rsidRPr="00E048A0" w:rsidRDefault="004455C3" w:rsidP="004455C3">
      <w:pPr>
        <w:pStyle w:val="ListParagraph"/>
        <w:numPr>
          <w:ilvl w:val="0"/>
          <w:numId w:val="48"/>
        </w:numPr>
        <w:spacing w:before="480" w:line="240" w:lineRule="auto"/>
        <w:rPr>
          <w:rFonts w:asciiTheme="minorHAnsi" w:hAnsiTheme="minorHAnsi" w:cstheme="minorHAnsi"/>
        </w:rPr>
      </w:pPr>
      <w:r w:rsidRPr="00E048A0">
        <w:t>reduce household and business energy use and costs</w:t>
      </w:r>
      <w:r w:rsidR="00DC7013">
        <w:t>;</w:t>
      </w:r>
      <w:r w:rsidRPr="00E048A0">
        <w:t xml:space="preserve"> and</w:t>
      </w:r>
    </w:p>
    <w:p w14:paraId="02C652D4" w14:textId="4D19EC34" w:rsidR="00DC7013" w:rsidRPr="007E523C" w:rsidRDefault="004455C3" w:rsidP="00DC7013">
      <w:pPr>
        <w:pStyle w:val="ListParagraph"/>
        <w:numPr>
          <w:ilvl w:val="0"/>
          <w:numId w:val="48"/>
        </w:numPr>
        <w:spacing w:before="480" w:line="240" w:lineRule="auto"/>
        <w:rPr>
          <w:rFonts w:asciiTheme="minorHAnsi" w:hAnsiTheme="minorHAnsi" w:cstheme="minorHAnsi"/>
        </w:rPr>
      </w:pPr>
      <w:r w:rsidRPr="00E048A0">
        <w:t>increase opportunities for priority households to reduce energy use and costs</w:t>
      </w:r>
      <w:r w:rsidR="00DC7013">
        <w:t>.</w:t>
      </w:r>
    </w:p>
    <w:p w14:paraId="76876D51" w14:textId="77777777" w:rsidR="00DC7013" w:rsidRPr="007E523C" w:rsidRDefault="00DC7013" w:rsidP="007E523C">
      <w:pPr>
        <w:pStyle w:val="ListParagraph"/>
        <w:numPr>
          <w:ilvl w:val="0"/>
          <w:numId w:val="0"/>
        </w:numPr>
        <w:spacing w:before="480" w:line="240" w:lineRule="auto"/>
        <w:ind w:left="720"/>
        <w:rPr>
          <w:rFonts w:asciiTheme="minorHAnsi" w:hAnsiTheme="minorHAnsi" w:cstheme="minorHAnsi"/>
        </w:rPr>
      </w:pPr>
    </w:p>
    <w:p w14:paraId="5199F0F7" w14:textId="70EE0112" w:rsidR="00DC7013" w:rsidRPr="007E523C" w:rsidRDefault="00DC7013" w:rsidP="007E523C">
      <w:pPr>
        <w:spacing w:after="60"/>
        <w:rPr>
          <w:bCs w:val="0"/>
          <w:color w:val="000000"/>
        </w:rPr>
      </w:pPr>
      <w:r w:rsidRPr="007E523C">
        <w:rPr>
          <w:bCs w:val="0"/>
          <w:color w:val="000000"/>
        </w:rPr>
        <w:t xml:space="preserve">The </w:t>
      </w:r>
      <w:r w:rsidRPr="007E523C">
        <w:rPr>
          <w:bCs w:val="0"/>
          <w:i/>
          <w:iCs/>
          <w:color w:val="000000"/>
        </w:rPr>
        <w:t>Energy Efficiency (Cost of Living) Improvement Amendment Act 2019</w:t>
      </w:r>
      <w:r w:rsidRPr="007E523C">
        <w:rPr>
          <w:bCs w:val="0"/>
          <w:color w:val="000000"/>
        </w:rPr>
        <w:t xml:space="preserve"> (the Amendment Act) is partially commenced. The remaining </w:t>
      </w:r>
      <w:r w:rsidR="00515657" w:rsidRPr="007E523C">
        <w:rPr>
          <w:bCs w:val="0"/>
          <w:color w:val="000000"/>
        </w:rPr>
        <w:t>uncommen</w:t>
      </w:r>
      <w:r w:rsidR="00515657">
        <w:rPr>
          <w:bCs w:val="0"/>
          <w:color w:val="000000"/>
        </w:rPr>
        <w:t>c</w:t>
      </w:r>
      <w:r w:rsidR="00515657" w:rsidRPr="007E523C">
        <w:rPr>
          <w:bCs w:val="0"/>
          <w:color w:val="000000"/>
        </w:rPr>
        <w:t xml:space="preserve">ed </w:t>
      </w:r>
      <w:r w:rsidRPr="007E523C">
        <w:rPr>
          <w:bCs w:val="0"/>
          <w:color w:val="000000"/>
        </w:rPr>
        <w:t xml:space="preserve">sections of the Amendment Act, which will commence on 1 January 2021, include numerous provisions to allow for the metric to change from a </w:t>
      </w:r>
      <w:r>
        <w:rPr>
          <w:bCs w:val="0"/>
          <w:color w:val="000000"/>
        </w:rPr>
        <w:t>greenhouse gas emissions</w:t>
      </w:r>
      <w:r w:rsidRPr="007E523C">
        <w:rPr>
          <w:bCs w:val="0"/>
          <w:color w:val="000000"/>
        </w:rPr>
        <w:t xml:space="preserve"> saving metric to an energy saving metric.</w:t>
      </w:r>
    </w:p>
    <w:p w14:paraId="575EE92A" w14:textId="35C29F02" w:rsidR="001A5C42" w:rsidRDefault="001A5C42" w:rsidP="00820FDD">
      <w:pPr>
        <w:pStyle w:val="Heading1"/>
        <w:numPr>
          <w:ilvl w:val="0"/>
          <w:numId w:val="4"/>
        </w:numPr>
        <w:ind w:left="357" w:hanging="357"/>
      </w:pPr>
      <w:bookmarkStart w:id="4" w:name="_Toc31363069"/>
      <w:bookmarkStart w:id="5" w:name="_Toc31363377"/>
      <w:bookmarkStart w:id="6" w:name="_Toc41564614"/>
      <w:r>
        <w:t>Background</w:t>
      </w:r>
      <w:bookmarkEnd w:id="4"/>
      <w:bookmarkEnd w:id="5"/>
      <w:bookmarkEnd w:id="6"/>
    </w:p>
    <w:p w14:paraId="6F23C1A1" w14:textId="081132DA" w:rsidR="001A5C42" w:rsidRDefault="001A5C42" w:rsidP="001A5C42">
      <w:pPr>
        <w:pStyle w:val="Billname"/>
        <w:tabs>
          <w:tab w:val="clear" w:pos="2400"/>
          <w:tab w:val="clear" w:pos="2880"/>
        </w:tabs>
        <w:spacing w:before="120" w:after="200" w:line="276" w:lineRule="auto"/>
        <w:rPr>
          <w:rFonts w:ascii="Calibri" w:hAnsi="Calibri"/>
          <w:b w:val="0"/>
          <w:bCs w:val="0"/>
          <w:sz w:val="24"/>
          <w:szCs w:val="24"/>
        </w:rPr>
      </w:pPr>
      <w:r>
        <w:rPr>
          <w:rFonts w:ascii="Calibri" w:hAnsi="Calibri"/>
          <w:b w:val="0"/>
          <w:bCs w:val="0"/>
          <w:sz w:val="24"/>
          <w:szCs w:val="24"/>
        </w:rPr>
        <w:t xml:space="preserve">EEIS supports the </w:t>
      </w:r>
      <w:r w:rsidRPr="00E83363">
        <w:rPr>
          <w:rFonts w:ascii="Calibri" w:hAnsi="Calibri"/>
          <w:b w:val="0"/>
          <w:bCs w:val="0"/>
          <w:sz w:val="24"/>
          <w:szCs w:val="24"/>
        </w:rPr>
        <w:t xml:space="preserve">ACT Government’s </w:t>
      </w:r>
      <w:r w:rsidR="00E83363">
        <w:rPr>
          <w:rFonts w:ascii="Calibri" w:hAnsi="Calibri"/>
          <w:b w:val="0"/>
          <w:bCs w:val="0"/>
          <w:sz w:val="24"/>
          <w:szCs w:val="24"/>
        </w:rPr>
        <w:t>Climate Change Strategy</w:t>
      </w:r>
      <w:r>
        <w:rPr>
          <w:rFonts w:ascii="Calibri" w:hAnsi="Calibri"/>
          <w:b w:val="0"/>
          <w:bCs w:val="0"/>
          <w:sz w:val="24"/>
          <w:szCs w:val="24"/>
        </w:rPr>
        <w:t xml:space="preserve"> which </w:t>
      </w:r>
      <w:r w:rsidR="00E83363">
        <w:rPr>
          <w:rFonts w:ascii="Calibri" w:hAnsi="Calibri"/>
          <w:b w:val="0"/>
          <w:bCs w:val="0"/>
          <w:sz w:val="24"/>
          <w:szCs w:val="24"/>
        </w:rPr>
        <w:t>identifies</w:t>
      </w:r>
      <w:r>
        <w:rPr>
          <w:rFonts w:ascii="Calibri" w:hAnsi="Calibri"/>
          <w:b w:val="0"/>
          <w:bCs w:val="0"/>
          <w:sz w:val="24"/>
          <w:szCs w:val="24"/>
        </w:rPr>
        <w:t xml:space="preserve"> reducing energy use in existing homes as one of the most cost-effective ways for the ACT to achieve its emissions reduction targets and reduce the impact of rising electricity and gas prices over </w:t>
      </w:r>
      <w:r>
        <w:rPr>
          <w:rFonts w:ascii="Calibri" w:hAnsi="Calibri"/>
          <w:b w:val="0"/>
          <w:bCs w:val="0"/>
          <w:sz w:val="24"/>
          <w:szCs w:val="24"/>
        </w:rPr>
        <w:lastRenderedPageBreak/>
        <w:t>the long-term</w:t>
      </w:r>
      <w:r w:rsidR="00B421CB">
        <w:rPr>
          <w:rStyle w:val="FootnoteReference"/>
          <w:rFonts w:ascii="Calibri" w:hAnsi="Calibri"/>
          <w:b w:val="0"/>
          <w:bCs w:val="0"/>
          <w:sz w:val="24"/>
          <w:szCs w:val="24"/>
        </w:rPr>
        <w:footnoteReference w:id="1"/>
      </w:r>
      <w:r>
        <w:rPr>
          <w:rFonts w:ascii="Calibri" w:hAnsi="Calibri"/>
          <w:b w:val="0"/>
          <w:bCs w:val="0"/>
          <w:sz w:val="24"/>
          <w:szCs w:val="24"/>
        </w:rPr>
        <w:t xml:space="preserve">. Since the </w:t>
      </w:r>
      <w:r w:rsidR="00D557A7">
        <w:rPr>
          <w:rFonts w:ascii="Calibri" w:hAnsi="Calibri"/>
          <w:b w:val="0"/>
          <w:bCs w:val="0"/>
          <w:sz w:val="24"/>
          <w:szCs w:val="24"/>
        </w:rPr>
        <w:t>S</w:t>
      </w:r>
      <w:r>
        <w:rPr>
          <w:rFonts w:ascii="Calibri" w:hAnsi="Calibri"/>
          <w:b w:val="0"/>
          <w:bCs w:val="0"/>
          <w:sz w:val="24"/>
          <w:szCs w:val="24"/>
        </w:rPr>
        <w:t xml:space="preserve">cheme extension, the </w:t>
      </w:r>
      <w:r w:rsidRPr="007D2D51">
        <w:rPr>
          <w:rFonts w:ascii="Calibri" w:hAnsi="Calibri"/>
          <w:b w:val="0"/>
          <w:bCs w:val="0"/>
          <w:i/>
          <w:sz w:val="24"/>
          <w:szCs w:val="24"/>
        </w:rPr>
        <w:t>Climate Change and Greenhouse Gas Reduction Act 2010</w:t>
      </w:r>
      <w:r>
        <w:rPr>
          <w:rFonts w:ascii="Calibri" w:hAnsi="Calibri"/>
          <w:b w:val="0"/>
          <w:bCs w:val="0"/>
          <w:sz w:val="24"/>
          <w:szCs w:val="24"/>
        </w:rPr>
        <w:t xml:space="preserve"> (the CCGGR Act) has been updated with new targets of 100 per cent renewable electricity by 2020 and zero net greenhouse gas emissions </w:t>
      </w:r>
      <w:r w:rsidRPr="00B421CB">
        <w:rPr>
          <w:rFonts w:ascii="Calibri" w:hAnsi="Calibri"/>
          <w:b w:val="0"/>
          <w:bCs w:val="0"/>
          <w:sz w:val="24"/>
          <w:szCs w:val="24"/>
        </w:rPr>
        <w:t xml:space="preserve">by </w:t>
      </w:r>
      <w:r w:rsidR="00B421CB" w:rsidRPr="00B421CB">
        <w:rPr>
          <w:rFonts w:ascii="Calibri" w:hAnsi="Calibri"/>
          <w:b w:val="0"/>
          <w:bCs w:val="0"/>
          <w:sz w:val="24"/>
          <w:szCs w:val="24"/>
        </w:rPr>
        <w:t>2045</w:t>
      </w:r>
      <w:r w:rsidRPr="00B421CB">
        <w:rPr>
          <w:rFonts w:ascii="Calibri" w:hAnsi="Calibri"/>
          <w:b w:val="0"/>
          <w:bCs w:val="0"/>
          <w:sz w:val="24"/>
          <w:szCs w:val="24"/>
        </w:rPr>
        <w:t>. The</w:t>
      </w:r>
      <w:r>
        <w:rPr>
          <w:rFonts w:ascii="Calibri" w:hAnsi="Calibri"/>
          <w:b w:val="0"/>
          <w:bCs w:val="0"/>
          <w:sz w:val="24"/>
          <w:szCs w:val="24"/>
        </w:rPr>
        <w:t xml:space="preserve"> Parliamentary Agreement for the 9</w:t>
      </w:r>
      <w:r w:rsidRPr="00D21079">
        <w:rPr>
          <w:rFonts w:ascii="Calibri" w:hAnsi="Calibri"/>
          <w:b w:val="0"/>
          <w:bCs w:val="0"/>
          <w:sz w:val="24"/>
          <w:szCs w:val="24"/>
          <w:vertAlign w:val="superscript"/>
        </w:rPr>
        <w:t>th</w:t>
      </w:r>
      <w:r>
        <w:rPr>
          <w:rFonts w:ascii="Calibri" w:hAnsi="Calibri"/>
          <w:b w:val="0"/>
          <w:bCs w:val="0"/>
          <w:sz w:val="24"/>
          <w:szCs w:val="24"/>
        </w:rPr>
        <w:t xml:space="preserve"> Legislative Assembly for the ACT (Parliamentary Agreement) contains a commitment to “continue all necessary policy and contractual steps to achieve 100% renewable electricity by 2020”. EEIS is a key mechanism for delivering on the ACT</w:t>
      </w:r>
      <w:r w:rsidR="00515657">
        <w:rPr>
          <w:rFonts w:ascii="Calibri" w:hAnsi="Calibri"/>
          <w:b w:val="0"/>
          <w:bCs w:val="0"/>
          <w:sz w:val="24"/>
          <w:szCs w:val="24"/>
        </w:rPr>
        <w:t>’s</w:t>
      </w:r>
      <w:r>
        <w:rPr>
          <w:rFonts w:ascii="Calibri" w:hAnsi="Calibri"/>
          <w:b w:val="0"/>
          <w:bCs w:val="0"/>
          <w:sz w:val="24"/>
          <w:szCs w:val="24"/>
        </w:rPr>
        <w:t xml:space="preserve"> renewable energy and emission reduction targets. </w:t>
      </w:r>
    </w:p>
    <w:p w14:paraId="49C8215E" w14:textId="0A50D38F" w:rsidR="001A5C42" w:rsidRDefault="001A5C42" w:rsidP="001A5C42">
      <w:pPr>
        <w:spacing w:before="240"/>
      </w:pPr>
      <w:r>
        <w:t xml:space="preserve">The Act </w:t>
      </w:r>
      <w:r w:rsidRPr="000D4FA0">
        <w:t xml:space="preserve">establishes a Territory-wide Energy Savings Target (EST) which </w:t>
      </w:r>
      <w:r>
        <w:t>is a statutory</w:t>
      </w:r>
      <w:r w:rsidRPr="000D4FA0">
        <w:t xml:space="preserve"> obligation for individual electricity retailers based on their electricity sales in the ACT. </w:t>
      </w:r>
      <w:r>
        <w:t xml:space="preserve">The EST has been set at 8.6 per cent from 2016 until the end of 2020 to provide for business certainty and to maintain the level of ambition of EEIS for the life of the </w:t>
      </w:r>
      <w:r w:rsidR="00D557A7">
        <w:t>S</w:t>
      </w:r>
      <w:r>
        <w:t xml:space="preserve">cheme. </w:t>
      </w:r>
    </w:p>
    <w:p w14:paraId="4DEC5950" w14:textId="75ABF06B" w:rsidR="00676B2F" w:rsidRPr="006E4E98" w:rsidRDefault="001A5C42" w:rsidP="00E96A71">
      <w:pPr>
        <w:spacing w:before="240"/>
      </w:pPr>
      <w:r>
        <w:t>The Act requires t</w:t>
      </w:r>
      <w:r w:rsidRPr="00E461D0">
        <w:t>ier 1 retailers to achieve their EST by delivering eligible activities</w:t>
      </w:r>
      <w:r>
        <w:t xml:space="preserve"> which </w:t>
      </w:r>
      <w:r w:rsidRPr="00E461D0">
        <w:t xml:space="preserve">include installing energy efficient light globes, draught seals, efficient </w:t>
      </w:r>
      <w:r>
        <w:t xml:space="preserve">space heating and cooling systems, </w:t>
      </w:r>
      <w:r w:rsidRPr="00E461D0">
        <w:t>water heaters a</w:t>
      </w:r>
      <w:r>
        <w:t xml:space="preserve">nd other items that save energy and reduce greenhouse gas emissions </w:t>
      </w:r>
      <w:r w:rsidRPr="00E461D0">
        <w:t xml:space="preserve">while maintaining quality of life. </w:t>
      </w:r>
      <w:r>
        <w:t>Smaller, t</w:t>
      </w:r>
      <w:r w:rsidRPr="00E461D0">
        <w:t xml:space="preserve">ier 2 retailers can either deliver eligible activities or pay an Energy Savings Contribution. ActewAGL Retail (ActewAGL) </w:t>
      </w:r>
      <w:r>
        <w:t>is currently the only tier 1 retailer</w:t>
      </w:r>
      <w:r w:rsidR="00515657">
        <w:t xml:space="preserve"> in the ACT</w:t>
      </w:r>
      <w:r>
        <w:t>.</w:t>
      </w:r>
      <w:r w:rsidRPr="00E461D0">
        <w:t xml:space="preserve"> </w:t>
      </w:r>
      <w:r w:rsidR="00676B2F">
        <w:t>T</w:t>
      </w:r>
      <w:r w:rsidR="00E96A71">
        <w:t xml:space="preserve">he Act </w:t>
      </w:r>
      <w:r w:rsidR="00515657">
        <w:t xml:space="preserve">also </w:t>
      </w:r>
      <w:r w:rsidR="00E96A71">
        <w:t>requires t</w:t>
      </w:r>
      <w:r w:rsidR="00E96A71" w:rsidRPr="00A678DD">
        <w:t xml:space="preserve">ier 1 retailers </w:t>
      </w:r>
      <w:r w:rsidR="00E96A71" w:rsidRPr="00647C7B">
        <w:t>to achieve</w:t>
      </w:r>
      <w:r w:rsidR="00E96A71" w:rsidRPr="00A678DD">
        <w:t xml:space="preserve"> </w:t>
      </w:r>
      <w:r w:rsidR="00E96A71">
        <w:t>a priority household target (PHT)</w:t>
      </w:r>
      <w:r w:rsidR="00E96A71" w:rsidRPr="00A678DD">
        <w:t xml:space="preserve"> in priority households for each compliance period. </w:t>
      </w:r>
      <w:r w:rsidR="00E96A71">
        <w:t xml:space="preserve">The classes of priority households are designed to target Canberra’s lower income households </w:t>
      </w:r>
      <w:r w:rsidR="00676B2F">
        <w:t>who</w:t>
      </w:r>
      <w:r w:rsidR="00E96A71">
        <w:t xml:space="preserve"> are most affected by energy price rises, but least able to invest in efficient items and thus reduce their energy demand. The PHT ensures that a proportion of EEIS savings are delivered in these priority households. </w:t>
      </w:r>
    </w:p>
    <w:p w14:paraId="05F559CD" w14:textId="7A038044" w:rsidR="008B59B4" w:rsidRDefault="001A5C42" w:rsidP="008B59B4">
      <w:pPr>
        <w:pStyle w:val="ListParagraph"/>
        <w:numPr>
          <w:ilvl w:val="0"/>
          <w:numId w:val="47"/>
        </w:numPr>
      </w:pPr>
      <w:r w:rsidRPr="00E461D0">
        <w:t>Eligible activities</w:t>
      </w:r>
      <w:r>
        <w:t xml:space="preserve"> are determined by the Minister under Section 10 of the Act</w:t>
      </w:r>
      <w:r w:rsidRPr="006E4E98">
        <w:rPr>
          <w:bCs w:val="0"/>
          <w:color w:val="000000"/>
        </w:rPr>
        <w:t>.</w:t>
      </w:r>
      <w:r w:rsidR="002A6AAF">
        <w:rPr>
          <w:bCs w:val="0"/>
          <w:color w:val="000000"/>
        </w:rPr>
        <w:t xml:space="preserve"> This instrument </w:t>
      </w:r>
      <w:r w:rsidR="008B59B4">
        <w:t xml:space="preserve">differs from previous Determinations to reflect the policy change in the Amendment Act from using greenhouse gas emissions metric to using an energy saving metric. This change was made in accordance with recommendations stemming from the 2018 </w:t>
      </w:r>
      <w:r w:rsidR="008B59B4" w:rsidRPr="00AD2E8A">
        <w:rPr>
          <w:i/>
        </w:rPr>
        <w:t>Review of the Energy Efficiency Improvement Scheme</w:t>
      </w:r>
      <w:r w:rsidR="008B59B4">
        <w:t xml:space="preserve"> (Point Advisory 2018),</w:t>
      </w:r>
      <w:r w:rsidR="008B59B4" w:rsidRPr="00BD6B57">
        <w:t xml:space="preserve"> to change the </w:t>
      </w:r>
      <w:r w:rsidR="008B59B4">
        <w:t xml:space="preserve">Scheme’s core </w:t>
      </w:r>
      <w:r w:rsidR="008B59B4" w:rsidRPr="00BD6B57">
        <w:t>metric</w:t>
      </w:r>
      <w:r w:rsidR="008B59B4">
        <w:t xml:space="preserve"> used to award credits under the Scheme</w:t>
      </w:r>
      <w:r w:rsidR="008B59B4" w:rsidRPr="00BD6B57">
        <w:t xml:space="preserve"> from a </w:t>
      </w:r>
      <w:r w:rsidR="008B59B4">
        <w:t>greenhouse gas emissions</w:t>
      </w:r>
      <w:r w:rsidR="008B59B4" w:rsidRPr="00BD6B57">
        <w:t xml:space="preserve"> metric to an energy saving metric.</w:t>
      </w:r>
    </w:p>
    <w:p w14:paraId="2E27A275" w14:textId="0042F0B6" w:rsidR="00AD2E8A" w:rsidRDefault="00AD2E8A" w:rsidP="001A5C42"/>
    <w:p w14:paraId="16248BCC" w14:textId="0312AF75" w:rsidR="00686C29" w:rsidRPr="006E4E98" w:rsidRDefault="00686C29" w:rsidP="001A5C42">
      <w:pPr>
        <w:rPr>
          <w:u w:val="single"/>
        </w:rPr>
      </w:pPr>
      <w:r w:rsidRPr="006E4E98">
        <w:rPr>
          <w:u w:val="single"/>
        </w:rPr>
        <w:t>Eligible Activities</w:t>
      </w:r>
    </w:p>
    <w:p w14:paraId="784EC799" w14:textId="1092B560" w:rsidR="00F4071A" w:rsidRPr="006E4E98" w:rsidRDefault="00F4071A" w:rsidP="001A5C42">
      <w:pPr>
        <w:rPr>
          <w:rFonts w:asciiTheme="minorHAnsi" w:hAnsiTheme="minorHAnsi" w:cstheme="minorHAnsi"/>
        </w:rPr>
      </w:pPr>
      <w:r w:rsidRPr="006E4E98">
        <w:rPr>
          <w:rFonts w:asciiTheme="minorHAnsi" w:hAnsiTheme="minorHAnsi" w:cstheme="minorHAnsi"/>
        </w:rPr>
        <w:t>The eligible activities described in the Determination are:</w:t>
      </w:r>
    </w:p>
    <w:p w14:paraId="5A8E53F2" w14:textId="77777777" w:rsidR="00F4071A" w:rsidRPr="006E4E98" w:rsidRDefault="00F4071A" w:rsidP="00F4071A">
      <w:pPr>
        <w:pStyle w:val="ListParagraph"/>
        <w:numPr>
          <w:ilvl w:val="0"/>
          <w:numId w:val="37"/>
        </w:numPr>
        <w:autoSpaceDE/>
        <w:autoSpaceDN/>
        <w:adjustRightInd/>
        <w:spacing w:before="80" w:line="240" w:lineRule="auto"/>
        <w:ind w:left="714" w:hanging="357"/>
        <w:contextualSpacing w:val="0"/>
        <w:rPr>
          <w:rFonts w:asciiTheme="minorHAnsi" w:hAnsiTheme="minorHAnsi" w:cstheme="minorHAnsi"/>
          <w:iCs/>
          <w:color w:val="000000"/>
        </w:rPr>
      </w:pPr>
      <w:r w:rsidRPr="006E4E98">
        <w:rPr>
          <w:rFonts w:asciiTheme="minorHAnsi" w:hAnsiTheme="minorHAnsi" w:cstheme="minorHAnsi"/>
          <w:noProof/>
        </w:rPr>
        <w:t>Residential building envelope activities:</w:t>
      </w:r>
    </w:p>
    <w:p w14:paraId="7135175A" w14:textId="203027F4" w:rsidR="00F4071A" w:rsidRPr="006E4E98" w:rsidRDefault="00F4071A" w:rsidP="006E4E98">
      <w:pPr>
        <w:pStyle w:val="ListParagraph"/>
        <w:numPr>
          <w:ilvl w:val="0"/>
          <w:numId w:val="39"/>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 xml:space="preserve">Building sealing activities </w:t>
      </w:r>
    </w:p>
    <w:p w14:paraId="72797EC6" w14:textId="1E66FDFF" w:rsidR="00F4071A" w:rsidRPr="006E4E98" w:rsidRDefault="00F4071A" w:rsidP="006E4E98">
      <w:pPr>
        <w:pStyle w:val="ListParagraph"/>
        <w:numPr>
          <w:ilvl w:val="0"/>
          <w:numId w:val="39"/>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lastRenderedPageBreak/>
        <w:t>Exhaust fan sealing activities</w:t>
      </w:r>
    </w:p>
    <w:p w14:paraId="702AF414" w14:textId="4E8628C7" w:rsidR="00F4071A" w:rsidRPr="006E4E98" w:rsidRDefault="00F4071A" w:rsidP="006E4E98">
      <w:pPr>
        <w:pStyle w:val="ListParagraph"/>
        <w:numPr>
          <w:ilvl w:val="0"/>
          <w:numId w:val="39"/>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Ventilation opening sealing activities</w:t>
      </w:r>
    </w:p>
    <w:p w14:paraId="0BD72DD7" w14:textId="1042AAB9" w:rsidR="00F4071A" w:rsidRPr="006E4E98" w:rsidRDefault="00F4071A" w:rsidP="006E4E98">
      <w:pPr>
        <w:pStyle w:val="ListParagraph"/>
        <w:numPr>
          <w:ilvl w:val="0"/>
          <w:numId w:val="39"/>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Install a thermally efficient window</w:t>
      </w:r>
    </w:p>
    <w:p w14:paraId="689C417D" w14:textId="2B452E2E" w:rsidR="00F4071A" w:rsidRPr="006E4E98" w:rsidRDefault="00F4071A" w:rsidP="006E4E98">
      <w:pPr>
        <w:pStyle w:val="ListParagraph"/>
        <w:numPr>
          <w:ilvl w:val="0"/>
          <w:numId w:val="39"/>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Retrofit thermally efficient glazing</w:t>
      </w:r>
    </w:p>
    <w:p w14:paraId="18096E55" w14:textId="34F8AD45" w:rsidR="00F4071A" w:rsidRPr="006E4E98" w:rsidRDefault="00F4071A" w:rsidP="006E4E98">
      <w:pPr>
        <w:pStyle w:val="ListParagraph"/>
        <w:numPr>
          <w:ilvl w:val="0"/>
          <w:numId w:val="39"/>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Install thermally efficient window coverings</w:t>
      </w:r>
    </w:p>
    <w:p w14:paraId="431C0F3A" w14:textId="29E5E1DF" w:rsidR="00F4071A" w:rsidRPr="006E4E98" w:rsidRDefault="00F4071A" w:rsidP="006E4E98">
      <w:pPr>
        <w:pStyle w:val="ListParagraph"/>
        <w:numPr>
          <w:ilvl w:val="0"/>
          <w:numId w:val="39"/>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Install window pelmets</w:t>
      </w:r>
    </w:p>
    <w:p w14:paraId="73170346" w14:textId="75728D1F" w:rsidR="00F4071A" w:rsidRPr="006E4E98" w:rsidRDefault="00F4071A" w:rsidP="006E4E98">
      <w:pPr>
        <w:pStyle w:val="ListParagraph"/>
        <w:numPr>
          <w:ilvl w:val="0"/>
          <w:numId w:val="39"/>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Install ceiling insulation</w:t>
      </w:r>
    </w:p>
    <w:p w14:paraId="469CCDFB" w14:textId="0896E96F" w:rsidR="00F4071A" w:rsidRPr="006E4E98" w:rsidRDefault="00F4071A" w:rsidP="006E4E98">
      <w:pPr>
        <w:pStyle w:val="ListParagraph"/>
        <w:numPr>
          <w:ilvl w:val="0"/>
          <w:numId w:val="39"/>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Install underfloor insulation</w:t>
      </w:r>
    </w:p>
    <w:p w14:paraId="577B4182" w14:textId="675B09DF" w:rsidR="00F4071A" w:rsidRPr="006E4E98" w:rsidRDefault="00F4071A" w:rsidP="006E4E98">
      <w:pPr>
        <w:pStyle w:val="ListParagraph"/>
        <w:numPr>
          <w:ilvl w:val="0"/>
          <w:numId w:val="37"/>
        </w:numPr>
        <w:autoSpaceDE/>
        <w:autoSpaceDN/>
        <w:adjustRightInd/>
        <w:spacing w:before="240" w:line="240" w:lineRule="auto"/>
        <w:ind w:left="714" w:hanging="357"/>
        <w:contextualSpacing w:val="0"/>
        <w:rPr>
          <w:rFonts w:asciiTheme="minorHAnsi" w:hAnsiTheme="minorHAnsi" w:cstheme="minorHAnsi"/>
          <w:iCs/>
          <w:color w:val="000000"/>
        </w:rPr>
      </w:pPr>
      <w:r w:rsidRPr="006E4E98">
        <w:rPr>
          <w:rFonts w:asciiTheme="minorHAnsi" w:hAnsiTheme="minorHAnsi" w:cstheme="minorHAnsi"/>
          <w:noProof/>
        </w:rPr>
        <w:t>Space heating and cooling activities</w:t>
      </w:r>
    </w:p>
    <w:p w14:paraId="2A96A520" w14:textId="7F972708" w:rsidR="00F4071A" w:rsidRPr="006E4E98" w:rsidRDefault="00F4071A" w:rsidP="006E4E98">
      <w:pPr>
        <w:pStyle w:val="ListParagraph"/>
        <w:numPr>
          <w:ilvl w:val="0"/>
          <w:numId w:val="40"/>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Install a high efficiency central air conditioning heat pump</w:t>
      </w:r>
    </w:p>
    <w:p w14:paraId="64C15989" w14:textId="48BC1F7E" w:rsidR="00F4071A" w:rsidRPr="006E4E98" w:rsidRDefault="00F4071A" w:rsidP="006E4E98">
      <w:pPr>
        <w:pStyle w:val="ListParagraph"/>
        <w:numPr>
          <w:ilvl w:val="0"/>
          <w:numId w:val="40"/>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 xml:space="preserve">Replace a ducted gas heater with </w:t>
      </w:r>
      <w:r w:rsidR="002755C9">
        <w:rPr>
          <w:rFonts w:asciiTheme="minorHAnsi" w:hAnsiTheme="minorHAnsi" w:cstheme="minorHAnsi"/>
          <w:noProof/>
        </w:rPr>
        <w:t xml:space="preserve">a </w:t>
      </w:r>
      <w:r w:rsidRPr="006E4E98">
        <w:rPr>
          <w:rFonts w:asciiTheme="minorHAnsi" w:hAnsiTheme="minorHAnsi" w:cstheme="minorHAnsi"/>
          <w:noProof/>
        </w:rPr>
        <w:t>high efficiency ducted gas heater (</w:t>
      </w:r>
      <w:r w:rsidRPr="006E4E98">
        <w:rPr>
          <w:rFonts w:asciiTheme="minorHAnsi" w:hAnsiTheme="minorHAnsi" w:cstheme="minorHAnsi"/>
          <w:i/>
          <w:noProof/>
        </w:rPr>
        <w:t>Revoked</w:t>
      </w:r>
      <w:r w:rsidRPr="006E4E98">
        <w:rPr>
          <w:rFonts w:asciiTheme="minorHAnsi" w:hAnsiTheme="minorHAnsi" w:cstheme="minorHAnsi"/>
          <w:noProof/>
        </w:rPr>
        <w:t>)</w:t>
      </w:r>
    </w:p>
    <w:p w14:paraId="6B872ED5" w14:textId="0EAF8EBA" w:rsidR="00F4071A" w:rsidRPr="006E4E98" w:rsidRDefault="00F4071A" w:rsidP="006E4E98">
      <w:pPr>
        <w:pStyle w:val="ListParagraph"/>
        <w:numPr>
          <w:ilvl w:val="0"/>
          <w:numId w:val="40"/>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Install a high efficiency room air conditioning heat pump</w:t>
      </w:r>
    </w:p>
    <w:p w14:paraId="00033EC8" w14:textId="5425C353" w:rsidR="004E2FDE" w:rsidRPr="006E4E98" w:rsidRDefault="004E2FDE" w:rsidP="006E4E98">
      <w:pPr>
        <w:pStyle w:val="ListParagraph"/>
        <w:numPr>
          <w:ilvl w:val="0"/>
          <w:numId w:val="40"/>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Install insulated space conditioning ductwork</w:t>
      </w:r>
    </w:p>
    <w:p w14:paraId="47C33CDD" w14:textId="54E4C0F5" w:rsidR="004E2FDE" w:rsidRPr="006E4E98" w:rsidRDefault="004E2FDE" w:rsidP="006E4E98">
      <w:pPr>
        <w:pStyle w:val="ListParagraph"/>
        <w:numPr>
          <w:ilvl w:val="0"/>
          <w:numId w:val="40"/>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Replace separate central heating and cooling systems with a high efficiency central air conditioning heat pump system</w:t>
      </w:r>
    </w:p>
    <w:p w14:paraId="66CB618D" w14:textId="236A434E" w:rsidR="004E2FDE" w:rsidRPr="006E4E98" w:rsidRDefault="004E2FDE" w:rsidP="006E4E98">
      <w:pPr>
        <w:pStyle w:val="ListParagraph"/>
        <w:numPr>
          <w:ilvl w:val="0"/>
          <w:numId w:val="40"/>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Replace separate room heating and cooling systems with a high efficiency room heat pump</w:t>
      </w:r>
    </w:p>
    <w:p w14:paraId="1CCDCF5C" w14:textId="236A434E" w:rsidR="00F4071A" w:rsidRPr="006E4E98" w:rsidRDefault="00F4071A" w:rsidP="006E4E98">
      <w:pPr>
        <w:pStyle w:val="ListParagraph"/>
        <w:numPr>
          <w:ilvl w:val="0"/>
          <w:numId w:val="37"/>
        </w:numPr>
        <w:autoSpaceDE/>
        <w:autoSpaceDN/>
        <w:adjustRightInd/>
        <w:spacing w:before="240" w:line="240" w:lineRule="auto"/>
        <w:ind w:left="714" w:hanging="357"/>
        <w:contextualSpacing w:val="0"/>
        <w:rPr>
          <w:rFonts w:asciiTheme="minorHAnsi" w:hAnsiTheme="minorHAnsi" w:cstheme="minorHAnsi"/>
          <w:iCs/>
          <w:color w:val="000000"/>
        </w:rPr>
      </w:pPr>
      <w:r w:rsidRPr="006E4E98">
        <w:rPr>
          <w:rFonts w:asciiTheme="minorHAnsi" w:hAnsiTheme="minorHAnsi" w:cstheme="minorHAnsi"/>
          <w:noProof/>
        </w:rPr>
        <w:t>Hot water service activities</w:t>
      </w:r>
    </w:p>
    <w:p w14:paraId="32D8B51C" w14:textId="448E741A" w:rsidR="004E2FDE" w:rsidRPr="006E4E98" w:rsidRDefault="004E2FDE" w:rsidP="006E4E98">
      <w:pPr>
        <w:pStyle w:val="ListParagraph"/>
        <w:numPr>
          <w:ilvl w:val="0"/>
          <w:numId w:val="41"/>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Decommission an electric resistance water heater and install a specified high efficiency water heater</w:t>
      </w:r>
    </w:p>
    <w:p w14:paraId="2808E3A9" w14:textId="1EF3D6CC" w:rsidR="004E2FDE" w:rsidRPr="006E4E98" w:rsidRDefault="004E2FDE" w:rsidP="006E4E98">
      <w:pPr>
        <w:pStyle w:val="ListParagraph"/>
        <w:numPr>
          <w:ilvl w:val="0"/>
          <w:numId w:val="41"/>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 xml:space="preserve">Decommission a gas or liquefied petroleum gas water heater and install a specified high efficiency water heater </w:t>
      </w:r>
    </w:p>
    <w:p w14:paraId="5DF8CABF" w14:textId="2C86DED3" w:rsidR="004E2FDE" w:rsidRPr="006E4E98" w:rsidRDefault="004E2FDE" w:rsidP="006E4E98">
      <w:pPr>
        <w:pStyle w:val="ListParagraph"/>
        <w:numPr>
          <w:ilvl w:val="0"/>
          <w:numId w:val="41"/>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Replace an existing shower fixture outlet with a low flow shower fixture outlet</w:t>
      </w:r>
    </w:p>
    <w:p w14:paraId="1E98B30C" w14:textId="2C86DED3" w:rsidR="00F4071A" w:rsidRPr="006E4E98" w:rsidRDefault="00F4071A" w:rsidP="006E4E98">
      <w:pPr>
        <w:pStyle w:val="ListParagraph"/>
        <w:numPr>
          <w:ilvl w:val="0"/>
          <w:numId w:val="37"/>
        </w:numPr>
        <w:autoSpaceDE/>
        <w:autoSpaceDN/>
        <w:adjustRightInd/>
        <w:spacing w:before="240" w:line="240" w:lineRule="auto"/>
        <w:ind w:left="714" w:hanging="357"/>
        <w:contextualSpacing w:val="0"/>
        <w:rPr>
          <w:rFonts w:asciiTheme="minorHAnsi" w:hAnsiTheme="minorHAnsi" w:cstheme="minorHAnsi"/>
          <w:iCs/>
          <w:color w:val="000000"/>
        </w:rPr>
      </w:pPr>
      <w:r w:rsidRPr="006E4E98">
        <w:rPr>
          <w:rFonts w:asciiTheme="minorHAnsi" w:hAnsiTheme="minorHAnsi" w:cstheme="minorHAnsi"/>
          <w:noProof/>
        </w:rPr>
        <w:t>Lighting activities</w:t>
      </w:r>
    </w:p>
    <w:p w14:paraId="6D0C2872" w14:textId="2CA9F2DD" w:rsidR="004E2FDE" w:rsidRPr="006E4E98" w:rsidRDefault="004E2FDE" w:rsidP="006E4E98">
      <w:pPr>
        <w:pStyle w:val="ListParagraph"/>
        <w:numPr>
          <w:ilvl w:val="0"/>
          <w:numId w:val="42"/>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Residential lighting activities</w:t>
      </w:r>
    </w:p>
    <w:p w14:paraId="0ED6CD26" w14:textId="6188DB82" w:rsidR="004E2FDE" w:rsidRPr="006E4E98" w:rsidRDefault="004E2FDE" w:rsidP="006E4E98">
      <w:pPr>
        <w:pStyle w:val="ListParagraph"/>
        <w:numPr>
          <w:ilvl w:val="0"/>
          <w:numId w:val="42"/>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Commercial lighting upgrade activities</w:t>
      </w:r>
    </w:p>
    <w:p w14:paraId="631996CB" w14:textId="5B02EB0C" w:rsidR="00F4071A" w:rsidRPr="006E4E98" w:rsidRDefault="00F4071A" w:rsidP="006E4E98">
      <w:pPr>
        <w:pStyle w:val="ListParagraph"/>
        <w:numPr>
          <w:ilvl w:val="0"/>
          <w:numId w:val="37"/>
        </w:numPr>
        <w:autoSpaceDE/>
        <w:autoSpaceDN/>
        <w:adjustRightInd/>
        <w:spacing w:before="240" w:line="240" w:lineRule="auto"/>
        <w:ind w:left="714" w:hanging="357"/>
        <w:contextualSpacing w:val="0"/>
        <w:rPr>
          <w:rFonts w:asciiTheme="minorHAnsi" w:hAnsiTheme="minorHAnsi" w:cstheme="minorHAnsi"/>
          <w:noProof/>
        </w:rPr>
      </w:pPr>
      <w:r w:rsidRPr="006E4E98">
        <w:rPr>
          <w:rFonts w:asciiTheme="minorHAnsi" w:hAnsiTheme="minorHAnsi" w:cstheme="minorHAnsi"/>
          <w:noProof/>
        </w:rPr>
        <w:t>Appliance activities</w:t>
      </w:r>
    </w:p>
    <w:p w14:paraId="1A00147D" w14:textId="2C7BB19C" w:rsidR="004E2FDE" w:rsidRPr="006E4E98" w:rsidRDefault="004E2FDE" w:rsidP="006E4E98">
      <w:pPr>
        <w:pStyle w:val="ListParagraph"/>
        <w:numPr>
          <w:ilvl w:val="0"/>
          <w:numId w:val="43"/>
        </w:numPr>
        <w:autoSpaceDE/>
        <w:autoSpaceDN/>
        <w:adjustRightInd/>
        <w:spacing w:before="80" w:line="240" w:lineRule="auto"/>
        <w:ind w:left="1434" w:hanging="357"/>
        <w:rPr>
          <w:rFonts w:asciiTheme="minorHAnsi" w:hAnsiTheme="minorHAnsi" w:cstheme="minorHAnsi"/>
          <w:noProof/>
        </w:rPr>
      </w:pPr>
      <w:r w:rsidRPr="006E4E98">
        <w:rPr>
          <w:rFonts w:asciiTheme="minorHAnsi" w:hAnsiTheme="minorHAnsi" w:cstheme="minorHAnsi"/>
          <w:noProof/>
        </w:rPr>
        <w:t>Decommissioning and disposal of refrigerator or freezer</w:t>
      </w:r>
    </w:p>
    <w:p w14:paraId="20598A23" w14:textId="0D345AA1" w:rsidR="004E2FDE" w:rsidRPr="006E4E98" w:rsidRDefault="004E2FDE" w:rsidP="006E4E98">
      <w:pPr>
        <w:pStyle w:val="ListParagraph"/>
        <w:numPr>
          <w:ilvl w:val="0"/>
          <w:numId w:val="43"/>
        </w:numPr>
        <w:autoSpaceDE/>
        <w:autoSpaceDN/>
        <w:adjustRightInd/>
        <w:spacing w:before="80" w:line="240" w:lineRule="auto"/>
        <w:ind w:left="1434" w:hanging="357"/>
        <w:rPr>
          <w:rFonts w:asciiTheme="minorHAnsi" w:hAnsiTheme="minorHAnsi" w:cstheme="minorHAnsi"/>
          <w:noProof/>
        </w:rPr>
      </w:pPr>
      <w:r w:rsidRPr="006E4E98">
        <w:rPr>
          <w:rFonts w:asciiTheme="minorHAnsi" w:hAnsiTheme="minorHAnsi" w:cstheme="minorHAnsi"/>
          <w:noProof/>
        </w:rPr>
        <w:t>Purchase of high efficiency refrigerator or freezer</w:t>
      </w:r>
    </w:p>
    <w:p w14:paraId="2C858C7C" w14:textId="43161ACE" w:rsidR="004E2FDE" w:rsidRPr="006E4E98" w:rsidRDefault="004E2FDE" w:rsidP="006E4E98">
      <w:pPr>
        <w:pStyle w:val="ListParagraph"/>
        <w:numPr>
          <w:ilvl w:val="0"/>
          <w:numId w:val="43"/>
        </w:numPr>
        <w:autoSpaceDE/>
        <w:autoSpaceDN/>
        <w:adjustRightInd/>
        <w:spacing w:before="80" w:line="240" w:lineRule="auto"/>
        <w:ind w:left="1434" w:hanging="357"/>
        <w:rPr>
          <w:rFonts w:asciiTheme="minorHAnsi" w:hAnsiTheme="minorHAnsi" w:cstheme="minorHAnsi"/>
          <w:noProof/>
        </w:rPr>
      </w:pPr>
      <w:r w:rsidRPr="006E4E98">
        <w:rPr>
          <w:rFonts w:asciiTheme="minorHAnsi" w:hAnsiTheme="minorHAnsi" w:cstheme="minorHAnsi"/>
          <w:noProof/>
        </w:rPr>
        <w:t>Purchase of high efficiency electric clothes dryer</w:t>
      </w:r>
    </w:p>
    <w:p w14:paraId="420F27FB" w14:textId="7D92F9DA" w:rsidR="004E2FDE" w:rsidRPr="006E4E98" w:rsidRDefault="004E2FDE" w:rsidP="006E4E98">
      <w:pPr>
        <w:pStyle w:val="ListParagraph"/>
        <w:numPr>
          <w:ilvl w:val="0"/>
          <w:numId w:val="43"/>
        </w:numPr>
        <w:autoSpaceDE/>
        <w:autoSpaceDN/>
        <w:adjustRightInd/>
        <w:spacing w:before="80" w:line="240" w:lineRule="auto"/>
        <w:ind w:left="1434" w:hanging="357"/>
        <w:rPr>
          <w:rFonts w:asciiTheme="minorHAnsi" w:hAnsiTheme="minorHAnsi" w:cstheme="minorHAnsi"/>
          <w:noProof/>
        </w:rPr>
      </w:pPr>
      <w:r w:rsidRPr="006E4E98">
        <w:rPr>
          <w:rFonts w:asciiTheme="minorHAnsi" w:hAnsiTheme="minorHAnsi" w:cstheme="minorHAnsi"/>
          <w:noProof/>
        </w:rPr>
        <w:t>Purchase of a high efficiency television</w:t>
      </w:r>
    </w:p>
    <w:p w14:paraId="0A882ECA" w14:textId="70ABDCA8" w:rsidR="004E2FDE" w:rsidRPr="006E4E98" w:rsidRDefault="004E2FDE" w:rsidP="006E4E98">
      <w:pPr>
        <w:pStyle w:val="ListParagraph"/>
        <w:numPr>
          <w:ilvl w:val="0"/>
          <w:numId w:val="43"/>
        </w:numPr>
        <w:autoSpaceDE/>
        <w:autoSpaceDN/>
        <w:adjustRightInd/>
        <w:spacing w:before="80" w:line="240" w:lineRule="auto"/>
        <w:ind w:left="1434" w:hanging="357"/>
        <w:rPr>
          <w:rFonts w:asciiTheme="minorHAnsi" w:hAnsiTheme="minorHAnsi" w:cstheme="minorHAnsi"/>
          <w:noProof/>
        </w:rPr>
      </w:pPr>
      <w:r w:rsidRPr="006E4E98">
        <w:rPr>
          <w:rFonts w:asciiTheme="minorHAnsi" w:hAnsiTheme="minorHAnsi" w:cstheme="minorHAnsi"/>
          <w:noProof/>
        </w:rPr>
        <w:t>Install a standby power controller (</w:t>
      </w:r>
      <w:r w:rsidRPr="006E4E98">
        <w:rPr>
          <w:rFonts w:asciiTheme="minorHAnsi" w:hAnsiTheme="minorHAnsi" w:cstheme="minorHAnsi"/>
          <w:i/>
          <w:noProof/>
        </w:rPr>
        <w:t>Revoked</w:t>
      </w:r>
      <w:r w:rsidRPr="006E4E98">
        <w:rPr>
          <w:rFonts w:asciiTheme="minorHAnsi" w:hAnsiTheme="minorHAnsi" w:cstheme="minorHAnsi"/>
          <w:noProof/>
        </w:rPr>
        <w:t>)</w:t>
      </w:r>
    </w:p>
    <w:p w14:paraId="0C3D115F" w14:textId="03C0F4B4" w:rsidR="004E2FDE" w:rsidRPr="006E4E98" w:rsidRDefault="004E2FDE" w:rsidP="006E4E98">
      <w:pPr>
        <w:pStyle w:val="ListParagraph"/>
        <w:numPr>
          <w:ilvl w:val="0"/>
          <w:numId w:val="43"/>
        </w:numPr>
        <w:autoSpaceDE/>
        <w:autoSpaceDN/>
        <w:adjustRightInd/>
        <w:spacing w:before="80" w:line="240" w:lineRule="auto"/>
        <w:ind w:left="1434" w:hanging="357"/>
        <w:rPr>
          <w:rFonts w:asciiTheme="minorHAnsi" w:hAnsiTheme="minorHAnsi" w:cstheme="minorHAnsi"/>
          <w:noProof/>
        </w:rPr>
      </w:pPr>
      <w:r w:rsidRPr="006E4E98">
        <w:rPr>
          <w:rFonts w:asciiTheme="minorHAnsi" w:hAnsiTheme="minorHAnsi" w:cstheme="minorHAnsi"/>
          <w:noProof/>
        </w:rPr>
        <w:t>Install a high efficiency swimming pool pump</w:t>
      </w:r>
    </w:p>
    <w:p w14:paraId="52248BE8" w14:textId="70E68D64" w:rsidR="00686C29" w:rsidRPr="006E4E98" w:rsidRDefault="004E2FDE" w:rsidP="006E4E98">
      <w:pPr>
        <w:pStyle w:val="ListParagraph"/>
        <w:numPr>
          <w:ilvl w:val="0"/>
          <w:numId w:val="43"/>
        </w:numPr>
        <w:autoSpaceDE/>
        <w:autoSpaceDN/>
        <w:adjustRightInd/>
        <w:spacing w:before="80" w:line="240" w:lineRule="auto"/>
        <w:ind w:left="1434" w:hanging="357"/>
        <w:rPr>
          <w:rFonts w:asciiTheme="minorHAnsi" w:hAnsiTheme="minorHAnsi" w:cstheme="minorHAnsi"/>
          <w:noProof/>
        </w:rPr>
      </w:pPr>
      <w:r w:rsidRPr="006E4E98">
        <w:rPr>
          <w:rFonts w:asciiTheme="minorHAnsi" w:hAnsiTheme="minorHAnsi" w:cstheme="minorHAnsi"/>
          <w:noProof/>
        </w:rPr>
        <w:t>High efficiency refrigerated display cabinet activities</w:t>
      </w:r>
    </w:p>
    <w:p w14:paraId="12F53029" w14:textId="55EF5B17" w:rsidR="00686C29" w:rsidRPr="006E4E98" w:rsidRDefault="00686C29" w:rsidP="00686C29">
      <w:pPr>
        <w:spacing w:before="240"/>
        <w:rPr>
          <w:rFonts w:asciiTheme="minorHAnsi" w:hAnsiTheme="minorHAnsi" w:cstheme="minorHAnsi"/>
          <w:bCs w:val="0"/>
        </w:rPr>
      </w:pPr>
      <w:r w:rsidRPr="006E4E98">
        <w:rPr>
          <w:rFonts w:asciiTheme="minorHAnsi" w:hAnsiTheme="minorHAnsi" w:cstheme="minorHAnsi"/>
        </w:rPr>
        <w:t>These specific EEIS Eligible Activities have been previously legislated and periodically updated previous to this Regulatory Impact Statement. The regulatory impacts of all of these EEIS Eligible Activities have been covered in previous Regulatory Impact Statements from 2012-2019 as listed below:</w:t>
      </w:r>
    </w:p>
    <w:p w14:paraId="5CC071B9" w14:textId="77777777" w:rsidR="00EC7AA9" w:rsidRPr="006E4E98" w:rsidRDefault="00EC7AA9" w:rsidP="00EC7AA9">
      <w:pPr>
        <w:pStyle w:val="ListParagraph"/>
        <w:numPr>
          <w:ilvl w:val="0"/>
          <w:numId w:val="46"/>
        </w:numPr>
        <w:autoSpaceDE/>
        <w:adjustRightInd/>
        <w:spacing w:line="240" w:lineRule="auto"/>
        <w:ind w:left="714" w:hanging="357"/>
        <w:rPr>
          <w:rFonts w:asciiTheme="minorHAnsi" w:hAnsiTheme="minorHAnsi" w:cstheme="minorHAnsi"/>
          <w:color w:val="000000"/>
        </w:rPr>
      </w:pPr>
      <w:r w:rsidRPr="006E4E98">
        <w:rPr>
          <w:rFonts w:asciiTheme="minorHAnsi" w:hAnsiTheme="minorHAnsi" w:cstheme="minorHAnsi"/>
          <w:color w:val="000000"/>
        </w:rPr>
        <w:t xml:space="preserve">Regulatory Impact Statement for: </w:t>
      </w:r>
    </w:p>
    <w:p w14:paraId="5DD7A7FD" w14:textId="15B26272" w:rsidR="00EC7AA9" w:rsidRPr="006E4E98" w:rsidRDefault="00845A85" w:rsidP="00EC7AA9">
      <w:pPr>
        <w:pStyle w:val="ListParagraph"/>
        <w:numPr>
          <w:ilvl w:val="1"/>
          <w:numId w:val="46"/>
        </w:numPr>
        <w:autoSpaceDE/>
        <w:adjustRightInd/>
        <w:spacing w:line="240" w:lineRule="auto"/>
        <w:rPr>
          <w:rFonts w:asciiTheme="minorHAnsi" w:hAnsiTheme="minorHAnsi" w:cstheme="minorHAnsi"/>
          <w:color w:val="000000"/>
        </w:rPr>
      </w:pPr>
      <w:hyperlink r:id="rId10" w:history="1">
        <w:r w:rsidR="00EC7AA9" w:rsidRPr="00635BD5">
          <w:rPr>
            <w:rStyle w:val="Hyperlink"/>
            <w:rFonts w:asciiTheme="minorHAnsi" w:hAnsiTheme="minorHAnsi" w:cstheme="minorHAnsi"/>
            <w:i/>
            <w:iCs/>
          </w:rPr>
          <w:t xml:space="preserve">Energy Efficiency (Cost of Living) Improvement (Eligible Activities) </w:t>
        </w:r>
        <w:r w:rsidR="00635BD5" w:rsidRPr="00635BD5">
          <w:rPr>
            <w:rStyle w:val="Hyperlink"/>
            <w:rFonts w:asciiTheme="minorHAnsi" w:hAnsiTheme="minorHAnsi" w:cstheme="minorHAnsi"/>
            <w:i/>
            <w:iCs/>
          </w:rPr>
          <w:t>Determination 2020</w:t>
        </w:r>
      </w:hyperlink>
      <w:r w:rsidR="00EC7AA9" w:rsidRPr="006E4E98">
        <w:rPr>
          <w:rFonts w:asciiTheme="minorHAnsi" w:hAnsiTheme="minorHAnsi" w:cstheme="minorHAnsi"/>
          <w:color w:val="222222"/>
        </w:rPr>
        <w:t xml:space="preserve"> update.</w:t>
      </w:r>
    </w:p>
    <w:p w14:paraId="634560CC" w14:textId="77777777" w:rsidR="00686C29" w:rsidRPr="006E4E98" w:rsidRDefault="00686C29" w:rsidP="006E4E98">
      <w:pPr>
        <w:pStyle w:val="ListParagraph"/>
        <w:numPr>
          <w:ilvl w:val="0"/>
          <w:numId w:val="46"/>
        </w:numPr>
        <w:autoSpaceDE/>
        <w:adjustRightInd/>
        <w:spacing w:line="240" w:lineRule="auto"/>
        <w:ind w:left="714" w:hanging="357"/>
        <w:rPr>
          <w:rFonts w:asciiTheme="minorHAnsi" w:hAnsiTheme="minorHAnsi" w:cstheme="minorHAnsi"/>
          <w:color w:val="000000"/>
        </w:rPr>
      </w:pPr>
      <w:r w:rsidRPr="006E4E98">
        <w:rPr>
          <w:rFonts w:asciiTheme="minorHAnsi" w:hAnsiTheme="minorHAnsi" w:cstheme="minorHAnsi"/>
          <w:color w:val="000000"/>
        </w:rPr>
        <w:t xml:space="preserve">Regulatory Impact Statement for: </w:t>
      </w:r>
    </w:p>
    <w:p w14:paraId="779F4C05" w14:textId="0A410669" w:rsidR="00686C29" w:rsidRPr="006E4E98" w:rsidRDefault="00845A85" w:rsidP="00686C29">
      <w:pPr>
        <w:pStyle w:val="ListParagraph"/>
        <w:numPr>
          <w:ilvl w:val="1"/>
          <w:numId w:val="46"/>
        </w:numPr>
        <w:autoSpaceDE/>
        <w:adjustRightInd/>
        <w:spacing w:line="240" w:lineRule="auto"/>
        <w:rPr>
          <w:rFonts w:asciiTheme="minorHAnsi" w:hAnsiTheme="minorHAnsi" w:cstheme="minorHAnsi"/>
          <w:color w:val="000000"/>
        </w:rPr>
      </w:pPr>
      <w:hyperlink r:id="rId11" w:history="1">
        <w:r w:rsidR="002E1F08" w:rsidRPr="002E1F08">
          <w:rPr>
            <w:rStyle w:val="Hyperlink"/>
            <w:rFonts w:asciiTheme="minorHAnsi" w:hAnsiTheme="minorHAnsi" w:cstheme="minorHAnsi"/>
            <w:i/>
            <w:iCs/>
          </w:rPr>
          <w:t>Energy Efficiency (Cost of Living) Improvement (Eligible Activities) Code of Practice 2019</w:t>
        </w:r>
      </w:hyperlink>
      <w:r w:rsidR="00686C29" w:rsidRPr="006E4E98">
        <w:rPr>
          <w:rFonts w:asciiTheme="minorHAnsi" w:hAnsiTheme="minorHAnsi" w:cstheme="minorHAnsi"/>
          <w:color w:val="222222"/>
        </w:rPr>
        <w:t xml:space="preserve"> update.</w:t>
      </w:r>
    </w:p>
    <w:p w14:paraId="35345AD2" w14:textId="77777777" w:rsidR="00686C29" w:rsidRPr="006E4E98" w:rsidRDefault="00686C29" w:rsidP="00686C29">
      <w:pPr>
        <w:pStyle w:val="ListParagraph"/>
        <w:numPr>
          <w:ilvl w:val="0"/>
          <w:numId w:val="46"/>
        </w:numPr>
        <w:autoSpaceDE/>
        <w:adjustRightInd/>
        <w:spacing w:line="240" w:lineRule="auto"/>
        <w:rPr>
          <w:rFonts w:asciiTheme="minorHAnsi" w:hAnsiTheme="minorHAnsi" w:cstheme="minorHAnsi"/>
        </w:rPr>
      </w:pPr>
      <w:r w:rsidRPr="006E4E98">
        <w:rPr>
          <w:rFonts w:asciiTheme="minorHAnsi" w:hAnsiTheme="minorHAnsi" w:cstheme="minorHAnsi"/>
          <w:color w:val="000000"/>
        </w:rPr>
        <w:t>Regulatory Impact Statements for:</w:t>
      </w:r>
    </w:p>
    <w:bookmarkStart w:id="7" w:name="_Hlk33085035"/>
    <w:p w14:paraId="348CFFA2" w14:textId="77777777" w:rsidR="00686C29" w:rsidRPr="006E4E98" w:rsidRDefault="00686C29" w:rsidP="00686C29">
      <w:pPr>
        <w:numPr>
          <w:ilvl w:val="1"/>
          <w:numId w:val="46"/>
        </w:numPr>
        <w:shd w:val="clear" w:color="auto" w:fill="FFFFFF"/>
        <w:autoSpaceDE/>
        <w:adjustRightInd/>
        <w:spacing w:after="0" w:line="240" w:lineRule="auto"/>
        <w:ind w:right="227"/>
        <w:textAlignment w:val="baseline"/>
        <w:rPr>
          <w:rFonts w:asciiTheme="minorHAnsi" w:hAnsiTheme="minorHAnsi" w:cstheme="minorHAnsi"/>
          <w:color w:val="000000"/>
        </w:rPr>
      </w:pPr>
      <w:r w:rsidRPr="006E4E98">
        <w:rPr>
          <w:rFonts w:asciiTheme="minorHAnsi" w:hAnsiTheme="minorHAnsi" w:cstheme="minorHAnsi"/>
          <w:i/>
          <w:iCs/>
          <w:color w:val="000000"/>
        </w:rPr>
        <w:fldChar w:fldCharType="begin"/>
      </w:r>
      <w:r w:rsidRPr="006E4E98">
        <w:rPr>
          <w:rFonts w:asciiTheme="minorHAnsi" w:hAnsiTheme="minorHAnsi" w:cstheme="minorHAnsi"/>
          <w:i/>
          <w:iCs/>
          <w:color w:val="000000"/>
        </w:rPr>
        <w:instrText xml:space="preserve"> HYPERLINK "http://www.legislation.act.gov.au/di/2017-308/default.asp" </w:instrText>
      </w:r>
      <w:r w:rsidRPr="006E4E98">
        <w:rPr>
          <w:rFonts w:asciiTheme="minorHAnsi" w:hAnsiTheme="minorHAnsi" w:cstheme="minorHAnsi"/>
          <w:i/>
          <w:iCs/>
          <w:color w:val="000000"/>
        </w:rPr>
        <w:fldChar w:fldCharType="separate"/>
      </w:r>
      <w:r w:rsidRPr="006E4E98">
        <w:rPr>
          <w:rStyle w:val="Hyperlink"/>
          <w:rFonts w:asciiTheme="minorHAnsi" w:hAnsiTheme="minorHAnsi" w:cstheme="minorHAnsi"/>
          <w:i/>
          <w:iCs/>
          <w:color w:val="004899"/>
          <w:bdr w:val="none" w:sz="0" w:space="0" w:color="auto" w:frame="1"/>
        </w:rPr>
        <w:t>Energy Efficiency (Cost of Living) Improvement (Eligible Activities) Code of Practice 2017</w:t>
      </w:r>
      <w:r w:rsidRPr="006E4E98">
        <w:rPr>
          <w:rFonts w:asciiTheme="minorHAnsi" w:hAnsiTheme="minorHAnsi" w:cstheme="minorHAnsi"/>
          <w:i/>
          <w:iCs/>
          <w:color w:val="000000"/>
        </w:rPr>
        <w:fldChar w:fldCharType="end"/>
      </w:r>
      <w:bookmarkEnd w:id="7"/>
      <w:r w:rsidRPr="006E4E98">
        <w:rPr>
          <w:rFonts w:asciiTheme="minorHAnsi" w:hAnsiTheme="minorHAnsi" w:cstheme="minorHAnsi"/>
          <w:color w:val="000000"/>
        </w:rPr>
        <w:t xml:space="preserve"> update.</w:t>
      </w:r>
    </w:p>
    <w:bookmarkStart w:id="8" w:name="_Hlk33084952"/>
    <w:p w14:paraId="2037BF6C" w14:textId="77777777" w:rsidR="00686C29" w:rsidRPr="006E4E98" w:rsidRDefault="00686C29" w:rsidP="00686C29">
      <w:pPr>
        <w:numPr>
          <w:ilvl w:val="1"/>
          <w:numId w:val="46"/>
        </w:numPr>
        <w:shd w:val="clear" w:color="auto" w:fill="FFFFFF"/>
        <w:autoSpaceDE/>
        <w:adjustRightInd/>
        <w:spacing w:after="0" w:line="240" w:lineRule="auto"/>
        <w:ind w:right="227"/>
        <w:textAlignment w:val="baseline"/>
        <w:rPr>
          <w:rFonts w:asciiTheme="minorHAnsi" w:hAnsiTheme="minorHAnsi" w:cstheme="minorHAnsi"/>
          <w:color w:val="000000"/>
        </w:rPr>
      </w:pPr>
      <w:r w:rsidRPr="006E4E98">
        <w:rPr>
          <w:rFonts w:asciiTheme="minorHAnsi" w:hAnsiTheme="minorHAnsi" w:cstheme="minorHAnsi"/>
          <w:i/>
          <w:iCs/>
          <w:color w:val="000000"/>
        </w:rPr>
        <w:fldChar w:fldCharType="begin"/>
      </w:r>
      <w:r w:rsidRPr="006E4E98">
        <w:rPr>
          <w:rFonts w:asciiTheme="minorHAnsi" w:hAnsiTheme="minorHAnsi" w:cstheme="minorHAnsi"/>
          <w:i/>
          <w:iCs/>
          <w:color w:val="000000"/>
        </w:rPr>
        <w:instrText xml:space="preserve"> HYPERLINK "http://www.legislation.act.gov.au/ni/2017-676/default.asp" </w:instrText>
      </w:r>
      <w:r w:rsidRPr="006E4E98">
        <w:rPr>
          <w:rFonts w:asciiTheme="minorHAnsi" w:hAnsiTheme="minorHAnsi" w:cstheme="minorHAnsi"/>
          <w:i/>
          <w:iCs/>
          <w:color w:val="000000"/>
        </w:rPr>
        <w:fldChar w:fldCharType="separate"/>
      </w:r>
      <w:r w:rsidRPr="006E4E98">
        <w:rPr>
          <w:rStyle w:val="Hyperlink"/>
          <w:rFonts w:asciiTheme="minorHAnsi" w:hAnsiTheme="minorHAnsi" w:cstheme="minorHAnsi"/>
          <w:i/>
          <w:iCs/>
          <w:color w:val="004899"/>
          <w:bdr w:val="none" w:sz="0" w:space="0" w:color="auto" w:frame="1"/>
        </w:rPr>
        <w:t>Energy Efficiency (Cost of Living) Improvement (Eligible Activities) Determination 2017</w:t>
      </w:r>
      <w:r w:rsidRPr="006E4E98">
        <w:rPr>
          <w:rFonts w:asciiTheme="minorHAnsi" w:hAnsiTheme="minorHAnsi" w:cstheme="minorHAnsi"/>
          <w:i/>
          <w:iCs/>
          <w:color w:val="000000"/>
        </w:rPr>
        <w:fldChar w:fldCharType="end"/>
      </w:r>
      <w:bookmarkEnd w:id="8"/>
      <w:r w:rsidRPr="006E4E98">
        <w:rPr>
          <w:rFonts w:asciiTheme="minorHAnsi" w:hAnsiTheme="minorHAnsi" w:cstheme="minorHAnsi"/>
          <w:color w:val="000000"/>
        </w:rPr>
        <w:t xml:space="preserve"> update.</w:t>
      </w:r>
    </w:p>
    <w:p w14:paraId="35784C14" w14:textId="5FD9DC94" w:rsidR="00686C29" w:rsidRPr="006E4E98" w:rsidRDefault="00845A85" w:rsidP="006E4E98">
      <w:pPr>
        <w:numPr>
          <w:ilvl w:val="1"/>
          <w:numId w:val="46"/>
        </w:numPr>
        <w:shd w:val="clear" w:color="auto" w:fill="FFFFFF"/>
        <w:autoSpaceDE/>
        <w:adjustRightInd/>
        <w:spacing w:after="0" w:line="240" w:lineRule="auto"/>
        <w:ind w:right="227"/>
        <w:textAlignment w:val="baseline"/>
        <w:rPr>
          <w:rFonts w:asciiTheme="minorHAnsi" w:hAnsiTheme="minorHAnsi" w:cstheme="minorHAnsi"/>
          <w:color w:val="000000"/>
        </w:rPr>
      </w:pPr>
      <w:hyperlink r:id="rId12" w:history="1">
        <w:r w:rsidR="00686C29" w:rsidRPr="006E4E98">
          <w:rPr>
            <w:rStyle w:val="Hyperlink"/>
            <w:rFonts w:asciiTheme="minorHAnsi" w:hAnsiTheme="minorHAnsi" w:cstheme="minorHAnsi"/>
            <w:i/>
            <w:iCs/>
            <w:color w:val="004899"/>
            <w:bdr w:val="none" w:sz="0" w:space="0" w:color="auto" w:frame="1"/>
          </w:rPr>
          <w:t>Energy Efficiency (Cost of Living) Improvement (Record Keeping and Reporting) Code of Practice 2017</w:t>
        </w:r>
      </w:hyperlink>
      <w:r w:rsidR="00686C29" w:rsidRPr="006E4E98">
        <w:rPr>
          <w:rFonts w:asciiTheme="minorHAnsi" w:hAnsiTheme="minorHAnsi" w:cstheme="minorHAnsi"/>
          <w:color w:val="000000"/>
        </w:rPr>
        <w:t xml:space="preserve"> update.</w:t>
      </w:r>
    </w:p>
    <w:p w14:paraId="4A67552B" w14:textId="275828B4" w:rsidR="00686C29" w:rsidRPr="006E4E98" w:rsidRDefault="00686C29" w:rsidP="006E4E98">
      <w:pPr>
        <w:pStyle w:val="ListParagraph"/>
        <w:numPr>
          <w:ilvl w:val="0"/>
          <w:numId w:val="46"/>
        </w:numPr>
        <w:autoSpaceDE/>
        <w:adjustRightInd/>
        <w:spacing w:line="240" w:lineRule="auto"/>
        <w:textAlignment w:val="baseline"/>
        <w:rPr>
          <w:rFonts w:asciiTheme="minorHAnsi" w:hAnsiTheme="minorHAnsi" w:cstheme="minorHAnsi"/>
          <w:color w:val="000000"/>
        </w:rPr>
      </w:pPr>
      <w:r w:rsidRPr="006E4E98">
        <w:rPr>
          <w:rFonts w:asciiTheme="minorHAnsi" w:hAnsiTheme="minorHAnsi" w:cstheme="minorHAnsi"/>
          <w:color w:val="000000"/>
        </w:rPr>
        <w:t>Regulatory Impact Statements for: </w:t>
      </w:r>
      <w:hyperlink r:id="rId13" w:history="1">
        <w:r w:rsidR="006E4E98">
          <w:rPr>
            <w:rStyle w:val="Hyperlink"/>
            <w:rFonts w:asciiTheme="minorHAnsi" w:hAnsiTheme="minorHAnsi" w:cstheme="minorHAnsi"/>
            <w:i/>
            <w:iCs/>
            <w:color w:val="004899"/>
            <w:bdr w:val="none" w:sz="0" w:space="0" w:color="auto" w:frame="1"/>
          </w:rPr>
          <w:t>Energy Efficiency (Cost of Living) Improvement (Record Keeping and Reporting) Code of Practice 2016 (No 2)</w:t>
        </w:r>
      </w:hyperlink>
      <w:r w:rsidR="002755C9">
        <w:rPr>
          <w:rFonts w:asciiTheme="minorHAnsi" w:hAnsiTheme="minorHAnsi" w:cstheme="minorHAnsi"/>
          <w:color w:val="000000"/>
        </w:rPr>
        <w:t xml:space="preserve">. </w:t>
      </w:r>
      <w:r w:rsidRPr="006E4E98">
        <w:rPr>
          <w:rFonts w:asciiTheme="minorHAnsi" w:hAnsiTheme="minorHAnsi" w:cstheme="minorHAnsi"/>
          <w:color w:val="000000"/>
        </w:rPr>
        <w:t>This included updates to space heating and cooling, water heating and other updates to disallowable instruments.</w:t>
      </w:r>
    </w:p>
    <w:p w14:paraId="793B3633" w14:textId="77777777" w:rsidR="00686C29" w:rsidRPr="006E4E98" w:rsidRDefault="00686C29">
      <w:pPr>
        <w:pStyle w:val="ListParagraph"/>
        <w:numPr>
          <w:ilvl w:val="0"/>
          <w:numId w:val="46"/>
        </w:numPr>
        <w:autoSpaceDE/>
        <w:adjustRightInd/>
        <w:spacing w:line="240" w:lineRule="auto"/>
        <w:textAlignment w:val="baseline"/>
        <w:rPr>
          <w:rFonts w:asciiTheme="minorHAnsi" w:hAnsiTheme="minorHAnsi" w:cstheme="minorHAnsi"/>
          <w:color w:val="000000"/>
        </w:rPr>
      </w:pPr>
      <w:r w:rsidRPr="006E4E98">
        <w:rPr>
          <w:rFonts w:asciiTheme="minorHAnsi" w:hAnsiTheme="minorHAnsi" w:cstheme="minorHAnsi"/>
          <w:color w:val="000000"/>
        </w:rPr>
        <w:t>Regulatory Impact Statements for: </w:t>
      </w:r>
      <w:hyperlink r:id="rId14" w:history="1">
        <w:r w:rsidRPr="006E4E98">
          <w:rPr>
            <w:rStyle w:val="Hyperlink"/>
            <w:rFonts w:asciiTheme="minorHAnsi" w:hAnsiTheme="minorHAnsi" w:cstheme="minorHAnsi"/>
            <w:color w:val="004899"/>
            <w:bdr w:val="none" w:sz="0" w:space="0" w:color="auto" w:frame="1"/>
          </w:rPr>
          <w:t>Energy Efficiency Improvement Scheme Regulatory Impact Statement introducing commercial lighting activity and other updates to disallowable instruments in 2016</w:t>
        </w:r>
      </w:hyperlink>
    </w:p>
    <w:p w14:paraId="6F9B2BB9" w14:textId="7C1E4F50" w:rsidR="00686C29" w:rsidRPr="006E4E98" w:rsidRDefault="00686C29" w:rsidP="00686C29">
      <w:pPr>
        <w:pStyle w:val="ListParagraph"/>
        <w:numPr>
          <w:ilvl w:val="0"/>
          <w:numId w:val="46"/>
        </w:numPr>
        <w:autoSpaceDE/>
        <w:adjustRightInd/>
        <w:spacing w:line="240" w:lineRule="auto"/>
        <w:textAlignment w:val="baseline"/>
        <w:rPr>
          <w:rFonts w:asciiTheme="minorHAnsi" w:hAnsiTheme="minorHAnsi" w:cstheme="minorHAnsi"/>
          <w:color w:val="000000"/>
        </w:rPr>
      </w:pPr>
      <w:r w:rsidRPr="006E4E98">
        <w:rPr>
          <w:rFonts w:asciiTheme="minorHAnsi" w:hAnsiTheme="minorHAnsi" w:cstheme="minorHAnsi"/>
          <w:color w:val="000000"/>
        </w:rPr>
        <w:t>Regulatory Impact Statement for</w:t>
      </w:r>
      <w:r w:rsidR="002755C9">
        <w:rPr>
          <w:rFonts w:asciiTheme="minorHAnsi" w:hAnsiTheme="minorHAnsi" w:cstheme="minorHAnsi"/>
          <w:color w:val="000000"/>
        </w:rPr>
        <w:t xml:space="preserve">: </w:t>
      </w:r>
      <w:hyperlink r:id="rId15" w:history="1">
        <w:r w:rsidRPr="006E4E98">
          <w:rPr>
            <w:rStyle w:val="Hyperlink"/>
            <w:rFonts w:asciiTheme="minorHAnsi" w:hAnsiTheme="minorHAnsi" w:cstheme="minorHAnsi"/>
            <w:color w:val="004899"/>
            <w:bdr w:val="none" w:sz="0" w:space="0" w:color="auto" w:frame="1"/>
          </w:rPr>
          <w:t>Inclusion of the non-residential sector, 2013</w:t>
        </w:r>
      </w:hyperlink>
      <w:r w:rsidRPr="006E4E98">
        <w:rPr>
          <w:rFonts w:asciiTheme="minorHAnsi" w:hAnsiTheme="minorHAnsi" w:cstheme="minorHAnsi"/>
          <w:color w:val="000000"/>
        </w:rPr>
        <w:t> </w:t>
      </w:r>
    </w:p>
    <w:p w14:paraId="2EE9594F" w14:textId="7E275CDD" w:rsidR="00686C29" w:rsidRPr="00AD2E8A" w:rsidRDefault="00686C29" w:rsidP="00686C29">
      <w:pPr>
        <w:pStyle w:val="ListParagraph"/>
        <w:numPr>
          <w:ilvl w:val="0"/>
          <w:numId w:val="46"/>
        </w:numPr>
        <w:autoSpaceDE/>
        <w:adjustRightInd/>
        <w:spacing w:line="240" w:lineRule="auto"/>
        <w:textAlignment w:val="baseline"/>
        <w:rPr>
          <w:rStyle w:val="Hyperlink"/>
          <w:rFonts w:asciiTheme="minorHAnsi" w:hAnsiTheme="minorHAnsi" w:cstheme="minorHAnsi"/>
          <w:i/>
          <w:iCs/>
          <w:color w:val="000000"/>
          <w:u w:val="none"/>
        </w:rPr>
      </w:pPr>
      <w:r w:rsidRPr="006E4E98">
        <w:rPr>
          <w:rFonts w:asciiTheme="minorHAnsi" w:hAnsiTheme="minorHAnsi" w:cstheme="minorHAnsi"/>
          <w:color w:val="000000"/>
        </w:rPr>
        <w:t>Regulatory Impact Statement for</w:t>
      </w:r>
      <w:r w:rsidR="00745F0D">
        <w:rPr>
          <w:rFonts w:asciiTheme="minorHAnsi" w:hAnsiTheme="minorHAnsi" w:cstheme="minorHAnsi"/>
          <w:color w:val="000000"/>
        </w:rPr>
        <w:t>:</w:t>
      </w:r>
      <w:r w:rsidRPr="006E4E98">
        <w:rPr>
          <w:rFonts w:asciiTheme="minorHAnsi" w:hAnsiTheme="minorHAnsi" w:cstheme="minorHAnsi"/>
          <w:color w:val="000000"/>
        </w:rPr>
        <w:t xml:space="preserve"> </w:t>
      </w:r>
      <w:hyperlink r:id="rId16" w:history="1">
        <w:r w:rsidRPr="00635BD5">
          <w:rPr>
            <w:rStyle w:val="Hyperlink"/>
            <w:rFonts w:asciiTheme="minorHAnsi" w:hAnsiTheme="minorHAnsi" w:cstheme="minorHAnsi"/>
            <w:i/>
            <w:iCs/>
            <w:bdr w:val="none" w:sz="0" w:space="0" w:color="auto" w:frame="1"/>
          </w:rPr>
          <w:t xml:space="preserve">Energy Efficiency (Cost of Living) Improvement </w:t>
        </w:r>
        <w:r w:rsidR="00635BD5" w:rsidRPr="00635BD5">
          <w:rPr>
            <w:rStyle w:val="Hyperlink"/>
            <w:rFonts w:asciiTheme="minorHAnsi" w:hAnsiTheme="minorHAnsi" w:cstheme="minorHAnsi"/>
            <w:i/>
            <w:iCs/>
            <w:bdr w:val="none" w:sz="0" w:space="0" w:color="auto" w:frame="1"/>
          </w:rPr>
          <w:t>(Eligible Activities) Determination</w:t>
        </w:r>
        <w:r w:rsidR="009E1ADF" w:rsidRPr="00635BD5">
          <w:rPr>
            <w:rStyle w:val="Hyperlink"/>
            <w:rFonts w:asciiTheme="minorHAnsi" w:hAnsiTheme="minorHAnsi" w:cstheme="minorHAnsi"/>
            <w:i/>
            <w:iCs/>
            <w:bdr w:val="none" w:sz="0" w:space="0" w:color="auto" w:frame="1"/>
          </w:rPr>
          <w:t xml:space="preserve"> 2019</w:t>
        </w:r>
        <w:r w:rsidRPr="00635BD5">
          <w:rPr>
            <w:rStyle w:val="Hyperlink"/>
            <w:rFonts w:asciiTheme="minorHAnsi" w:hAnsiTheme="minorHAnsi" w:cstheme="minorHAnsi"/>
            <w:i/>
            <w:iCs/>
          </w:rPr>
          <w:t> </w:t>
        </w:r>
      </w:hyperlink>
    </w:p>
    <w:p w14:paraId="1C31DC4F" w14:textId="7C5AE484" w:rsidR="003B6E5A" w:rsidRPr="003B6E5A" w:rsidRDefault="001A5C42" w:rsidP="00044AE4">
      <w:pPr>
        <w:pStyle w:val="Heading1"/>
        <w:numPr>
          <w:ilvl w:val="0"/>
          <w:numId w:val="47"/>
        </w:numPr>
        <w:ind w:left="357" w:hanging="357"/>
      </w:pPr>
      <w:bookmarkStart w:id="9" w:name="_Toc31363070"/>
      <w:bookmarkStart w:id="10" w:name="_Toc31363378"/>
      <w:bookmarkStart w:id="11" w:name="_Toc41564615"/>
      <w:r>
        <w:t>The authorising law</w:t>
      </w:r>
      <w:bookmarkEnd w:id="9"/>
      <w:bookmarkEnd w:id="10"/>
      <w:bookmarkEnd w:id="11"/>
    </w:p>
    <w:p w14:paraId="373E26CB" w14:textId="6D4DF8A8" w:rsidR="001A5C42" w:rsidRPr="000D4FA0" w:rsidRDefault="001A5C42" w:rsidP="006E4E98">
      <w:pPr>
        <w:spacing w:before="120"/>
      </w:pPr>
      <w:r w:rsidRPr="000D4FA0">
        <w:t xml:space="preserve">The Act was passed by the Legislative Assembly on 3 May 2012. </w:t>
      </w:r>
      <w:r>
        <w:t>EEIS</w:t>
      </w:r>
      <w:r w:rsidRPr="000D4FA0">
        <w:t xml:space="preserve"> was initially legislated to run until 31 December 2015</w:t>
      </w:r>
      <w:r>
        <w:t xml:space="preserve"> but after a 2014 review, the </w:t>
      </w:r>
      <w:r w:rsidRPr="000D4FA0">
        <w:rPr>
          <w:rFonts w:cs="Calibri"/>
        </w:rPr>
        <w:t xml:space="preserve">Legislative Assembly passed the </w:t>
      </w:r>
      <w:r w:rsidRPr="000D4FA0">
        <w:rPr>
          <w:rFonts w:cs="Calibri"/>
          <w:i/>
        </w:rPr>
        <w:t xml:space="preserve">Energy Efficiency (Cost of Living) Improvement Amendment Act 2015 </w:t>
      </w:r>
      <w:r w:rsidRPr="000D4FA0">
        <w:rPr>
          <w:rFonts w:cs="Calibri"/>
        </w:rPr>
        <w:t xml:space="preserve">which amended the Act to continue the EEIS to </w:t>
      </w:r>
      <w:r>
        <w:rPr>
          <w:rFonts w:cs="Calibri"/>
        </w:rPr>
        <w:t>31 December </w:t>
      </w:r>
      <w:r w:rsidRPr="000D4FA0">
        <w:rPr>
          <w:rFonts w:cs="Calibri"/>
        </w:rPr>
        <w:t>2020.</w:t>
      </w:r>
      <w:r w:rsidR="00697F17">
        <w:t xml:space="preserve"> After a 2018 review, the ACT </w:t>
      </w:r>
      <w:r w:rsidR="002755C9">
        <w:t>G</w:t>
      </w:r>
      <w:r w:rsidR="00697F17">
        <w:t>overnment has agreed to further extend EEIS until the end of 2030.</w:t>
      </w:r>
      <w:r w:rsidR="003B0668">
        <w:t xml:space="preserve"> The Agreement to extend the </w:t>
      </w:r>
      <w:r w:rsidR="0042048B">
        <w:t>EEIS provided an opportunity to implement enhancements, which required am</w:t>
      </w:r>
      <w:r w:rsidR="005A368D">
        <w:t>e</w:t>
      </w:r>
      <w:r w:rsidR="0042048B">
        <w:t xml:space="preserve">ndments to the Act and to subordinate legislation. The amendments agreed to included; an energy metric and a balanced approach, with additional benefits for priority households, the capacity to expand to transport activities and some administrative streamlining. </w:t>
      </w:r>
      <w:r w:rsidR="00697F17">
        <w:t xml:space="preserve">This extension means that it remains a priority to continually improve the </w:t>
      </w:r>
      <w:r w:rsidR="0042048B">
        <w:t>administration of the Scheme.</w:t>
      </w:r>
    </w:p>
    <w:p w14:paraId="0A035401" w14:textId="5C4DE83E" w:rsidR="001A5C42" w:rsidRDefault="001A5C42" w:rsidP="006E4E98">
      <w:pPr>
        <w:spacing w:before="120"/>
        <w:rPr>
          <w:i/>
        </w:rPr>
      </w:pPr>
      <w:r w:rsidRPr="00005844">
        <w:t xml:space="preserve">This Regulatory Impact Statement </w:t>
      </w:r>
      <w:r>
        <w:t xml:space="preserve">(RIS) </w:t>
      </w:r>
      <w:r w:rsidRPr="00005844">
        <w:t xml:space="preserve">is prepared in accordance with </w:t>
      </w:r>
      <w:r>
        <w:t>Part</w:t>
      </w:r>
      <w:r w:rsidRPr="00005844">
        <w:t xml:space="preserve"> 5</w:t>
      </w:r>
      <w:r>
        <w:t>.2</w:t>
      </w:r>
      <w:r w:rsidRPr="00005844">
        <w:t xml:space="preserve"> of the </w:t>
      </w:r>
      <w:r w:rsidRPr="00D52FB9">
        <w:rPr>
          <w:i/>
        </w:rPr>
        <w:t>Legislation Act 2001</w:t>
      </w:r>
    </w:p>
    <w:p w14:paraId="68881FA2" w14:textId="77777777" w:rsidR="00D90771" w:rsidRDefault="00D90771" w:rsidP="006E4E98">
      <w:pPr>
        <w:spacing w:before="120"/>
        <w:rPr>
          <w:i/>
        </w:rPr>
      </w:pPr>
    </w:p>
    <w:p w14:paraId="493279CB" w14:textId="77777777" w:rsidR="00D90771" w:rsidRDefault="00D90771" w:rsidP="006E4E98">
      <w:pPr>
        <w:spacing w:before="120"/>
        <w:rPr>
          <w:i/>
        </w:rPr>
      </w:pPr>
    </w:p>
    <w:p w14:paraId="7BE2DF36" w14:textId="5CE36BFC" w:rsidR="00C87F35" w:rsidRPr="00D90771" w:rsidRDefault="00C87F35" w:rsidP="00D90771">
      <w:pPr>
        <w:pStyle w:val="Heading1"/>
        <w:numPr>
          <w:ilvl w:val="0"/>
          <w:numId w:val="47"/>
        </w:numPr>
        <w:ind w:left="357" w:hanging="357"/>
        <w:rPr>
          <w:rStyle w:val="Italic"/>
          <w:i w:val="0"/>
        </w:rPr>
      </w:pPr>
      <w:bookmarkStart w:id="12" w:name="_Toc41564616"/>
      <w:r>
        <w:lastRenderedPageBreak/>
        <w:t>Rationale for changing the metric</w:t>
      </w:r>
      <w:r w:rsidR="00344F08">
        <w:t xml:space="preserve"> - Problems being addressed and policy objectives.</w:t>
      </w:r>
      <w:bookmarkEnd w:id="12"/>
    </w:p>
    <w:p w14:paraId="3742ED9D" w14:textId="09122D3D" w:rsidR="00C87F35" w:rsidRDefault="00C87F35" w:rsidP="00AD2E8A">
      <w:pPr>
        <w:spacing w:before="480" w:line="240" w:lineRule="auto"/>
        <w:rPr>
          <w:rFonts w:asciiTheme="minorHAnsi" w:hAnsiTheme="minorHAnsi" w:cstheme="minorHAnsi"/>
        </w:rPr>
      </w:pPr>
      <w:r w:rsidRPr="0097531B">
        <w:rPr>
          <w:rFonts w:asciiTheme="minorHAnsi" w:hAnsiTheme="minorHAnsi" w:cstheme="minorHAnsi"/>
        </w:rPr>
        <w:t xml:space="preserve">Activities undertaken by </w:t>
      </w:r>
      <w:r w:rsidR="003E5A25" w:rsidRPr="0097531B">
        <w:rPr>
          <w:rFonts w:asciiTheme="minorHAnsi" w:hAnsiTheme="minorHAnsi" w:cstheme="minorHAnsi"/>
        </w:rPr>
        <w:t xml:space="preserve">energy </w:t>
      </w:r>
      <w:r w:rsidRPr="0097531B">
        <w:rPr>
          <w:rFonts w:asciiTheme="minorHAnsi" w:hAnsiTheme="minorHAnsi" w:cstheme="minorHAnsi"/>
        </w:rPr>
        <w:t>retailer</w:t>
      </w:r>
      <w:r w:rsidR="003E5A25" w:rsidRPr="0097531B">
        <w:rPr>
          <w:rFonts w:asciiTheme="minorHAnsi" w:hAnsiTheme="minorHAnsi" w:cstheme="minorHAnsi"/>
        </w:rPr>
        <w:t>s</w:t>
      </w:r>
      <w:r w:rsidRPr="0097531B">
        <w:rPr>
          <w:rFonts w:asciiTheme="minorHAnsi" w:hAnsiTheme="minorHAnsi" w:cstheme="minorHAnsi"/>
        </w:rPr>
        <w:t xml:space="preserve"> in order to meet their obligations under the </w:t>
      </w:r>
      <w:r w:rsidR="00745F0D">
        <w:rPr>
          <w:rFonts w:asciiTheme="minorHAnsi" w:hAnsiTheme="minorHAnsi" w:cstheme="minorHAnsi"/>
        </w:rPr>
        <w:t>S</w:t>
      </w:r>
      <w:r w:rsidRPr="0097531B">
        <w:rPr>
          <w:rFonts w:asciiTheme="minorHAnsi" w:hAnsiTheme="minorHAnsi" w:cstheme="minorHAnsi"/>
        </w:rPr>
        <w:t>cheme are awarded credits. These credits</w:t>
      </w:r>
      <w:r w:rsidR="003E5A25" w:rsidRPr="0097531B">
        <w:rPr>
          <w:rFonts w:asciiTheme="minorHAnsi" w:hAnsiTheme="minorHAnsi" w:cstheme="minorHAnsi"/>
        </w:rPr>
        <w:t xml:space="preserve"> are termed “Activity Abatement Values”</w:t>
      </w:r>
      <w:r w:rsidR="0097531B" w:rsidRPr="0097531B">
        <w:rPr>
          <w:rFonts w:asciiTheme="minorHAnsi" w:hAnsiTheme="minorHAnsi" w:cstheme="minorHAnsi"/>
        </w:rPr>
        <w:t xml:space="preserve"> </w:t>
      </w:r>
      <w:r w:rsidR="003E5A25" w:rsidRPr="0097531B">
        <w:rPr>
          <w:rFonts w:asciiTheme="minorHAnsi" w:hAnsiTheme="minorHAnsi" w:cstheme="minorHAnsi"/>
        </w:rPr>
        <w:t>(AAVs) and are specified in the determination. AAVs are expressed in terms of tonnes of carbon dioxide-equivalent (tCO2-e) of greenhouse gas emissions saved by the activity.</w:t>
      </w:r>
    </w:p>
    <w:p w14:paraId="5E38DADF" w14:textId="2C0F7478" w:rsidR="0097531B" w:rsidRDefault="0097531B" w:rsidP="0097531B">
      <w:pPr>
        <w:spacing w:before="480" w:line="240" w:lineRule="auto"/>
        <w:rPr>
          <w:rFonts w:asciiTheme="minorHAnsi" w:hAnsiTheme="minorHAnsi" w:cstheme="minorHAnsi"/>
        </w:rPr>
      </w:pPr>
      <w:r>
        <w:rPr>
          <w:rFonts w:asciiTheme="minorHAnsi" w:hAnsiTheme="minorHAnsi" w:cstheme="minorHAnsi"/>
        </w:rPr>
        <w:t>The change proposed is to now calculate (and award) credits not on the basis of saved greenhouse gas emissions but rathe</w:t>
      </w:r>
      <w:r w:rsidR="00D90771">
        <w:rPr>
          <w:rFonts w:asciiTheme="minorHAnsi" w:hAnsiTheme="minorHAnsi" w:cstheme="minorHAnsi"/>
        </w:rPr>
        <w:t>r on the basis of saved energy</w:t>
      </w:r>
      <w:r>
        <w:rPr>
          <w:rFonts w:asciiTheme="minorHAnsi" w:hAnsiTheme="minorHAnsi" w:cstheme="minorHAnsi"/>
        </w:rPr>
        <w:t xml:space="preserve">. Under the new arrangements the energy savings are </w:t>
      </w:r>
      <w:r w:rsidRPr="0097531B">
        <w:rPr>
          <w:rFonts w:asciiTheme="minorHAnsi" w:hAnsiTheme="minorHAnsi" w:cstheme="minorHAnsi"/>
        </w:rPr>
        <w:t>termed “</w:t>
      </w:r>
      <w:r>
        <w:rPr>
          <w:rFonts w:asciiTheme="minorHAnsi" w:hAnsiTheme="minorHAnsi" w:cstheme="minorHAnsi"/>
        </w:rPr>
        <w:t>Energy Savings Factors</w:t>
      </w:r>
      <w:r w:rsidRPr="0097531B">
        <w:rPr>
          <w:rFonts w:asciiTheme="minorHAnsi" w:hAnsiTheme="minorHAnsi" w:cstheme="minorHAnsi"/>
        </w:rPr>
        <w:t>” (</w:t>
      </w:r>
      <w:r>
        <w:rPr>
          <w:rFonts w:asciiTheme="minorHAnsi" w:hAnsiTheme="minorHAnsi" w:cstheme="minorHAnsi"/>
        </w:rPr>
        <w:t>ESF</w:t>
      </w:r>
      <w:r w:rsidRPr="0097531B">
        <w:rPr>
          <w:rFonts w:asciiTheme="minorHAnsi" w:hAnsiTheme="minorHAnsi" w:cstheme="minorHAnsi"/>
        </w:rPr>
        <w:t xml:space="preserve">s) </w:t>
      </w:r>
      <w:r>
        <w:rPr>
          <w:rFonts w:asciiTheme="minorHAnsi" w:hAnsiTheme="minorHAnsi" w:cstheme="minorHAnsi"/>
        </w:rPr>
        <w:t xml:space="preserve">and </w:t>
      </w:r>
      <w:r w:rsidRPr="0097531B">
        <w:rPr>
          <w:rFonts w:asciiTheme="minorHAnsi" w:hAnsiTheme="minorHAnsi" w:cstheme="minorHAnsi"/>
        </w:rPr>
        <w:t xml:space="preserve">are expressed in terms of </w:t>
      </w:r>
      <w:r>
        <w:rPr>
          <w:rFonts w:asciiTheme="minorHAnsi" w:hAnsiTheme="minorHAnsi" w:cstheme="minorHAnsi"/>
        </w:rPr>
        <w:t>Megawatt-hours (MWh) saved by the activity.</w:t>
      </w:r>
    </w:p>
    <w:p w14:paraId="2003D7D2" w14:textId="4BB164C1" w:rsidR="0097531B" w:rsidRDefault="0097531B" w:rsidP="0097531B">
      <w:pPr>
        <w:spacing w:before="480" w:line="240" w:lineRule="auto"/>
        <w:rPr>
          <w:rFonts w:asciiTheme="minorHAnsi" w:hAnsiTheme="minorHAnsi" w:cstheme="minorHAnsi"/>
        </w:rPr>
      </w:pPr>
      <w:r>
        <w:rPr>
          <w:rFonts w:asciiTheme="minorHAnsi" w:hAnsiTheme="minorHAnsi" w:cstheme="minorHAnsi"/>
        </w:rPr>
        <w:t>The original greenhouse gas emissions metric served the EEIS objectives well for many years. However, in recent years under</w:t>
      </w:r>
      <w:r w:rsidR="008E622F">
        <w:rPr>
          <w:rFonts w:asciiTheme="minorHAnsi" w:hAnsiTheme="minorHAnsi" w:cstheme="minorHAnsi"/>
        </w:rPr>
        <w:t xml:space="preserve"> the</w:t>
      </w:r>
      <w:r>
        <w:rPr>
          <w:rFonts w:asciiTheme="minorHAnsi" w:hAnsiTheme="minorHAnsi" w:cstheme="minorHAnsi"/>
        </w:rPr>
        <w:t xml:space="preserve"> ACT policy</w:t>
      </w:r>
      <w:r w:rsidR="008E622F">
        <w:rPr>
          <w:rFonts w:asciiTheme="minorHAnsi" w:hAnsiTheme="minorHAnsi" w:cstheme="minorHAnsi"/>
        </w:rPr>
        <w:t xml:space="preserve"> of a 100% Renewable </w:t>
      </w:r>
      <w:r w:rsidR="00F61CDC">
        <w:rPr>
          <w:rFonts w:asciiTheme="minorHAnsi" w:hAnsiTheme="minorHAnsi" w:cstheme="minorHAnsi"/>
        </w:rPr>
        <w:t xml:space="preserve">Electricity </w:t>
      </w:r>
      <w:r w:rsidR="008E622F">
        <w:rPr>
          <w:rFonts w:asciiTheme="minorHAnsi" w:hAnsiTheme="minorHAnsi" w:cstheme="minorHAnsi"/>
        </w:rPr>
        <w:t>Target (RET) by 2020, t</w:t>
      </w:r>
      <w:r>
        <w:rPr>
          <w:rFonts w:asciiTheme="minorHAnsi" w:hAnsiTheme="minorHAnsi" w:cstheme="minorHAnsi"/>
        </w:rPr>
        <w:t>here has been a dramatic decreas</w:t>
      </w:r>
      <w:r w:rsidR="008E622F">
        <w:rPr>
          <w:rFonts w:asciiTheme="minorHAnsi" w:hAnsiTheme="minorHAnsi" w:cstheme="minorHAnsi"/>
        </w:rPr>
        <w:t>e in the electricity network</w:t>
      </w:r>
      <w:r w:rsidR="00406114">
        <w:rPr>
          <w:rFonts w:asciiTheme="minorHAnsi" w:hAnsiTheme="minorHAnsi" w:cstheme="minorHAnsi"/>
        </w:rPr>
        <w:t>’</w:t>
      </w:r>
      <w:r w:rsidR="008E622F">
        <w:rPr>
          <w:rFonts w:asciiTheme="minorHAnsi" w:hAnsiTheme="minorHAnsi" w:cstheme="minorHAnsi"/>
        </w:rPr>
        <w:t>s</w:t>
      </w:r>
      <w:r>
        <w:rPr>
          <w:rFonts w:asciiTheme="minorHAnsi" w:hAnsiTheme="minorHAnsi" w:cstheme="minorHAnsi"/>
        </w:rPr>
        <w:t xml:space="preserve"> greenhouse gas emissions intensity factor</w:t>
      </w:r>
      <w:r w:rsidR="008E622F">
        <w:rPr>
          <w:rFonts w:asciiTheme="minorHAnsi" w:hAnsiTheme="minorHAnsi" w:cstheme="minorHAnsi"/>
        </w:rPr>
        <w:t xml:space="preserve"> to the point where the intensity</w:t>
      </w:r>
      <w:r w:rsidR="00D90771">
        <w:rPr>
          <w:rFonts w:asciiTheme="minorHAnsi" w:hAnsiTheme="minorHAnsi" w:cstheme="minorHAnsi"/>
        </w:rPr>
        <w:t xml:space="preserve"> for electricity in the ACT</w:t>
      </w:r>
      <w:r w:rsidR="008E622F">
        <w:rPr>
          <w:rFonts w:asciiTheme="minorHAnsi" w:hAnsiTheme="minorHAnsi" w:cstheme="minorHAnsi"/>
        </w:rPr>
        <w:t xml:space="preserve"> (</w:t>
      </w:r>
      <w:r w:rsidR="008E622F" w:rsidRPr="0097531B">
        <w:rPr>
          <w:rFonts w:asciiTheme="minorHAnsi" w:hAnsiTheme="minorHAnsi" w:cstheme="minorHAnsi"/>
        </w:rPr>
        <w:t>tCO2-e</w:t>
      </w:r>
      <w:r w:rsidR="008E622F">
        <w:rPr>
          <w:rFonts w:asciiTheme="minorHAnsi" w:hAnsiTheme="minorHAnsi" w:cstheme="minorHAnsi"/>
        </w:rPr>
        <w:t xml:space="preserve"> / MWh) is now effectively zero.</w:t>
      </w:r>
    </w:p>
    <w:p w14:paraId="381BA07C" w14:textId="72B1250C" w:rsidR="00E048A0" w:rsidRDefault="008E622F" w:rsidP="0097531B">
      <w:pPr>
        <w:spacing w:before="480" w:line="240" w:lineRule="auto"/>
        <w:rPr>
          <w:rFonts w:asciiTheme="minorHAnsi" w:hAnsiTheme="minorHAnsi" w:cstheme="minorHAnsi"/>
        </w:rPr>
      </w:pPr>
      <w:r>
        <w:rPr>
          <w:rFonts w:asciiTheme="minorHAnsi" w:hAnsiTheme="minorHAnsi" w:cstheme="minorHAnsi"/>
        </w:rPr>
        <w:t xml:space="preserve">This means that those activities designed to reduce electricity consumption (primarily via efficiency improvements) which constitute a majority of activities available under the </w:t>
      </w:r>
      <w:r w:rsidR="00D557A7">
        <w:rPr>
          <w:rFonts w:asciiTheme="minorHAnsi" w:hAnsiTheme="minorHAnsi" w:cstheme="minorHAnsi"/>
        </w:rPr>
        <w:t>S</w:t>
      </w:r>
      <w:r>
        <w:rPr>
          <w:rFonts w:asciiTheme="minorHAnsi" w:hAnsiTheme="minorHAnsi" w:cstheme="minorHAnsi"/>
        </w:rPr>
        <w:t>cheme would, post 2020, offer virtually zero credit</w:t>
      </w:r>
      <w:r w:rsidR="005340CB">
        <w:rPr>
          <w:rStyle w:val="FootnoteReference"/>
          <w:rFonts w:asciiTheme="minorHAnsi" w:hAnsiTheme="minorHAnsi" w:cstheme="minorHAnsi"/>
        </w:rPr>
        <w:footnoteReference w:id="2"/>
      </w:r>
      <w:r>
        <w:rPr>
          <w:rFonts w:asciiTheme="minorHAnsi" w:hAnsiTheme="minorHAnsi" w:cstheme="minorHAnsi"/>
        </w:rPr>
        <w:t>. This would effectively eliminate any incentive amongst retailers to deliver these types</w:t>
      </w:r>
      <w:r w:rsidR="00D90771">
        <w:rPr>
          <w:rFonts w:asciiTheme="minorHAnsi" w:hAnsiTheme="minorHAnsi" w:cstheme="minorHAnsi"/>
        </w:rPr>
        <w:t xml:space="preserve"> of</w:t>
      </w:r>
      <w:r>
        <w:rPr>
          <w:rFonts w:asciiTheme="minorHAnsi" w:hAnsiTheme="minorHAnsi" w:cstheme="minorHAnsi"/>
        </w:rPr>
        <w:t xml:space="preserve"> activities, despite the fact that these activities </w:t>
      </w:r>
      <w:r w:rsidR="00E048A0">
        <w:rPr>
          <w:rFonts w:asciiTheme="minorHAnsi" w:hAnsiTheme="minorHAnsi" w:cstheme="minorHAnsi"/>
        </w:rPr>
        <w:t xml:space="preserve">would still deliver on most of the </w:t>
      </w:r>
      <w:r w:rsidR="00745F0D">
        <w:rPr>
          <w:rFonts w:asciiTheme="minorHAnsi" w:hAnsiTheme="minorHAnsi" w:cstheme="minorHAnsi"/>
        </w:rPr>
        <w:t xml:space="preserve">EEIS </w:t>
      </w:r>
      <w:r w:rsidR="00E048A0">
        <w:rPr>
          <w:rFonts w:asciiTheme="minorHAnsi" w:hAnsiTheme="minorHAnsi" w:cstheme="minorHAnsi"/>
        </w:rPr>
        <w:t>objectives including:</w:t>
      </w:r>
    </w:p>
    <w:p w14:paraId="19E917E4" w14:textId="30E1F02E" w:rsidR="00E048A0" w:rsidRPr="00E048A0" w:rsidRDefault="00E048A0" w:rsidP="00E048A0">
      <w:pPr>
        <w:pStyle w:val="ListParagraph"/>
        <w:numPr>
          <w:ilvl w:val="0"/>
          <w:numId w:val="48"/>
        </w:numPr>
        <w:spacing w:before="480" w:line="240" w:lineRule="auto"/>
        <w:rPr>
          <w:rFonts w:asciiTheme="minorHAnsi" w:hAnsiTheme="minorHAnsi" w:cstheme="minorHAnsi"/>
        </w:rPr>
      </w:pPr>
      <w:r w:rsidRPr="00E048A0">
        <w:t>encourage the efficient use of energy</w:t>
      </w:r>
    </w:p>
    <w:p w14:paraId="0830AA14" w14:textId="77777777" w:rsidR="00E048A0" w:rsidRPr="00E048A0" w:rsidRDefault="00E048A0" w:rsidP="00E048A0">
      <w:pPr>
        <w:pStyle w:val="ListParagraph"/>
        <w:numPr>
          <w:ilvl w:val="0"/>
          <w:numId w:val="48"/>
        </w:numPr>
        <w:spacing w:before="480" w:line="240" w:lineRule="auto"/>
        <w:rPr>
          <w:rFonts w:asciiTheme="minorHAnsi" w:hAnsiTheme="minorHAnsi" w:cstheme="minorHAnsi"/>
        </w:rPr>
      </w:pPr>
      <w:r w:rsidRPr="00E048A0">
        <w:t>reduce household and business energy use and costs, and</w:t>
      </w:r>
    </w:p>
    <w:p w14:paraId="49A9B152" w14:textId="7F0A0E10" w:rsidR="00E048A0" w:rsidRPr="00E048A0" w:rsidRDefault="00E048A0" w:rsidP="00E048A0">
      <w:pPr>
        <w:pStyle w:val="ListParagraph"/>
        <w:numPr>
          <w:ilvl w:val="0"/>
          <w:numId w:val="48"/>
        </w:numPr>
        <w:spacing w:before="480" w:line="240" w:lineRule="auto"/>
        <w:rPr>
          <w:rFonts w:asciiTheme="minorHAnsi" w:hAnsiTheme="minorHAnsi" w:cstheme="minorHAnsi"/>
        </w:rPr>
      </w:pPr>
      <w:r w:rsidRPr="00E048A0">
        <w:t>increase opportunities for priority households to reduce energy use and costs</w:t>
      </w:r>
      <w:r w:rsidR="00406114">
        <w:t>.</w:t>
      </w:r>
    </w:p>
    <w:p w14:paraId="44A6D3EB" w14:textId="1099616D" w:rsidR="00350314" w:rsidRPr="00350314" w:rsidRDefault="00350314" w:rsidP="00350314">
      <w:pPr>
        <w:spacing w:before="480" w:line="240" w:lineRule="auto"/>
        <w:rPr>
          <w:rFonts w:asciiTheme="minorHAnsi" w:hAnsiTheme="minorHAnsi" w:cstheme="minorHAnsi"/>
        </w:rPr>
      </w:pPr>
      <w:r>
        <w:rPr>
          <w:rFonts w:asciiTheme="minorHAnsi" w:hAnsiTheme="minorHAnsi" w:cstheme="minorHAnsi"/>
        </w:rPr>
        <w:t>Continuation with the current greenhouse gas emission metric would therefore severely limit</w:t>
      </w:r>
      <w:r w:rsidRPr="00350314">
        <w:rPr>
          <w:rFonts w:asciiTheme="minorHAnsi" w:hAnsiTheme="minorHAnsi" w:cstheme="minorHAnsi"/>
        </w:rPr>
        <w:t xml:space="preserve"> the field of cost</w:t>
      </w:r>
      <w:r w:rsidR="00406114">
        <w:rPr>
          <w:rFonts w:asciiTheme="minorHAnsi" w:hAnsiTheme="minorHAnsi" w:cstheme="minorHAnsi"/>
        </w:rPr>
        <w:t>-</w:t>
      </w:r>
      <w:r w:rsidRPr="00350314">
        <w:rPr>
          <w:rFonts w:asciiTheme="minorHAnsi" w:hAnsiTheme="minorHAnsi" w:cstheme="minorHAnsi"/>
        </w:rPr>
        <w:t>effective emission reducing activities to choose from</w:t>
      </w:r>
      <w:r>
        <w:rPr>
          <w:rFonts w:asciiTheme="minorHAnsi" w:hAnsiTheme="minorHAnsi" w:cstheme="minorHAnsi"/>
        </w:rPr>
        <w:t xml:space="preserve"> and result in significant lost opportunities to deliver on the other important objectives of the </w:t>
      </w:r>
      <w:r w:rsidR="00D557A7">
        <w:rPr>
          <w:rFonts w:asciiTheme="minorHAnsi" w:hAnsiTheme="minorHAnsi" w:cstheme="minorHAnsi"/>
        </w:rPr>
        <w:t>S</w:t>
      </w:r>
      <w:r>
        <w:rPr>
          <w:rFonts w:asciiTheme="minorHAnsi" w:hAnsiTheme="minorHAnsi" w:cstheme="minorHAnsi"/>
        </w:rPr>
        <w:t>cheme as detailed above.</w:t>
      </w:r>
    </w:p>
    <w:p w14:paraId="2CCA0F6D" w14:textId="6A6BDC82" w:rsidR="00E048A0" w:rsidRDefault="00E048A0" w:rsidP="00AD2E8A">
      <w:pPr>
        <w:spacing w:before="480" w:line="240" w:lineRule="auto"/>
        <w:rPr>
          <w:rFonts w:asciiTheme="minorHAnsi" w:hAnsiTheme="minorHAnsi" w:cstheme="minorHAnsi"/>
        </w:rPr>
      </w:pPr>
      <w:r>
        <w:rPr>
          <w:rFonts w:asciiTheme="minorHAnsi" w:hAnsiTheme="minorHAnsi" w:cstheme="minorHAnsi"/>
        </w:rPr>
        <w:t>T</w:t>
      </w:r>
      <w:r w:rsidR="00350314">
        <w:rPr>
          <w:rFonts w:asciiTheme="minorHAnsi" w:hAnsiTheme="minorHAnsi" w:cstheme="minorHAnsi"/>
        </w:rPr>
        <w:t>he propo</w:t>
      </w:r>
      <w:r>
        <w:rPr>
          <w:rFonts w:asciiTheme="minorHAnsi" w:hAnsiTheme="minorHAnsi" w:cstheme="minorHAnsi"/>
        </w:rPr>
        <w:t>sed change</w:t>
      </w:r>
      <w:r w:rsidR="00350314">
        <w:rPr>
          <w:rFonts w:asciiTheme="minorHAnsi" w:hAnsiTheme="minorHAnsi" w:cstheme="minorHAnsi"/>
        </w:rPr>
        <w:t xml:space="preserve"> from </w:t>
      </w:r>
      <w:r w:rsidR="00D557A7">
        <w:rPr>
          <w:rFonts w:asciiTheme="minorHAnsi" w:hAnsiTheme="minorHAnsi" w:cstheme="minorHAnsi"/>
        </w:rPr>
        <w:t>S</w:t>
      </w:r>
      <w:r w:rsidR="00350314">
        <w:rPr>
          <w:rFonts w:asciiTheme="minorHAnsi" w:hAnsiTheme="minorHAnsi" w:cstheme="minorHAnsi"/>
        </w:rPr>
        <w:t>cheme credits based on greenhouse gas emissions savings to credits based on energy savings</w:t>
      </w:r>
      <w:r>
        <w:rPr>
          <w:rFonts w:asciiTheme="minorHAnsi" w:hAnsiTheme="minorHAnsi" w:cstheme="minorHAnsi"/>
        </w:rPr>
        <w:t xml:space="preserve"> is intended</w:t>
      </w:r>
      <w:r w:rsidR="00350314">
        <w:rPr>
          <w:rFonts w:asciiTheme="minorHAnsi" w:hAnsiTheme="minorHAnsi" w:cstheme="minorHAnsi"/>
        </w:rPr>
        <w:t xml:space="preserve"> to remedy this situation whereby under the current trajectory</w:t>
      </w:r>
      <w:r w:rsidR="00483E89">
        <w:rPr>
          <w:rFonts w:asciiTheme="minorHAnsi" w:hAnsiTheme="minorHAnsi" w:cstheme="minorHAnsi"/>
        </w:rPr>
        <w:t xml:space="preserve"> of the electricity network</w:t>
      </w:r>
      <w:r w:rsidR="00406114">
        <w:rPr>
          <w:rFonts w:asciiTheme="minorHAnsi" w:hAnsiTheme="minorHAnsi" w:cstheme="minorHAnsi"/>
        </w:rPr>
        <w:t>’</w:t>
      </w:r>
      <w:r w:rsidR="00483E89">
        <w:rPr>
          <w:rFonts w:asciiTheme="minorHAnsi" w:hAnsiTheme="minorHAnsi" w:cstheme="minorHAnsi"/>
        </w:rPr>
        <w:t>s greenhouse gas emissions intensity</w:t>
      </w:r>
      <w:r w:rsidR="00350314">
        <w:rPr>
          <w:rFonts w:asciiTheme="minorHAnsi" w:hAnsiTheme="minorHAnsi" w:cstheme="minorHAnsi"/>
        </w:rPr>
        <w:t>, activities designed to reduce electricity usage would</w:t>
      </w:r>
      <w:r>
        <w:rPr>
          <w:rFonts w:asciiTheme="minorHAnsi" w:hAnsiTheme="minorHAnsi" w:cstheme="minorHAnsi"/>
        </w:rPr>
        <w:t xml:space="preserve"> no longer</w:t>
      </w:r>
      <w:r w:rsidR="00350314">
        <w:rPr>
          <w:rFonts w:asciiTheme="minorHAnsi" w:hAnsiTheme="minorHAnsi" w:cstheme="minorHAnsi"/>
        </w:rPr>
        <w:t xml:space="preserve"> be</w:t>
      </w:r>
      <w:r>
        <w:rPr>
          <w:rFonts w:asciiTheme="minorHAnsi" w:hAnsiTheme="minorHAnsi" w:cstheme="minorHAnsi"/>
        </w:rPr>
        <w:t xml:space="preserve"> viable options</w:t>
      </w:r>
      <w:r w:rsidR="00350314">
        <w:rPr>
          <w:rFonts w:asciiTheme="minorHAnsi" w:hAnsiTheme="minorHAnsi" w:cstheme="minorHAnsi"/>
        </w:rPr>
        <w:t>.</w:t>
      </w:r>
    </w:p>
    <w:p w14:paraId="33116886" w14:textId="73215F38" w:rsidR="00630372" w:rsidRDefault="00350314" w:rsidP="000F01FF">
      <w:pPr>
        <w:spacing w:before="480" w:line="240" w:lineRule="auto"/>
        <w:rPr>
          <w:rFonts w:cs="Calibri"/>
        </w:rPr>
      </w:pPr>
      <w:r>
        <w:rPr>
          <w:rFonts w:asciiTheme="minorHAnsi" w:hAnsiTheme="minorHAnsi" w:cstheme="minorHAnsi"/>
        </w:rPr>
        <w:lastRenderedPageBreak/>
        <w:t xml:space="preserve">It should be noted that whilst the proposal is to </w:t>
      </w:r>
      <w:r w:rsidR="000F01FF">
        <w:rPr>
          <w:rFonts w:asciiTheme="minorHAnsi" w:hAnsiTheme="minorHAnsi" w:cstheme="minorHAnsi"/>
        </w:rPr>
        <w:t>alter the metric of the activity credit, there are no other</w:t>
      </w:r>
      <w:r w:rsidR="008B59B4">
        <w:rPr>
          <w:rFonts w:asciiTheme="minorHAnsi" w:hAnsiTheme="minorHAnsi" w:cstheme="minorHAnsi"/>
        </w:rPr>
        <w:t xml:space="preserve"> differences between the new Determination and it</w:t>
      </w:r>
      <w:r w:rsidR="00E33478">
        <w:rPr>
          <w:rFonts w:asciiTheme="minorHAnsi" w:hAnsiTheme="minorHAnsi" w:cstheme="minorHAnsi"/>
        </w:rPr>
        <w:t>s</w:t>
      </w:r>
      <w:r w:rsidR="008B59B4">
        <w:rPr>
          <w:rFonts w:asciiTheme="minorHAnsi" w:hAnsiTheme="minorHAnsi" w:cstheme="minorHAnsi"/>
        </w:rPr>
        <w:t xml:space="preserve"> predecessor</w:t>
      </w:r>
      <w:r w:rsidR="000F01FF">
        <w:rPr>
          <w:rFonts w:asciiTheme="minorHAnsi" w:hAnsiTheme="minorHAnsi" w:cstheme="minorHAnsi"/>
        </w:rPr>
        <w:t>, i.e</w:t>
      </w:r>
      <w:r w:rsidR="000F01FF" w:rsidRPr="000F01FF">
        <w:rPr>
          <w:rFonts w:asciiTheme="minorHAnsi" w:hAnsiTheme="minorHAnsi" w:cstheme="minorHAnsi"/>
        </w:rPr>
        <w:t xml:space="preserve">. </w:t>
      </w:r>
      <w:r w:rsidR="000F01FF" w:rsidRPr="007E523C">
        <w:rPr>
          <w:rFonts w:cs="Calibri"/>
        </w:rPr>
        <w:t xml:space="preserve">there has been no alteration to the eligibility criteria, performance specifications, installed product requirements or the specifics of completing an activity. </w:t>
      </w:r>
    </w:p>
    <w:p w14:paraId="4377F2C3" w14:textId="70C2A697" w:rsidR="000F01FF" w:rsidRPr="007E523C" w:rsidRDefault="00467EE6" w:rsidP="000F01FF">
      <w:pPr>
        <w:spacing w:before="480" w:line="240" w:lineRule="auto"/>
        <w:rPr>
          <w:rFonts w:cs="Calibri"/>
          <w:iCs/>
        </w:rPr>
      </w:pPr>
      <w:r>
        <w:rPr>
          <w:rFonts w:cs="Calibri"/>
          <w:iCs/>
        </w:rPr>
        <w:t>Therefore,</w:t>
      </w:r>
      <w:r w:rsidR="00446EED">
        <w:rPr>
          <w:rFonts w:cs="Calibri"/>
          <w:iCs/>
        </w:rPr>
        <w:t xml:space="preserve"> the </w:t>
      </w:r>
      <w:r w:rsidR="008B59B4">
        <w:rPr>
          <w:rFonts w:cs="Calibri"/>
          <w:iCs/>
        </w:rPr>
        <w:t xml:space="preserve">new </w:t>
      </w:r>
      <w:r w:rsidR="00446EED">
        <w:rPr>
          <w:rFonts w:cs="Calibri"/>
          <w:iCs/>
        </w:rPr>
        <w:t xml:space="preserve">Determination </w:t>
      </w:r>
      <w:r w:rsidR="008B59B4">
        <w:rPr>
          <w:rFonts w:cs="Calibri"/>
          <w:iCs/>
        </w:rPr>
        <w:t xml:space="preserve">is </w:t>
      </w:r>
      <w:r w:rsidR="0043040B">
        <w:rPr>
          <w:rFonts w:cs="Calibri"/>
          <w:iCs/>
        </w:rPr>
        <w:t>consistent</w:t>
      </w:r>
      <w:r w:rsidR="00446EED">
        <w:rPr>
          <w:rFonts w:cs="Calibri"/>
          <w:iCs/>
        </w:rPr>
        <w:t xml:space="preserve"> with the </w:t>
      </w:r>
      <w:r w:rsidR="0043040B">
        <w:rPr>
          <w:rFonts w:cs="Calibri"/>
          <w:iCs/>
        </w:rPr>
        <w:t>authorising law and its policy objectives.</w:t>
      </w:r>
    </w:p>
    <w:p w14:paraId="05D010AA" w14:textId="5D9A2B74" w:rsidR="000F01FF" w:rsidRPr="005273C1" w:rsidRDefault="000F01FF" w:rsidP="000F01FF">
      <w:pPr>
        <w:spacing w:before="480" w:line="240" w:lineRule="auto"/>
        <w:rPr>
          <w:rFonts w:asciiTheme="minorHAnsi" w:hAnsiTheme="minorHAnsi" w:cstheme="minorHAnsi"/>
        </w:rPr>
      </w:pPr>
      <w:r w:rsidRPr="007E523C">
        <w:rPr>
          <w:rFonts w:cs="Calibri"/>
        </w:rPr>
        <w:t>From an industry perspective there should be no need to adjust business practices or training requirements</w:t>
      </w:r>
      <w:r w:rsidR="00483E89" w:rsidRPr="007E523C">
        <w:rPr>
          <w:rFonts w:cs="Calibri"/>
        </w:rPr>
        <w:t xml:space="preserve"> as a result of this change</w:t>
      </w:r>
      <w:r w:rsidRPr="007E523C">
        <w:rPr>
          <w:rFonts w:cs="Calibri"/>
        </w:rPr>
        <w:t>. The only change will b</w:t>
      </w:r>
      <w:r w:rsidR="00483E89" w:rsidRPr="007E523C">
        <w:rPr>
          <w:rFonts w:cs="Calibri"/>
        </w:rPr>
        <w:t>e in the relative cost effectiveness</w:t>
      </w:r>
      <w:r w:rsidRPr="007E523C">
        <w:rPr>
          <w:rFonts w:cs="Calibri"/>
        </w:rPr>
        <w:t xml:space="preserve"> of the various activities offered under the </w:t>
      </w:r>
      <w:r w:rsidR="00D557A7">
        <w:rPr>
          <w:rFonts w:cs="Calibri"/>
        </w:rPr>
        <w:t>S</w:t>
      </w:r>
      <w:r w:rsidRPr="007E523C">
        <w:rPr>
          <w:rFonts w:cs="Calibri"/>
        </w:rPr>
        <w:t>cheme</w:t>
      </w:r>
      <w:r w:rsidR="00A93074" w:rsidRPr="007E523C">
        <w:rPr>
          <w:rFonts w:cs="Calibri"/>
        </w:rPr>
        <w:t xml:space="preserve">. Credits for activities that simply involve reductions in electricity usage will gain </w:t>
      </w:r>
      <w:r w:rsidR="00E33F22" w:rsidRPr="007E523C">
        <w:rPr>
          <w:rFonts w:cs="Calibri"/>
        </w:rPr>
        <w:t xml:space="preserve">significantly </w:t>
      </w:r>
      <w:r w:rsidR="00A93074" w:rsidRPr="007E523C">
        <w:rPr>
          <w:rFonts w:cs="Calibri"/>
        </w:rPr>
        <w:t>greater credits under the proposed new energy saving metric compared to the current greenhouse</w:t>
      </w:r>
      <w:r w:rsidR="00406114">
        <w:rPr>
          <w:rFonts w:cs="Calibri"/>
        </w:rPr>
        <w:t xml:space="preserve"> gas</w:t>
      </w:r>
      <w:r w:rsidR="00A93074" w:rsidRPr="007E523C">
        <w:rPr>
          <w:rFonts w:cs="Calibri"/>
        </w:rPr>
        <w:t xml:space="preserve"> abatement metric. </w:t>
      </w:r>
      <w:r w:rsidR="00CE6122">
        <w:rPr>
          <w:rFonts w:cs="Calibri"/>
        </w:rPr>
        <w:t>A</w:t>
      </w:r>
      <w:r w:rsidR="00A93074" w:rsidRPr="007E523C">
        <w:rPr>
          <w:rFonts w:cs="Calibri"/>
        </w:rPr>
        <w:t xml:space="preserve">ctivities that reduce </w:t>
      </w:r>
      <w:r w:rsidR="00406114">
        <w:rPr>
          <w:rFonts w:cs="Calibri"/>
        </w:rPr>
        <w:t xml:space="preserve">natural </w:t>
      </w:r>
      <w:r w:rsidR="00A93074" w:rsidRPr="007E523C">
        <w:rPr>
          <w:rFonts w:cs="Calibri"/>
        </w:rPr>
        <w:t>gas</w:t>
      </w:r>
      <w:r w:rsidR="00CE6122">
        <w:rPr>
          <w:rFonts w:cs="Calibri"/>
        </w:rPr>
        <w:t xml:space="preserve"> and woodfire</w:t>
      </w:r>
      <w:r w:rsidR="00A93074" w:rsidRPr="007E523C">
        <w:rPr>
          <w:rFonts w:cs="Calibri"/>
        </w:rPr>
        <w:t xml:space="preserve"> consumption</w:t>
      </w:r>
      <w:r w:rsidR="006779B3">
        <w:rPr>
          <w:rFonts w:cs="Calibri"/>
        </w:rPr>
        <w:t xml:space="preserve"> previously received higher emissions abatement credits than electricity activities</w:t>
      </w:r>
      <w:r w:rsidR="00CE6122">
        <w:rPr>
          <w:rFonts w:cs="Calibri"/>
        </w:rPr>
        <w:t>. These activities</w:t>
      </w:r>
      <w:r w:rsidR="00A93074" w:rsidRPr="007E523C">
        <w:rPr>
          <w:rFonts w:cs="Calibri"/>
        </w:rPr>
        <w:t xml:space="preserve"> will now </w:t>
      </w:r>
      <w:r w:rsidR="00644BE7">
        <w:rPr>
          <w:rFonts w:cs="Calibri"/>
        </w:rPr>
        <w:t xml:space="preserve">receive equal abatement values to electricity savings measures based on the MWh of energy saved. </w:t>
      </w:r>
      <w:r w:rsidR="00467EE6">
        <w:rPr>
          <w:rFonts w:cs="Calibri"/>
        </w:rPr>
        <w:t xml:space="preserve">The Environment, Planning and Sustainable Development Directorate will monitor the effects of the change to the energy saving metric and make further adjustments to the </w:t>
      </w:r>
      <w:r w:rsidR="000F0B5E">
        <w:rPr>
          <w:rFonts w:cs="Calibri"/>
        </w:rPr>
        <w:t xml:space="preserve">EEIS settings </w:t>
      </w:r>
      <w:r w:rsidR="00467EE6">
        <w:rPr>
          <w:rFonts w:cs="Calibri"/>
        </w:rPr>
        <w:t>if necessary.</w:t>
      </w:r>
    </w:p>
    <w:p w14:paraId="726DFDF5" w14:textId="7FD138B8" w:rsidR="001A5C42" w:rsidRDefault="000204D8" w:rsidP="006E4E98">
      <w:pPr>
        <w:pStyle w:val="Heading1"/>
        <w:ind w:left="283" w:hanging="357"/>
      </w:pPr>
      <w:bookmarkStart w:id="13" w:name="_Toc31360112"/>
      <w:bookmarkStart w:id="14" w:name="_Toc31360168"/>
      <w:bookmarkStart w:id="15" w:name="_Toc31360834"/>
      <w:bookmarkStart w:id="16" w:name="_Toc31363071"/>
      <w:bookmarkStart w:id="17" w:name="_Toc31363379"/>
      <w:bookmarkStart w:id="18" w:name="_Toc31363499"/>
      <w:bookmarkStart w:id="19" w:name="_Toc31360113"/>
      <w:bookmarkStart w:id="20" w:name="_Toc31360169"/>
      <w:bookmarkStart w:id="21" w:name="_Toc31360835"/>
      <w:bookmarkStart w:id="22" w:name="_Toc31363072"/>
      <w:bookmarkStart w:id="23" w:name="_Toc31363380"/>
      <w:bookmarkStart w:id="24" w:name="_Toc31363500"/>
      <w:bookmarkStart w:id="25" w:name="_Toc31360837"/>
      <w:bookmarkStart w:id="26" w:name="_Toc31363074"/>
      <w:bookmarkStart w:id="27" w:name="_Toc31363382"/>
      <w:bookmarkStart w:id="28" w:name="_Toc31363075"/>
      <w:bookmarkStart w:id="29" w:name="_Toc31363383"/>
      <w:bookmarkStart w:id="30" w:name="_Toc41564617"/>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t xml:space="preserve">5. </w:t>
      </w:r>
      <w:r w:rsidR="001A5C42">
        <w:t xml:space="preserve">Consistency of the </w:t>
      </w:r>
      <w:r w:rsidR="00EE5E78">
        <w:t>proposed law with other Territory Laws</w:t>
      </w:r>
      <w:bookmarkEnd w:id="28"/>
      <w:bookmarkEnd w:id="29"/>
      <w:bookmarkEnd w:id="30"/>
    </w:p>
    <w:p w14:paraId="00B496D8" w14:textId="0301A007" w:rsidR="001A5C42" w:rsidRDefault="001A5C42" w:rsidP="006E4E98">
      <w:pPr>
        <w:spacing w:before="120"/>
      </w:pPr>
      <w:r>
        <w:t>All of</w:t>
      </w:r>
      <w:r w:rsidR="00483E89">
        <w:t xml:space="preserve"> the elements of this </w:t>
      </w:r>
      <w:r>
        <w:t>legislative update are consistent with the relevant heads of power in the Act</w:t>
      </w:r>
      <w:r w:rsidR="006E5C13">
        <w:t xml:space="preserve"> and are consistent with other Territory Laws</w:t>
      </w:r>
      <w:r>
        <w:t xml:space="preserve">. </w:t>
      </w:r>
    </w:p>
    <w:p w14:paraId="2B0B933E" w14:textId="77777777" w:rsidR="001A5C42" w:rsidRDefault="000204D8" w:rsidP="006E4E98">
      <w:pPr>
        <w:pStyle w:val="Heading1"/>
        <w:ind w:left="284" w:hanging="284"/>
      </w:pPr>
      <w:bookmarkStart w:id="31" w:name="_Toc31363076"/>
      <w:bookmarkStart w:id="32" w:name="_Toc31363384"/>
      <w:bookmarkStart w:id="33" w:name="_Toc41564618"/>
      <w:r>
        <w:t xml:space="preserve">6. </w:t>
      </w:r>
      <w:r w:rsidR="001A5C42">
        <w:t>Mutual recognition and consistency with the policy objectives of another Territory law</w:t>
      </w:r>
      <w:bookmarkEnd w:id="31"/>
      <w:bookmarkEnd w:id="32"/>
      <w:bookmarkEnd w:id="33"/>
    </w:p>
    <w:p w14:paraId="761C82E5" w14:textId="714A01EF" w:rsidR="001A5C42" w:rsidRDefault="001A5C42" w:rsidP="006E4E98">
      <w:pPr>
        <w:spacing w:before="120"/>
      </w:pPr>
      <w:r w:rsidRPr="00B82854">
        <w:t xml:space="preserve">The proposed </w:t>
      </w:r>
      <w:r w:rsidR="00903BB4">
        <w:t xml:space="preserve">instrument </w:t>
      </w:r>
      <w:r w:rsidR="00F421AA">
        <w:t>is</w:t>
      </w:r>
      <w:r w:rsidRPr="00B82854">
        <w:t xml:space="preserve"> not inconsistent with the policy objectives of another </w:t>
      </w:r>
      <w:r>
        <w:t>T</w:t>
      </w:r>
      <w:r w:rsidRPr="00B82854">
        <w:t xml:space="preserve">erritory law. </w:t>
      </w:r>
    </w:p>
    <w:p w14:paraId="3ED67A93" w14:textId="0E06C71F" w:rsidR="001A5C42" w:rsidRDefault="001A5C42" w:rsidP="001A5C42">
      <w:r>
        <w:t xml:space="preserve">The </w:t>
      </w:r>
      <w:r w:rsidR="0050444C">
        <w:t xml:space="preserve">proposed </w:t>
      </w:r>
      <w:r w:rsidR="00F421AA">
        <w:t>instrument</w:t>
      </w:r>
      <w:r w:rsidR="0050444C">
        <w:t xml:space="preserve"> increase</w:t>
      </w:r>
      <w:r w:rsidR="00F421AA">
        <w:t>s</w:t>
      </w:r>
      <w:r>
        <w:t xml:space="preserve"> harmonisation of regulatory regimes between the ACT</w:t>
      </w:r>
      <w:r w:rsidR="0050444C">
        <w:t xml:space="preserve"> and other jurisdictions and thi</w:t>
      </w:r>
      <w:r>
        <w:t xml:space="preserve">s has </w:t>
      </w:r>
      <w:r w:rsidR="00406114">
        <w:t xml:space="preserve">a </w:t>
      </w:r>
      <w:r>
        <w:t xml:space="preserve">positive cross-border effect of improving consistency and reducing administrative costs for retailers and abatement providers participating in multiple energy efficiency schemes.   </w:t>
      </w:r>
    </w:p>
    <w:p w14:paraId="4E8125E3" w14:textId="4E13A547" w:rsidR="001A5C42" w:rsidRDefault="00820FDD" w:rsidP="006E4E98">
      <w:pPr>
        <w:pStyle w:val="Heading1"/>
        <w:ind w:left="284" w:hanging="284"/>
      </w:pPr>
      <w:bookmarkStart w:id="34" w:name="_Toc31363077"/>
      <w:bookmarkStart w:id="35" w:name="_Toc31363385"/>
      <w:bookmarkStart w:id="36" w:name="_Toc41564619"/>
      <w:bookmarkStart w:id="37" w:name="OLE_LINK1"/>
      <w:r>
        <w:t>7</w:t>
      </w:r>
      <w:r w:rsidR="000204D8">
        <w:t xml:space="preserve">. </w:t>
      </w:r>
      <w:r w:rsidR="001A5C42">
        <w:t>Assessment of the consistency of the proposed law with Scrutiny of Bills Committee principles</w:t>
      </w:r>
      <w:bookmarkEnd w:id="34"/>
      <w:bookmarkEnd w:id="35"/>
      <w:bookmarkEnd w:id="36"/>
    </w:p>
    <w:p w14:paraId="4B97591E" w14:textId="77777777" w:rsidR="001A5C42" w:rsidRPr="001D5C24" w:rsidRDefault="001A5C42" w:rsidP="006E4E98">
      <w:pPr>
        <w:spacing w:before="120"/>
      </w:pPr>
      <w:r w:rsidRPr="00854977">
        <w:t>The terms of reference of the Standing Committee on Justice and Community Safety (Legislative Scrutiny Role) require it to consider whether (among other things):</w:t>
      </w:r>
    </w:p>
    <w:p w14:paraId="0842C412" w14:textId="77777777" w:rsidR="001A5C42" w:rsidRPr="001D5C24" w:rsidRDefault="001A5C42" w:rsidP="001A5C42">
      <w:pPr>
        <w:pStyle w:val="ListParagraph"/>
        <w:numPr>
          <w:ilvl w:val="0"/>
          <w:numId w:val="1"/>
        </w:numPr>
        <w:ind w:left="567"/>
      </w:pPr>
      <w:r w:rsidRPr="001D5C24">
        <w:lastRenderedPageBreak/>
        <w:t>any instrument of a legislative nature made under an Act which is subject to disallowance and/or disapproval by the Assembly (including a regulation, rule or by-law):</w:t>
      </w:r>
    </w:p>
    <w:p w14:paraId="046896CC" w14:textId="77777777" w:rsidR="001A5C42" w:rsidRPr="001D5C24" w:rsidRDefault="001A5C42" w:rsidP="001A5C42">
      <w:pPr>
        <w:pStyle w:val="ListParagraph"/>
        <w:numPr>
          <w:ilvl w:val="0"/>
          <w:numId w:val="2"/>
        </w:numPr>
        <w:ind w:left="1276"/>
      </w:pPr>
      <w:r w:rsidRPr="001D5C24">
        <w:t>is in accord with the general objects of</w:t>
      </w:r>
      <w:r>
        <w:t xml:space="preserve"> the Act under which it is made, </w:t>
      </w:r>
    </w:p>
    <w:p w14:paraId="3B6DC2B0" w14:textId="77777777" w:rsidR="001A5C42" w:rsidRPr="001D5C24" w:rsidRDefault="001A5C42" w:rsidP="001A5C42">
      <w:pPr>
        <w:pStyle w:val="ListParagraph"/>
        <w:numPr>
          <w:ilvl w:val="0"/>
          <w:numId w:val="2"/>
        </w:numPr>
        <w:ind w:left="1276"/>
      </w:pPr>
      <w:r w:rsidRPr="001D5C24">
        <w:t>unduly trespasses on right</w:t>
      </w:r>
      <w:r>
        <w:t xml:space="preserve">s previously established by law, </w:t>
      </w:r>
    </w:p>
    <w:p w14:paraId="7CD2A4B6" w14:textId="77777777" w:rsidR="001A5C42" w:rsidRPr="001D5C24" w:rsidRDefault="001A5C42" w:rsidP="001A5C42">
      <w:pPr>
        <w:pStyle w:val="ListParagraph"/>
        <w:numPr>
          <w:ilvl w:val="0"/>
          <w:numId w:val="2"/>
        </w:numPr>
        <w:ind w:left="1276"/>
      </w:pPr>
      <w:r w:rsidRPr="001D5C24">
        <w:t xml:space="preserve">makes rights, liberties and/or obligations unduly dependent upon non </w:t>
      </w:r>
      <w:r>
        <w:t xml:space="preserve">reviewable decisions, </w:t>
      </w:r>
      <w:r w:rsidRPr="001D5C24">
        <w:t>or</w:t>
      </w:r>
    </w:p>
    <w:p w14:paraId="3805E4F6" w14:textId="0D03CA8C" w:rsidR="001A5C42" w:rsidRPr="001D5C24" w:rsidRDefault="001A5C42" w:rsidP="001A5C42">
      <w:pPr>
        <w:pStyle w:val="ListParagraph"/>
        <w:numPr>
          <w:ilvl w:val="0"/>
          <w:numId w:val="2"/>
        </w:numPr>
        <w:ind w:left="1276"/>
      </w:pPr>
      <w:r w:rsidRPr="001D5C24">
        <w:t>contains matter</w:t>
      </w:r>
      <w:r w:rsidR="00406114">
        <w:t>s</w:t>
      </w:r>
      <w:r w:rsidRPr="001D5C24">
        <w:t xml:space="preserve"> which in the opinion of the Committee should properly be dealt with in an </w:t>
      </w:r>
      <w:r>
        <w:t>Act of the Legislative Assembly.</w:t>
      </w:r>
    </w:p>
    <w:p w14:paraId="5A123E05" w14:textId="0059001F" w:rsidR="00483E89" w:rsidRDefault="00483E89" w:rsidP="001A5C42">
      <w:pPr>
        <w:keepNext/>
        <w:spacing w:before="240" w:after="0"/>
      </w:pPr>
      <w:r>
        <w:t xml:space="preserve">The </w:t>
      </w:r>
      <w:r w:rsidR="008B59B4">
        <w:t>new Determination</w:t>
      </w:r>
      <w:r>
        <w:t xml:space="preserve"> is considered to have no material imp</w:t>
      </w:r>
      <w:r w:rsidR="00B3741C">
        <w:t>act on any of these objectives.</w:t>
      </w:r>
      <w:r w:rsidR="008B59B4">
        <w:t xml:space="preserve"> As discussed above, the Determination is consistent with the general objects of the Act and does not trespass on rights previously established by Law. The Determination does not make rights, liberties and/or obligations unduly dependent on non reviewable decisions. The subject matter is appropriate for a Disallowable Instrument. </w:t>
      </w:r>
    </w:p>
    <w:p w14:paraId="20CCA462" w14:textId="58CC6AC6" w:rsidR="001A5C42" w:rsidRDefault="00344F08" w:rsidP="006E4E98">
      <w:pPr>
        <w:pStyle w:val="Heading1"/>
      </w:pPr>
      <w:bookmarkStart w:id="38" w:name="_Toc31363078"/>
      <w:bookmarkStart w:id="39" w:name="_Toc31363386"/>
      <w:bookmarkStart w:id="40" w:name="_Toc41564620"/>
      <w:bookmarkEnd w:id="37"/>
      <w:r>
        <w:t>8</w:t>
      </w:r>
      <w:r w:rsidR="000204D8">
        <w:t xml:space="preserve">. </w:t>
      </w:r>
      <w:r w:rsidR="001A5C42">
        <w:t>Conclusion</w:t>
      </w:r>
      <w:bookmarkStart w:id="41" w:name="_Hlk31361494"/>
      <w:bookmarkEnd w:id="38"/>
      <w:bookmarkEnd w:id="39"/>
      <w:bookmarkEnd w:id="40"/>
    </w:p>
    <w:p w14:paraId="035FDB27" w14:textId="2D3FB21D" w:rsidR="00B3741C" w:rsidRDefault="001A5C42" w:rsidP="006E4E98">
      <w:pPr>
        <w:spacing w:before="120"/>
      </w:pPr>
      <w:r>
        <w:t>The</w:t>
      </w:r>
      <w:r w:rsidR="0016448E">
        <w:t xml:space="preserve"> RIS </w:t>
      </w:r>
      <w:r w:rsidR="00B3741C">
        <w:t>outlines the impacts of a</w:t>
      </w:r>
      <w:r w:rsidR="0016448E">
        <w:t xml:space="preserve"> </w:t>
      </w:r>
      <w:r w:rsidR="008B59B4">
        <w:t>new D</w:t>
      </w:r>
      <w:r w:rsidR="00B3741C">
        <w:t>etermination instrument</w:t>
      </w:r>
      <w:r w:rsidR="00EA4AF7">
        <w:t>.</w:t>
      </w:r>
      <w:r>
        <w:t xml:space="preserve"> </w:t>
      </w:r>
      <w:r w:rsidR="00167828">
        <w:t>The net result</w:t>
      </w:r>
      <w:r w:rsidR="00B3741C">
        <w:t xml:space="preserve"> of this </w:t>
      </w:r>
      <w:r w:rsidR="008B59B4">
        <w:t xml:space="preserve">new Determination </w:t>
      </w:r>
      <w:r w:rsidR="00B3741C">
        <w:t>is</w:t>
      </w:r>
      <w:r w:rsidR="00167828">
        <w:t xml:space="preserve"> to </w:t>
      </w:r>
      <w:r w:rsidR="00820FDD">
        <w:t xml:space="preserve">ensure that </w:t>
      </w:r>
      <w:r w:rsidR="00B3741C">
        <w:t xml:space="preserve">the </w:t>
      </w:r>
      <w:r w:rsidR="00D557A7">
        <w:t>S</w:t>
      </w:r>
      <w:r w:rsidR="00B3741C">
        <w:t>cheme will continue to deliver on its objectives</w:t>
      </w:r>
      <w:r w:rsidR="00B3741C">
        <w:rPr>
          <w:rFonts w:asciiTheme="minorHAnsi" w:hAnsiTheme="minorHAnsi" w:cstheme="minorHAnsi"/>
        </w:rPr>
        <w:t xml:space="preserve">. </w:t>
      </w:r>
      <w:r w:rsidR="00B3741C">
        <w:t>Without the</w:t>
      </w:r>
      <w:r w:rsidR="008B59B4">
        <w:t xml:space="preserve"> new Determination</w:t>
      </w:r>
      <w:r w:rsidR="00B3741C">
        <w:t xml:space="preserve"> these objectives would be compromised particularly in relation to the </w:t>
      </w:r>
      <w:r w:rsidR="00D557A7">
        <w:t>S</w:t>
      </w:r>
      <w:r w:rsidR="00B3741C">
        <w:t>cheme</w:t>
      </w:r>
      <w:r w:rsidR="00406114">
        <w:t>’</w:t>
      </w:r>
      <w:r w:rsidR="00B3741C">
        <w:t>s capacity to:</w:t>
      </w:r>
    </w:p>
    <w:p w14:paraId="7DF3B7CC" w14:textId="77777777" w:rsidR="00B3741C" w:rsidRPr="00E048A0" w:rsidRDefault="00B3741C" w:rsidP="00B3741C">
      <w:pPr>
        <w:pStyle w:val="ListParagraph"/>
        <w:numPr>
          <w:ilvl w:val="0"/>
          <w:numId w:val="48"/>
        </w:numPr>
        <w:spacing w:before="480" w:line="240" w:lineRule="auto"/>
        <w:rPr>
          <w:rFonts w:asciiTheme="minorHAnsi" w:hAnsiTheme="minorHAnsi" w:cstheme="minorHAnsi"/>
        </w:rPr>
      </w:pPr>
      <w:r w:rsidRPr="00E048A0">
        <w:t>encourage the efficient use of energy</w:t>
      </w:r>
    </w:p>
    <w:p w14:paraId="09DF0E5D" w14:textId="77777777" w:rsidR="00B3741C" w:rsidRPr="00E048A0" w:rsidRDefault="00B3741C" w:rsidP="00B3741C">
      <w:pPr>
        <w:pStyle w:val="ListParagraph"/>
        <w:numPr>
          <w:ilvl w:val="0"/>
          <w:numId w:val="48"/>
        </w:numPr>
        <w:spacing w:before="480" w:line="240" w:lineRule="auto"/>
        <w:rPr>
          <w:rFonts w:asciiTheme="minorHAnsi" w:hAnsiTheme="minorHAnsi" w:cstheme="minorHAnsi"/>
        </w:rPr>
      </w:pPr>
      <w:r w:rsidRPr="00E048A0">
        <w:t>reduce household and business energy use and costs, and</w:t>
      </w:r>
    </w:p>
    <w:p w14:paraId="4D36C600" w14:textId="51F4B67D" w:rsidR="00B3741C" w:rsidRPr="00E048A0" w:rsidRDefault="00B3741C" w:rsidP="00B3741C">
      <w:pPr>
        <w:pStyle w:val="ListParagraph"/>
        <w:numPr>
          <w:ilvl w:val="0"/>
          <w:numId w:val="48"/>
        </w:numPr>
        <w:spacing w:before="480" w:line="240" w:lineRule="auto"/>
        <w:rPr>
          <w:rFonts w:asciiTheme="minorHAnsi" w:hAnsiTheme="minorHAnsi" w:cstheme="minorHAnsi"/>
        </w:rPr>
      </w:pPr>
      <w:r w:rsidRPr="00E048A0">
        <w:t>increase opportunities for priority households to reduce energy use and costs</w:t>
      </w:r>
      <w:r w:rsidR="00E669C2">
        <w:t>.</w:t>
      </w:r>
    </w:p>
    <w:p w14:paraId="7383C753" w14:textId="77777777" w:rsidR="00B3741C" w:rsidRPr="00B3741C" w:rsidRDefault="00B3741C" w:rsidP="006E4E98">
      <w:pPr>
        <w:spacing w:before="120"/>
        <w:rPr>
          <w:rFonts w:asciiTheme="minorHAnsi" w:hAnsiTheme="minorHAnsi" w:cstheme="minorHAnsi"/>
        </w:rPr>
      </w:pPr>
    </w:p>
    <w:bookmarkEnd w:id="41"/>
    <w:p w14:paraId="59B8862B" w14:textId="77777777" w:rsidR="00C90E8D" w:rsidRDefault="00C90E8D"/>
    <w:sectPr w:rsidR="00C90E8D" w:rsidSect="001A5C42">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884A5" w14:textId="77777777" w:rsidR="0071115D" w:rsidRDefault="0071115D" w:rsidP="001A5C42">
      <w:pPr>
        <w:spacing w:after="0" w:line="240" w:lineRule="auto"/>
      </w:pPr>
      <w:r>
        <w:separator/>
      </w:r>
    </w:p>
  </w:endnote>
  <w:endnote w:type="continuationSeparator" w:id="0">
    <w:p w14:paraId="021E5F55" w14:textId="77777777" w:rsidR="0071115D" w:rsidRDefault="0071115D" w:rsidP="001A5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A9CDE" w14:textId="77777777" w:rsidR="00A056DD" w:rsidRDefault="00A056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0054F" w14:textId="2D139082" w:rsidR="009D6076" w:rsidRDefault="009D6076" w:rsidP="001A5C42">
    <w:pPr>
      <w:pStyle w:val="Footer"/>
    </w:pPr>
    <w:r w:rsidRPr="003B387D">
      <w:rPr>
        <w:i/>
        <w:sz w:val="20"/>
      </w:rPr>
      <w:t xml:space="preserve">Regulatory </w:t>
    </w:r>
    <w:r w:rsidR="00A056DD">
      <w:rPr>
        <w:i/>
        <w:sz w:val="20"/>
      </w:rPr>
      <w:t>I</w:t>
    </w:r>
    <w:r w:rsidRPr="003B387D">
      <w:rPr>
        <w:i/>
        <w:sz w:val="20"/>
      </w:rPr>
      <w:t xml:space="preserve">mpact </w:t>
    </w:r>
    <w:r w:rsidR="00A056DD">
      <w:rPr>
        <w:i/>
        <w:sz w:val="20"/>
      </w:rPr>
      <w:t>S</w:t>
    </w:r>
    <w:r w:rsidRPr="003B387D">
      <w:rPr>
        <w:i/>
        <w:sz w:val="20"/>
      </w:rPr>
      <w:t>tatement</w:t>
    </w:r>
    <w:r>
      <w:tab/>
    </w:r>
    <w:r>
      <w:fldChar w:fldCharType="begin"/>
    </w:r>
    <w:r>
      <w:instrText xml:space="preserve"> PAGE   \* MERGEFORMAT </w:instrText>
    </w:r>
    <w:r>
      <w:fldChar w:fldCharType="separate"/>
    </w:r>
    <w:r w:rsidR="00E33F22">
      <w:rPr>
        <w:noProof/>
      </w:rPr>
      <w:t>9</w:t>
    </w:r>
    <w:r>
      <w:fldChar w:fldCharType="end"/>
    </w:r>
  </w:p>
  <w:p w14:paraId="6B886ECE" w14:textId="068C7522" w:rsidR="009D6076" w:rsidRPr="00845A85" w:rsidRDefault="00845A85" w:rsidP="00845A85">
    <w:pPr>
      <w:pStyle w:val="Footer"/>
      <w:jc w:val="center"/>
      <w:rPr>
        <w:rFonts w:ascii="Arial" w:hAnsi="Arial" w:cs="Arial"/>
        <w:noProof/>
        <w:sz w:val="14"/>
      </w:rPr>
    </w:pPr>
    <w:r w:rsidRPr="00845A85">
      <w:rPr>
        <w:rFonts w:ascii="Arial" w:hAnsi="Arial" w:cs="Arial"/>
        <w:noProof/>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523FC" w14:textId="59EA24A3" w:rsidR="009D6076" w:rsidRPr="00845A85" w:rsidRDefault="00845A85" w:rsidP="00845A85">
    <w:pPr>
      <w:pStyle w:val="Footer"/>
      <w:jc w:val="center"/>
      <w:rPr>
        <w:rFonts w:ascii="Arial" w:hAnsi="Arial" w:cs="Arial"/>
        <w:sz w:val="14"/>
      </w:rPr>
    </w:pPr>
    <w:r w:rsidRPr="00845A85">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4671C" w14:textId="77777777" w:rsidR="0071115D" w:rsidRDefault="0071115D" w:rsidP="001A5C42">
      <w:pPr>
        <w:spacing w:after="0" w:line="240" w:lineRule="auto"/>
      </w:pPr>
      <w:r>
        <w:separator/>
      </w:r>
    </w:p>
  </w:footnote>
  <w:footnote w:type="continuationSeparator" w:id="0">
    <w:p w14:paraId="53BCD6D6" w14:textId="77777777" w:rsidR="0071115D" w:rsidRDefault="0071115D" w:rsidP="001A5C42">
      <w:pPr>
        <w:spacing w:after="0" w:line="240" w:lineRule="auto"/>
      </w:pPr>
      <w:r>
        <w:continuationSeparator/>
      </w:r>
    </w:p>
  </w:footnote>
  <w:footnote w:id="1">
    <w:p w14:paraId="17000F7E" w14:textId="77777777" w:rsidR="009D6076" w:rsidRDefault="009D6076">
      <w:pPr>
        <w:pStyle w:val="FootnoteText"/>
      </w:pPr>
      <w:r>
        <w:rPr>
          <w:rStyle w:val="FootnoteReference"/>
        </w:rPr>
        <w:footnoteRef/>
      </w:r>
      <w:r>
        <w:t xml:space="preserve"> </w:t>
      </w:r>
      <w:hyperlink r:id="rId1" w:history="1">
        <w:r>
          <w:rPr>
            <w:rStyle w:val="Hyperlink"/>
          </w:rPr>
          <w:t>https://s3.ap-southeast-2.amazonaws.com/hdp.au.prod.app.act-yoursay.files/6915/1305/0361/2017_ACT_Climate_Change_Strategy.pdf</w:t>
        </w:r>
      </w:hyperlink>
    </w:p>
  </w:footnote>
  <w:footnote w:id="2">
    <w:p w14:paraId="1CDB7EEF" w14:textId="3EA81099" w:rsidR="005340CB" w:rsidRDefault="005340CB">
      <w:pPr>
        <w:pStyle w:val="FootnoteText"/>
      </w:pPr>
      <w:r>
        <w:rPr>
          <w:rStyle w:val="FootnoteReference"/>
        </w:rPr>
        <w:footnoteRef/>
      </w:r>
      <w:r>
        <w:t xml:space="preserve"> In fact, the assumed greenhouse gas intensity of electricity was downgraded in the scheme in 2016 in anticipation of the impact of the 100% RET target.</w:t>
      </w:r>
      <w:r w:rsidR="00E048A0">
        <w:t xml:space="preserve"> P</w:t>
      </w:r>
      <w:r>
        <w:t>ost 2016 this wa</w:t>
      </w:r>
      <w:r w:rsidR="00E048A0">
        <w:t>s seen to have a dramatic impact</w:t>
      </w:r>
      <w:r>
        <w:t xml:space="preserve"> on the credits awarded </w:t>
      </w:r>
      <w:r w:rsidR="00E048A0">
        <w:t xml:space="preserve">dropping the </w:t>
      </w:r>
      <w:r w:rsidR="00406114">
        <w:t>T</w:t>
      </w:r>
      <w:r w:rsidR="00E048A0">
        <w:t>erritory</w:t>
      </w:r>
      <w:r w:rsidR="00406114">
        <w:t>-</w:t>
      </w:r>
      <w:r w:rsidR="00E048A0">
        <w:t>wide emissions savings well below those forecast in earlier RIS.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474DE" w14:textId="77777777" w:rsidR="00A056DD" w:rsidRDefault="00A056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95399" w14:textId="27142CC2" w:rsidR="009D6076" w:rsidRDefault="009D60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ACFEF" w14:textId="44857FF5" w:rsidR="00A056DD" w:rsidRDefault="00A056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position w:val="0"/>
        <w:sz w:val="20"/>
      </w:rPr>
    </w:lvl>
    <w:lvl w:ilvl="1">
      <w:start w:val="1"/>
      <w:numFmt w:val="bullet"/>
      <w:pStyle w:val="ListBullet2"/>
      <w:lvlText w:val="–"/>
      <w:lvlJc w:val="left"/>
      <w:pPr>
        <w:tabs>
          <w:tab w:val="num" w:pos="340"/>
        </w:tabs>
        <w:ind w:left="340" w:hanging="170"/>
      </w:pPr>
      <w:rPr>
        <w:rFonts w:ascii="Calibri" w:hAnsi="Calibr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116B5DD6"/>
    <w:multiLevelType w:val="hybridMultilevel"/>
    <w:tmpl w:val="BFFE1C7E"/>
    <w:lvl w:ilvl="0" w:tplc="B4C0A85E">
      <w:start w:val="1"/>
      <w:numFmt w:val="lowerRoman"/>
      <w:lvlText w:val="(%1)"/>
      <w:lvlJc w:val="left"/>
      <w:pPr>
        <w:ind w:left="720" w:hanging="72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 w15:restartNumberingAfterBreak="0">
    <w:nsid w:val="154819A9"/>
    <w:multiLevelType w:val="hybridMultilevel"/>
    <w:tmpl w:val="F63E3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8826A5"/>
    <w:multiLevelType w:val="hybridMultilevel"/>
    <w:tmpl w:val="99DE6808"/>
    <w:lvl w:ilvl="0" w:tplc="AB0C5F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893E7E"/>
    <w:multiLevelType w:val="hybridMultilevel"/>
    <w:tmpl w:val="57886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D26153"/>
    <w:multiLevelType w:val="hybridMultilevel"/>
    <w:tmpl w:val="CBB44E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B6B0C56"/>
    <w:multiLevelType w:val="multilevel"/>
    <w:tmpl w:val="D8362488"/>
    <w:lvl w:ilvl="0">
      <w:start w:val="4"/>
      <w:numFmt w:val="decimal"/>
      <w:lvlText w:val="%1"/>
      <w:lvlJc w:val="left"/>
      <w:pPr>
        <w:ind w:left="570" w:hanging="570"/>
      </w:pPr>
      <w:rPr>
        <w:rFonts w:hint="default"/>
      </w:rPr>
    </w:lvl>
    <w:lvl w:ilvl="1">
      <w:start w:val="5"/>
      <w:numFmt w:val="decimal"/>
      <w:lvlText w:val="%1.%2"/>
      <w:lvlJc w:val="left"/>
      <w:pPr>
        <w:ind w:left="1987" w:hanging="57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4971" w:hanging="72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7" w15:restartNumberingAfterBreak="0">
    <w:nsid w:val="1DC2426F"/>
    <w:multiLevelType w:val="multilevel"/>
    <w:tmpl w:val="C7046A9A"/>
    <w:lvl w:ilvl="0">
      <w:start w:val="4"/>
      <w:numFmt w:val="decimal"/>
      <w:lvlText w:val="%1"/>
      <w:lvlJc w:val="left"/>
      <w:pPr>
        <w:ind w:left="360" w:hanging="360"/>
      </w:pPr>
      <w:rPr>
        <w:rFonts w:hint="default"/>
      </w:rPr>
    </w:lvl>
    <w:lvl w:ilvl="1">
      <w:start w:val="6"/>
      <w:numFmt w:val="decimal"/>
      <w:lvlText w:val="%1.%2"/>
      <w:lvlJc w:val="left"/>
      <w:pPr>
        <w:ind w:left="1920" w:hanging="36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8" w15:restartNumberingAfterBreak="0">
    <w:nsid w:val="1E2A743F"/>
    <w:multiLevelType w:val="hybridMultilevel"/>
    <w:tmpl w:val="595485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ECF2500"/>
    <w:multiLevelType w:val="hybridMultilevel"/>
    <w:tmpl w:val="614E7142"/>
    <w:lvl w:ilvl="0" w:tplc="0C09000F">
      <w:start w:val="1"/>
      <w:numFmt w:val="decimal"/>
      <w:lvlText w:val="%1."/>
      <w:lvlJc w:val="left"/>
      <w:pPr>
        <w:ind w:left="1080" w:hanging="360"/>
      </w:pPr>
      <w:rPr>
        <w:rFonts w:hint="default"/>
      </w:rPr>
    </w:lvl>
    <w:lvl w:ilvl="1" w:tplc="0C090019">
      <w:start w:val="1"/>
      <w:numFmt w:val="lowerLetter"/>
      <w:lvlText w:val="%2."/>
      <w:lvlJc w:val="left"/>
      <w:pPr>
        <w:ind w:left="1800" w:hanging="360"/>
      </w:pPr>
      <w:rPr>
        <w:rFonts w:cs="Times New Roman"/>
      </w:rPr>
    </w:lvl>
    <w:lvl w:ilvl="2" w:tplc="FFA61428">
      <w:numFmt w:val="bullet"/>
      <w:lvlText w:val="-"/>
      <w:lvlJc w:val="left"/>
      <w:pPr>
        <w:ind w:left="2705" w:hanging="360"/>
      </w:pPr>
      <w:rPr>
        <w:rFonts w:ascii="Calibri" w:eastAsia="Times New Roman" w:hAnsi="Calibri" w:hint="default"/>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0" w15:restartNumberingAfterBreak="0">
    <w:nsid w:val="215B6095"/>
    <w:multiLevelType w:val="hybridMultilevel"/>
    <w:tmpl w:val="A89E269E"/>
    <w:lvl w:ilvl="0" w:tplc="B734CD0A">
      <w:start w:val="1"/>
      <w:numFmt w:val="bullet"/>
      <w:lvlText w:val="-"/>
      <w:lvlJc w:val="left"/>
      <w:pPr>
        <w:ind w:left="1080" w:hanging="360"/>
      </w:pPr>
      <w:rPr>
        <w:rFonts w:ascii="Calibri" w:eastAsia="Calibr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71A3D69"/>
    <w:multiLevelType w:val="multilevel"/>
    <w:tmpl w:val="49F6F216"/>
    <w:lvl w:ilvl="0">
      <w:start w:val="4"/>
      <w:numFmt w:val="decimal"/>
      <w:lvlText w:val="%1"/>
      <w:lvlJc w:val="left"/>
      <w:pPr>
        <w:ind w:left="360" w:hanging="360"/>
      </w:pPr>
      <w:rPr>
        <w:rFonts w:hint="default"/>
      </w:rPr>
    </w:lvl>
    <w:lvl w:ilvl="1">
      <w:start w:val="5"/>
      <w:numFmt w:val="decimal"/>
      <w:lvlText w:val="%1.%2"/>
      <w:lvlJc w:val="left"/>
      <w:pPr>
        <w:ind w:left="1777" w:hanging="36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12" w15:restartNumberingAfterBreak="0">
    <w:nsid w:val="274E2635"/>
    <w:multiLevelType w:val="hybridMultilevel"/>
    <w:tmpl w:val="DB2489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7F5F97"/>
    <w:multiLevelType w:val="hybridMultilevel"/>
    <w:tmpl w:val="BFD4A442"/>
    <w:lvl w:ilvl="0" w:tplc="7480BADA">
      <w:start w:val="1"/>
      <w:numFmt w:val="lowerLetter"/>
      <w:lvlText w:val="(%1)"/>
      <w:lvlJc w:val="left"/>
      <w:pPr>
        <w:ind w:left="1980" w:hanging="360"/>
      </w:pPr>
      <w:rPr>
        <w:rFonts w:cs="Times New Roman" w:hint="default"/>
      </w:rPr>
    </w:lvl>
    <w:lvl w:ilvl="1" w:tplc="0C090019" w:tentative="1">
      <w:start w:val="1"/>
      <w:numFmt w:val="lowerLetter"/>
      <w:lvlText w:val="%2."/>
      <w:lvlJc w:val="left"/>
      <w:pPr>
        <w:ind w:left="2700" w:hanging="360"/>
      </w:pPr>
      <w:rPr>
        <w:rFonts w:cs="Times New Roman"/>
      </w:rPr>
    </w:lvl>
    <w:lvl w:ilvl="2" w:tplc="0C09001B" w:tentative="1">
      <w:start w:val="1"/>
      <w:numFmt w:val="lowerRoman"/>
      <w:lvlText w:val="%3."/>
      <w:lvlJc w:val="right"/>
      <w:pPr>
        <w:ind w:left="3420" w:hanging="180"/>
      </w:pPr>
      <w:rPr>
        <w:rFonts w:cs="Times New Roman"/>
      </w:rPr>
    </w:lvl>
    <w:lvl w:ilvl="3" w:tplc="0C09000F" w:tentative="1">
      <w:start w:val="1"/>
      <w:numFmt w:val="decimal"/>
      <w:lvlText w:val="%4."/>
      <w:lvlJc w:val="left"/>
      <w:pPr>
        <w:ind w:left="4140" w:hanging="360"/>
      </w:pPr>
      <w:rPr>
        <w:rFonts w:cs="Times New Roman"/>
      </w:rPr>
    </w:lvl>
    <w:lvl w:ilvl="4" w:tplc="0C090019" w:tentative="1">
      <w:start w:val="1"/>
      <w:numFmt w:val="lowerLetter"/>
      <w:lvlText w:val="%5."/>
      <w:lvlJc w:val="left"/>
      <w:pPr>
        <w:ind w:left="4860" w:hanging="360"/>
      </w:pPr>
      <w:rPr>
        <w:rFonts w:cs="Times New Roman"/>
      </w:rPr>
    </w:lvl>
    <w:lvl w:ilvl="5" w:tplc="0C09001B" w:tentative="1">
      <w:start w:val="1"/>
      <w:numFmt w:val="lowerRoman"/>
      <w:lvlText w:val="%6."/>
      <w:lvlJc w:val="right"/>
      <w:pPr>
        <w:ind w:left="5580" w:hanging="180"/>
      </w:pPr>
      <w:rPr>
        <w:rFonts w:cs="Times New Roman"/>
      </w:rPr>
    </w:lvl>
    <w:lvl w:ilvl="6" w:tplc="0C09000F" w:tentative="1">
      <w:start w:val="1"/>
      <w:numFmt w:val="decimal"/>
      <w:lvlText w:val="%7."/>
      <w:lvlJc w:val="left"/>
      <w:pPr>
        <w:ind w:left="6300" w:hanging="360"/>
      </w:pPr>
      <w:rPr>
        <w:rFonts w:cs="Times New Roman"/>
      </w:rPr>
    </w:lvl>
    <w:lvl w:ilvl="7" w:tplc="0C090019" w:tentative="1">
      <w:start w:val="1"/>
      <w:numFmt w:val="lowerLetter"/>
      <w:lvlText w:val="%8."/>
      <w:lvlJc w:val="left"/>
      <w:pPr>
        <w:ind w:left="7020" w:hanging="360"/>
      </w:pPr>
      <w:rPr>
        <w:rFonts w:cs="Times New Roman"/>
      </w:rPr>
    </w:lvl>
    <w:lvl w:ilvl="8" w:tplc="0C09001B" w:tentative="1">
      <w:start w:val="1"/>
      <w:numFmt w:val="lowerRoman"/>
      <w:lvlText w:val="%9."/>
      <w:lvlJc w:val="right"/>
      <w:pPr>
        <w:ind w:left="7740" w:hanging="180"/>
      </w:pPr>
      <w:rPr>
        <w:rFonts w:cs="Times New Roman"/>
      </w:rPr>
    </w:lvl>
  </w:abstractNum>
  <w:abstractNum w:abstractNumId="14" w15:restartNumberingAfterBreak="0">
    <w:nsid w:val="287848A9"/>
    <w:multiLevelType w:val="hybridMultilevel"/>
    <w:tmpl w:val="661CCE1C"/>
    <w:lvl w:ilvl="0" w:tplc="B54A526A">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2815D9"/>
    <w:multiLevelType w:val="multilevel"/>
    <w:tmpl w:val="D278C04C"/>
    <w:lvl w:ilvl="0">
      <w:start w:val="4"/>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0C4A0F"/>
    <w:multiLevelType w:val="hybridMultilevel"/>
    <w:tmpl w:val="BFD4A442"/>
    <w:lvl w:ilvl="0" w:tplc="7480BADA">
      <w:start w:val="1"/>
      <w:numFmt w:val="lowerLetter"/>
      <w:lvlText w:val="(%1)"/>
      <w:lvlJc w:val="left"/>
      <w:pPr>
        <w:ind w:left="1980" w:hanging="360"/>
      </w:pPr>
      <w:rPr>
        <w:rFonts w:cs="Times New Roman" w:hint="default"/>
      </w:rPr>
    </w:lvl>
    <w:lvl w:ilvl="1" w:tplc="0C090019" w:tentative="1">
      <w:start w:val="1"/>
      <w:numFmt w:val="lowerLetter"/>
      <w:lvlText w:val="%2."/>
      <w:lvlJc w:val="left"/>
      <w:pPr>
        <w:ind w:left="2700" w:hanging="360"/>
      </w:pPr>
      <w:rPr>
        <w:rFonts w:cs="Times New Roman"/>
      </w:rPr>
    </w:lvl>
    <w:lvl w:ilvl="2" w:tplc="0C09001B" w:tentative="1">
      <w:start w:val="1"/>
      <w:numFmt w:val="lowerRoman"/>
      <w:lvlText w:val="%3."/>
      <w:lvlJc w:val="right"/>
      <w:pPr>
        <w:ind w:left="3420" w:hanging="180"/>
      </w:pPr>
      <w:rPr>
        <w:rFonts w:cs="Times New Roman"/>
      </w:rPr>
    </w:lvl>
    <w:lvl w:ilvl="3" w:tplc="0C09000F" w:tentative="1">
      <w:start w:val="1"/>
      <w:numFmt w:val="decimal"/>
      <w:lvlText w:val="%4."/>
      <w:lvlJc w:val="left"/>
      <w:pPr>
        <w:ind w:left="4140" w:hanging="360"/>
      </w:pPr>
      <w:rPr>
        <w:rFonts w:cs="Times New Roman"/>
      </w:rPr>
    </w:lvl>
    <w:lvl w:ilvl="4" w:tplc="0C090019" w:tentative="1">
      <w:start w:val="1"/>
      <w:numFmt w:val="lowerLetter"/>
      <w:lvlText w:val="%5."/>
      <w:lvlJc w:val="left"/>
      <w:pPr>
        <w:ind w:left="4860" w:hanging="360"/>
      </w:pPr>
      <w:rPr>
        <w:rFonts w:cs="Times New Roman"/>
      </w:rPr>
    </w:lvl>
    <w:lvl w:ilvl="5" w:tplc="0C09001B" w:tentative="1">
      <w:start w:val="1"/>
      <w:numFmt w:val="lowerRoman"/>
      <w:lvlText w:val="%6."/>
      <w:lvlJc w:val="right"/>
      <w:pPr>
        <w:ind w:left="5580" w:hanging="180"/>
      </w:pPr>
      <w:rPr>
        <w:rFonts w:cs="Times New Roman"/>
      </w:rPr>
    </w:lvl>
    <w:lvl w:ilvl="6" w:tplc="0C09000F" w:tentative="1">
      <w:start w:val="1"/>
      <w:numFmt w:val="decimal"/>
      <w:lvlText w:val="%7."/>
      <w:lvlJc w:val="left"/>
      <w:pPr>
        <w:ind w:left="6300" w:hanging="360"/>
      </w:pPr>
      <w:rPr>
        <w:rFonts w:cs="Times New Roman"/>
      </w:rPr>
    </w:lvl>
    <w:lvl w:ilvl="7" w:tplc="0C090019" w:tentative="1">
      <w:start w:val="1"/>
      <w:numFmt w:val="lowerLetter"/>
      <w:lvlText w:val="%8."/>
      <w:lvlJc w:val="left"/>
      <w:pPr>
        <w:ind w:left="7020" w:hanging="360"/>
      </w:pPr>
      <w:rPr>
        <w:rFonts w:cs="Times New Roman"/>
      </w:rPr>
    </w:lvl>
    <w:lvl w:ilvl="8" w:tplc="0C09001B" w:tentative="1">
      <w:start w:val="1"/>
      <w:numFmt w:val="lowerRoman"/>
      <w:lvlText w:val="%9."/>
      <w:lvlJc w:val="right"/>
      <w:pPr>
        <w:ind w:left="7740" w:hanging="180"/>
      </w:pPr>
      <w:rPr>
        <w:rFonts w:cs="Times New Roman"/>
      </w:rPr>
    </w:lvl>
  </w:abstractNum>
  <w:abstractNum w:abstractNumId="17" w15:restartNumberingAfterBreak="0">
    <w:nsid w:val="2DA83C84"/>
    <w:multiLevelType w:val="hybridMultilevel"/>
    <w:tmpl w:val="22081270"/>
    <w:lvl w:ilvl="0" w:tplc="5212F942">
      <w:start w:val="1"/>
      <w:numFmt w:val="lowerRoman"/>
      <w:lvlText w:val="%1."/>
      <w:lvlJc w:val="left"/>
      <w:pPr>
        <w:ind w:left="2700" w:hanging="720"/>
      </w:pPr>
      <w:rPr>
        <w:rFonts w:cs="Times New Roman" w:hint="default"/>
      </w:rPr>
    </w:lvl>
    <w:lvl w:ilvl="1" w:tplc="0C090019" w:tentative="1">
      <w:start w:val="1"/>
      <w:numFmt w:val="lowerLetter"/>
      <w:lvlText w:val="%2."/>
      <w:lvlJc w:val="left"/>
      <w:pPr>
        <w:ind w:left="3060" w:hanging="360"/>
      </w:pPr>
      <w:rPr>
        <w:rFonts w:cs="Times New Roman"/>
      </w:rPr>
    </w:lvl>
    <w:lvl w:ilvl="2" w:tplc="0C09001B" w:tentative="1">
      <w:start w:val="1"/>
      <w:numFmt w:val="lowerRoman"/>
      <w:lvlText w:val="%3."/>
      <w:lvlJc w:val="right"/>
      <w:pPr>
        <w:ind w:left="3780" w:hanging="180"/>
      </w:pPr>
      <w:rPr>
        <w:rFonts w:cs="Times New Roman"/>
      </w:rPr>
    </w:lvl>
    <w:lvl w:ilvl="3" w:tplc="0C09000F" w:tentative="1">
      <w:start w:val="1"/>
      <w:numFmt w:val="decimal"/>
      <w:lvlText w:val="%4."/>
      <w:lvlJc w:val="left"/>
      <w:pPr>
        <w:ind w:left="4500" w:hanging="360"/>
      </w:pPr>
      <w:rPr>
        <w:rFonts w:cs="Times New Roman"/>
      </w:rPr>
    </w:lvl>
    <w:lvl w:ilvl="4" w:tplc="0C090019" w:tentative="1">
      <w:start w:val="1"/>
      <w:numFmt w:val="lowerLetter"/>
      <w:lvlText w:val="%5."/>
      <w:lvlJc w:val="left"/>
      <w:pPr>
        <w:ind w:left="5220" w:hanging="360"/>
      </w:pPr>
      <w:rPr>
        <w:rFonts w:cs="Times New Roman"/>
      </w:rPr>
    </w:lvl>
    <w:lvl w:ilvl="5" w:tplc="0C09001B" w:tentative="1">
      <w:start w:val="1"/>
      <w:numFmt w:val="lowerRoman"/>
      <w:lvlText w:val="%6."/>
      <w:lvlJc w:val="right"/>
      <w:pPr>
        <w:ind w:left="5940" w:hanging="180"/>
      </w:pPr>
      <w:rPr>
        <w:rFonts w:cs="Times New Roman"/>
      </w:rPr>
    </w:lvl>
    <w:lvl w:ilvl="6" w:tplc="0C09000F" w:tentative="1">
      <w:start w:val="1"/>
      <w:numFmt w:val="decimal"/>
      <w:lvlText w:val="%7."/>
      <w:lvlJc w:val="left"/>
      <w:pPr>
        <w:ind w:left="6660" w:hanging="360"/>
      </w:pPr>
      <w:rPr>
        <w:rFonts w:cs="Times New Roman"/>
      </w:rPr>
    </w:lvl>
    <w:lvl w:ilvl="7" w:tplc="0C090019" w:tentative="1">
      <w:start w:val="1"/>
      <w:numFmt w:val="lowerLetter"/>
      <w:lvlText w:val="%8."/>
      <w:lvlJc w:val="left"/>
      <w:pPr>
        <w:ind w:left="7380" w:hanging="360"/>
      </w:pPr>
      <w:rPr>
        <w:rFonts w:cs="Times New Roman"/>
      </w:rPr>
    </w:lvl>
    <w:lvl w:ilvl="8" w:tplc="0C09001B" w:tentative="1">
      <w:start w:val="1"/>
      <w:numFmt w:val="lowerRoman"/>
      <w:lvlText w:val="%9."/>
      <w:lvlJc w:val="right"/>
      <w:pPr>
        <w:ind w:left="8100" w:hanging="180"/>
      </w:pPr>
      <w:rPr>
        <w:rFonts w:cs="Times New Roman"/>
      </w:rPr>
    </w:lvl>
  </w:abstractNum>
  <w:abstractNum w:abstractNumId="18" w15:restartNumberingAfterBreak="0">
    <w:nsid w:val="2E437F5E"/>
    <w:multiLevelType w:val="hybridMultilevel"/>
    <w:tmpl w:val="1068A408"/>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2E9A7AC3"/>
    <w:multiLevelType w:val="hybridMultilevel"/>
    <w:tmpl w:val="A364AE2C"/>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335872B8"/>
    <w:multiLevelType w:val="hybridMultilevel"/>
    <w:tmpl w:val="90F6DB3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D47351"/>
    <w:multiLevelType w:val="hybridMultilevel"/>
    <w:tmpl w:val="9466A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8E5E4F"/>
    <w:multiLevelType w:val="hybridMultilevel"/>
    <w:tmpl w:val="31E0E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096B3A"/>
    <w:multiLevelType w:val="multilevel"/>
    <w:tmpl w:val="C6F2E3B2"/>
    <w:lvl w:ilvl="0">
      <w:start w:val="4"/>
      <w:numFmt w:val="decimal"/>
      <w:lvlText w:val="%1"/>
      <w:lvlJc w:val="left"/>
      <w:pPr>
        <w:ind w:left="552" w:hanging="552"/>
      </w:pPr>
      <w:rPr>
        <w:rFonts w:hint="default"/>
      </w:rPr>
    </w:lvl>
    <w:lvl w:ilvl="1">
      <w:start w:val="3"/>
      <w:numFmt w:val="decimal"/>
      <w:lvlText w:val="%1.%2"/>
      <w:lvlJc w:val="left"/>
      <w:pPr>
        <w:ind w:left="552"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0FA6C3F"/>
    <w:multiLevelType w:val="hybridMultilevel"/>
    <w:tmpl w:val="037039AE"/>
    <w:lvl w:ilvl="0" w:tplc="0C090013">
      <w:start w:val="1"/>
      <w:numFmt w:val="upperRoman"/>
      <w:lvlText w:val="%1."/>
      <w:lvlJc w:val="right"/>
      <w:pPr>
        <w:ind w:left="1074" w:hanging="360"/>
      </w:p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5" w15:restartNumberingAfterBreak="0">
    <w:nsid w:val="41D674BD"/>
    <w:multiLevelType w:val="hybridMultilevel"/>
    <w:tmpl w:val="A0AA04E2"/>
    <w:lvl w:ilvl="0" w:tplc="C2141828">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E51E76"/>
    <w:multiLevelType w:val="hybridMultilevel"/>
    <w:tmpl w:val="A69ADAE2"/>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444B4038"/>
    <w:multiLevelType w:val="hybridMultilevel"/>
    <w:tmpl w:val="C7CEC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BE460A"/>
    <w:multiLevelType w:val="multilevel"/>
    <w:tmpl w:val="7AD85516"/>
    <w:lvl w:ilvl="0">
      <w:start w:val="4"/>
      <w:numFmt w:val="decimal"/>
      <w:lvlText w:val="%1"/>
      <w:lvlJc w:val="left"/>
      <w:pPr>
        <w:ind w:left="552" w:hanging="552"/>
      </w:pPr>
      <w:rPr>
        <w:rFonts w:hint="default"/>
      </w:rPr>
    </w:lvl>
    <w:lvl w:ilvl="1">
      <w:start w:val="3"/>
      <w:numFmt w:val="decimal"/>
      <w:lvlText w:val="%1.%2"/>
      <w:lvlJc w:val="left"/>
      <w:pPr>
        <w:ind w:left="552"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6370141"/>
    <w:multiLevelType w:val="multilevel"/>
    <w:tmpl w:val="B2DA0B4E"/>
    <w:lvl w:ilvl="0">
      <w:start w:val="4"/>
      <w:numFmt w:val="decimal"/>
      <w:lvlText w:val="%1"/>
      <w:lvlJc w:val="left"/>
      <w:pPr>
        <w:ind w:left="552" w:hanging="552"/>
      </w:pPr>
      <w:rPr>
        <w:rFonts w:hint="default"/>
      </w:rPr>
    </w:lvl>
    <w:lvl w:ilvl="1">
      <w:start w:val="5"/>
      <w:numFmt w:val="decimal"/>
      <w:lvlText w:val="%1.%2"/>
      <w:lvlJc w:val="left"/>
      <w:pPr>
        <w:ind w:left="552"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9A746A1"/>
    <w:multiLevelType w:val="hybridMultilevel"/>
    <w:tmpl w:val="97D8B56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4B134B90"/>
    <w:multiLevelType w:val="hybridMultilevel"/>
    <w:tmpl w:val="7A6041B0"/>
    <w:lvl w:ilvl="0" w:tplc="278A4222">
      <w:start w:val="1"/>
      <w:numFmt w:val="bullet"/>
      <w:lvlText w:val="-"/>
      <w:lvlJc w:val="left"/>
      <w:pPr>
        <w:ind w:left="1080" w:hanging="360"/>
      </w:pPr>
      <w:rPr>
        <w:rFonts w:ascii="Calibri" w:eastAsia="Calibr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62B677D"/>
    <w:multiLevelType w:val="multilevel"/>
    <w:tmpl w:val="7C46F234"/>
    <w:lvl w:ilvl="0">
      <w:start w:val="4"/>
      <w:numFmt w:val="decimal"/>
      <w:lvlText w:val="%1"/>
      <w:lvlJc w:val="left"/>
      <w:pPr>
        <w:ind w:left="552" w:hanging="552"/>
      </w:pPr>
      <w:rPr>
        <w:rFonts w:hint="default"/>
      </w:rPr>
    </w:lvl>
    <w:lvl w:ilvl="1">
      <w:start w:val="2"/>
      <w:numFmt w:val="decimal"/>
      <w:lvlText w:val="%1.%2"/>
      <w:lvlJc w:val="left"/>
      <w:pPr>
        <w:ind w:left="1969"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C8F21BA"/>
    <w:multiLevelType w:val="hybridMultilevel"/>
    <w:tmpl w:val="80A6D86E"/>
    <w:lvl w:ilvl="0" w:tplc="44D2A98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9B7591"/>
    <w:multiLevelType w:val="hybridMultilevel"/>
    <w:tmpl w:val="26C2698E"/>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5" w15:restartNumberingAfterBreak="0">
    <w:nsid w:val="5D7516F9"/>
    <w:multiLevelType w:val="hybridMultilevel"/>
    <w:tmpl w:val="0D08333C"/>
    <w:lvl w:ilvl="0" w:tplc="9CF4CE66">
      <w:start w:val="1"/>
      <w:numFmt w:val="decimal"/>
      <w:lvlText w:val="(%1)"/>
      <w:lvlJc w:val="left"/>
      <w:pPr>
        <w:ind w:left="1440" w:hanging="360"/>
      </w:pPr>
      <w:rPr>
        <w:rFonts w:ascii="Times New Roman" w:eastAsia="Times New Roman" w:hAnsi="Times New Roman" w:cs="Times New Roman"/>
        <w:b w:val="0"/>
        <w:sz w:val="24"/>
        <w:szCs w:val="24"/>
      </w:rPr>
    </w:lvl>
    <w:lvl w:ilvl="1" w:tplc="04090019">
      <w:start w:val="1"/>
      <w:numFmt w:val="lowerLetter"/>
      <w:lvlText w:val="%2."/>
      <w:lvlJc w:val="left"/>
      <w:pPr>
        <w:ind w:left="1669" w:hanging="360"/>
      </w:pPr>
    </w:lvl>
    <w:lvl w:ilvl="2" w:tplc="0409001B">
      <w:start w:val="1"/>
      <w:numFmt w:val="lowerRoman"/>
      <w:lvlText w:val="%3."/>
      <w:lvlJc w:val="right"/>
      <w:pPr>
        <w:ind w:left="2389" w:hanging="180"/>
      </w:pPr>
    </w:lvl>
    <w:lvl w:ilvl="3" w:tplc="0409000F">
      <w:start w:val="1"/>
      <w:numFmt w:val="decimal"/>
      <w:lvlText w:val="%4."/>
      <w:lvlJc w:val="left"/>
      <w:pPr>
        <w:ind w:left="3109" w:hanging="360"/>
      </w:pPr>
    </w:lvl>
    <w:lvl w:ilvl="4" w:tplc="04090019">
      <w:start w:val="1"/>
      <w:numFmt w:val="lowerLetter"/>
      <w:lvlText w:val="%5."/>
      <w:lvlJc w:val="left"/>
      <w:pPr>
        <w:ind w:left="3829" w:hanging="360"/>
      </w:pPr>
    </w:lvl>
    <w:lvl w:ilvl="5" w:tplc="0409001B">
      <w:start w:val="1"/>
      <w:numFmt w:val="lowerRoman"/>
      <w:lvlText w:val="%6."/>
      <w:lvlJc w:val="right"/>
      <w:pPr>
        <w:ind w:left="4549" w:hanging="180"/>
      </w:pPr>
    </w:lvl>
    <w:lvl w:ilvl="6" w:tplc="0409000F">
      <w:start w:val="1"/>
      <w:numFmt w:val="decimal"/>
      <w:lvlText w:val="%7."/>
      <w:lvlJc w:val="left"/>
      <w:pPr>
        <w:ind w:left="5269" w:hanging="360"/>
      </w:pPr>
    </w:lvl>
    <w:lvl w:ilvl="7" w:tplc="04090019">
      <w:start w:val="1"/>
      <w:numFmt w:val="lowerLetter"/>
      <w:lvlText w:val="%8."/>
      <w:lvlJc w:val="left"/>
      <w:pPr>
        <w:ind w:left="5989" w:hanging="360"/>
      </w:pPr>
    </w:lvl>
    <w:lvl w:ilvl="8" w:tplc="0409001B">
      <w:start w:val="1"/>
      <w:numFmt w:val="lowerRoman"/>
      <w:lvlText w:val="%9."/>
      <w:lvlJc w:val="right"/>
      <w:pPr>
        <w:ind w:left="6709" w:hanging="180"/>
      </w:pPr>
    </w:lvl>
  </w:abstractNum>
  <w:abstractNum w:abstractNumId="36" w15:restartNumberingAfterBreak="0">
    <w:nsid w:val="615700D2"/>
    <w:multiLevelType w:val="hybridMultilevel"/>
    <w:tmpl w:val="5C64E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615A41"/>
    <w:multiLevelType w:val="hybridMultilevel"/>
    <w:tmpl w:val="614E7142"/>
    <w:lvl w:ilvl="0" w:tplc="0C09000F">
      <w:start w:val="1"/>
      <w:numFmt w:val="decimal"/>
      <w:lvlText w:val="%1."/>
      <w:lvlJc w:val="left"/>
      <w:pPr>
        <w:ind w:left="1440" w:hanging="360"/>
      </w:pPr>
      <w:rPr>
        <w:rFonts w:hint="default"/>
      </w:rPr>
    </w:lvl>
    <w:lvl w:ilvl="1" w:tplc="0C090019">
      <w:start w:val="1"/>
      <w:numFmt w:val="lowerLetter"/>
      <w:lvlText w:val="%2."/>
      <w:lvlJc w:val="left"/>
      <w:pPr>
        <w:ind w:left="2160" w:hanging="360"/>
      </w:pPr>
      <w:rPr>
        <w:rFonts w:cs="Times New Roman"/>
      </w:rPr>
    </w:lvl>
    <w:lvl w:ilvl="2" w:tplc="FFA61428">
      <w:numFmt w:val="bullet"/>
      <w:lvlText w:val="-"/>
      <w:lvlJc w:val="left"/>
      <w:pPr>
        <w:ind w:left="3065" w:hanging="360"/>
      </w:pPr>
      <w:rPr>
        <w:rFonts w:ascii="Calibri" w:eastAsia="Times New Roman" w:hAnsi="Calibri" w:hint="default"/>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38" w15:restartNumberingAfterBreak="0">
    <w:nsid w:val="674E699F"/>
    <w:multiLevelType w:val="hybridMultilevel"/>
    <w:tmpl w:val="B0F40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CF2809"/>
    <w:multiLevelType w:val="hybridMultilevel"/>
    <w:tmpl w:val="2C9819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1F59B5"/>
    <w:multiLevelType w:val="hybridMultilevel"/>
    <w:tmpl w:val="76EA4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746AF3"/>
    <w:multiLevelType w:val="multilevel"/>
    <w:tmpl w:val="719E3850"/>
    <w:lvl w:ilvl="0">
      <w:start w:val="4"/>
      <w:numFmt w:val="decimal"/>
      <w:lvlText w:val="%1"/>
      <w:lvlJc w:val="left"/>
      <w:pPr>
        <w:ind w:left="552" w:hanging="552"/>
      </w:pPr>
      <w:rPr>
        <w:rFonts w:hint="default"/>
      </w:rPr>
    </w:lvl>
    <w:lvl w:ilvl="1">
      <w:start w:val="4"/>
      <w:numFmt w:val="decimal"/>
      <w:lvlText w:val="%1.%2"/>
      <w:lvlJc w:val="left"/>
      <w:pPr>
        <w:ind w:left="552" w:hanging="55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53E16F7"/>
    <w:multiLevelType w:val="hybridMultilevel"/>
    <w:tmpl w:val="941A304A"/>
    <w:lvl w:ilvl="0" w:tplc="FE5E04E6">
      <w:start w:val="1"/>
      <w:numFmt w:val="lowerLetter"/>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B6D5F5B"/>
    <w:multiLevelType w:val="hybridMultilevel"/>
    <w:tmpl w:val="62EA20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4" w15:restartNumberingAfterBreak="0">
    <w:nsid w:val="7EBD5AF5"/>
    <w:multiLevelType w:val="hybridMultilevel"/>
    <w:tmpl w:val="84F07FA8"/>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13"/>
  </w:num>
  <w:num w:numId="2">
    <w:abstractNumId w:val="17"/>
  </w:num>
  <w:num w:numId="3">
    <w:abstractNumId w:val="25"/>
  </w:num>
  <w:num w:numId="4">
    <w:abstractNumId w:val="37"/>
  </w:num>
  <w:num w:numId="5">
    <w:abstractNumId w:val="1"/>
  </w:num>
  <w:num w:numId="6">
    <w:abstractNumId w:val="2"/>
  </w:num>
  <w:num w:numId="7">
    <w:abstractNumId w:val="22"/>
  </w:num>
  <w:num w:numId="8">
    <w:abstractNumId w:val="39"/>
  </w:num>
  <w:num w:numId="9">
    <w:abstractNumId w:val="16"/>
  </w:num>
  <w:num w:numId="10">
    <w:abstractNumId w:val="14"/>
  </w:num>
  <w:num w:numId="11">
    <w:abstractNumId w:val="27"/>
  </w:num>
  <w:num w:numId="12">
    <w:abstractNumId w:val="8"/>
  </w:num>
  <w:num w:numId="13">
    <w:abstractNumId w:val="20"/>
  </w:num>
  <w:num w:numId="14">
    <w:abstractNumId w:val="23"/>
  </w:num>
  <w:num w:numId="15">
    <w:abstractNumId w:val="4"/>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0"/>
  </w:num>
  <w:num w:numId="20">
    <w:abstractNumId w:val="25"/>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29"/>
  </w:num>
  <w:num w:numId="24">
    <w:abstractNumId w:val="3"/>
  </w:num>
  <w:num w:numId="25">
    <w:abstractNumId w:val="31"/>
  </w:num>
  <w:num w:numId="26">
    <w:abstractNumId w:val="10"/>
  </w:num>
  <w:num w:numId="27">
    <w:abstractNumId w:val="28"/>
  </w:num>
  <w:num w:numId="28">
    <w:abstractNumId w:val="21"/>
  </w:num>
  <w:num w:numId="29">
    <w:abstractNumId w:val="15"/>
  </w:num>
  <w:num w:numId="30">
    <w:abstractNumId w:val="11"/>
  </w:num>
  <w:num w:numId="31">
    <w:abstractNumId w:val="36"/>
  </w:num>
  <w:num w:numId="32">
    <w:abstractNumId w:val="34"/>
  </w:num>
  <w:num w:numId="33">
    <w:abstractNumId w:val="7"/>
  </w:num>
  <w:num w:numId="34">
    <w:abstractNumId w:val="6"/>
  </w:num>
  <w:num w:numId="35">
    <w:abstractNumId w:val="38"/>
  </w:num>
  <w:num w:numId="36">
    <w:abstractNumId w:val="43"/>
  </w:num>
  <w:num w:numId="37">
    <w:abstractNumId w:val="12"/>
  </w:num>
  <w:num w:numId="38">
    <w:abstractNumId w:val="24"/>
  </w:num>
  <w:num w:numId="39">
    <w:abstractNumId w:val="30"/>
  </w:num>
  <w:num w:numId="40">
    <w:abstractNumId w:val="26"/>
  </w:num>
  <w:num w:numId="41">
    <w:abstractNumId w:val="44"/>
  </w:num>
  <w:num w:numId="42">
    <w:abstractNumId w:val="18"/>
  </w:num>
  <w:num w:numId="43">
    <w:abstractNumId w:val="19"/>
  </w:num>
  <w:num w:numId="44">
    <w:abstractNumId w:val="33"/>
  </w:num>
  <w:num w:numId="45">
    <w:abstractNumId w:val="25"/>
  </w:num>
  <w:num w:numId="46">
    <w:abstractNumId w:val="5"/>
  </w:num>
  <w:num w:numId="47">
    <w:abstractNumId w:val="9"/>
  </w:num>
  <w:num w:numId="48">
    <w:abstractNumId w:val="4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EB6"/>
    <w:rsid w:val="00005844"/>
    <w:rsid w:val="00011AC3"/>
    <w:rsid w:val="000204D8"/>
    <w:rsid w:val="00043DB8"/>
    <w:rsid w:val="00044AE4"/>
    <w:rsid w:val="00051A1C"/>
    <w:rsid w:val="0005403D"/>
    <w:rsid w:val="000666EC"/>
    <w:rsid w:val="000679EA"/>
    <w:rsid w:val="00071D04"/>
    <w:rsid w:val="00084A00"/>
    <w:rsid w:val="0008693A"/>
    <w:rsid w:val="00094FF6"/>
    <w:rsid w:val="0009778D"/>
    <w:rsid w:val="000A03BB"/>
    <w:rsid w:val="000A24C0"/>
    <w:rsid w:val="000A6634"/>
    <w:rsid w:val="000A743D"/>
    <w:rsid w:val="000B2637"/>
    <w:rsid w:val="000B583F"/>
    <w:rsid w:val="000B7FEA"/>
    <w:rsid w:val="000C4BD2"/>
    <w:rsid w:val="000D111E"/>
    <w:rsid w:val="000D205E"/>
    <w:rsid w:val="000D4BB5"/>
    <w:rsid w:val="000D4FA0"/>
    <w:rsid w:val="000E08B0"/>
    <w:rsid w:val="000E3075"/>
    <w:rsid w:val="000F01FF"/>
    <w:rsid w:val="000F0B5E"/>
    <w:rsid w:val="000F45D3"/>
    <w:rsid w:val="000F726A"/>
    <w:rsid w:val="001126A6"/>
    <w:rsid w:val="001215D6"/>
    <w:rsid w:val="001257F4"/>
    <w:rsid w:val="001327DA"/>
    <w:rsid w:val="00132D61"/>
    <w:rsid w:val="001451A3"/>
    <w:rsid w:val="00147D0D"/>
    <w:rsid w:val="00163CD9"/>
    <w:rsid w:val="0016448E"/>
    <w:rsid w:val="00166BCD"/>
    <w:rsid w:val="00167828"/>
    <w:rsid w:val="0017049E"/>
    <w:rsid w:val="001834C5"/>
    <w:rsid w:val="00190D89"/>
    <w:rsid w:val="001A445D"/>
    <w:rsid w:val="001A5C42"/>
    <w:rsid w:val="001B00C5"/>
    <w:rsid w:val="001B2B8A"/>
    <w:rsid w:val="001B36B0"/>
    <w:rsid w:val="001C1779"/>
    <w:rsid w:val="001C52F4"/>
    <w:rsid w:val="001D1436"/>
    <w:rsid w:val="001D2E47"/>
    <w:rsid w:val="001D4517"/>
    <w:rsid w:val="001D5C24"/>
    <w:rsid w:val="001D66DA"/>
    <w:rsid w:val="001E4BCA"/>
    <w:rsid w:val="001F5422"/>
    <w:rsid w:val="001F73D9"/>
    <w:rsid w:val="00201073"/>
    <w:rsid w:val="002013A2"/>
    <w:rsid w:val="00201D33"/>
    <w:rsid w:val="00212244"/>
    <w:rsid w:val="0021314A"/>
    <w:rsid w:val="002202C7"/>
    <w:rsid w:val="002302A6"/>
    <w:rsid w:val="00232865"/>
    <w:rsid w:val="00233E1E"/>
    <w:rsid w:val="002501EB"/>
    <w:rsid w:val="002530C0"/>
    <w:rsid w:val="00254FF0"/>
    <w:rsid w:val="0026210C"/>
    <w:rsid w:val="00263E62"/>
    <w:rsid w:val="002755C9"/>
    <w:rsid w:val="00290098"/>
    <w:rsid w:val="00293D08"/>
    <w:rsid w:val="002A36E1"/>
    <w:rsid w:val="002A3C5D"/>
    <w:rsid w:val="002A6AAF"/>
    <w:rsid w:val="002B75FB"/>
    <w:rsid w:val="002D00EB"/>
    <w:rsid w:val="002D5023"/>
    <w:rsid w:val="002E007E"/>
    <w:rsid w:val="002E1F08"/>
    <w:rsid w:val="002F4B39"/>
    <w:rsid w:val="002F55DA"/>
    <w:rsid w:val="00301DDF"/>
    <w:rsid w:val="003155CB"/>
    <w:rsid w:val="003163F4"/>
    <w:rsid w:val="003225B6"/>
    <w:rsid w:val="00322CA9"/>
    <w:rsid w:val="00332310"/>
    <w:rsid w:val="00336513"/>
    <w:rsid w:val="00340FD5"/>
    <w:rsid w:val="0034435E"/>
    <w:rsid w:val="00344F08"/>
    <w:rsid w:val="003452E4"/>
    <w:rsid w:val="00350314"/>
    <w:rsid w:val="00352821"/>
    <w:rsid w:val="003536A9"/>
    <w:rsid w:val="00356A03"/>
    <w:rsid w:val="0035783D"/>
    <w:rsid w:val="00366FEF"/>
    <w:rsid w:val="00372DC2"/>
    <w:rsid w:val="00387CA2"/>
    <w:rsid w:val="003912BC"/>
    <w:rsid w:val="00391C0A"/>
    <w:rsid w:val="003939B6"/>
    <w:rsid w:val="003A1417"/>
    <w:rsid w:val="003A6A90"/>
    <w:rsid w:val="003A7FF2"/>
    <w:rsid w:val="003B0668"/>
    <w:rsid w:val="003B387D"/>
    <w:rsid w:val="003B6E5A"/>
    <w:rsid w:val="003B70B2"/>
    <w:rsid w:val="003C1329"/>
    <w:rsid w:val="003C71E5"/>
    <w:rsid w:val="003D16AE"/>
    <w:rsid w:val="003D701B"/>
    <w:rsid w:val="003D7142"/>
    <w:rsid w:val="003D761B"/>
    <w:rsid w:val="003E39D4"/>
    <w:rsid w:val="003E5540"/>
    <w:rsid w:val="003E5A25"/>
    <w:rsid w:val="003E7ED4"/>
    <w:rsid w:val="003F00AA"/>
    <w:rsid w:val="004000C9"/>
    <w:rsid w:val="00400A15"/>
    <w:rsid w:val="004032CE"/>
    <w:rsid w:val="004035B0"/>
    <w:rsid w:val="00406114"/>
    <w:rsid w:val="00410F3E"/>
    <w:rsid w:val="00411A14"/>
    <w:rsid w:val="00413C33"/>
    <w:rsid w:val="0041494A"/>
    <w:rsid w:val="00414AC8"/>
    <w:rsid w:val="0042048B"/>
    <w:rsid w:val="00421242"/>
    <w:rsid w:val="00423D2D"/>
    <w:rsid w:val="00425DB9"/>
    <w:rsid w:val="0043040B"/>
    <w:rsid w:val="004349B6"/>
    <w:rsid w:val="00440968"/>
    <w:rsid w:val="004429A6"/>
    <w:rsid w:val="004455C3"/>
    <w:rsid w:val="00446EED"/>
    <w:rsid w:val="00456B7F"/>
    <w:rsid w:val="004610DC"/>
    <w:rsid w:val="00462615"/>
    <w:rsid w:val="00463F79"/>
    <w:rsid w:val="00467EE6"/>
    <w:rsid w:val="00474ED5"/>
    <w:rsid w:val="00475BED"/>
    <w:rsid w:val="0048136F"/>
    <w:rsid w:val="00483E89"/>
    <w:rsid w:val="004A378C"/>
    <w:rsid w:val="004B3AAF"/>
    <w:rsid w:val="004B59BD"/>
    <w:rsid w:val="004B646F"/>
    <w:rsid w:val="004C36F4"/>
    <w:rsid w:val="004C7208"/>
    <w:rsid w:val="004E2FDE"/>
    <w:rsid w:val="0050444C"/>
    <w:rsid w:val="00515657"/>
    <w:rsid w:val="0052110A"/>
    <w:rsid w:val="00527241"/>
    <w:rsid w:val="005273C1"/>
    <w:rsid w:val="005340CB"/>
    <w:rsid w:val="0053598B"/>
    <w:rsid w:val="00545A5C"/>
    <w:rsid w:val="00546232"/>
    <w:rsid w:val="005467E9"/>
    <w:rsid w:val="005532FC"/>
    <w:rsid w:val="00554442"/>
    <w:rsid w:val="00556BBD"/>
    <w:rsid w:val="00556BE5"/>
    <w:rsid w:val="00557477"/>
    <w:rsid w:val="00563B41"/>
    <w:rsid w:val="00573F0F"/>
    <w:rsid w:val="00574B8B"/>
    <w:rsid w:val="005750E6"/>
    <w:rsid w:val="00583DD0"/>
    <w:rsid w:val="00586494"/>
    <w:rsid w:val="00587EC6"/>
    <w:rsid w:val="005919D0"/>
    <w:rsid w:val="005A0C75"/>
    <w:rsid w:val="005A368D"/>
    <w:rsid w:val="005A40E3"/>
    <w:rsid w:val="005B497F"/>
    <w:rsid w:val="005B6613"/>
    <w:rsid w:val="005C0D68"/>
    <w:rsid w:val="005D0C0A"/>
    <w:rsid w:val="005E2AB0"/>
    <w:rsid w:val="005E6D73"/>
    <w:rsid w:val="005F2C07"/>
    <w:rsid w:val="005F6C88"/>
    <w:rsid w:val="006038B8"/>
    <w:rsid w:val="00607B3B"/>
    <w:rsid w:val="00610F76"/>
    <w:rsid w:val="00614DFB"/>
    <w:rsid w:val="0062047F"/>
    <w:rsid w:val="00626440"/>
    <w:rsid w:val="00630372"/>
    <w:rsid w:val="00634D41"/>
    <w:rsid w:val="006354CB"/>
    <w:rsid w:val="00635BD5"/>
    <w:rsid w:val="00644BE7"/>
    <w:rsid w:val="006469AD"/>
    <w:rsid w:val="00647C7B"/>
    <w:rsid w:val="00654C32"/>
    <w:rsid w:val="00654CE1"/>
    <w:rsid w:val="00661249"/>
    <w:rsid w:val="006750C2"/>
    <w:rsid w:val="00676B2F"/>
    <w:rsid w:val="006779B3"/>
    <w:rsid w:val="00685A3A"/>
    <w:rsid w:val="00686C29"/>
    <w:rsid w:val="00697F17"/>
    <w:rsid w:val="006A0A31"/>
    <w:rsid w:val="006A1ED6"/>
    <w:rsid w:val="006A4058"/>
    <w:rsid w:val="006A58E1"/>
    <w:rsid w:val="006B37E7"/>
    <w:rsid w:val="006C0542"/>
    <w:rsid w:val="006C245F"/>
    <w:rsid w:val="006C7D80"/>
    <w:rsid w:val="006E478C"/>
    <w:rsid w:val="006E4E98"/>
    <w:rsid w:val="006E5C13"/>
    <w:rsid w:val="006E6021"/>
    <w:rsid w:val="00700B08"/>
    <w:rsid w:val="00702984"/>
    <w:rsid w:val="00703FF9"/>
    <w:rsid w:val="0070708E"/>
    <w:rsid w:val="00707642"/>
    <w:rsid w:val="0071115D"/>
    <w:rsid w:val="007168B2"/>
    <w:rsid w:val="00730D15"/>
    <w:rsid w:val="00735684"/>
    <w:rsid w:val="007414C5"/>
    <w:rsid w:val="007418CA"/>
    <w:rsid w:val="00745F0D"/>
    <w:rsid w:val="00747B4B"/>
    <w:rsid w:val="007571CB"/>
    <w:rsid w:val="00766484"/>
    <w:rsid w:val="00770096"/>
    <w:rsid w:val="00776B0F"/>
    <w:rsid w:val="00784EA8"/>
    <w:rsid w:val="00787D7E"/>
    <w:rsid w:val="007928BD"/>
    <w:rsid w:val="00797DC3"/>
    <w:rsid w:val="007A7644"/>
    <w:rsid w:val="007B29A4"/>
    <w:rsid w:val="007C1DCA"/>
    <w:rsid w:val="007D2D51"/>
    <w:rsid w:val="007D3336"/>
    <w:rsid w:val="007E1947"/>
    <w:rsid w:val="007E1F4E"/>
    <w:rsid w:val="007E3EB5"/>
    <w:rsid w:val="007E523C"/>
    <w:rsid w:val="007F3D03"/>
    <w:rsid w:val="007F3E6F"/>
    <w:rsid w:val="007F7F59"/>
    <w:rsid w:val="00815AE7"/>
    <w:rsid w:val="00820FDD"/>
    <w:rsid w:val="00824196"/>
    <w:rsid w:val="0083455A"/>
    <w:rsid w:val="008423CD"/>
    <w:rsid w:val="00845A85"/>
    <w:rsid w:val="00850F25"/>
    <w:rsid w:val="008546EB"/>
    <w:rsid w:val="00854977"/>
    <w:rsid w:val="00862327"/>
    <w:rsid w:val="00863EFD"/>
    <w:rsid w:val="00864FF6"/>
    <w:rsid w:val="00867314"/>
    <w:rsid w:val="008721AF"/>
    <w:rsid w:val="008772D1"/>
    <w:rsid w:val="008800E7"/>
    <w:rsid w:val="008828AA"/>
    <w:rsid w:val="00892C38"/>
    <w:rsid w:val="008939E0"/>
    <w:rsid w:val="00894229"/>
    <w:rsid w:val="008A2061"/>
    <w:rsid w:val="008A45C6"/>
    <w:rsid w:val="008B3558"/>
    <w:rsid w:val="008B4B8A"/>
    <w:rsid w:val="008B59B4"/>
    <w:rsid w:val="008B6E4B"/>
    <w:rsid w:val="008C168D"/>
    <w:rsid w:val="008C208A"/>
    <w:rsid w:val="008D062B"/>
    <w:rsid w:val="008D6A2A"/>
    <w:rsid w:val="008E52D9"/>
    <w:rsid w:val="008E622F"/>
    <w:rsid w:val="008F323D"/>
    <w:rsid w:val="008F5091"/>
    <w:rsid w:val="00901A73"/>
    <w:rsid w:val="00903BB4"/>
    <w:rsid w:val="00921A76"/>
    <w:rsid w:val="009254DE"/>
    <w:rsid w:val="0094015A"/>
    <w:rsid w:val="0095081D"/>
    <w:rsid w:val="009515F2"/>
    <w:rsid w:val="00953D1F"/>
    <w:rsid w:val="0095491E"/>
    <w:rsid w:val="0095500C"/>
    <w:rsid w:val="00971D46"/>
    <w:rsid w:val="0097531B"/>
    <w:rsid w:val="0098658F"/>
    <w:rsid w:val="00994475"/>
    <w:rsid w:val="00996C7F"/>
    <w:rsid w:val="00997766"/>
    <w:rsid w:val="009B3BF6"/>
    <w:rsid w:val="009C20C6"/>
    <w:rsid w:val="009C7191"/>
    <w:rsid w:val="009D0411"/>
    <w:rsid w:val="009D33C0"/>
    <w:rsid w:val="009D521E"/>
    <w:rsid w:val="009D6076"/>
    <w:rsid w:val="009E1ADF"/>
    <w:rsid w:val="009E5708"/>
    <w:rsid w:val="009E7E27"/>
    <w:rsid w:val="009F30DF"/>
    <w:rsid w:val="00A02F66"/>
    <w:rsid w:val="00A056DD"/>
    <w:rsid w:val="00A05FC4"/>
    <w:rsid w:val="00A06732"/>
    <w:rsid w:val="00A1288D"/>
    <w:rsid w:val="00A25476"/>
    <w:rsid w:val="00A25EB6"/>
    <w:rsid w:val="00A42066"/>
    <w:rsid w:val="00A42477"/>
    <w:rsid w:val="00A47F13"/>
    <w:rsid w:val="00A57281"/>
    <w:rsid w:val="00A6215F"/>
    <w:rsid w:val="00A663FE"/>
    <w:rsid w:val="00A665F0"/>
    <w:rsid w:val="00A6688E"/>
    <w:rsid w:val="00A678DD"/>
    <w:rsid w:val="00A71E26"/>
    <w:rsid w:val="00A731B6"/>
    <w:rsid w:val="00A74389"/>
    <w:rsid w:val="00A90AB0"/>
    <w:rsid w:val="00A93074"/>
    <w:rsid w:val="00A936C7"/>
    <w:rsid w:val="00A952BB"/>
    <w:rsid w:val="00AA1175"/>
    <w:rsid w:val="00AB45C4"/>
    <w:rsid w:val="00AB7B6E"/>
    <w:rsid w:val="00AB7B97"/>
    <w:rsid w:val="00AC6A7B"/>
    <w:rsid w:val="00AC772A"/>
    <w:rsid w:val="00AD2E8A"/>
    <w:rsid w:val="00AF1BDD"/>
    <w:rsid w:val="00AF7E9F"/>
    <w:rsid w:val="00B05269"/>
    <w:rsid w:val="00B13773"/>
    <w:rsid w:val="00B13BE1"/>
    <w:rsid w:val="00B173B9"/>
    <w:rsid w:val="00B220B6"/>
    <w:rsid w:val="00B26148"/>
    <w:rsid w:val="00B3741C"/>
    <w:rsid w:val="00B37A36"/>
    <w:rsid w:val="00B421CB"/>
    <w:rsid w:val="00B42DEE"/>
    <w:rsid w:val="00B51038"/>
    <w:rsid w:val="00B51491"/>
    <w:rsid w:val="00B53142"/>
    <w:rsid w:val="00B555A1"/>
    <w:rsid w:val="00B64AC4"/>
    <w:rsid w:val="00B73714"/>
    <w:rsid w:val="00B73D91"/>
    <w:rsid w:val="00B777B8"/>
    <w:rsid w:val="00B81486"/>
    <w:rsid w:val="00B82854"/>
    <w:rsid w:val="00B843C7"/>
    <w:rsid w:val="00B93C7B"/>
    <w:rsid w:val="00B93DF9"/>
    <w:rsid w:val="00BA2C88"/>
    <w:rsid w:val="00BA3918"/>
    <w:rsid w:val="00BB3483"/>
    <w:rsid w:val="00BC328E"/>
    <w:rsid w:val="00BD26CC"/>
    <w:rsid w:val="00BD6959"/>
    <w:rsid w:val="00BD6B57"/>
    <w:rsid w:val="00BE3BC5"/>
    <w:rsid w:val="00BF3C21"/>
    <w:rsid w:val="00BF529A"/>
    <w:rsid w:val="00BF7367"/>
    <w:rsid w:val="00C04928"/>
    <w:rsid w:val="00C171D1"/>
    <w:rsid w:val="00C2309E"/>
    <w:rsid w:val="00C275EF"/>
    <w:rsid w:val="00C50850"/>
    <w:rsid w:val="00C51454"/>
    <w:rsid w:val="00C57334"/>
    <w:rsid w:val="00C6642A"/>
    <w:rsid w:val="00C76485"/>
    <w:rsid w:val="00C87F35"/>
    <w:rsid w:val="00C90E8D"/>
    <w:rsid w:val="00CA54A9"/>
    <w:rsid w:val="00CB2E35"/>
    <w:rsid w:val="00CC5104"/>
    <w:rsid w:val="00CD1D4F"/>
    <w:rsid w:val="00CD5E50"/>
    <w:rsid w:val="00CE4248"/>
    <w:rsid w:val="00CE4419"/>
    <w:rsid w:val="00CE56B7"/>
    <w:rsid w:val="00CE6122"/>
    <w:rsid w:val="00CE76A6"/>
    <w:rsid w:val="00CF1D8E"/>
    <w:rsid w:val="00D21079"/>
    <w:rsid w:val="00D2171F"/>
    <w:rsid w:val="00D2308A"/>
    <w:rsid w:val="00D26883"/>
    <w:rsid w:val="00D36E24"/>
    <w:rsid w:val="00D4191E"/>
    <w:rsid w:val="00D47008"/>
    <w:rsid w:val="00D52FB9"/>
    <w:rsid w:val="00D5546E"/>
    <w:rsid w:val="00D557A7"/>
    <w:rsid w:val="00D56EF4"/>
    <w:rsid w:val="00D578CB"/>
    <w:rsid w:val="00D65789"/>
    <w:rsid w:val="00D67FEA"/>
    <w:rsid w:val="00D72990"/>
    <w:rsid w:val="00D73CD7"/>
    <w:rsid w:val="00D80C06"/>
    <w:rsid w:val="00D8165D"/>
    <w:rsid w:val="00D90771"/>
    <w:rsid w:val="00D90A9B"/>
    <w:rsid w:val="00D93CC4"/>
    <w:rsid w:val="00DA004D"/>
    <w:rsid w:val="00DA338E"/>
    <w:rsid w:val="00DB1847"/>
    <w:rsid w:val="00DB2B77"/>
    <w:rsid w:val="00DB3716"/>
    <w:rsid w:val="00DB5936"/>
    <w:rsid w:val="00DB5BEF"/>
    <w:rsid w:val="00DC4A4D"/>
    <w:rsid w:val="00DC7013"/>
    <w:rsid w:val="00DD06C1"/>
    <w:rsid w:val="00DD48E7"/>
    <w:rsid w:val="00DD496F"/>
    <w:rsid w:val="00DE63E5"/>
    <w:rsid w:val="00DF1CB0"/>
    <w:rsid w:val="00DF3398"/>
    <w:rsid w:val="00E03D80"/>
    <w:rsid w:val="00E048A0"/>
    <w:rsid w:val="00E1142E"/>
    <w:rsid w:val="00E14926"/>
    <w:rsid w:val="00E14FB2"/>
    <w:rsid w:val="00E1615A"/>
    <w:rsid w:val="00E2005F"/>
    <w:rsid w:val="00E322D1"/>
    <w:rsid w:val="00E33478"/>
    <w:rsid w:val="00E33F22"/>
    <w:rsid w:val="00E40968"/>
    <w:rsid w:val="00E40A4D"/>
    <w:rsid w:val="00E461D0"/>
    <w:rsid w:val="00E51705"/>
    <w:rsid w:val="00E64A0A"/>
    <w:rsid w:val="00E669C2"/>
    <w:rsid w:val="00E70B13"/>
    <w:rsid w:val="00E71A22"/>
    <w:rsid w:val="00E77753"/>
    <w:rsid w:val="00E81DB7"/>
    <w:rsid w:val="00E83363"/>
    <w:rsid w:val="00E85DF4"/>
    <w:rsid w:val="00E86117"/>
    <w:rsid w:val="00E901F2"/>
    <w:rsid w:val="00E96A71"/>
    <w:rsid w:val="00E97F8A"/>
    <w:rsid w:val="00EA1CB6"/>
    <w:rsid w:val="00EA4AF7"/>
    <w:rsid w:val="00EB34AD"/>
    <w:rsid w:val="00EB3853"/>
    <w:rsid w:val="00EC3942"/>
    <w:rsid w:val="00EC4FCD"/>
    <w:rsid w:val="00EC6428"/>
    <w:rsid w:val="00EC7AA9"/>
    <w:rsid w:val="00ED35BB"/>
    <w:rsid w:val="00ED3734"/>
    <w:rsid w:val="00ED709F"/>
    <w:rsid w:val="00EE04C5"/>
    <w:rsid w:val="00EE5E78"/>
    <w:rsid w:val="00EE5FDB"/>
    <w:rsid w:val="00EE71BC"/>
    <w:rsid w:val="00EF147D"/>
    <w:rsid w:val="00EF3110"/>
    <w:rsid w:val="00EF689F"/>
    <w:rsid w:val="00F022AF"/>
    <w:rsid w:val="00F071D3"/>
    <w:rsid w:val="00F15861"/>
    <w:rsid w:val="00F225B3"/>
    <w:rsid w:val="00F24D19"/>
    <w:rsid w:val="00F4071A"/>
    <w:rsid w:val="00F41F1D"/>
    <w:rsid w:val="00F421AA"/>
    <w:rsid w:val="00F46C7E"/>
    <w:rsid w:val="00F61122"/>
    <w:rsid w:val="00F61CDC"/>
    <w:rsid w:val="00F7612D"/>
    <w:rsid w:val="00F80998"/>
    <w:rsid w:val="00F823F1"/>
    <w:rsid w:val="00F961BC"/>
    <w:rsid w:val="00FA0EA1"/>
    <w:rsid w:val="00FA6BF1"/>
    <w:rsid w:val="00FA74D9"/>
    <w:rsid w:val="00FB27F9"/>
    <w:rsid w:val="00FC0DD7"/>
    <w:rsid w:val="00FC414F"/>
    <w:rsid w:val="00FE3A6E"/>
    <w:rsid w:val="00FE5316"/>
    <w:rsid w:val="00FF2459"/>
    <w:rsid w:val="00FF26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D0F3822"/>
  <w14:defaultImageDpi w14:val="0"/>
  <w15:docId w15:val="{AFDB8136-8C30-415F-8226-1505BB18C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qFormat="1"/>
    <w:lsdException w:name="caption" w:semiHidden="1" w:uiPriority="0" w:unhideWhenUsed="1" w:qFormat="1"/>
    <w:lsdException w:name="List Bullet" w:uiPriority="0" w:qFormat="1"/>
    <w:lsdException w:name="List Number" w:semiHidden="1" w:unhideWhenUsed="1"/>
    <w:lsdException w:name="List 4" w:semiHidden="1" w:unhideWhenUsed="1"/>
    <w:lsdException w:name="List 5" w:semiHidden="1" w:unhideWhenUsed="1"/>
    <w:lsdException w:name="List Bullet 2" w:uiPriority="0" w:qFormat="1"/>
    <w:lsdException w:name="List Bullet 3" w:uiPriority="0"/>
    <w:lsdException w:name="Title" w:uiPriority="10" w:qFormat="1"/>
    <w:lsdException w:name="Default Paragraph Font" w:semiHidden="1" w:uiPriority="1" w:unhideWhenUsed="1"/>
    <w:lsdException w:name="Body Text" w:qFormat="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C42"/>
    <w:pPr>
      <w:autoSpaceDE w:val="0"/>
      <w:autoSpaceDN w:val="0"/>
      <w:adjustRightInd w:val="0"/>
      <w:spacing w:after="200" w:line="276" w:lineRule="auto"/>
    </w:pPr>
    <w:rPr>
      <w:rFonts w:cs="Calibri-Bold"/>
      <w:bCs/>
      <w:sz w:val="24"/>
      <w:szCs w:val="24"/>
    </w:rPr>
  </w:style>
  <w:style w:type="paragraph" w:styleId="Heading1">
    <w:name w:val="heading 1"/>
    <w:basedOn w:val="Normal"/>
    <w:next w:val="Normal"/>
    <w:link w:val="Heading1Char"/>
    <w:uiPriority w:val="9"/>
    <w:qFormat/>
    <w:rsid w:val="001A5C42"/>
    <w:pPr>
      <w:keepNext/>
      <w:keepLines/>
      <w:spacing w:before="480" w:after="0"/>
      <w:outlineLvl w:val="0"/>
    </w:pPr>
    <w:rPr>
      <w:rFonts w:ascii="Cambria" w:hAnsi="Cambria" w:cs="Times New Roman"/>
      <w:b/>
      <w:bCs w:val="0"/>
      <w:color w:val="365F91"/>
      <w:sz w:val="28"/>
      <w:szCs w:val="28"/>
    </w:rPr>
  </w:style>
  <w:style w:type="paragraph" w:styleId="Heading2">
    <w:name w:val="heading 2"/>
    <w:basedOn w:val="Normal"/>
    <w:next w:val="Normal"/>
    <w:link w:val="Heading2Char"/>
    <w:uiPriority w:val="9"/>
    <w:unhideWhenUsed/>
    <w:qFormat/>
    <w:rsid w:val="001A5C42"/>
    <w:pPr>
      <w:keepNext/>
      <w:keepLines/>
      <w:spacing w:before="200" w:after="0"/>
      <w:outlineLvl w:val="1"/>
    </w:pPr>
    <w:rPr>
      <w:rFonts w:ascii="Cambria" w:hAnsi="Cambria" w:cs="Times New Roman"/>
      <w:b/>
      <w:bCs w:val="0"/>
      <w:color w:val="4F81BD"/>
      <w:sz w:val="26"/>
      <w:szCs w:val="26"/>
    </w:rPr>
  </w:style>
  <w:style w:type="paragraph" w:styleId="Heading3">
    <w:name w:val="heading 3"/>
    <w:basedOn w:val="Normal"/>
    <w:next w:val="Normal"/>
    <w:link w:val="Heading3Char"/>
    <w:uiPriority w:val="9"/>
    <w:unhideWhenUsed/>
    <w:qFormat/>
    <w:rsid w:val="001A5C42"/>
    <w:pPr>
      <w:keepNext/>
      <w:keepLines/>
      <w:spacing w:before="200" w:after="0"/>
      <w:outlineLvl w:val="2"/>
    </w:pPr>
    <w:rPr>
      <w:rFonts w:ascii="Cambria" w:hAnsi="Cambria" w:cs="Times New Roman"/>
      <w:b/>
      <w:bCs w:val="0"/>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A5C42"/>
    <w:rPr>
      <w:rFonts w:ascii="Cambria" w:hAnsi="Cambria"/>
      <w:b/>
      <w:color w:val="365F91"/>
      <w:sz w:val="28"/>
      <w:lang w:val="x-none" w:eastAsia="en-AU"/>
    </w:rPr>
  </w:style>
  <w:style w:type="character" w:customStyle="1" w:styleId="Heading2Char">
    <w:name w:val="Heading 2 Char"/>
    <w:link w:val="Heading2"/>
    <w:uiPriority w:val="9"/>
    <w:locked/>
    <w:rsid w:val="001A5C42"/>
    <w:rPr>
      <w:rFonts w:ascii="Cambria" w:hAnsi="Cambria"/>
      <w:b/>
      <w:color w:val="4F81BD"/>
      <w:sz w:val="26"/>
      <w:lang w:val="x-none" w:eastAsia="en-AU"/>
    </w:rPr>
  </w:style>
  <w:style w:type="character" w:customStyle="1" w:styleId="Heading3Char">
    <w:name w:val="Heading 3 Char"/>
    <w:link w:val="Heading3"/>
    <w:uiPriority w:val="9"/>
    <w:locked/>
    <w:rsid w:val="001A5C42"/>
    <w:rPr>
      <w:rFonts w:ascii="Cambria" w:hAnsi="Cambria"/>
      <w:b/>
      <w:color w:val="4F81BD"/>
      <w:sz w:val="24"/>
      <w:lang w:val="x-none" w:eastAsia="en-AU"/>
    </w:rPr>
  </w:style>
  <w:style w:type="paragraph" w:styleId="ListParagraph">
    <w:name w:val="List Paragraph"/>
    <w:basedOn w:val="Normal"/>
    <w:link w:val="ListParagraphChar"/>
    <w:uiPriority w:val="34"/>
    <w:qFormat/>
    <w:rsid w:val="001A5C42"/>
    <w:pPr>
      <w:numPr>
        <w:numId w:val="3"/>
      </w:numPr>
      <w:spacing w:after="0"/>
      <w:contextualSpacing/>
    </w:pPr>
    <w:rPr>
      <w:rFonts w:cs="Times New Roman"/>
    </w:rPr>
  </w:style>
  <w:style w:type="character" w:customStyle="1" w:styleId="ListParagraphChar">
    <w:name w:val="List Paragraph Char"/>
    <w:link w:val="ListParagraph"/>
    <w:uiPriority w:val="34"/>
    <w:locked/>
    <w:rsid w:val="001A5C42"/>
    <w:rPr>
      <w:bCs/>
      <w:sz w:val="24"/>
      <w:szCs w:val="24"/>
    </w:rPr>
  </w:style>
  <w:style w:type="paragraph" w:styleId="NormalWeb">
    <w:name w:val="Normal (Web)"/>
    <w:basedOn w:val="Normal"/>
    <w:uiPriority w:val="99"/>
    <w:semiHidden/>
    <w:unhideWhenUsed/>
    <w:rsid w:val="001A5C42"/>
    <w:pPr>
      <w:spacing w:before="189" w:after="100" w:afterAutospacing="1" w:line="240" w:lineRule="auto"/>
    </w:pPr>
    <w:rPr>
      <w:rFonts w:ascii="Times New Roman" w:hAnsi="Times New Roman"/>
    </w:rPr>
  </w:style>
  <w:style w:type="paragraph" w:styleId="FootnoteText">
    <w:name w:val="footnote text"/>
    <w:basedOn w:val="Normal"/>
    <w:link w:val="FootnoteTextChar"/>
    <w:uiPriority w:val="99"/>
    <w:qFormat/>
    <w:rsid w:val="00BD6959"/>
    <w:pPr>
      <w:spacing w:after="0" w:line="240" w:lineRule="auto"/>
    </w:pPr>
    <w:rPr>
      <w:rFonts w:ascii="Arial" w:hAnsi="Arial" w:cs="Times New Roman"/>
      <w:sz w:val="16"/>
      <w:szCs w:val="20"/>
    </w:rPr>
  </w:style>
  <w:style w:type="character" w:customStyle="1" w:styleId="FootnoteTextChar">
    <w:name w:val="Footnote Text Char"/>
    <w:link w:val="FootnoteText"/>
    <w:uiPriority w:val="99"/>
    <w:locked/>
    <w:rsid w:val="00BD6959"/>
    <w:rPr>
      <w:rFonts w:ascii="Arial" w:hAnsi="Arial"/>
      <w:bCs/>
      <w:sz w:val="16"/>
    </w:rPr>
  </w:style>
  <w:style w:type="character" w:styleId="FootnoteReference">
    <w:name w:val="footnote reference"/>
    <w:aliases w:val="(NECG) Footnote Reference"/>
    <w:uiPriority w:val="99"/>
    <w:rsid w:val="001A5C42"/>
    <w:rPr>
      <w:vertAlign w:val="superscript"/>
    </w:rPr>
  </w:style>
  <w:style w:type="character" w:styleId="Hyperlink">
    <w:name w:val="Hyperlink"/>
    <w:uiPriority w:val="99"/>
    <w:unhideWhenUsed/>
    <w:rsid w:val="001A5C42"/>
    <w:rPr>
      <w:color w:val="0044BB"/>
      <w:u w:val="single"/>
    </w:rPr>
  </w:style>
  <w:style w:type="paragraph" w:styleId="Header">
    <w:name w:val="header"/>
    <w:basedOn w:val="Normal"/>
    <w:link w:val="HeaderChar"/>
    <w:uiPriority w:val="99"/>
    <w:unhideWhenUsed/>
    <w:rsid w:val="001A5C42"/>
    <w:pPr>
      <w:tabs>
        <w:tab w:val="center" w:pos="4513"/>
        <w:tab w:val="right" w:pos="9026"/>
      </w:tabs>
    </w:pPr>
    <w:rPr>
      <w:rFonts w:cs="Times New Roman"/>
    </w:rPr>
  </w:style>
  <w:style w:type="character" w:customStyle="1" w:styleId="HeaderChar">
    <w:name w:val="Header Char"/>
    <w:link w:val="Header"/>
    <w:uiPriority w:val="99"/>
    <w:locked/>
    <w:rsid w:val="001A5C42"/>
    <w:rPr>
      <w:rFonts w:eastAsia="Times New Roman"/>
      <w:sz w:val="24"/>
      <w:lang w:val="x-none" w:eastAsia="en-AU"/>
    </w:rPr>
  </w:style>
  <w:style w:type="paragraph" w:styleId="Footer">
    <w:name w:val="footer"/>
    <w:basedOn w:val="Normal"/>
    <w:link w:val="FooterChar"/>
    <w:uiPriority w:val="99"/>
    <w:unhideWhenUsed/>
    <w:rsid w:val="001A5C42"/>
    <w:pPr>
      <w:tabs>
        <w:tab w:val="center" w:pos="4513"/>
        <w:tab w:val="right" w:pos="9026"/>
      </w:tabs>
    </w:pPr>
    <w:rPr>
      <w:rFonts w:cs="Times New Roman"/>
    </w:rPr>
  </w:style>
  <w:style w:type="character" w:customStyle="1" w:styleId="FooterChar">
    <w:name w:val="Footer Char"/>
    <w:link w:val="Footer"/>
    <w:uiPriority w:val="99"/>
    <w:locked/>
    <w:rsid w:val="001A5C42"/>
    <w:rPr>
      <w:rFonts w:eastAsia="Times New Roman"/>
      <w:sz w:val="24"/>
      <w:lang w:val="x-none" w:eastAsia="en-AU"/>
    </w:rPr>
  </w:style>
  <w:style w:type="paragraph" w:styleId="BalloonText">
    <w:name w:val="Balloon Text"/>
    <w:basedOn w:val="Normal"/>
    <w:link w:val="BalloonTextChar"/>
    <w:uiPriority w:val="99"/>
    <w:semiHidden/>
    <w:unhideWhenUsed/>
    <w:rsid w:val="001A5C42"/>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locked/>
    <w:rsid w:val="001A5C42"/>
    <w:rPr>
      <w:rFonts w:ascii="Tahoma" w:hAnsi="Tahoma"/>
      <w:sz w:val="16"/>
      <w:lang w:val="x-none" w:eastAsia="en-AU"/>
    </w:rPr>
  </w:style>
  <w:style w:type="paragraph" w:customStyle="1" w:styleId="Billname">
    <w:name w:val="Billname"/>
    <w:basedOn w:val="Normal"/>
    <w:rsid w:val="001A5C42"/>
    <w:pPr>
      <w:tabs>
        <w:tab w:val="left" w:pos="2400"/>
        <w:tab w:val="left" w:pos="2880"/>
      </w:tabs>
      <w:spacing w:before="1220" w:after="100" w:line="240" w:lineRule="auto"/>
    </w:pPr>
    <w:rPr>
      <w:rFonts w:ascii="Arial" w:hAnsi="Arial"/>
      <w:b/>
      <w:sz w:val="40"/>
      <w:szCs w:val="20"/>
    </w:rPr>
  </w:style>
  <w:style w:type="paragraph" w:customStyle="1" w:styleId="Default">
    <w:name w:val="Default"/>
    <w:rsid w:val="001A5C42"/>
    <w:pPr>
      <w:autoSpaceDE w:val="0"/>
      <w:autoSpaceDN w:val="0"/>
      <w:adjustRightInd w:val="0"/>
    </w:pPr>
    <w:rPr>
      <w:rFonts w:cs="Calibri"/>
      <w:color w:val="000000"/>
      <w:sz w:val="24"/>
      <w:szCs w:val="24"/>
    </w:rPr>
  </w:style>
  <w:style w:type="paragraph" w:styleId="CommentText">
    <w:name w:val="annotation text"/>
    <w:basedOn w:val="Normal"/>
    <w:link w:val="CommentTextChar"/>
    <w:uiPriority w:val="99"/>
    <w:unhideWhenUsed/>
    <w:rsid w:val="001A5C42"/>
    <w:pPr>
      <w:spacing w:line="240" w:lineRule="auto"/>
    </w:pPr>
    <w:rPr>
      <w:rFonts w:cs="Times New Roman"/>
      <w:sz w:val="20"/>
      <w:szCs w:val="20"/>
    </w:rPr>
  </w:style>
  <w:style w:type="character" w:customStyle="1" w:styleId="CommentTextChar">
    <w:name w:val="Comment Text Char"/>
    <w:link w:val="CommentText"/>
    <w:uiPriority w:val="99"/>
    <w:locked/>
    <w:rsid w:val="001A5C42"/>
    <w:rPr>
      <w:rFonts w:eastAsia="Times New Roman"/>
      <w:sz w:val="20"/>
      <w:lang w:val="x-none" w:eastAsia="en-AU"/>
    </w:rPr>
  </w:style>
  <w:style w:type="character" w:customStyle="1" w:styleId="CommentSubjectChar">
    <w:name w:val="Comment Subject Char"/>
    <w:link w:val="CommentSubject"/>
    <w:uiPriority w:val="99"/>
    <w:semiHidden/>
    <w:locked/>
    <w:rsid w:val="001A5C42"/>
    <w:rPr>
      <w:rFonts w:eastAsia="Times New Roman"/>
      <w:b/>
      <w:sz w:val="20"/>
      <w:lang w:val="x-none" w:eastAsia="en-AU"/>
    </w:rPr>
  </w:style>
  <w:style w:type="paragraph" w:styleId="CommentSubject">
    <w:name w:val="annotation subject"/>
    <w:basedOn w:val="CommentText"/>
    <w:next w:val="CommentText"/>
    <w:link w:val="CommentSubjectChar"/>
    <w:uiPriority w:val="99"/>
    <w:semiHidden/>
    <w:unhideWhenUsed/>
    <w:rsid w:val="001A5C42"/>
    <w:rPr>
      <w:b/>
    </w:rPr>
  </w:style>
  <w:style w:type="character" w:customStyle="1" w:styleId="CommentSubjectChar1">
    <w:name w:val="Comment Subject Char1"/>
    <w:uiPriority w:val="99"/>
    <w:semiHidden/>
    <w:rPr>
      <w:rFonts w:eastAsia="Times New Roman" w:cs="Calibri-Bold"/>
      <w:b/>
      <w:bCs/>
      <w:sz w:val="20"/>
      <w:lang w:val="x-none" w:eastAsia="en-AU"/>
    </w:rPr>
  </w:style>
  <w:style w:type="table" w:styleId="TableGrid">
    <w:name w:val="Table Grid"/>
    <w:basedOn w:val="TableNormal"/>
    <w:rsid w:val="001A5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1A5C42"/>
    <w:pPr>
      <w:spacing w:before="240" w:after="0" w:line="240" w:lineRule="auto"/>
    </w:pPr>
    <w:rPr>
      <w:b/>
      <w:bCs w:val="0"/>
      <w:color w:val="4F81BD"/>
      <w:szCs w:val="18"/>
    </w:rPr>
  </w:style>
  <w:style w:type="paragraph" w:styleId="TOCHeading">
    <w:name w:val="TOC Heading"/>
    <w:basedOn w:val="Heading1"/>
    <w:next w:val="Normal"/>
    <w:uiPriority w:val="39"/>
    <w:unhideWhenUsed/>
    <w:qFormat/>
    <w:rsid w:val="001A5C42"/>
    <w:pPr>
      <w:outlineLvl w:val="9"/>
    </w:pPr>
    <w:rPr>
      <w:lang w:val="en-US"/>
    </w:rPr>
  </w:style>
  <w:style w:type="paragraph" w:styleId="TOC1">
    <w:name w:val="toc 1"/>
    <w:basedOn w:val="Normal"/>
    <w:next w:val="Normal"/>
    <w:autoRedefine/>
    <w:uiPriority w:val="39"/>
    <w:unhideWhenUsed/>
    <w:rsid w:val="00784EA8"/>
    <w:pPr>
      <w:tabs>
        <w:tab w:val="left" w:pos="709"/>
        <w:tab w:val="right" w:leader="dot" w:pos="9016"/>
      </w:tabs>
      <w:spacing w:after="0" w:line="240" w:lineRule="auto"/>
      <w:ind w:left="-567"/>
      <w:jc w:val="center"/>
    </w:pPr>
  </w:style>
  <w:style w:type="paragraph" w:styleId="TOC2">
    <w:name w:val="toc 2"/>
    <w:basedOn w:val="Normal"/>
    <w:next w:val="Normal"/>
    <w:autoRedefine/>
    <w:uiPriority w:val="39"/>
    <w:unhideWhenUsed/>
    <w:rsid w:val="001A5C42"/>
    <w:pPr>
      <w:tabs>
        <w:tab w:val="left" w:pos="709"/>
        <w:tab w:val="right" w:leader="dot" w:pos="9016"/>
      </w:tabs>
      <w:spacing w:after="0" w:line="240" w:lineRule="auto"/>
      <w:ind w:left="1276" w:hanging="992"/>
    </w:pPr>
  </w:style>
  <w:style w:type="table" w:customStyle="1" w:styleId="GridTable4-Accent11">
    <w:name w:val="Grid Table 4 - Accent 11"/>
    <w:basedOn w:val="TableNormal"/>
    <w:uiPriority w:val="49"/>
    <w:rsid w:val="001A5C4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paragraph" w:styleId="TableofFigures">
    <w:name w:val="table of figures"/>
    <w:basedOn w:val="Normal"/>
    <w:next w:val="Normal"/>
    <w:uiPriority w:val="99"/>
    <w:unhideWhenUsed/>
    <w:rsid w:val="001A5C42"/>
    <w:pPr>
      <w:spacing w:after="0"/>
    </w:pPr>
  </w:style>
  <w:style w:type="character" w:customStyle="1" w:styleId="Italic">
    <w:name w:val="Italic"/>
    <w:qFormat/>
    <w:rsid w:val="001A5C42"/>
    <w:rPr>
      <w:i/>
    </w:rPr>
  </w:style>
  <w:style w:type="paragraph" w:customStyle="1" w:styleId="Imprintinformation">
    <w:name w:val="Imprint information"/>
    <w:basedOn w:val="Normal"/>
    <w:qFormat/>
    <w:rsid w:val="001A5C42"/>
    <w:rPr>
      <w:sz w:val="16"/>
      <w:szCs w:val="32"/>
    </w:rPr>
  </w:style>
  <w:style w:type="character" w:customStyle="1" w:styleId="ColorfulList-Accent1Char">
    <w:name w:val="Colorful List - Accent 1 Char"/>
    <w:aliases w:val="Bullet Point List Char,Body of text - Bullet point Char,Numbered Para 1 Char,Dot pt Char,No Spacing1 Char,List Paragraph Char Char Char Char,Indicator Text Char,List Paragraph1 Char,Bullet Points Char,Bullet 1 Char"/>
    <w:link w:val="ColorfulList-Accent1"/>
    <w:qFormat/>
    <w:locked/>
    <w:rsid w:val="001A5C42"/>
    <w:rPr>
      <w:sz w:val="22"/>
      <w:lang w:val="x-none" w:eastAsia="en-US"/>
    </w:rPr>
  </w:style>
  <w:style w:type="table" w:styleId="ColorfulList-Accent1">
    <w:name w:val="Colorful List Accent 1"/>
    <w:basedOn w:val="TableNormal"/>
    <w:link w:val="ColorfulList-Accent1Char"/>
    <w:uiPriority w:val="34"/>
    <w:unhideWhenUsed/>
    <w:rsid w:val="001A5C42"/>
    <w:rPr>
      <w:sz w:val="22"/>
      <w:szCs w:val="22"/>
      <w:lang w:eastAsia="en-US"/>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paragraph" w:styleId="TOC3">
    <w:name w:val="toc 3"/>
    <w:basedOn w:val="Normal"/>
    <w:next w:val="Normal"/>
    <w:autoRedefine/>
    <w:uiPriority w:val="39"/>
    <w:unhideWhenUsed/>
    <w:rsid w:val="00820FDD"/>
    <w:pPr>
      <w:tabs>
        <w:tab w:val="right" w:leader="dot" w:pos="9016"/>
      </w:tabs>
      <w:spacing w:after="100"/>
      <w:ind w:left="480"/>
    </w:pPr>
  </w:style>
  <w:style w:type="character" w:styleId="CommentReference">
    <w:name w:val="annotation reference"/>
    <w:uiPriority w:val="99"/>
    <w:semiHidden/>
    <w:unhideWhenUsed/>
    <w:rsid w:val="00BD26CC"/>
    <w:rPr>
      <w:sz w:val="16"/>
    </w:rPr>
  </w:style>
  <w:style w:type="paragraph" w:styleId="BodyText">
    <w:name w:val="Body Text"/>
    <w:basedOn w:val="Normal"/>
    <w:link w:val="BodyTextChar"/>
    <w:uiPriority w:val="99"/>
    <w:qFormat/>
    <w:rsid w:val="00DB5BEF"/>
    <w:pPr>
      <w:autoSpaceDE/>
      <w:autoSpaceDN/>
      <w:adjustRightInd/>
      <w:spacing w:before="160" w:after="160" w:line="288" w:lineRule="auto"/>
      <w:jc w:val="both"/>
    </w:pPr>
    <w:rPr>
      <w:rFonts w:ascii="Arial" w:eastAsia="SimSun" w:hAnsi="Arial" w:cs="Arial"/>
      <w:bCs w:val="0"/>
      <w:sz w:val="22"/>
      <w:szCs w:val="20"/>
      <w:lang w:eastAsia="zh-CN"/>
    </w:rPr>
  </w:style>
  <w:style w:type="character" w:customStyle="1" w:styleId="BodyTextChar">
    <w:name w:val="Body Text Char"/>
    <w:link w:val="BodyText"/>
    <w:uiPriority w:val="99"/>
    <w:rsid w:val="00DB5BEF"/>
    <w:rPr>
      <w:rFonts w:ascii="Arial" w:eastAsia="SimSun" w:hAnsi="Arial" w:cs="Arial"/>
      <w:sz w:val="22"/>
      <w:lang w:eastAsia="zh-CN"/>
    </w:rPr>
  </w:style>
  <w:style w:type="paragraph" w:customStyle="1" w:styleId="ColorfulList-Accent11">
    <w:name w:val="Colorful List - Accent 11"/>
    <w:aliases w:val="Bullet Point List,Body of text - Bullet point,Numbered Para 1,Dot pt,No Spacing1,List Paragraph Char Char Char,Indicator Text,List Paragraph1,Bullet Points,Bullet 1,MAIN CONTENT,List Paragraph12,F5 List Paragraph"/>
    <w:basedOn w:val="Normal"/>
    <w:qFormat/>
    <w:rsid w:val="0053598B"/>
    <w:pPr>
      <w:autoSpaceDE/>
      <w:autoSpaceDN/>
      <w:adjustRightInd/>
      <w:spacing w:before="120" w:after="120" w:line="268" w:lineRule="auto"/>
      <w:contextualSpacing/>
    </w:pPr>
    <w:rPr>
      <w:rFonts w:ascii="Helvetica" w:hAnsi="Helvetica" w:cs="Times New Roman"/>
      <w:bCs w:val="0"/>
      <w:lang w:eastAsia="en-US"/>
    </w:rPr>
  </w:style>
  <w:style w:type="paragraph" w:customStyle="1" w:styleId="Brieftext">
    <w:name w:val="Brief_text"/>
    <w:basedOn w:val="ListParagraph"/>
    <w:qFormat/>
    <w:rsid w:val="003D701B"/>
    <w:pPr>
      <w:widowControl w:val="0"/>
      <w:numPr>
        <w:numId w:val="0"/>
      </w:numPr>
      <w:tabs>
        <w:tab w:val="num" w:pos="360"/>
      </w:tabs>
      <w:autoSpaceDE/>
      <w:autoSpaceDN/>
      <w:adjustRightInd/>
      <w:spacing w:line="240" w:lineRule="auto"/>
      <w:ind w:left="720" w:right="-51"/>
    </w:pPr>
    <w:rPr>
      <w:bCs w:val="0"/>
      <w:color w:val="FF5050"/>
      <w:lang w:eastAsia="en-US"/>
    </w:rPr>
  </w:style>
  <w:style w:type="paragraph" w:customStyle="1" w:styleId="TableHeadingLeft">
    <w:name w:val="Table Heading Left"/>
    <w:basedOn w:val="TableTextLeft"/>
    <w:qFormat/>
    <w:rsid w:val="00190D89"/>
    <w:pPr>
      <w:keepNext/>
      <w:keepLines/>
    </w:pPr>
    <w:rPr>
      <w:b/>
      <w:color w:val="FFFFFF"/>
    </w:rPr>
  </w:style>
  <w:style w:type="paragraph" w:customStyle="1" w:styleId="TableTextLeft">
    <w:name w:val="Table Text Left"/>
    <w:basedOn w:val="Normal"/>
    <w:link w:val="TableTextLeftChar"/>
    <w:qFormat/>
    <w:rsid w:val="00190D89"/>
    <w:pPr>
      <w:autoSpaceDE/>
      <w:autoSpaceDN/>
      <w:adjustRightInd/>
      <w:spacing w:before="60" w:after="60" w:line="220" w:lineRule="atLeast"/>
      <w:ind w:left="113" w:right="113"/>
    </w:pPr>
    <w:rPr>
      <w:rFonts w:ascii="Arial" w:hAnsi="Arial" w:cs="Arial"/>
      <w:bCs w:val="0"/>
      <w:color w:val="363534"/>
      <w:sz w:val="18"/>
      <w:szCs w:val="20"/>
    </w:rPr>
  </w:style>
  <w:style w:type="character" w:customStyle="1" w:styleId="TableTextLeftChar">
    <w:name w:val="Table Text Left Char"/>
    <w:link w:val="TableTextLeft"/>
    <w:rsid w:val="00190D89"/>
    <w:rPr>
      <w:rFonts w:ascii="Arial" w:hAnsi="Arial" w:cs="Arial"/>
      <w:color w:val="363534"/>
      <w:sz w:val="18"/>
    </w:rPr>
  </w:style>
  <w:style w:type="paragraph" w:styleId="ListBullet">
    <w:name w:val="List Bullet"/>
    <w:basedOn w:val="Normal"/>
    <w:unhideWhenUsed/>
    <w:qFormat/>
    <w:rsid w:val="00A665F0"/>
    <w:pPr>
      <w:numPr>
        <w:numId w:val="19"/>
      </w:numPr>
      <w:autoSpaceDE/>
      <w:autoSpaceDN/>
      <w:adjustRightInd/>
      <w:spacing w:before="120" w:after="120" w:line="240" w:lineRule="atLeast"/>
    </w:pPr>
    <w:rPr>
      <w:rFonts w:ascii="Arial" w:hAnsi="Arial" w:cs="Arial"/>
      <w:bCs w:val="0"/>
      <w:color w:val="363534"/>
      <w:sz w:val="20"/>
      <w:szCs w:val="20"/>
    </w:rPr>
  </w:style>
  <w:style w:type="paragraph" w:styleId="ListBullet2">
    <w:name w:val="List Bullet 2"/>
    <w:basedOn w:val="ListBullet"/>
    <w:unhideWhenUsed/>
    <w:qFormat/>
    <w:rsid w:val="00A665F0"/>
    <w:pPr>
      <w:numPr>
        <w:ilvl w:val="1"/>
      </w:numPr>
      <w:tabs>
        <w:tab w:val="clear" w:pos="340"/>
      </w:tabs>
      <w:ind w:left="1440" w:hanging="360"/>
    </w:pPr>
  </w:style>
  <w:style w:type="paragraph" w:styleId="ListBullet3">
    <w:name w:val="List Bullet 3"/>
    <w:basedOn w:val="Normal"/>
    <w:unhideWhenUsed/>
    <w:rsid w:val="00A665F0"/>
    <w:pPr>
      <w:numPr>
        <w:ilvl w:val="2"/>
        <w:numId w:val="19"/>
      </w:numPr>
      <w:tabs>
        <w:tab w:val="clear" w:pos="510"/>
      </w:tabs>
      <w:autoSpaceDE/>
      <w:autoSpaceDN/>
      <w:adjustRightInd/>
      <w:spacing w:before="120" w:after="120" w:line="240" w:lineRule="atLeast"/>
      <w:ind w:left="2160" w:hanging="360"/>
    </w:pPr>
    <w:rPr>
      <w:rFonts w:ascii="Arial" w:hAnsi="Arial" w:cs="Arial"/>
      <w:bCs w:val="0"/>
      <w:color w:val="363534"/>
      <w:sz w:val="20"/>
      <w:szCs w:val="20"/>
    </w:rPr>
  </w:style>
  <w:style w:type="paragraph" w:styleId="TOC4">
    <w:name w:val="toc 4"/>
    <w:basedOn w:val="Normal"/>
    <w:next w:val="Normal"/>
    <w:autoRedefine/>
    <w:uiPriority w:val="39"/>
    <w:unhideWhenUsed/>
    <w:rsid w:val="00233E1E"/>
    <w:pPr>
      <w:autoSpaceDE/>
      <w:autoSpaceDN/>
      <w:adjustRightInd/>
      <w:spacing w:after="100" w:line="259" w:lineRule="auto"/>
      <w:ind w:left="660"/>
    </w:pPr>
    <w:rPr>
      <w:rFonts w:cs="Times New Roman"/>
      <w:bCs w:val="0"/>
      <w:sz w:val="22"/>
      <w:szCs w:val="22"/>
    </w:rPr>
  </w:style>
  <w:style w:type="paragraph" w:styleId="TOC5">
    <w:name w:val="toc 5"/>
    <w:basedOn w:val="Normal"/>
    <w:next w:val="Normal"/>
    <w:autoRedefine/>
    <w:uiPriority w:val="39"/>
    <w:unhideWhenUsed/>
    <w:rsid w:val="00233E1E"/>
    <w:pPr>
      <w:autoSpaceDE/>
      <w:autoSpaceDN/>
      <w:adjustRightInd/>
      <w:spacing w:after="100" w:line="259" w:lineRule="auto"/>
      <w:ind w:left="880"/>
    </w:pPr>
    <w:rPr>
      <w:rFonts w:cs="Times New Roman"/>
      <w:bCs w:val="0"/>
      <w:sz w:val="22"/>
      <w:szCs w:val="22"/>
    </w:rPr>
  </w:style>
  <w:style w:type="paragraph" w:styleId="TOC6">
    <w:name w:val="toc 6"/>
    <w:basedOn w:val="Normal"/>
    <w:next w:val="Normal"/>
    <w:autoRedefine/>
    <w:uiPriority w:val="39"/>
    <w:unhideWhenUsed/>
    <w:rsid w:val="00233E1E"/>
    <w:pPr>
      <w:autoSpaceDE/>
      <w:autoSpaceDN/>
      <w:adjustRightInd/>
      <w:spacing w:after="100" w:line="259" w:lineRule="auto"/>
      <w:ind w:left="1100"/>
    </w:pPr>
    <w:rPr>
      <w:rFonts w:cs="Times New Roman"/>
      <w:bCs w:val="0"/>
      <w:sz w:val="22"/>
      <w:szCs w:val="22"/>
    </w:rPr>
  </w:style>
  <w:style w:type="paragraph" w:styleId="TOC7">
    <w:name w:val="toc 7"/>
    <w:basedOn w:val="Normal"/>
    <w:next w:val="Normal"/>
    <w:autoRedefine/>
    <w:uiPriority w:val="39"/>
    <w:unhideWhenUsed/>
    <w:rsid w:val="00233E1E"/>
    <w:pPr>
      <w:autoSpaceDE/>
      <w:autoSpaceDN/>
      <w:adjustRightInd/>
      <w:spacing w:after="100" w:line="259" w:lineRule="auto"/>
      <w:ind w:left="1320"/>
    </w:pPr>
    <w:rPr>
      <w:rFonts w:cs="Times New Roman"/>
      <w:bCs w:val="0"/>
      <w:sz w:val="22"/>
      <w:szCs w:val="22"/>
    </w:rPr>
  </w:style>
  <w:style w:type="paragraph" w:styleId="TOC8">
    <w:name w:val="toc 8"/>
    <w:basedOn w:val="Normal"/>
    <w:next w:val="Normal"/>
    <w:autoRedefine/>
    <w:uiPriority w:val="39"/>
    <w:unhideWhenUsed/>
    <w:rsid w:val="00233E1E"/>
    <w:pPr>
      <w:autoSpaceDE/>
      <w:autoSpaceDN/>
      <w:adjustRightInd/>
      <w:spacing w:after="100" w:line="259" w:lineRule="auto"/>
      <w:ind w:left="1540"/>
    </w:pPr>
    <w:rPr>
      <w:rFonts w:cs="Times New Roman"/>
      <w:bCs w:val="0"/>
      <w:sz w:val="22"/>
      <w:szCs w:val="22"/>
    </w:rPr>
  </w:style>
  <w:style w:type="paragraph" w:styleId="TOC9">
    <w:name w:val="toc 9"/>
    <w:basedOn w:val="Normal"/>
    <w:next w:val="Normal"/>
    <w:autoRedefine/>
    <w:uiPriority w:val="39"/>
    <w:unhideWhenUsed/>
    <w:rsid w:val="00233E1E"/>
    <w:pPr>
      <w:autoSpaceDE/>
      <w:autoSpaceDN/>
      <w:adjustRightInd/>
      <w:spacing w:after="100" w:line="259" w:lineRule="auto"/>
      <w:ind w:left="1760"/>
    </w:pPr>
    <w:rPr>
      <w:rFonts w:cs="Times New Roman"/>
      <w:bCs w:val="0"/>
      <w:sz w:val="22"/>
      <w:szCs w:val="22"/>
    </w:rPr>
  </w:style>
  <w:style w:type="paragraph" w:styleId="Revision">
    <w:name w:val="Revision"/>
    <w:hidden/>
    <w:uiPriority w:val="99"/>
    <w:semiHidden/>
    <w:rsid w:val="00A1288D"/>
    <w:rPr>
      <w:rFonts w:cs="Calibri-Bold"/>
      <w:bCs/>
      <w:sz w:val="24"/>
      <w:szCs w:val="24"/>
    </w:rPr>
  </w:style>
  <w:style w:type="paragraph" w:customStyle="1" w:styleId="ChiefText">
    <w:name w:val="ChiefText"/>
    <w:basedOn w:val="Normal"/>
    <w:rsid w:val="001B36B0"/>
    <w:pPr>
      <w:autoSpaceDE/>
      <w:autoSpaceDN/>
      <w:adjustRightInd/>
      <w:spacing w:after="0" w:line="240" w:lineRule="auto"/>
    </w:pPr>
    <w:rPr>
      <w:rFonts w:ascii="Arial" w:hAnsi="Arial" w:cs="Arial"/>
      <w:bCs w:val="0"/>
      <w:szCs w:val="20"/>
      <w:lang w:eastAsia="en-US"/>
    </w:rPr>
  </w:style>
  <w:style w:type="character" w:styleId="FollowedHyperlink">
    <w:name w:val="FollowedHyperlink"/>
    <w:basedOn w:val="DefaultParagraphFont"/>
    <w:uiPriority w:val="99"/>
    <w:rsid w:val="00344F08"/>
    <w:rPr>
      <w:color w:val="954F72" w:themeColor="followedHyperlink"/>
      <w:u w:val="single"/>
    </w:rPr>
  </w:style>
  <w:style w:type="character" w:styleId="UnresolvedMention">
    <w:name w:val="Unresolved Mention"/>
    <w:basedOn w:val="DefaultParagraphFont"/>
    <w:uiPriority w:val="99"/>
    <w:semiHidden/>
    <w:unhideWhenUsed/>
    <w:rsid w:val="00EC7A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29310">
      <w:bodyDiv w:val="1"/>
      <w:marLeft w:val="0"/>
      <w:marRight w:val="0"/>
      <w:marTop w:val="0"/>
      <w:marBottom w:val="0"/>
      <w:divBdr>
        <w:top w:val="none" w:sz="0" w:space="0" w:color="auto"/>
        <w:left w:val="none" w:sz="0" w:space="0" w:color="auto"/>
        <w:bottom w:val="none" w:sz="0" w:space="0" w:color="auto"/>
        <w:right w:val="none" w:sz="0" w:space="0" w:color="auto"/>
      </w:divBdr>
    </w:div>
    <w:div w:id="208955450">
      <w:bodyDiv w:val="1"/>
      <w:marLeft w:val="0"/>
      <w:marRight w:val="0"/>
      <w:marTop w:val="0"/>
      <w:marBottom w:val="0"/>
      <w:divBdr>
        <w:top w:val="none" w:sz="0" w:space="0" w:color="auto"/>
        <w:left w:val="none" w:sz="0" w:space="0" w:color="auto"/>
        <w:bottom w:val="none" w:sz="0" w:space="0" w:color="auto"/>
        <w:right w:val="none" w:sz="0" w:space="0" w:color="auto"/>
      </w:divBdr>
    </w:div>
    <w:div w:id="469828423">
      <w:bodyDiv w:val="1"/>
      <w:marLeft w:val="0"/>
      <w:marRight w:val="0"/>
      <w:marTop w:val="0"/>
      <w:marBottom w:val="0"/>
      <w:divBdr>
        <w:top w:val="none" w:sz="0" w:space="0" w:color="auto"/>
        <w:left w:val="none" w:sz="0" w:space="0" w:color="auto"/>
        <w:bottom w:val="none" w:sz="0" w:space="0" w:color="auto"/>
        <w:right w:val="none" w:sz="0" w:space="0" w:color="auto"/>
      </w:divBdr>
    </w:div>
    <w:div w:id="1267082857">
      <w:bodyDiv w:val="1"/>
      <w:marLeft w:val="0"/>
      <w:marRight w:val="0"/>
      <w:marTop w:val="0"/>
      <w:marBottom w:val="0"/>
      <w:divBdr>
        <w:top w:val="none" w:sz="0" w:space="0" w:color="auto"/>
        <w:left w:val="none" w:sz="0" w:space="0" w:color="auto"/>
        <w:bottom w:val="none" w:sz="0" w:space="0" w:color="auto"/>
        <w:right w:val="none" w:sz="0" w:space="0" w:color="auto"/>
      </w:divBdr>
    </w:div>
    <w:div w:id="1307590338">
      <w:bodyDiv w:val="1"/>
      <w:marLeft w:val="0"/>
      <w:marRight w:val="0"/>
      <w:marTop w:val="0"/>
      <w:marBottom w:val="0"/>
      <w:divBdr>
        <w:top w:val="none" w:sz="0" w:space="0" w:color="auto"/>
        <w:left w:val="none" w:sz="0" w:space="0" w:color="auto"/>
        <w:bottom w:val="none" w:sz="0" w:space="0" w:color="auto"/>
        <w:right w:val="none" w:sz="0" w:space="0" w:color="auto"/>
      </w:divBdr>
    </w:div>
    <w:div w:id="1569805656">
      <w:bodyDiv w:val="1"/>
      <w:marLeft w:val="0"/>
      <w:marRight w:val="0"/>
      <w:marTop w:val="0"/>
      <w:marBottom w:val="0"/>
      <w:divBdr>
        <w:top w:val="none" w:sz="0" w:space="0" w:color="auto"/>
        <w:left w:val="none" w:sz="0" w:space="0" w:color="auto"/>
        <w:bottom w:val="none" w:sz="0" w:space="0" w:color="auto"/>
        <w:right w:val="none" w:sz="0" w:space="0" w:color="auto"/>
      </w:divBdr>
    </w:div>
    <w:div w:id="1804037248">
      <w:bodyDiv w:val="1"/>
      <w:marLeft w:val="0"/>
      <w:marRight w:val="0"/>
      <w:marTop w:val="0"/>
      <w:marBottom w:val="0"/>
      <w:divBdr>
        <w:top w:val="none" w:sz="0" w:space="0" w:color="auto"/>
        <w:left w:val="none" w:sz="0" w:space="0" w:color="auto"/>
        <w:bottom w:val="none" w:sz="0" w:space="0" w:color="auto"/>
        <w:right w:val="none" w:sz="0" w:space="0" w:color="auto"/>
      </w:divBdr>
    </w:div>
    <w:div w:id="185565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egislation.act.gov.au/di/2016-303/"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legislation.act.gov.au/di/2017-309/default.as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legislation.act.gov.au/ni/2019-50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act.gov.au/View/ri/db_60762/20190809-71926/PDF/db_60762.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nvironment.act.gov.au/__data/assets/pdf_file/0006/581613/Regulatory_Impact_Statement_-_EEIS_expansion_to_non-residential_sector.pdf" TargetMode="External"/><Relationship Id="rId23" Type="http://schemas.openxmlformats.org/officeDocument/2006/relationships/fontTable" Target="fontTable.xml"/><Relationship Id="rId10" Type="http://schemas.openxmlformats.org/officeDocument/2006/relationships/hyperlink" Target="https://www.legislation.act.gov.au/di/2020-3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egislation.act.gov.au/di/2016-195/"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s3.ap-southeast-2.amazonaws.com/hdp.au.prod.app.act-yoursay.files/6915/1305/0361/2017_ACT_Climate_Change_Strate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2B738-F8EE-4906-8E46-C885C28F5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2380</Words>
  <Characters>13663</Characters>
  <Application>Microsoft Office Word</Application>
  <DocSecurity>0</DocSecurity>
  <Lines>271</Lines>
  <Paragraphs>113</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15970</CharactersWithSpaces>
  <SharedDoc>false</SharedDoc>
  <HLinks>
    <vt:vector size="642" baseType="variant">
      <vt:variant>
        <vt:i4>2752616</vt:i4>
      </vt:variant>
      <vt:variant>
        <vt:i4>561</vt:i4>
      </vt:variant>
      <vt:variant>
        <vt:i4>0</vt:i4>
      </vt:variant>
      <vt:variant>
        <vt:i4>5</vt:i4>
      </vt:variant>
      <vt:variant>
        <vt:lpwstr>http://www.ahrinet.org/</vt:lpwstr>
      </vt:variant>
      <vt:variant>
        <vt:lpwstr/>
      </vt:variant>
      <vt:variant>
        <vt:i4>1114113</vt:i4>
      </vt:variant>
      <vt:variant>
        <vt:i4>555</vt:i4>
      </vt:variant>
      <vt:variant>
        <vt:i4>0</vt:i4>
      </vt:variant>
      <vt:variant>
        <vt:i4>5</vt:i4>
      </vt:variant>
      <vt:variant>
        <vt:lpwstr>https://renew.org.au/wp-content/uploads/2018/08/Household_fuel_choice_in_the_NEM_Revised_June_2018.pdf</vt:lpwstr>
      </vt:variant>
      <vt:variant>
        <vt:lpwstr/>
      </vt:variant>
      <vt:variant>
        <vt:i4>1376305</vt:i4>
      </vt:variant>
      <vt:variant>
        <vt:i4>548</vt:i4>
      </vt:variant>
      <vt:variant>
        <vt:i4>0</vt:i4>
      </vt:variant>
      <vt:variant>
        <vt:i4>5</vt:i4>
      </vt:variant>
      <vt:variant>
        <vt:lpwstr/>
      </vt:variant>
      <vt:variant>
        <vt:lpwstr>_Toc11137565</vt:lpwstr>
      </vt:variant>
      <vt:variant>
        <vt:i4>1310769</vt:i4>
      </vt:variant>
      <vt:variant>
        <vt:i4>542</vt:i4>
      </vt:variant>
      <vt:variant>
        <vt:i4>0</vt:i4>
      </vt:variant>
      <vt:variant>
        <vt:i4>5</vt:i4>
      </vt:variant>
      <vt:variant>
        <vt:lpwstr/>
      </vt:variant>
      <vt:variant>
        <vt:lpwstr>_Toc11137564</vt:lpwstr>
      </vt:variant>
      <vt:variant>
        <vt:i4>1245233</vt:i4>
      </vt:variant>
      <vt:variant>
        <vt:i4>536</vt:i4>
      </vt:variant>
      <vt:variant>
        <vt:i4>0</vt:i4>
      </vt:variant>
      <vt:variant>
        <vt:i4>5</vt:i4>
      </vt:variant>
      <vt:variant>
        <vt:lpwstr/>
      </vt:variant>
      <vt:variant>
        <vt:lpwstr>_Toc11137563</vt:lpwstr>
      </vt:variant>
      <vt:variant>
        <vt:i4>1179697</vt:i4>
      </vt:variant>
      <vt:variant>
        <vt:i4>530</vt:i4>
      </vt:variant>
      <vt:variant>
        <vt:i4>0</vt:i4>
      </vt:variant>
      <vt:variant>
        <vt:i4>5</vt:i4>
      </vt:variant>
      <vt:variant>
        <vt:lpwstr/>
      </vt:variant>
      <vt:variant>
        <vt:lpwstr>_Toc11137562</vt:lpwstr>
      </vt:variant>
      <vt:variant>
        <vt:i4>1114161</vt:i4>
      </vt:variant>
      <vt:variant>
        <vt:i4>524</vt:i4>
      </vt:variant>
      <vt:variant>
        <vt:i4>0</vt:i4>
      </vt:variant>
      <vt:variant>
        <vt:i4>5</vt:i4>
      </vt:variant>
      <vt:variant>
        <vt:lpwstr/>
      </vt:variant>
      <vt:variant>
        <vt:lpwstr>_Toc11137561</vt:lpwstr>
      </vt:variant>
      <vt:variant>
        <vt:i4>1048625</vt:i4>
      </vt:variant>
      <vt:variant>
        <vt:i4>518</vt:i4>
      </vt:variant>
      <vt:variant>
        <vt:i4>0</vt:i4>
      </vt:variant>
      <vt:variant>
        <vt:i4>5</vt:i4>
      </vt:variant>
      <vt:variant>
        <vt:lpwstr/>
      </vt:variant>
      <vt:variant>
        <vt:lpwstr>_Toc11137560</vt:lpwstr>
      </vt:variant>
      <vt:variant>
        <vt:i4>1638450</vt:i4>
      </vt:variant>
      <vt:variant>
        <vt:i4>512</vt:i4>
      </vt:variant>
      <vt:variant>
        <vt:i4>0</vt:i4>
      </vt:variant>
      <vt:variant>
        <vt:i4>5</vt:i4>
      </vt:variant>
      <vt:variant>
        <vt:lpwstr/>
      </vt:variant>
      <vt:variant>
        <vt:lpwstr>_Toc11137559</vt:lpwstr>
      </vt:variant>
      <vt:variant>
        <vt:i4>1572914</vt:i4>
      </vt:variant>
      <vt:variant>
        <vt:i4>506</vt:i4>
      </vt:variant>
      <vt:variant>
        <vt:i4>0</vt:i4>
      </vt:variant>
      <vt:variant>
        <vt:i4>5</vt:i4>
      </vt:variant>
      <vt:variant>
        <vt:lpwstr/>
      </vt:variant>
      <vt:variant>
        <vt:lpwstr>_Toc11137558</vt:lpwstr>
      </vt:variant>
      <vt:variant>
        <vt:i4>1507378</vt:i4>
      </vt:variant>
      <vt:variant>
        <vt:i4>500</vt:i4>
      </vt:variant>
      <vt:variant>
        <vt:i4>0</vt:i4>
      </vt:variant>
      <vt:variant>
        <vt:i4>5</vt:i4>
      </vt:variant>
      <vt:variant>
        <vt:lpwstr/>
      </vt:variant>
      <vt:variant>
        <vt:lpwstr>_Toc11137557</vt:lpwstr>
      </vt:variant>
      <vt:variant>
        <vt:i4>1441842</vt:i4>
      </vt:variant>
      <vt:variant>
        <vt:i4>494</vt:i4>
      </vt:variant>
      <vt:variant>
        <vt:i4>0</vt:i4>
      </vt:variant>
      <vt:variant>
        <vt:i4>5</vt:i4>
      </vt:variant>
      <vt:variant>
        <vt:lpwstr/>
      </vt:variant>
      <vt:variant>
        <vt:lpwstr>_Toc11137556</vt:lpwstr>
      </vt:variant>
      <vt:variant>
        <vt:i4>1376306</vt:i4>
      </vt:variant>
      <vt:variant>
        <vt:i4>488</vt:i4>
      </vt:variant>
      <vt:variant>
        <vt:i4>0</vt:i4>
      </vt:variant>
      <vt:variant>
        <vt:i4>5</vt:i4>
      </vt:variant>
      <vt:variant>
        <vt:lpwstr/>
      </vt:variant>
      <vt:variant>
        <vt:lpwstr>_Toc11137555</vt:lpwstr>
      </vt:variant>
      <vt:variant>
        <vt:i4>1310770</vt:i4>
      </vt:variant>
      <vt:variant>
        <vt:i4>482</vt:i4>
      </vt:variant>
      <vt:variant>
        <vt:i4>0</vt:i4>
      </vt:variant>
      <vt:variant>
        <vt:i4>5</vt:i4>
      </vt:variant>
      <vt:variant>
        <vt:lpwstr/>
      </vt:variant>
      <vt:variant>
        <vt:lpwstr>_Toc11137554</vt:lpwstr>
      </vt:variant>
      <vt:variant>
        <vt:i4>1245234</vt:i4>
      </vt:variant>
      <vt:variant>
        <vt:i4>476</vt:i4>
      </vt:variant>
      <vt:variant>
        <vt:i4>0</vt:i4>
      </vt:variant>
      <vt:variant>
        <vt:i4>5</vt:i4>
      </vt:variant>
      <vt:variant>
        <vt:lpwstr/>
      </vt:variant>
      <vt:variant>
        <vt:lpwstr>_Toc11137553</vt:lpwstr>
      </vt:variant>
      <vt:variant>
        <vt:i4>1179698</vt:i4>
      </vt:variant>
      <vt:variant>
        <vt:i4>470</vt:i4>
      </vt:variant>
      <vt:variant>
        <vt:i4>0</vt:i4>
      </vt:variant>
      <vt:variant>
        <vt:i4>5</vt:i4>
      </vt:variant>
      <vt:variant>
        <vt:lpwstr/>
      </vt:variant>
      <vt:variant>
        <vt:lpwstr>_Toc11137552</vt:lpwstr>
      </vt:variant>
      <vt:variant>
        <vt:i4>1114162</vt:i4>
      </vt:variant>
      <vt:variant>
        <vt:i4>464</vt:i4>
      </vt:variant>
      <vt:variant>
        <vt:i4>0</vt:i4>
      </vt:variant>
      <vt:variant>
        <vt:i4>5</vt:i4>
      </vt:variant>
      <vt:variant>
        <vt:lpwstr/>
      </vt:variant>
      <vt:variant>
        <vt:lpwstr>_Toc11137551</vt:lpwstr>
      </vt:variant>
      <vt:variant>
        <vt:i4>1048626</vt:i4>
      </vt:variant>
      <vt:variant>
        <vt:i4>458</vt:i4>
      </vt:variant>
      <vt:variant>
        <vt:i4>0</vt:i4>
      </vt:variant>
      <vt:variant>
        <vt:i4>5</vt:i4>
      </vt:variant>
      <vt:variant>
        <vt:lpwstr/>
      </vt:variant>
      <vt:variant>
        <vt:lpwstr>_Toc11137550</vt:lpwstr>
      </vt:variant>
      <vt:variant>
        <vt:i4>1638451</vt:i4>
      </vt:variant>
      <vt:variant>
        <vt:i4>452</vt:i4>
      </vt:variant>
      <vt:variant>
        <vt:i4>0</vt:i4>
      </vt:variant>
      <vt:variant>
        <vt:i4>5</vt:i4>
      </vt:variant>
      <vt:variant>
        <vt:lpwstr/>
      </vt:variant>
      <vt:variant>
        <vt:lpwstr>_Toc11137549</vt:lpwstr>
      </vt:variant>
      <vt:variant>
        <vt:i4>1572915</vt:i4>
      </vt:variant>
      <vt:variant>
        <vt:i4>446</vt:i4>
      </vt:variant>
      <vt:variant>
        <vt:i4>0</vt:i4>
      </vt:variant>
      <vt:variant>
        <vt:i4>5</vt:i4>
      </vt:variant>
      <vt:variant>
        <vt:lpwstr/>
      </vt:variant>
      <vt:variant>
        <vt:lpwstr>_Toc11137548</vt:lpwstr>
      </vt:variant>
      <vt:variant>
        <vt:i4>1507379</vt:i4>
      </vt:variant>
      <vt:variant>
        <vt:i4>440</vt:i4>
      </vt:variant>
      <vt:variant>
        <vt:i4>0</vt:i4>
      </vt:variant>
      <vt:variant>
        <vt:i4>5</vt:i4>
      </vt:variant>
      <vt:variant>
        <vt:lpwstr/>
      </vt:variant>
      <vt:variant>
        <vt:lpwstr>_Toc11137547</vt:lpwstr>
      </vt:variant>
      <vt:variant>
        <vt:i4>1441843</vt:i4>
      </vt:variant>
      <vt:variant>
        <vt:i4>434</vt:i4>
      </vt:variant>
      <vt:variant>
        <vt:i4>0</vt:i4>
      </vt:variant>
      <vt:variant>
        <vt:i4>5</vt:i4>
      </vt:variant>
      <vt:variant>
        <vt:lpwstr/>
      </vt:variant>
      <vt:variant>
        <vt:lpwstr>_Toc11137546</vt:lpwstr>
      </vt:variant>
      <vt:variant>
        <vt:i4>1376307</vt:i4>
      </vt:variant>
      <vt:variant>
        <vt:i4>428</vt:i4>
      </vt:variant>
      <vt:variant>
        <vt:i4>0</vt:i4>
      </vt:variant>
      <vt:variant>
        <vt:i4>5</vt:i4>
      </vt:variant>
      <vt:variant>
        <vt:lpwstr/>
      </vt:variant>
      <vt:variant>
        <vt:lpwstr>_Toc11137545</vt:lpwstr>
      </vt:variant>
      <vt:variant>
        <vt:i4>1310771</vt:i4>
      </vt:variant>
      <vt:variant>
        <vt:i4>422</vt:i4>
      </vt:variant>
      <vt:variant>
        <vt:i4>0</vt:i4>
      </vt:variant>
      <vt:variant>
        <vt:i4>5</vt:i4>
      </vt:variant>
      <vt:variant>
        <vt:lpwstr/>
      </vt:variant>
      <vt:variant>
        <vt:lpwstr>_Toc11137544</vt:lpwstr>
      </vt:variant>
      <vt:variant>
        <vt:i4>1245235</vt:i4>
      </vt:variant>
      <vt:variant>
        <vt:i4>416</vt:i4>
      </vt:variant>
      <vt:variant>
        <vt:i4>0</vt:i4>
      </vt:variant>
      <vt:variant>
        <vt:i4>5</vt:i4>
      </vt:variant>
      <vt:variant>
        <vt:lpwstr/>
      </vt:variant>
      <vt:variant>
        <vt:lpwstr>_Toc11137543</vt:lpwstr>
      </vt:variant>
      <vt:variant>
        <vt:i4>1179699</vt:i4>
      </vt:variant>
      <vt:variant>
        <vt:i4>410</vt:i4>
      </vt:variant>
      <vt:variant>
        <vt:i4>0</vt:i4>
      </vt:variant>
      <vt:variant>
        <vt:i4>5</vt:i4>
      </vt:variant>
      <vt:variant>
        <vt:lpwstr/>
      </vt:variant>
      <vt:variant>
        <vt:lpwstr>_Toc11137542</vt:lpwstr>
      </vt:variant>
      <vt:variant>
        <vt:i4>1114163</vt:i4>
      </vt:variant>
      <vt:variant>
        <vt:i4>404</vt:i4>
      </vt:variant>
      <vt:variant>
        <vt:i4>0</vt:i4>
      </vt:variant>
      <vt:variant>
        <vt:i4>5</vt:i4>
      </vt:variant>
      <vt:variant>
        <vt:lpwstr/>
      </vt:variant>
      <vt:variant>
        <vt:lpwstr>_Toc11137541</vt:lpwstr>
      </vt:variant>
      <vt:variant>
        <vt:i4>1048627</vt:i4>
      </vt:variant>
      <vt:variant>
        <vt:i4>398</vt:i4>
      </vt:variant>
      <vt:variant>
        <vt:i4>0</vt:i4>
      </vt:variant>
      <vt:variant>
        <vt:i4>5</vt:i4>
      </vt:variant>
      <vt:variant>
        <vt:lpwstr/>
      </vt:variant>
      <vt:variant>
        <vt:lpwstr>_Toc11137540</vt:lpwstr>
      </vt:variant>
      <vt:variant>
        <vt:i4>1638452</vt:i4>
      </vt:variant>
      <vt:variant>
        <vt:i4>392</vt:i4>
      </vt:variant>
      <vt:variant>
        <vt:i4>0</vt:i4>
      </vt:variant>
      <vt:variant>
        <vt:i4>5</vt:i4>
      </vt:variant>
      <vt:variant>
        <vt:lpwstr/>
      </vt:variant>
      <vt:variant>
        <vt:lpwstr>_Toc11137539</vt:lpwstr>
      </vt:variant>
      <vt:variant>
        <vt:i4>1572916</vt:i4>
      </vt:variant>
      <vt:variant>
        <vt:i4>386</vt:i4>
      </vt:variant>
      <vt:variant>
        <vt:i4>0</vt:i4>
      </vt:variant>
      <vt:variant>
        <vt:i4>5</vt:i4>
      </vt:variant>
      <vt:variant>
        <vt:lpwstr/>
      </vt:variant>
      <vt:variant>
        <vt:lpwstr>_Toc11137538</vt:lpwstr>
      </vt:variant>
      <vt:variant>
        <vt:i4>1507380</vt:i4>
      </vt:variant>
      <vt:variant>
        <vt:i4>380</vt:i4>
      </vt:variant>
      <vt:variant>
        <vt:i4>0</vt:i4>
      </vt:variant>
      <vt:variant>
        <vt:i4>5</vt:i4>
      </vt:variant>
      <vt:variant>
        <vt:lpwstr/>
      </vt:variant>
      <vt:variant>
        <vt:lpwstr>_Toc11137537</vt:lpwstr>
      </vt:variant>
      <vt:variant>
        <vt:i4>1441844</vt:i4>
      </vt:variant>
      <vt:variant>
        <vt:i4>374</vt:i4>
      </vt:variant>
      <vt:variant>
        <vt:i4>0</vt:i4>
      </vt:variant>
      <vt:variant>
        <vt:i4>5</vt:i4>
      </vt:variant>
      <vt:variant>
        <vt:lpwstr/>
      </vt:variant>
      <vt:variant>
        <vt:lpwstr>_Toc11137536</vt:lpwstr>
      </vt:variant>
      <vt:variant>
        <vt:i4>1376308</vt:i4>
      </vt:variant>
      <vt:variant>
        <vt:i4>368</vt:i4>
      </vt:variant>
      <vt:variant>
        <vt:i4>0</vt:i4>
      </vt:variant>
      <vt:variant>
        <vt:i4>5</vt:i4>
      </vt:variant>
      <vt:variant>
        <vt:lpwstr/>
      </vt:variant>
      <vt:variant>
        <vt:lpwstr>_Toc11137535</vt:lpwstr>
      </vt:variant>
      <vt:variant>
        <vt:i4>1310772</vt:i4>
      </vt:variant>
      <vt:variant>
        <vt:i4>362</vt:i4>
      </vt:variant>
      <vt:variant>
        <vt:i4>0</vt:i4>
      </vt:variant>
      <vt:variant>
        <vt:i4>5</vt:i4>
      </vt:variant>
      <vt:variant>
        <vt:lpwstr/>
      </vt:variant>
      <vt:variant>
        <vt:lpwstr>_Toc11137534</vt:lpwstr>
      </vt:variant>
      <vt:variant>
        <vt:i4>1245236</vt:i4>
      </vt:variant>
      <vt:variant>
        <vt:i4>356</vt:i4>
      </vt:variant>
      <vt:variant>
        <vt:i4>0</vt:i4>
      </vt:variant>
      <vt:variant>
        <vt:i4>5</vt:i4>
      </vt:variant>
      <vt:variant>
        <vt:lpwstr/>
      </vt:variant>
      <vt:variant>
        <vt:lpwstr>_Toc11137533</vt:lpwstr>
      </vt:variant>
      <vt:variant>
        <vt:i4>1179700</vt:i4>
      </vt:variant>
      <vt:variant>
        <vt:i4>350</vt:i4>
      </vt:variant>
      <vt:variant>
        <vt:i4>0</vt:i4>
      </vt:variant>
      <vt:variant>
        <vt:i4>5</vt:i4>
      </vt:variant>
      <vt:variant>
        <vt:lpwstr/>
      </vt:variant>
      <vt:variant>
        <vt:lpwstr>_Toc11137532</vt:lpwstr>
      </vt:variant>
      <vt:variant>
        <vt:i4>1114164</vt:i4>
      </vt:variant>
      <vt:variant>
        <vt:i4>344</vt:i4>
      </vt:variant>
      <vt:variant>
        <vt:i4>0</vt:i4>
      </vt:variant>
      <vt:variant>
        <vt:i4>5</vt:i4>
      </vt:variant>
      <vt:variant>
        <vt:lpwstr/>
      </vt:variant>
      <vt:variant>
        <vt:lpwstr>_Toc11137531</vt:lpwstr>
      </vt:variant>
      <vt:variant>
        <vt:i4>1048628</vt:i4>
      </vt:variant>
      <vt:variant>
        <vt:i4>338</vt:i4>
      </vt:variant>
      <vt:variant>
        <vt:i4>0</vt:i4>
      </vt:variant>
      <vt:variant>
        <vt:i4>5</vt:i4>
      </vt:variant>
      <vt:variant>
        <vt:lpwstr/>
      </vt:variant>
      <vt:variant>
        <vt:lpwstr>_Toc11137530</vt:lpwstr>
      </vt:variant>
      <vt:variant>
        <vt:i4>1638453</vt:i4>
      </vt:variant>
      <vt:variant>
        <vt:i4>332</vt:i4>
      </vt:variant>
      <vt:variant>
        <vt:i4>0</vt:i4>
      </vt:variant>
      <vt:variant>
        <vt:i4>5</vt:i4>
      </vt:variant>
      <vt:variant>
        <vt:lpwstr/>
      </vt:variant>
      <vt:variant>
        <vt:lpwstr>_Toc11137529</vt:lpwstr>
      </vt:variant>
      <vt:variant>
        <vt:i4>1572917</vt:i4>
      </vt:variant>
      <vt:variant>
        <vt:i4>326</vt:i4>
      </vt:variant>
      <vt:variant>
        <vt:i4>0</vt:i4>
      </vt:variant>
      <vt:variant>
        <vt:i4>5</vt:i4>
      </vt:variant>
      <vt:variant>
        <vt:lpwstr/>
      </vt:variant>
      <vt:variant>
        <vt:lpwstr>_Toc11137528</vt:lpwstr>
      </vt:variant>
      <vt:variant>
        <vt:i4>1507381</vt:i4>
      </vt:variant>
      <vt:variant>
        <vt:i4>320</vt:i4>
      </vt:variant>
      <vt:variant>
        <vt:i4>0</vt:i4>
      </vt:variant>
      <vt:variant>
        <vt:i4>5</vt:i4>
      </vt:variant>
      <vt:variant>
        <vt:lpwstr/>
      </vt:variant>
      <vt:variant>
        <vt:lpwstr>_Toc11137527</vt:lpwstr>
      </vt:variant>
      <vt:variant>
        <vt:i4>1441845</vt:i4>
      </vt:variant>
      <vt:variant>
        <vt:i4>314</vt:i4>
      </vt:variant>
      <vt:variant>
        <vt:i4>0</vt:i4>
      </vt:variant>
      <vt:variant>
        <vt:i4>5</vt:i4>
      </vt:variant>
      <vt:variant>
        <vt:lpwstr/>
      </vt:variant>
      <vt:variant>
        <vt:lpwstr>_Toc11137526</vt:lpwstr>
      </vt:variant>
      <vt:variant>
        <vt:i4>1376309</vt:i4>
      </vt:variant>
      <vt:variant>
        <vt:i4>308</vt:i4>
      </vt:variant>
      <vt:variant>
        <vt:i4>0</vt:i4>
      </vt:variant>
      <vt:variant>
        <vt:i4>5</vt:i4>
      </vt:variant>
      <vt:variant>
        <vt:lpwstr/>
      </vt:variant>
      <vt:variant>
        <vt:lpwstr>_Toc11137525</vt:lpwstr>
      </vt:variant>
      <vt:variant>
        <vt:i4>1310773</vt:i4>
      </vt:variant>
      <vt:variant>
        <vt:i4>302</vt:i4>
      </vt:variant>
      <vt:variant>
        <vt:i4>0</vt:i4>
      </vt:variant>
      <vt:variant>
        <vt:i4>5</vt:i4>
      </vt:variant>
      <vt:variant>
        <vt:lpwstr/>
      </vt:variant>
      <vt:variant>
        <vt:lpwstr>_Toc11137524</vt:lpwstr>
      </vt:variant>
      <vt:variant>
        <vt:i4>1245237</vt:i4>
      </vt:variant>
      <vt:variant>
        <vt:i4>296</vt:i4>
      </vt:variant>
      <vt:variant>
        <vt:i4>0</vt:i4>
      </vt:variant>
      <vt:variant>
        <vt:i4>5</vt:i4>
      </vt:variant>
      <vt:variant>
        <vt:lpwstr/>
      </vt:variant>
      <vt:variant>
        <vt:lpwstr>_Toc11137523</vt:lpwstr>
      </vt:variant>
      <vt:variant>
        <vt:i4>1179701</vt:i4>
      </vt:variant>
      <vt:variant>
        <vt:i4>290</vt:i4>
      </vt:variant>
      <vt:variant>
        <vt:i4>0</vt:i4>
      </vt:variant>
      <vt:variant>
        <vt:i4>5</vt:i4>
      </vt:variant>
      <vt:variant>
        <vt:lpwstr/>
      </vt:variant>
      <vt:variant>
        <vt:lpwstr>_Toc11137522</vt:lpwstr>
      </vt:variant>
      <vt:variant>
        <vt:i4>1114165</vt:i4>
      </vt:variant>
      <vt:variant>
        <vt:i4>284</vt:i4>
      </vt:variant>
      <vt:variant>
        <vt:i4>0</vt:i4>
      </vt:variant>
      <vt:variant>
        <vt:i4>5</vt:i4>
      </vt:variant>
      <vt:variant>
        <vt:lpwstr/>
      </vt:variant>
      <vt:variant>
        <vt:lpwstr>_Toc11137521</vt:lpwstr>
      </vt:variant>
      <vt:variant>
        <vt:i4>1048629</vt:i4>
      </vt:variant>
      <vt:variant>
        <vt:i4>278</vt:i4>
      </vt:variant>
      <vt:variant>
        <vt:i4>0</vt:i4>
      </vt:variant>
      <vt:variant>
        <vt:i4>5</vt:i4>
      </vt:variant>
      <vt:variant>
        <vt:lpwstr/>
      </vt:variant>
      <vt:variant>
        <vt:lpwstr>_Toc11137520</vt:lpwstr>
      </vt:variant>
      <vt:variant>
        <vt:i4>1638454</vt:i4>
      </vt:variant>
      <vt:variant>
        <vt:i4>272</vt:i4>
      </vt:variant>
      <vt:variant>
        <vt:i4>0</vt:i4>
      </vt:variant>
      <vt:variant>
        <vt:i4>5</vt:i4>
      </vt:variant>
      <vt:variant>
        <vt:lpwstr/>
      </vt:variant>
      <vt:variant>
        <vt:lpwstr>_Toc11137519</vt:lpwstr>
      </vt:variant>
      <vt:variant>
        <vt:i4>1572918</vt:i4>
      </vt:variant>
      <vt:variant>
        <vt:i4>266</vt:i4>
      </vt:variant>
      <vt:variant>
        <vt:i4>0</vt:i4>
      </vt:variant>
      <vt:variant>
        <vt:i4>5</vt:i4>
      </vt:variant>
      <vt:variant>
        <vt:lpwstr/>
      </vt:variant>
      <vt:variant>
        <vt:lpwstr>_Toc11137518</vt:lpwstr>
      </vt:variant>
      <vt:variant>
        <vt:i4>1507382</vt:i4>
      </vt:variant>
      <vt:variant>
        <vt:i4>260</vt:i4>
      </vt:variant>
      <vt:variant>
        <vt:i4>0</vt:i4>
      </vt:variant>
      <vt:variant>
        <vt:i4>5</vt:i4>
      </vt:variant>
      <vt:variant>
        <vt:lpwstr/>
      </vt:variant>
      <vt:variant>
        <vt:lpwstr>_Toc11137517</vt:lpwstr>
      </vt:variant>
      <vt:variant>
        <vt:i4>1441846</vt:i4>
      </vt:variant>
      <vt:variant>
        <vt:i4>254</vt:i4>
      </vt:variant>
      <vt:variant>
        <vt:i4>0</vt:i4>
      </vt:variant>
      <vt:variant>
        <vt:i4>5</vt:i4>
      </vt:variant>
      <vt:variant>
        <vt:lpwstr/>
      </vt:variant>
      <vt:variant>
        <vt:lpwstr>_Toc11137516</vt:lpwstr>
      </vt:variant>
      <vt:variant>
        <vt:i4>1376310</vt:i4>
      </vt:variant>
      <vt:variant>
        <vt:i4>248</vt:i4>
      </vt:variant>
      <vt:variant>
        <vt:i4>0</vt:i4>
      </vt:variant>
      <vt:variant>
        <vt:i4>5</vt:i4>
      </vt:variant>
      <vt:variant>
        <vt:lpwstr/>
      </vt:variant>
      <vt:variant>
        <vt:lpwstr>_Toc11137515</vt:lpwstr>
      </vt:variant>
      <vt:variant>
        <vt:i4>1310774</vt:i4>
      </vt:variant>
      <vt:variant>
        <vt:i4>242</vt:i4>
      </vt:variant>
      <vt:variant>
        <vt:i4>0</vt:i4>
      </vt:variant>
      <vt:variant>
        <vt:i4>5</vt:i4>
      </vt:variant>
      <vt:variant>
        <vt:lpwstr/>
      </vt:variant>
      <vt:variant>
        <vt:lpwstr>_Toc11137514</vt:lpwstr>
      </vt:variant>
      <vt:variant>
        <vt:i4>1245238</vt:i4>
      </vt:variant>
      <vt:variant>
        <vt:i4>236</vt:i4>
      </vt:variant>
      <vt:variant>
        <vt:i4>0</vt:i4>
      </vt:variant>
      <vt:variant>
        <vt:i4>5</vt:i4>
      </vt:variant>
      <vt:variant>
        <vt:lpwstr/>
      </vt:variant>
      <vt:variant>
        <vt:lpwstr>_Toc11137513</vt:lpwstr>
      </vt:variant>
      <vt:variant>
        <vt:i4>1179702</vt:i4>
      </vt:variant>
      <vt:variant>
        <vt:i4>230</vt:i4>
      </vt:variant>
      <vt:variant>
        <vt:i4>0</vt:i4>
      </vt:variant>
      <vt:variant>
        <vt:i4>5</vt:i4>
      </vt:variant>
      <vt:variant>
        <vt:lpwstr/>
      </vt:variant>
      <vt:variant>
        <vt:lpwstr>_Toc11137512</vt:lpwstr>
      </vt:variant>
      <vt:variant>
        <vt:i4>1114166</vt:i4>
      </vt:variant>
      <vt:variant>
        <vt:i4>224</vt:i4>
      </vt:variant>
      <vt:variant>
        <vt:i4>0</vt:i4>
      </vt:variant>
      <vt:variant>
        <vt:i4>5</vt:i4>
      </vt:variant>
      <vt:variant>
        <vt:lpwstr/>
      </vt:variant>
      <vt:variant>
        <vt:lpwstr>_Toc11137511</vt:lpwstr>
      </vt:variant>
      <vt:variant>
        <vt:i4>1048630</vt:i4>
      </vt:variant>
      <vt:variant>
        <vt:i4>218</vt:i4>
      </vt:variant>
      <vt:variant>
        <vt:i4>0</vt:i4>
      </vt:variant>
      <vt:variant>
        <vt:i4>5</vt:i4>
      </vt:variant>
      <vt:variant>
        <vt:lpwstr/>
      </vt:variant>
      <vt:variant>
        <vt:lpwstr>_Toc11137510</vt:lpwstr>
      </vt:variant>
      <vt:variant>
        <vt:i4>1638455</vt:i4>
      </vt:variant>
      <vt:variant>
        <vt:i4>212</vt:i4>
      </vt:variant>
      <vt:variant>
        <vt:i4>0</vt:i4>
      </vt:variant>
      <vt:variant>
        <vt:i4>5</vt:i4>
      </vt:variant>
      <vt:variant>
        <vt:lpwstr/>
      </vt:variant>
      <vt:variant>
        <vt:lpwstr>_Toc11137509</vt:lpwstr>
      </vt:variant>
      <vt:variant>
        <vt:i4>1572919</vt:i4>
      </vt:variant>
      <vt:variant>
        <vt:i4>206</vt:i4>
      </vt:variant>
      <vt:variant>
        <vt:i4>0</vt:i4>
      </vt:variant>
      <vt:variant>
        <vt:i4>5</vt:i4>
      </vt:variant>
      <vt:variant>
        <vt:lpwstr/>
      </vt:variant>
      <vt:variant>
        <vt:lpwstr>_Toc11137508</vt:lpwstr>
      </vt:variant>
      <vt:variant>
        <vt:i4>1507383</vt:i4>
      </vt:variant>
      <vt:variant>
        <vt:i4>200</vt:i4>
      </vt:variant>
      <vt:variant>
        <vt:i4>0</vt:i4>
      </vt:variant>
      <vt:variant>
        <vt:i4>5</vt:i4>
      </vt:variant>
      <vt:variant>
        <vt:lpwstr/>
      </vt:variant>
      <vt:variant>
        <vt:lpwstr>_Toc11137507</vt:lpwstr>
      </vt:variant>
      <vt:variant>
        <vt:i4>1441847</vt:i4>
      </vt:variant>
      <vt:variant>
        <vt:i4>194</vt:i4>
      </vt:variant>
      <vt:variant>
        <vt:i4>0</vt:i4>
      </vt:variant>
      <vt:variant>
        <vt:i4>5</vt:i4>
      </vt:variant>
      <vt:variant>
        <vt:lpwstr/>
      </vt:variant>
      <vt:variant>
        <vt:lpwstr>_Toc11137506</vt:lpwstr>
      </vt:variant>
      <vt:variant>
        <vt:i4>1376311</vt:i4>
      </vt:variant>
      <vt:variant>
        <vt:i4>188</vt:i4>
      </vt:variant>
      <vt:variant>
        <vt:i4>0</vt:i4>
      </vt:variant>
      <vt:variant>
        <vt:i4>5</vt:i4>
      </vt:variant>
      <vt:variant>
        <vt:lpwstr/>
      </vt:variant>
      <vt:variant>
        <vt:lpwstr>_Toc11137505</vt:lpwstr>
      </vt:variant>
      <vt:variant>
        <vt:i4>1310775</vt:i4>
      </vt:variant>
      <vt:variant>
        <vt:i4>182</vt:i4>
      </vt:variant>
      <vt:variant>
        <vt:i4>0</vt:i4>
      </vt:variant>
      <vt:variant>
        <vt:i4>5</vt:i4>
      </vt:variant>
      <vt:variant>
        <vt:lpwstr/>
      </vt:variant>
      <vt:variant>
        <vt:lpwstr>_Toc11137504</vt:lpwstr>
      </vt:variant>
      <vt:variant>
        <vt:i4>1245239</vt:i4>
      </vt:variant>
      <vt:variant>
        <vt:i4>176</vt:i4>
      </vt:variant>
      <vt:variant>
        <vt:i4>0</vt:i4>
      </vt:variant>
      <vt:variant>
        <vt:i4>5</vt:i4>
      </vt:variant>
      <vt:variant>
        <vt:lpwstr/>
      </vt:variant>
      <vt:variant>
        <vt:lpwstr>_Toc11137503</vt:lpwstr>
      </vt:variant>
      <vt:variant>
        <vt:i4>1179703</vt:i4>
      </vt:variant>
      <vt:variant>
        <vt:i4>170</vt:i4>
      </vt:variant>
      <vt:variant>
        <vt:i4>0</vt:i4>
      </vt:variant>
      <vt:variant>
        <vt:i4>5</vt:i4>
      </vt:variant>
      <vt:variant>
        <vt:lpwstr/>
      </vt:variant>
      <vt:variant>
        <vt:lpwstr>_Toc11137502</vt:lpwstr>
      </vt:variant>
      <vt:variant>
        <vt:i4>1114167</vt:i4>
      </vt:variant>
      <vt:variant>
        <vt:i4>164</vt:i4>
      </vt:variant>
      <vt:variant>
        <vt:i4>0</vt:i4>
      </vt:variant>
      <vt:variant>
        <vt:i4>5</vt:i4>
      </vt:variant>
      <vt:variant>
        <vt:lpwstr/>
      </vt:variant>
      <vt:variant>
        <vt:lpwstr>_Toc11137501</vt:lpwstr>
      </vt:variant>
      <vt:variant>
        <vt:i4>1048631</vt:i4>
      </vt:variant>
      <vt:variant>
        <vt:i4>158</vt:i4>
      </vt:variant>
      <vt:variant>
        <vt:i4>0</vt:i4>
      </vt:variant>
      <vt:variant>
        <vt:i4>5</vt:i4>
      </vt:variant>
      <vt:variant>
        <vt:lpwstr/>
      </vt:variant>
      <vt:variant>
        <vt:lpwstr>_Toc11137500</vt:lpwstr>
      </vt:variant>
      <vt:variant>
        <vt:i4>1572926</vt:i4>
      </vt:variant>
      <vt:variant>
        <vt:i4>152</vt:i4>
      </vt:variant>
      <vt:variant>
        <vt:i4>0</vt:i4>
      </vt:variant>
      <vt:variant>
        <vt:i4>5</vt:i4>
      </vt:variant>
      <vt:variant>
        <vt:lpwstr/>
      </vt:variant>
      <vt:variant>
        <vt:lpwstr>_Toc11137499</vt:lpwstr>
      </vt:variant>
      <vt:variant>
        <vt:i4>1638462</vt:i4>
      </vt:variant>
      <vt:variant>
        <vt:i4>146</vt:i4>
      </vt:variant>
      <vt:variant>
        <vt:i4>0</vt:i4>
      </vt:variant>
      <vt:variant>
        <vt:i4>5</vt:i4>
      </vt:variant>
      <vt:variant>
        <vt:lpwstr/>
      </vt:variant>
      <vt:variant>
        <vt:lpwstr>_Toc11137498</vt:lpwstr>
      </vt:variant>
      <vt:variant>
        <vt:i4>1441854</vt:i4>
      </vt:variant>
      <vt:variant>
        <vt:i4>140</vt:i4>
      </vt:variant>
      <vt:variant>
        <vt:i4>0</vt:i4>
      </vt:variant>
      <vt:variant>
        <vt:i4>5</vt:i4>
      </vt:variant>
      <vt:variant>
        <vt:lpwstr/>
      </vt:variant>
      <vt:variant>
        <vt:lpwstr>_Toc11137497</vt:lpwstr>
      </vt:variant>
      <vt:variant>
        <vt:i4>1507390</vt:i4>
      </vt:variant>
      <vt:variant>
        <vt:i4>134</vt:i4>
      </vt:variant>
      <vt:variant>
        <vt:i4>0</vt:i4>
      </vt:variant>
      <vt:variant>
        <vt:i4>5</vt:i4>
      </vt:variant>
      <vt:variant>
        <vt:lpwstr/>
      </vt:variant>
      <vt:variant>
        <vt:lpwstr>_Toc11137496</vt:lpwstr>
      </vt:variant>
      <vt:variant>
        <vt:i4>1310782</vt:i4>
      </vt:variant>
      <vt:variant>
        <vt:i4>128</vt:i4>
      </vt:variant>
      <vt:variant>
        <vt:i4>0</vt:i4>
      </vt:variant>
      <vt:variant>
        <vt:i4>5</vt:i4>
      </vt:variant>
      <vt:variant>
        <vt:lpwstr/>
      </vt:variant>
      <vt:variant>
        <vt:lpwstr>_Toc11137495</vt:lpwstr>
      </vt:variant>
      <vt:variant>
        <vt:i4>1376318</vt:i4>
      </vt:variant>
      <vt:variant>
        <vt:i4>122</vt:i4>
      </vt:variant>
      <vt:variant>
        <vt:i4>0</vt:i4>
      </vt:variant>
      <vt:variant>
        <vt:i4>5</vt:i4>
      </vt:variant>
      <vt:variant>
        <vt:lpwstr/>
      </vt:variant>
      <vt:variant>
        <vt:lpwstr>_Toc11137494</vt:lpwstr>
      </vt:variant>
      <vt:variant>
        <vt:i4>1179710</vt:i4>
      </vt:variant>
      <vt:variant>
        <vt:i4>116</vt:i4>
      </vt:variant>
      <vt:variant>
        <vt:i4>0</vt:i4>
      </vt:variant>
      <vt:variant>
        <vt:i4>5</vt:i4>
      </vt:variant>
      <vt:variant>
        <vt:lpwstr/>
      </vt:variant>
      <vt:variant>
        <vt:lpwstr>_Toc11137493</vt:lpwstr>
      </vt:variant>
      <vt:variant>
        <vt:i4>1245246</vt:i4>
      </vt:variant>
      <vt:variant>
        <vt:i4>110</vt:i4>
      </vt:variant>
      <vt:variant>
        <vt:i4>0</vt:i4>
      </vt:variant>
      <vt:variant>
        <vt:i4>5</vt:i4>
      </vt:variant>
      <vt:variant>
        <vt:lpwstr/>
      </vt:variant>
      <vt:variant>
        <vt:lpwstr>_Toc11137492</vt:lpwstr>
      </vt:variant>
      <vt:variant>
        <vt:i4>1048638</vt:i4>
      </vt:variant>
      <vt:variant>
        <vt:i4>104</vt:i4>
      </vt:variant>
      <vt:variant>
        <vt:i4>0</vt:i4>
      </vt:variant>
      <vt:variant>
        <vt:i4>5</vt:i4>
      </vt:variant>
      <vt:variant>
        <vt:lpwstr/>
      </vt:variant>
      <vt:variant>
        <vt:lpwstr>_Toc11137491</vt:lpwstr>
      </vt:variant>
      <vt:variant>
        <vt:i4>1114174</vt:i4>
      </vt:variant>
      <vt:variant>
        <vt:i4>98</vt:i4>
      </vt:variant>
      <vt:variant>
        <vt:i4>0</vt:i4>
      </vt:variant>
      <vt:variant>
        <vt:i4>5</vt:i4>
      </vt:variant>
      <vt:variant>
        <vt:lpwstr/>
      </vt:variant>
      <vt:variant>
        <vt:lpwstr>_Toc11137490</vt:lpwstr>
      </vt:variant>
      <vt:variant>
        <vt:i4>1572927</vt:i4>
      </vt:variant>
      <vt:variant>
        <vt:i4>92</vt:i4>
      </vt:variant>
      <vt:variant>
        <vt:i4>0</vt:i4>
      </vt:variant>
      <vt:variant>
        <vt:i4>5</vt:i4>
      </vt:variant>
      <vt:variant>
        <vt:lpwstr/>
      </vt:variant>
      <vt:variant>
        <vt:lpwstr>_Toc11137489</vt:lpwstr>
      </vt:variant>
      <vt:variant>
        <vt:i4>1638463</vt:i4>
      </vt:variant>
      <vt:variant>
        <vt:i4>86</vt:i4>
      </vt:variant>
      <vt:variant>
        <vt:i4>0</vt:i4>
      </vt:variant>
      <vt:variant>
        <vt:i4>5</vt:i4>
      </vt:variant>
      <vt:variant>
        <vt:lpwstr/>
      </vt:variant>
      <vt:variant>
        <vt:lpwstr>_Toc11137488</vt:lpwstr>
      </vt:variant>
      <vt:variant>
        <vt:i4>1441855</vt:i4>
      </vt:variant>
      <vt:variant>
        <vt:i4>80</vt:i4>
      </vt:variant>
      <vt:variant>
        <vt:i4>0</vt:i4>
      </vt:variant>
      <vt:variant>
        <vt:i4>5</vt:i4>
      </vt:variant>
      <vt:variant>
        <vt:lpwstr/>
      </vt:variant>
      <vt:variant>
        <vt:lpwstr>_Toc11137487</vt:lpwstr>
      </vt:variant>
      <vt:variant>
        <vt:i4>1507391</vt:i4>
      </vt:variant>
      <vt:variant>
        <vt:i4>74</vt:i4>
      </vt:variant>
      <vt:variant>
        <vt:i4>0</vt:i4>
      </vt:variant>
      <vt:variant>
        <vt:i4>5</vt:i4>
      </vt:variant>
      <vt:variant>
        <vt:lpwstr/>
      </vt:variant>
      <vt:variant>
        <vt:lpwstr>_Toc11137486</vt:lpwstr>
      </vt:variant>
      <vt:variant>
        <vt:i4>1310783</vt:i4>
      </vt:variant>
      <vt:variant>
        <vt:i4>68</vt:i4>
      </vt:variant>
      <vt:variant>
        <vt:i4>0</vt:i4>
      </vt:variant>
      <vt:variant>
        <vt:i4>5</vt:i4>
      </vt:variant>
      <vt:variant>
        <vt:lpwstr/>
      </vt:variant>
      <vt:variant>
        <vt:lpwstr>_Toc11137485</vt:lpwstr>
      </vt:variant>
      <vt:variant>
        <vt:i4>1376319</vt:i4>
      </vt:variant>
      <vt:variant>
        <vt:i4>62</vt:i4>
      </vt:variant>
      <vt:variant>
        <vt:i4>0</vt:i4>
      </vt:variant>
      <vt:variant>
        <vt:i4>5</vt:i4>
      </vt:variant>
      <vt:variant>
        <vt:lpwstr/>
      </vt:variant>
      <vt:variant>
        <vt:lpwstr>_Toc11137484</vt:lpwstr>
      </vt:variant>
      <vt:variant>
        <vt:i4>1179711</vt:i4>
      </vt:variant>
      <vt:variant>
        <vt:i4>56</vt:i4>
      </vt:variant>
      <vt:variant>
        <vt:i4>0</vt:i4>
      </vt:variant>
      <vt:variant>
        <vt:i4>5</vt:i4>
      </vt:variant>
      <vt:variant>
        <vt:lpwstr/>
      </vt:variant>
      <vt:variant>
        <vt:lpwstr>_Toc11137483</vt:lpwstr>
      </vt:variant>
      <vt:variant>
        <vt:i4>1245247</vt:i4>
      </vt:variant>
      <vt:variant>
        <vt:i4>50</vt:i4>
      </vt:variant>
      <vt:variant>
        <vt:i4>0</vt:i4>
      </vt:variant>
      <vt:variant>
        <vt:i4>5</vt:i4>
      </vt:variant>
      <vt:variant>
        <vt:lpwstr/>
      </vt:variant>
      <vt:variant>
        <vt:lpwstr>_Toc11137482</vt:lpwstr>
      </vt:variant>
      <vt:variant>
        <vt:i4>1048639</vt:i4>
      </vt:variant>
      <vt:variant>
        <vt:i4>44</vt:i4>
      </vt:variant>
      <vt:variant>
        <vt:i4>0</vt:i4>
      </vt:variant>
      <vt:variant>
        <vt:i4>5</vt:i4>
      </vt:variant>
      <vt:variant>
        <vt:lpwstr/>
      </vt:variant>
      <vt:variant>
        <vt:lpwstr>_Toc11137481</vt:lpwstr>
      </vt:variant>
      <vt:variant>
        <vt:i4>1114175</vt:i4>
      </vt:variant>
      <vt:variant>
        <vt:i4>38</vt:i4>
      </vt:variant>
      <vt:variant>
        <vt:i4>0</vt:i4>
      </vt:variant>
      <vt:variant>
        <vt:i4>5</vt:i4>
      </vt:variant>
      <vt:variant>
        <vt:lpwstr/>
      </vt:variant>
      <vt:variant>
        <vt:lpwstr>_Toc11137480</vt:lpwstr>
      </vt:variant>
      <vt:variant>
        <vt:i4>1572912</vt:i4>
      </vt:variant>
      <vt:variant>
        <vt:i4>32</vt:i4>
      </vt:variant>
      <vt:variant>
        <vt:i4>0</vt:i4>
      </vt:variant>
      <vt:variant>
        <vt:i4>5</vt:i4>
      </vt:variant>
      <vt:variant>
        <vt:lpwstr/>
      </vt:variant>
      <vt:variant>
        <vt:lpwstr>_Toc11137479</vt:lpwstr>
      </vt:variant>
      <vt:variant>
        <vt:i4>1638448</vt:i4>
      </vt:variant>
      <vt:variant>
        <vt:i4>26</vt:i4>
      </vt:variant>
      <vt:variant>
        <vt:i4>0</vt:i4>
      </vt:variant>
      <vt:variant>
        <vt:i4>5</vt:i4>
      </vt:variant>
      <vt:variant>
        <vt:lpwstr/>
      </vt:variant>
      <vt:variant>
        <vt:lpwstr>_Toc11137478</vt:lpwstr>
      </vt:variant>
      <vt:variant>
        <vt:i4>1441840</vt:i4>
      </vt:variant>
      <vt:variant>
        <vt:i4>20</vt:i4>
      </vt:variant>
      <vt:variant>
        <vt:i4>0</vt:i4>
      </vt:variant>
      <vt:variant>
        <vt:i4>5</vt:i4>
      </vt:variant>
      <vt:variant>
        <vt:lpwstr/>
      </vt:variant>
      <vt:variant>
        <vt:lpwstr>_Toc11137477</vt:lpwstr>
      </vt:variant>
      <vt:variant>
        <vt:i4>1507376</vt:i4>
      </vt:variant>
      <vt:variant>
        <vt:i4>14</vt:i4>
      </vt:variant>
      <vt:variant>
        <vt:i4>0</vt:i4>
      </vt:variant>
      <vt:variant>
        <vt:i4>5</vt:i4>
      </vt:variant>
      <vt:variant>
        <vt:lpwstr/>
      </vt:variant>
      <vt:variant>
        <vt:lpwstr>_Toc11137476</vt:lpwstr>
      </vt:variant>
      <vt:variant>
        <vt:i4>1310768</vt:i4>
      </vt:variant>
      <vt:variant>
        <vt:i4>8</vt:i4>
      </vt:variant>
      <vt:variant>
        <vt:i4>0</vt:i4>
      </vt:variant>
      <vt:variant>
        <vt:i4>5</vt:i4>
      </vt:variant>
      <vt:variant>
        <vt:lpwstr/>
      </vt:variant>
      <vt:variant>
        <vt:lpwstr>_Toc11137475</vt:lpwstr>
      </vt:variant>
      <vt:variant>
        <vt:i4>1376304</vt:i4>
      </vt:variant>
      <vt:variant>
        <vt:i4>2</vt:i4>
      </vt:variant>
      <vt:variant>
        <vt:i4>0</vt:i4>
      </vt:variant>
      <vt:variant>
        <vt:i4>5</vt:i4>
      </vt:variant>
      <vt:variant>
        <vt:lpwstr/>
      </vt:variant>
      <vt:variant>
        <vt:lpwstr>_Toc11137474</vt:lpwstr>
      </vt:variant>
      <vt:variant>
        <vt:i4>1507372</vt:i4>
      </vt:variant>
      <vt:variant>
        <vt:i4>36</vt:i4>
      </vt:variant>
      <vt:variant>
        <vt:i4>0</vt:i4>
      </vt:variant>
      <vt:variant>
        <vt:i4>5</vt:i4>
      </vt:variant>
      <vt:variant>
        <vt:lpwstr>https://www.environment.act.gov.au/__data/assets/pdf_file/0006/1234887/EEIS-Stakeholder-Engagement-Report-Proposed-Business-Heating-and-cooling-activities.pdf</vt:lpwstr>
      </vt:variant>
      <vt:variant>
        <vt:lpwstr/>
      </vt:variant>
      <vt:variant>
        <vt:i4>7012405</vt:i4>
      </vt:variant>
      <vt:variant>
        <vt:i4>33</vt:i4>
      </vt:variant>
      <vt:variant>
        <vt:i4>0</vt:i4>
      </vt:variant>
      <vt:variant>
        <vt:i4>5</vt:i4>
      </vt:variant>
      <vt:variant>
        <vt:lpwstr>http://energyrating.gov.au/document/research-report-gas-space-heaters-performance-testing-energy-labelling</vt:lpwstr>
      </vt:variant>
      <vt:variant>
        <vt:lpwstr/>
      </vt:variant>
      <vt:variant>
        <vt:i4>1507372</vt:i4>
      </vt:variant>
      <vt:variant>
        <vt:i4>30</vt:i4>
      </vt:variant>
      <vt:variant>
        <vt:i4>0</vt:i4>
      </vt:variant>
      <vt:variant>
        <vt:i4>5</vt:i4>
      </vt:variant>
      <vt:variant>
        <vt:lpwstr>https://www.environment.act.gov.au/__data/assets/pdf_file/0006/1234887/EEIS-Stakeholder-Engagement-Report-Proposed-Business-Heating-and-cooling-activities.pdf</vt:lpwstr>
      </vt:variant>
      <vt:variant>
        <vt:lpwstr/>
      </vt:variant>
      <vt:variant>
        <vt:i4>1507372</vt:i4>
      </vt:variant>
      <vt:variant>
        <vt:i4>27</vt:i4>
      </vt:variant>
      <vt:variant>
        <vt:i4>0</vt:i4>
      </vt:variant>
      <vt:variant>
        <vt:i4>5</vt:i4>
      </vt:variant>
      <vt:variant>
        <vt:lpwstr>https://www.environment.act.gov.au/__data/assets/pdf_file/0006/1234887/EEIS-Stakeholder-Engagement-Report-Proposed-Business-Heating-and-cooling-activities.pdf</vt:lpwstr>
      </vt:variant>
      <vt:variant>
        <vt:lpwstr/>
      </vt:variant>
      <vt:variant>
        <vt:i4>4849736</vt:i4>
      </vt:variant>
      <vt:variant>
        <vt:i4>24</vt:i4>
      </vt:variant>
      <vt:variant>
        <vt:i4>0</vt:i4>
      </vt:variant>
      <vt:variant>
        <vt:i4>5</vt:i4>
      </vt:variant>
      <vt:variant>
        <vt:lpwstr>https://www.insulationaccreditation.com.au/about.html</vt:lpwstr>
      </vt:variant>
      <vt:variant>
        <vt:lpwstr/>
      </vt:variant>
      <vt:variant>
        <vt:i4>2031619</vt:i4>
      </vt:variant>
      <vt:variant>
        <vt:i4>21</vt:i4>
      </vt:variant>
      <vt:variant>
        <vt:i4>0</vt:i4>
      </vt:variant>
      <vt:variant>
        <vt:i4>5</vt:i4>
      </vt:variant>
      <vt:variant>
        <vt:lpwstr>http://icanz.org.au/</vt:lpwstr>
      </vt:variant>
      <vt:variant>
        <vt:lpwstr/>
      </vt:variant>
      <vt:variant>
        <vt:i4>6488155</vt:i4>
      </vt:variant>
      <vt:variant>
        <vt:i4>18</vt:i4>
      </vt:variant>
      <vt:variant>
        <vt:i4>0</vt:i4>
      </vt:variant>
      <vt:variant>
        <vt:i4>5</vt:i4>
      </vt:variant>
      <vt:variant>
        <vt:lpwstr>https://www.environment.act.gov.au/__data/assets/pdf_file/0004/1310386/EEIS-Residential-Insulation-Activities-Consultation-Paper.pdf</vt:lpwstr>
      </vt:variant>
      <vt:variant>
        <vt:lpwstr/>
      </vt:variant>
      <vt:variant>
        <vt:i4>7864362</vt:i4>
      </vt:variant>
      <vt:variant>
        <vt:i4>15</vt:i4>
      </vt:variant>
      <vt:variant>
        <vt:i4>0</vt:i4>
      </vt:variant>
      <vt:variant>
        <vt:i4>5</vt:i4>
      </vt:variant>
      <vt:variant>
        <vt:lpwstr>http://www.homeinsulationroyalcommission.gov.au/Pages/default.html</vt:lpwstr>
      </vt:variant>
      <vt:variant>
        <vt:lpwstr/>
      </vt:variant>
      <vt:variant>
        <vt:i4>6488155</vt:i4>
      </vt:variant>
      <vt:variant>
        <vt:i4>12</vt:i4>
      </vt:variant>
      <vt:variant>
        <vt:i4>0</vt:i4>
      </vt:variant>
      <vt:variant>
        <vt:i4>5</vt:i4>
      </vt:variant>
      <vt:variant>
        <vt:lpwstr>https://www.environment.act.gov.au/__data/assets/pdf_file/0004/1310386/EEIS-Residential-Insulation-Activities-Consultation-Paper.pdf</vt:lpwstr>
      </vt:variant>
      <vt:variant>
        <vt:lpwstr/>
      </vt:variant>
      <vt:variant>
        <vt:i4>4390978</vt:i4>
      </vt:variant>
      <vt:variant>
        <vt:i4>9</vt:i4>
      </vt:variant>
      <vt:variant>
        <vt:i4>0</vt:i4>
      </vt:variant>
      <vt:variant>
        <vt:i4>5</vt:i4>
      </vt:variant>
      <vt:variant>
        <vt:lpwstr>http://icanz.org.au/wp-content/uploads/2013/04/The-Value-of-Insulation-Based-Residential-Energy-Savings-Measures.pdf</vt:lpwstr>
      </vt:variant>
      <vt:variant>
        <vt:lpwstr/>
      </vt:variant>
      <vt:variant>
        <vt:i4>6488155</vt:i4>
      </vt:variant>
      <vt:variant>
        <vt:i4>6</vt:i4>
      </vt:variant>
      <vt:variant>
        <vt:i4>0</vt:i4>
      </vt:variant>
      <vt:variant>
        <vt:i4>5</vt:i4>
      </vt:variant>
      <vt:variant>
        <vt:lpwstr>https://www.environment.act.gov.au/__data/assets/pdf_file/0004/1310386/EEIS-Residential-Insulation-Activities-Consultation-Paper.pdf</vt:lpwstr>
      </vt:variant>
      <vt:variant>
        <vt:lpwstr/>
      </vt:variant>
      <vt:variant>
        <vt:i4>6422550</vt:i4>
      </vt:variant>
      <vt:variant>
        <vt:i4>3</vt:i4>
      </vt:variant>
      <vt:variant>
        <vt:i4>0</vt:i4>
      </vt:variant>
      <vt:variant>
        <vt:i4>5</vt:i4>
      </vt:variant>
      <vt:variant>
        <vt:lpwstr>http://www.environment.act.gov.au/__data/assets/pdf_file/0006/735990/Attachment-C-Regulatory-Impact-Satement-EEIS-Parameters-to-2020-FINAL.pdf</vt:lpwstr>
      </vt:variant>
      <vt:variant>
        <vt:lpwstr/>
      </vt:variant>
      <vt:variant>
        <vt:i4>4063285</vt:i4>
      </vt:variant>
      <vt:variant>
        <vt:i4>0</vt:i4>
      </vt:variant>
      <vt:variant>
        <vt:i4>0</vt:i4>
      </vt:variant>
      <vt:variant>
        <vt:i4>5</vt:i4>
      </vt:variant>
      <vt:variant>
        <vt:lpwstr>https://s3.ap-southeast-2.amazonaws.com/hdp.au.prod.app.act-yoursay.files/6915/1305/0361/2017_ACT_Climate_Change_Strategy.pdf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Moxon, KarenL</cp:lastModifiedBy>
  <cp:revision>4</cp:revision>
  <dcterms:created xsi:type="dcterms:W3CDTF">2020-07-24T02:48:00Z</dcterms:created>
  <dcterms:modified xsi:type="dcterms:W3CDTF">2020-07-24T02:48:00Z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A25661482</vt:lpwstr>
  </property>
  <property fmtid="{D5CDD505-2E9C-101B-9397-08002B2CF9AE}" pid="3" name="Objective-Title">
    <vt:lpwstr>Att G - Impact Statement - Eligible Activities</vt:lpwstr>
  </property>
  <property fmtid="{D5CDD505-2E9C-101B-9397-08002B2CF9AE}" pid="4" name="Objective-Comment">
    <vt:lpwstr/>
  </property>
  <property fmtid="{D5CDD505-2E9C-101B-9397-08002B2CF9AE}" pid="5" name="Objective-CreationStamp">
    <vt:filetime>2020-05-27T08:23:08Z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2020-06-26T05:12:49Z</vt:filetime>
  </property>
  <property fmtid="{D5CDD505-2E9C-101B-9397-08002B2CF9AE}" pid="9" name="Objective-ModificationStamp">
    <vt:filetime>2020-06-29T20:17:57Z</vt:filetime>
  </property>
  <property fmtid="{D5CDD505-2E9C-101B-9397-08002B2CF9AE}" pid="10" name="Objective-Owner">
    <vt:lpwstr>Anne Pentony</vt:lpwstr>
  </property>
  <property fmtid="{D5CDD505-2E9C-101B-9397-08002B2CF9AE}" pid="11" name="Objective-Path">
    <vt:lpwstr>Whole of ACT Government:EPSDD - Environment Planning and Sustainable Development Directorate:07. Ministerial, Cabinet and Government Relations:06. Ministerials:2020 - Ministerial and Chief Ministerial Briefs / Correspondence:Climate Change &amp; Sustainabilit</vt:lpwstr>
  </property>
  <property fmtid="{D5CDD505-2E9C-101B-9397-08002B2CF9AE}" pid="12" name="Objective-Parent">
    <vt:lpwstr>20/16403 Ministerial-Information Brief - Instruments for notification for the Energy Efficiency Improvement Scheme</vt:lpwstr>
  </property>
  <property fmtid="{D5CDD505-2E9C-101B-9397-08002B2CF9AE}" pid="13" name="Objective-State">
    <vt:lpwstr>Published</vt:lpwstr>
  </property>
  <property fmtid="{D5CDD505-2E9C-101B-9397-08002B2CF9AE}" pid="14" name="Objective-Version">
    <vt:lpwstr>12.0</vt:lpwstr>
  </property>
  <property fmtid="{D5CDD505-2E9C-101B-9397-08002B2CF9AE}" pid="15" name="Objective-VersionNumber">
    <vt:r8>26</vt:r8>
  </property>
  <property fmtid="{D5CDD505-2E9C-101B-9397-08002B2CF9AE}" pid="16" name="Objective-VersionComment">
    <vt:lpwstr/>
  </property>
  <property fmtid="{D5CDD505-2E9C-101B-9397-08002B2CF9AE}" pid="17" name="Objective-FileNumber">
    <vt:lpwstr>1-2020/16403</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EPSDD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Places [system]">
    <vt:lpwstr/>
  </property>
  <property fmtid="{D5CDD505-2E9C-101B-9397-08002B2CF9AE}" pid="26" name="Objective-Transaction Reference [system]">
    <vt:lpwstr/>
  </property>
  <property fmtid="{D5CDD505-2E9C-101B-9397-08002B2CF9AE}" pid="27" name="Objective-Document Created By [system]">
    <vt:lpwstr/>
  </property>
  <property fmtid="{D5CDD505-2E9C-101B-9397-08002B2CF9AE}" pid="28" name="Objective-Document Created On [system]">
    <vt:lpwstr/>
  </property>
  <property fmtid="{D5CDD505-2E9C-101B-9397-08002B2CF9AE}" pid="29" name="Objective-Covers Period From [system]">
    <vt:lpwstr/>
  </property>
  <property fmtid="{D5CDD505-2E9C-101B-9397-08002B2CF9AE}" pid="30" name="Objective-Covers Period To [system]">
    <vt:lpwstr/>
  </property>
</Properties>
</file>