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07A1" w14:textId="77777777" w:rsidR="005E15AF" w:rsidRPr="009E5708" w:rsidRDefault="005E15AF" w:rsidP="005E15AF">
      <w:pPr>
        <w:jc w:val="center"/>
        <w:rPr>
          <w:b/>
          <w:sz w:val="32"/>
        </w:rPr>
      </w:pPr>
      <w:r w:rsidRPr="006362B6">
        <w:rPr>
          <w:b/>
          <w:noProof/>
        </w:rPr>
        <w:drawing>
          <wp:inline distT="0" distB="0" distL="0" distR="0" wp14:anchorId="566243E9" wp14:editId="12D4382F">
            <wp:extent cx="2028825" cy="752475"/>
            <wp:effectExtent l="0" t="0" r="9525" b="9525"/>
            <wp:docPr id="2" name="Picture 2"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752475"/>
                    </a:xfrm>
                    <a:prstGeom prst="rect">
                      <a:avLst/>
                    </a:prstGeom>
                    <a:noFill/>
                    <a:ln>
                      <a:noFill/>
                    </a:ln>
                  </pic:spPr>
                </pic:pic>
              </a:graphicData>
            </a:graphic>
          </wp:inline>
        </w:drawing>
      </w:r>
    </w:p>
    <w:p w14:paraId="41908AF2" w14:textId="77777777" w:rsidR="005E15AF" w:rsidRDefault="005E15AF" w:rsidP="005E15AF">
      <w:pPr>
        <w:jc w:val="center"/>
        <w:rPr>
          <w:b/>
          <w:sz w:val="32"/>
        </w:rPr>
      </w:pPr>
    </w:p>
    <w:p w14:paraId="612F4F7C" w14:textId="77777777" w:rsidR="005E15AF" w:rsidRPr="00012B96" w:rsidRDefault="005E15AF" w:rsidP="005E15AF">
      <w:pPr>
        <w:rPr>
          <w:bCs w:val="0"/>
          <w:sz w:val="32"/>
        </w:rPr>
      </w:pPr>
    </w:p>
    <w:p w14:paraId="6F0945A0" w14:textId="77777777" w:rsidR="005E15AF" w:rsidRDefault="005E15AF" w:rsidP="005E15AF">
      <w:pPr>
        <w:jc w:val="center"/>
        <w:rPr>
          <w:b/>
          <w:sz w:val="32"/>
        </w:rPr>
      </w:pPr>
      <w:r>
        <w:rPr>
          <w:b/>
          <w:sz w:val="32"/>
        </w:rPr>
        <w:t>Energy Efficiency Improvement Scheme</w:t>
      </w:r>
    </w:p>
    <w:p w14:paraId="51C0F573" w14:textId="0EAFD943" w:rsidR="005E15AF" w:rsidRPr="00992CC5" w:rsidRDefault="005E15AF" w:rsidP="005E15AF">
      <w:pPr>
        <w:jc w:val="center"/>
        <w:rPr>
          <w:b/>
          <w:sz w:val="28"/>
          <w:szCs w:val="28"/>
        </w:rPr>
      </w:pPr>
      <w:r w:rsidRPr="00992CC5">
        <w:rPr>
          <w:b/>
          <w:sz w:val="28"/>
          <w:szCs w:val="28"/>
        </w:rPr>
        <w:t>Setting Key Scheme Parameters for 2022 by Disallowable Instruments:</w:t>
      </w:r>
    </w:p>
    <w:p w14:paraId="72950D06" w14:textId="51279C43" w:rsidR="005E15AF" w:rsidRPr="00012B96" w:rsidRDefault="005E15AF" w:rsidP="005E15AF">
      <w:pPr>
        <w:rPr>
          <w:bCs w:val="0"/>
          <w:i/>
          <w:iCs/>
          <w:sz w:val="32"/>
        </w:rPr>
      </w:pPr>
      <w:r w:rsidRPr="00012B96">
        <w:rPr>
          <w:bCs w:val="0"/>
          <w:i/>
          <w:iCs/>
          <w:sz w:val="32"/>
        </w:rPr>
        <w:t>Energy Efficiency (Cost of Living) Improvement (Energy Savings Target) Determination 202</w:t>
      </w:r>
      <w:r>
        <w:rPr>
          <w:bCs w:val="0"/>
          <w:i/>
          <w:iCs/>
          <w:sz w:val="32"/>
        </w:rPr>
        <w:t xml:space="preserve">1 </w:t>
      </w:r>
      <w:r w:rsidR="00D648A8">
        <w:rPr>
          <w:bCs w:val="0"/>
          <w:i/>
          <w:iCs/>
          <w:sz w:val="32"/>
        </w:rPr>
        <w:t>– DI2021-162</w:t>
      </w:r>
    </w:p>
    <w:p w14:paraId="5B218D9F" w14:textId="0DF8E42E" w:rsidR="005E15AF" w:rsidRDefault="005E15AF" w:rsidP="005E15AF">
      <w:pPr>
        <w:rPr>
          <w:bCs w:val="0"/>
          <w:i/>
          <w:iCs/>
          <w:sz w:val="32"/>
        </w:rPr>
      </w:pPr>
      <w:r w:rsidRPr="00012B96">
        <w:rPr>
          <w:bCs w:val="0"/>
          <w:i/>
          <w:iCs/>
          <w:sz w:val="32"/>
        </w:rPr>
        <w:t>Energy Efficiency (Cost of Living) Improvement (Energy Savings Contribution) Determination 202</w:t>
      </w:r>
      <w:r>
        <w:rPr>
          <w:bCs w:val="0"/>
          <w:i/>
          <w:iCs/>
          <w:sz w:val="32"/>
        </w:rPr>
        <w:t xml:space="preserve">1 </w:t>
      </w:r>
      <w:r w:rsidR="00D648A8">
        <w:rPr>
          <w:bCs w:val="0"/>
          <w:i/>
          <w:iCs/>
          <w:sz w:val="32"/>
        </w:rPr>
        <w:t>– DI2021-163</w:t>
      </w:r>
    </w:p>
    <w:p w14:paraId="31430313" w14:textId="23EE43F7" w:rsidR="005E15AF" w:rsidRPr="00012B96" w:rsidRDefault="005E15AF" w:rsidP="005E15AF">
      <w:pPr>
        <w:rPr>
          <w:bCs w:val="0"/>
          <w:i/>
          <w:iCs/>
          <w:sz w:val="32"/>
        </w:rPr>
      </w:pPr>
      <w:r>
        <w:rPr>
          <w:bCs w:val="0"/>
          <w:i/>
          <w:iCs/>
          <w:sz w:val="32"/>
        </w:rPr>
        <w:t xml:space="preserve">Energy Efficiency (Cost of Living) Improvement (Penalties for Noncompliance) Determination 2021 </w:t>
      </w:r>
      <w:r w:rsidR="00D648A8">
        <w:rPr>
          <w:bCs w:val="0"/>
          <w:i/>
          <w:iCs/>
          <w:sz w:val="32"/>
        </w:rPr>
        <w:t>– DI2021-164</w:t>
      </w:r>
    </w:p>
    <w:p w14:paraId="72D9C278" w14:textId="77777777" w:rsidR="005E15AF" w:rsidRDefault="005E15AF" w:rsidP="005E15AF">
      <w:pPr>
        <w:rPr>
          <w:b/>
          <w:sz w:val="32"/>
        </w:rPr>
      </w:pPr>
      <w:r w:rsidRPr="009E5708">
        <w:rPr>
          <w:b/>
          <w:sz w:val="32"/>
        </w:rPr>
        <w:t>Regulatory Impact Statement</w:t>
      </w:r>
    </w:p>
    <w:p w14:paraId="27067C3E" w14:textId="77777777" w:rsidR="005E15AF" w:rsidRPr="00012B96" w:rsidRDefault="005E15AF" w:rsidP="005E15AF">
      <w:pPr>
        <w:rPr>
          <w:b/>
        </w:rPr>
      </w:pPr>
      <w:r w:rsidRPr="00012B96">
        <w:rPr>
          <w:b/>
        </w:rPr>
        <w:t xml:space="preserve">Prepared in accordance with Chapter 5 of the </w:t>
      </w:r>
      <w:r w:rsidRPr="00012B96">
        <w:rPr>
          <w:b/>
          <w:i/>
        </w:rPr>
        <w:t>Legislation Act 2001</w:t>
      </w:r>
    </w:p>
    <w:p w14:paraId="3ED919BC" w14:textId="613D0C79" w:rsidR="005E15AF" w:rsidRPr="00012B96" w:rsidRDefault="005E15AF" w:rsidP="005E15AF">
      <w:pPr>
        <w:rPr>
          <w:b/>
          <w:bCs w:val="0"/>
        </w:rPr>
      </w:pPr>
      <w:r w:rsidRPr="00012B96">
        <w:rPr>
          <w:b/>
          <w:bCs w:val="0"/>
        </w:rPr>
        <w:t>June 202</w:t>
      </w:r>
      <w:r>
        <w:rPr>
          <w:b/>
          <w:bCs w:val="0"/>
        </w:rPr>
        <w:t>1</w:t>
      </w:r>
    </w:p>
    <w:p w14:paraId="29BD1884" w14:textId="77777777" w:rsidR="005E15AF" w:rsidRDefault="005E15AF" w:rsidP="005E15AF">
      <w:pPr>
        <w:autoSpaceDE/>
        <w:autoSpaceDN/>
        <w:adjustRightInd/>
        <w:spacing w:after="0" w:line="240" w:lineRule="auto"/>
      </w:pPr>
      <w:r>
        <w:br w:type="page"/>
      </w:r>
    </w:p>
    <w:bookmarkStart w:id="0" w:name="_Toc41575583" w:displacedByCustomXml="next"/>
    <w:sdt>
      <w:sdtPr>
        <w:rPr>
          <w:rFonts w:asciiTheme="minorHAnsi" w:eastAsia="Times New Roman" w:hAnsiTheme="minorHAnsi" w:cs="Calibri-Bold"/>
          <w:bCs/>
          <w:color w:val="auto"/>
          <w:sz w:val="24"/>
          <w:szCs w:val="24"/>
          <w:lang w:val="en-AU" w:eastAsia="en-AU"/>
        </w:rPr>
        <w:id w:val="1331640748"/>
        <w:docPartObj>
          <w:docPartGallery w:val="Table of Contents"/>
          <w:docPartUnique/>
        </w:docPartObj>
      </w:sdtPr>
      <w:sdtEndPr>
        <w:rPr>
          <w:b/>
          <w:noProof/>
        </w:rPr>
      </w:sdtEndPr>
      <w:sdtContent>
        <w:p w14:paraId="672D1CB4" w14:textId="394FC154" w:rsidR="00257C48" w:rsidRDefault="00257C48">
          <w:pPr>
            <w:pStyle w:val="TOCHeading"/>
          </w:pPr>
          <w:r>
            <w:t>Contents</w:t>
          </w:r>
        </w:p>
        <w:p w14:paraId="44854880" w14:textId="2ABAC2DB" w:rsidR="00341659" w:rsidRDefault="00257C48">
          <w:pPr>
            <w:pStyle w:val="TOC1"/>
            <w:tabs>
              <w:tab w:val="left" w:pos="440"/>
              <w:tab w:val="right" w:leader="dot" w:pos="9016"/>
            </w:tabs>
            <w:rPr>
              <w:rFonts w:eastAsiaTheme="minorEastAsia" w:cstheme="minorBidi"/>
              <w:bCs w:val="0"/>
              <w:noProof/>
              <w:sz w:val="22"/>
              <w:szCs w:val="22"/>
            </w:rPr>
          </w:pPr>
          <w:r>
            <w:fldChar w:fldCharType="begin"/>
          </w:r>
          <w:r>
            <w:instrText xml:space="preserve"> TOC \o "1-3" \h \z \u </w:instrText>
          </w:r>
          <w:r>
            <w:fldChar w:fldCharType="separate"/>
          </w:r>
          <w:hyperlink w:anchor="_Toc73519045" w:history="1">
            <w:r w:rsidR="00341659" w:rsidRPr="00490A21">
              <w:rPr>
                <w:rStyle w:val="Hyperlink"/>
                <w:noProof/>
              </w:rPr>
              <w:t>1.</w:t>
            </w:r>
            <w:r w:rsidR="00341659">
              <w:rPr>
                <w:rFonts w:eastAsiaTheme="minorEastAsia" w:cstheme="minorBidi"/>
                <w:bCs w:val="0"/>
                <w:noProof/>
                <w:sz w:val="22"/>
                <w:szCs w:val="22"/>
              </w:rPr>
              <w:tab/>
            </w:r>
            <w:r w:rsidR="00341659" w:rsidRPr="00490A21">
              <w:rPr>
                <w:rStyle w:val="Hyperlink"/>
                <w:noProof/>
              </w:rPr>
              <w:t>Executive summary</w:t>
            </w:r>
            <w:r w:rsidR="00341659">
              <w:rPr>
                <w:noProof/>
                <w:webHidden/>
              </w:rPr>
              <w:tab/>
            </w:r>
            <w:r w:rsidR="00341659">
              <w:rPr>
                <w:noProof/>
                <w:webHidden/>
              </w:rPr>
              <w:fldChar w:fldCharType="begin"/>
            </w:r>
            <w:r w:rsidR="00341659">
              <w:rPr>
                <w:noProof/>
                <w:webHidden/>
              </w:rPr>
              <w:instrText xml:space="preserve"> PAGEREF _Toc73519045 \h </w:instrText>
            </w:r>
            <w:r w:rsidR="00341659">
              <w:rPr>
                <w:noProof/>
                <w:webHidden/>
              </w:rPr>
            </w:r>
            <w:r w:rsidR="00341659">
              <w:rPr>
                <w:noProof/>
                <w:webHidden/>
              </w:rPr>
              <w:fldChar w:fldCharType="separate"/>
            </w:r>
            <w:r w:rsidR="00341659">
              <w:rPr>
                <w:noProof/>
                <w:webHidden/>
              </w:rPr>
              <w:t>3</w:t>
            </w:r>
            <w:r w:rsidR="00341659">
              <w:rPr>
                <w:noProof/>
                <w:webHidden/>
              </w:rPr>
              <w:fldChar w:fldCharType="end"/>
            </w:r>
          </w:hyperlink>
        </w:p>
        <w:p w14:paraId="483B1D02" w14:textId="5488BF15" w:rsidR="00341659" w:rsidRDefault="00BE01C5">
          <w:pPr>
            <w:pStyle w:val="TOC1"/>
            <w:tabs>
              <w:tab w:val="left" w:pos="440"/>
              <w:tab w:val="right" w:leader="dot" w:pos="9016"/>
            </w:tabs>
            <w:rPr>
              <w:rFonts w:eastAsiaTheme="minorEastAsia" w:cstheme="minorBidi"/>
              <w:bCs w:val="0"/>
              <w:noProof/>
              <w:sz w:val="22"/>
              <w:szCs w:val="22"/>
            </w:rPr>
          </w:pPr>
          <w:hyperlink w:anchor="_Toc73519046" w:history="1">
            <w:r w:rsidR="00341659" w:rsidRPr="00490A21">
              <w:rPr>
                <w:rStyle w:val="Hyperlink"/>
                <w:rFonts w:cstheme="majorHAnsi"/>
                <w:noProof/>
              </w:rPr>
              <w:t>2.</w:t>
            </w:r>
            <w:r w:rsidR="00341659">
              <w:rPr>
                <w:rFonts w:eastAsiaTheme="minorEastAsia" w:cstheme="minorBidi"/>
                <w:bCs w:val="0"/>
                <w:noProof/>
                <w:sz w:val="22"/>
                <w:szCs w:val="22"/>
              </w:rPr>
              <w:tab/>
            </w:r>
            <w:r w:rsidR="00341659" w:rsidRPr="00490A21">
              <w:rPr>
                <w:rStyle w:val="Hyperlink"/>
                <w:noProof/>
              </w:rPr>
              <w:t>The authorising law</w:t>
            </w:r>
            <w:r w:rsidR="00341659">
              <w:rPr>
                <w:noProof/>
                <w:webHidden/>
              </w:rPr>
              <w:tab/>
            </w:r>
            <w:r w:rsidR="00341659">
              <w:rPr>
                <w:noProof/>
                <w:webHidden/>
              </w:rPr>
              <w:fldChar w:fldCharType="begin"/>
            </w:r>
            <w:r w:rsidR="00341659">
              <w:rPr>
                <w:noProof/>
                <w:webHidden/>
              </w:rPr>
              <w:instrText xml:space="preserve"> PAGEREF _Toc73519046 \h </w:instrText>
            </w:r>
            <w:r w:rsidR="00341659">
              <w:rPr>
                <w:noProof/>
                <w:webHidden/>
              </w:rPr>
            </w:r>
            <w:r w:rsidR="00341659">
              <w:rPr>
                <w:noProof/>
                <w:webHidden/>
              </w:rPr>
              <w:fldChar w:fldCharType="separate"/>
            </w:r>
            <w:r w:rsidR="00341659">
              <w:rPr>
                <w:noProof/>
                <w:webHidden/>
              </w:rPr>
              <w:t>3</w:t>
            </w:r>
            <w:r w:rsidR="00341659">
              <w:rPr>
                <w:noProof/>
                <w:webHidden/>
              </w:rPr>
              <w:fldChar w:fldCharType="end"/>
            </w:r>
          </w:hyperlink>
        </w:p>
        <w:p w14:paraId="1ED4ACA5" w14:textId="5F980022" w:rsidR="00341659" w:rsidRDefault="00BE01C5">
          <w:pPr>
            <w:pStyle w:val="TOC1"/>
            <w:tabs>
              <w:tab w:val="left" w:pos="440"/>
              <w:tab w:val="right" w:leader="dot" w:pos="9016"/>
            </w:tabs>
            <w:rPr>
              <w:rFonts w:eastAsiaTheme="minorEastAsia" w:cstheme="minorBidi"/>
              <w:bCs w:val="0"/>
              <w:noProof/>
              <w:sz w:val="22"/>
              <w:szCs w:val="22"/>
            </w:rPr>
          </w:pPr>
          <w:hyperlink w:anchor="_Toc73519047" w:history="1">
            <w:r w:rsidR="00341659" w:rsidRPr="00490A21">
              <w:rPr>
                <w:rStyle w:val="Hyperlink"/>
                <w:rFonts w:cstheme="majorHAnsi"/>
                <w:noProof/>
              </w:rPr>
              <w:t>3.</w:t>
            </w:r>
            <w:r w:rsidR="00341659">
              <w:rPr>
                <w:rFonts w:eastAsiaTheme="minorEastAsia" w:cstheme="minorBidi"/>
                <w:bCs w:val="0"/>
                <w:noProof/>
                <w:sz w:val="22"/>
                <w:szCs w:val="22"/>
              </w:rPr>
              <w:tab/>
            </w:r>
            <w:r w:rsidR="00341659" w:rsidRPr="00490A21">
              <w:rPr>
                <w:rStyle w:val="Hyperlink"/>
                <w:noProof/>
              </w:rPr>
              <w:t>Policy objectives of the disallowable instruments</w:t>
            </w:r>
            <w:r w:rsidR="00341659">
              <w:rPr>
                <w:noProof/>
                <w:webHidden/>
              </w:rPr>
              <w:tab/>
            </w:r>
            <w:r w:rsidR="00341659">
              <w:rPr>
                <w:noProof/>
                <w:webHidden/>
              </w:rPr>
              <w:fldChar w:fldCharType="begin"/>
            </w:r>
            <w:r w:rsidR="00341659">
              <w:rPr>
                <w:noProof/>
                <w:webHidden/>
              </w:rPr>
              <w:instrText xml:space="preserve"> PAGEREF _Toc73519047 \h </w:instrText>
            </w:r>
            <w:r w:rsidR="00341659">
              <w:rPr>
                <w:noProof/>
                <w:webHidden/>
              </w:rPr>
            </w:r>
            <w:r w:rsidR="00341659">
              <w:rPr>
                <w:noProof/>
                <w:webHidden/>
              </w:rPr>
              <w:fldChar w:fldCharType="separate"/>
            </w:r>
            <w:r w:rsidR="00341659">
              <w:rPr>
                <w:noProof/>
                <w:webHidden/>
              </w:rPr>
              <w:t>4</w:t>
            </w:r>
            <w:r w:rsidR="00341659">
              <w:rPr>
                <w:noProof/>
                <w:webHidden/>
              </w:rPr>
              <w:fldChar w:fldCharType="end"/>
            </w:r>
          </w:hyperlink>
        </w:p>
        <w:p w14:paraId="5FF00464" w14:textId="5B6467F1" w:rsidR="00341659" w:rsidRDefault="00BE01C5">
          <w:pPr>
            <w:pStyle w:val="TOC1"/>
            <w:tabs>
              <w:tab w:val="left" w:pos="440"/>
              <w:tab w:val="right" w:leader="dot" w:pos="9016"/>
            </w:tabs>
            <w:rPr>
              <w:rFonts w:eastAsiaTheme="minorEastAsia" w:cstheme="minorBidi"/>
              <w:bCs w:val="0"/>
              <w:noProof/>
              <w:sz w:val="22"/>
              <w:szCs w:val="22"/>
            </w:rPr>
          </w:pPr>
          <w:hyperlink w:anchor="_Toc73519048" w:history="1">
            <w:r w:rsidR="00341659" w:rsidRPr="00490A21">
              <w:rPr>
                <w:rStyle w:val="Hyperlink"/>
                <w:rFonts w:cstheme="majorHAnsi"/>
                <w:noProof/>
              </w:rPr>
              <w:t>4.</w:t>
            </w:r>
            <w:r w:rsidR="00341659">
              <w:rPr>
                <w:rFonts w:eastAsiaTheme="minorEastAsia" w:cstheme="minorBidi"/>
                <w:bCs w:val="0"/>
                <w:noProof/>
                <w:sz w:val="22"/>
                <w:szCs w:val="22"/>
              </w:rPr>
              <w:tab/>
            </w:r>
            <w:r w:rsidR="00341659" w:rsidRPr="00490A21">
              <w:rPr>
                <w:rStyle w:val="Hyperlink"/>
                <w:noProof/>
              </w:rPr>
              <w:t>Achieving the policy objectives</w:t>
            </w:r>
            <w:r w:rsidR="00341659">
              <w:rPr>
                <w:noProof/>
                <w:webHidden/>
              </w:rPr>
              <w:tab/>
            </w:r>
            <w:r w:rsidR="00341659">
              <w:rPr>
                <w:noProof/>
                <w:webHidden/>
              </w:rPr>
              <w:fldChar w:fldCharType="begin"/>
            </w:r>
            <w:r w:rsidR="00341659">
              <w:rPr>
                <w:noProof/>
                <w:webHidden/>
              </w:rPr>
              <w:instrText xml:space="preserve"> PAGEREF _Toc73519048 \h </w:instrText>
            </w:r>
            <w:r w:rsidR="00341659">
              <w:rPr>
                <w:noProof/>
                <w:webHidden/>
              </w:rPr>
            </w:r>
            <w:r w:rsidR="00341659">
              <w:rPr>
                <w:noProof/>
                <w:webHidden/>
              </w:rPr>
              <w:fldChar w:fldCharType="separate"/>
            </w:r>
            <w:r w:rsidR="00341659">
              <w:rPr>
                <w:noProof/>
                <w:webHidden/>
              </w:rPr>
              <w:t>5</w:t>
            </w:r>
            <w:r w:rsidR="00341659">
              <w:rPr>
                <w:noProof/>
                <w:webHidden/>
              </w:rPr>
              <w:fldChar w:fldCharType="end"/>
            </w:r>
          </w:hyperlink>
        </w:p>
        <w:p w14:paraId="15E550FD" w14:textId="0DCB4D25" w:rsidR="00341659" w:rsidRDefault="00BE01C5">
          <w:pPr>
            <w:pStyle w:val="TOC1"/>
            <w:tabs>
              <w:tab w:val="left" w:pos="440"/>
              <w:tab w:val="right" w:leader="dot" w:pos="9016"/>
            </w:tabs>
            <w:rPr>
              <w:rFonts w:eastAsiaTheme="minorEastAsia" w:cstheme="minorBidi"/>
              <w:bCs w:val="0"/>
              <w:noProof/>
              <w:sz w:val="22"/>
              <w:szCs w:val="22"/>
            </w:rPr>
          </w:pPr>
          <w:hyperlink w:anchor="_Toc73519049" w:history="1">
            <w:r w:rsidR="00341659" w:rsidRPr="00490A21">
              <w:rPr>
                <w:rStyle w:val="Hyperlink"/>
                <w:rFonts w:cstheme="majorHAnsi"/>
                <w:noProof/>
              </w:rPr>
              <w:t>5.</w:t>
            </w:r>
            <w:r w:rsidR="00341659">
              <w:rPr>
                <w:rFonts w:eastAsiaTheme="minorEastAsia" w:cstheme="minorBidi"/>
                <w:bCs w:val="0"/>
                <w:noProof/>
                <w:sz w:val="22"/>
                <w:szCs w:val="22"/>
              </w:rPr>
              <w:tab/>
            </w:r>
            <w:r w:rsidR="00341659" w:rsidRPr="00490A21">
              <w:rPr>
                <w:rStyle w:val="Hyperlink"/>
                <w:noProof/>
              </w:rPr>
              <w:t>Considering a level of ambition</w:t>
            </w:r>
            <w:r w:rsidR="00341659">
              <w:rPr>
                <w:noProof/>
                <w:webHidden/>
              </w:rPr>
              <w:tab/>
            </w:r>
            <w:r w:rsidR="00341659">
              <w:rPr>
                <w:noProof/>
                <w:webHidden/>
              </w:rPr>
              <w:fldChar w:fldCharType="begin"/>
            </w:r>
            <w:r w:rsidR="00341659">
              <w:rPr>
                <w:noProof/>
                <w:webHidden/>
              </w:rPr>
              <w:instrText xml:space="preserve"> PAGEREF _Toc73519049 \h </w:instrText>
            </w:r>
            <w:r w:rsidR="00341659">
              <w:rPr>
                <w:noProof/>
                <w:webHidden/>
              </w:rPr>
            </w:r>
            <w:r w:rsidR="00341659">
              <w:rPr>
                <w:noProof/>
                <w:webHidden/>
              </w:rPr>
              <w:fldChar w:fldCharType="separate"/>
            </w:r>
            <w:r w:rsidR="00341659">
              <w:rPr>
                <w:noProof/>
                <w:webHidden/>
              </w:rPr>
              <w:t>5</w:t>
            </w:r>
            <w:r w:rsidR="00341659">
              <w:rPr>
                <w:noProof/>
                <w:webHidden/>
              </w:rPr>
              <w:fldChar w:fldCharType="end"/>
            </w:r>
          </w:hyperlink>
        </w:p>
        <w:p w14:paraId="1960B987" w14:textId="4A2944FD" w:rsidR="00341659" w:rsidRDefault="00BE01C5">
          <w:pPr>
            <w:pStyle w:val="TOC1"/>
            <w:tabs>
              <w:tab w:val="left" w:pos="660"/>
              <w:tab w:val="right" w:leader="dot" w:pos="9016"/>
            </w:tabs>
            <w:rPr>
              <w:rFonts w:eastAsiaTheme="minorEastAsia" w:cstheme="minorBidi"/>
              <w:bCs w:val="0"/>
              <w:noProof/>
              <w:sz w:val="22"/>
              <w:szCs w:val="22"/>
            </w:rPr>
          </w:pPr>
          <w:hyperlink w:anchor="_Toc73519050" w:history="1">
            <w:r w:rsidR="00341659" w:rsidRPr="00490A21">
              <w:rPr>
                <w:rStyle w:val="Hyperlink"/>
                <w:noProof/>
              </w:rPr>
              <w:t>5.1</w:t>
            </w:r>
            <w:r w:rsidR="00341659">
              <w:rPr>
                <w:rFonts w:eastAsiaTheme="minorEastAsia" w:cstheme="minorBidi"/>
                <w:bCs w:val="0"/>
                <w:noProof/>
                <w:sz w:val="22"/>
                <w:szCs w:val="22"/>
              </w:rPr>
              <w:tab/>
            </w:r>
            <w:r w:rsidR="00341659" w:rsidRPr="00490A21">
              <w:rPr>
                <w:rStyle w:val="Hyperlink"/>
                <w:noProof/>
              </w:rPr>
              <w:t>Setting the Energy Savings Target</w:t>
            </w:r>
            <w:r w:rsidR="00341659">
              <w:rPr>
                <w:noProof/>
                <w:webHidden/>
              </w:rPr>
              <w:tab/>
            </w:r>
            <w:r w:rsidR="00341659">
              <w:rPr>
                <w:noProof/>
                <w:webHidden/>
              </w:rPr>
              <w:fldChar w:fldCharType="begin"/>
            </w:r>
            <w:r w:rsidR="00341659">
              <w:rPr>
                <w:noProof/>
                <w:webHidden/>
              </w:rPr>
              <w:instrText xml:space="preserve"> PAGEREF _Toc73519050 \h </w:instrText>
            </w:r>
            <w:r w:rsidR="00341659">
              <w:rPr>
                <w:noProof/>
                <w:webHidden/>
              </w:rPr>
            </w:r>
            <w:r w:rsidR="00341659">
              <w:rPr>
                <w:noProof/>
                <w:webHidden/>
              </w:rPr>
              <w:fldChar w:fldCharType="separate"/>
            </w:r>
            <w:r w:rsidR="00341659">
              <w:rPr>
                <w:noProof/>
                <w:webHidden/>
              </w:rPr>
              <w:t>6</w:t>
            </w:r>
            <w:r w:rsidR="00341659">
              <w:rPr>
                <w:noProof/>
                <w:webHidden/>
              </w:rPr>
              <w:fldChar w:fldCharType="end"/>
            </w:r>
          </w:hyperlink>
        </w:p>
        <w:p w14:paraId="2EBA2BB0" w14:textId="73449041" w:rsidR="00341659" w:rsidRDefault="00BE01C5">
          <w:pPr>
            <w:pStyle w:val="TOC1"/>
            <w:tabs>
              <w:tab w:val="left" w:pos="660"/>
              <w:tab w:val="right" w:leader="dot" w:pos="9016"/>
            </w:tabs>
            <w:rPr>
              <w:rFonts w:eastAsiaTheme="minorEastAsia" w:cstheme="minorBidi"/>
              <w:bCs w:val="0"/>
              <w:noProof/>
              <w:sz w:val="22"/>
              <w:szCs w:val="22"/>
            </w:rPr>
          </w:pPr>
          <w:hyperlink w:anchor="_Toc73519051" w:history="1">
            <w:r w:rsidR="00341659" w:rsidRPr="00490A21">
              <w:rPr>
                <w:rStyle w:val="Hyperlink"/>
                <w:noProof/>
              </w:rPr>
              <w:t>5.2</w:t>
            </w:r>
            <w:r w:rsidR="00341659">
              <w:rPr>
                <w:rFonts w:eastAsiaTheme="minorEastAsia" w:cstheme="minorBidi"/>
                <w:bCs w:val="0"/>
                <w:noProof/>
                <w:sz w:val="22"/>
                <w:szCs w:val="22"/>
              </w:rPr>
              <w:tab/>
            </w:r>
            <w:r w:rsidR="00341659" w:rsidRPr="00490A21">
              <w:rPr>
                <w:rStyle w:val="Hyperlink"/>
                <w:noProof/>
              </w:rPr>
              <w:t>Pass-through costs</w:t>
            </w:r>
            <w:r w:rsidR="00341659">
              <w:rPr>
                <w:noProof/>
                <w:webHidden/>
              </w:rPr>
              <w:tab/>
            </w:r>
            <w:r w:rsidR="00341659">
              <w:rPr>
                <w:noProof/>
                <w:webHidden/>
              </w:rPr>
              <w:fldChar w:fldCharType="begin"/>
            </w:r>
            <w:r w:rsidR="00341659">
              <w:rPr>
                <w:noProof/>
                <w:webHidden/>
              </w:rPr>
              <w:instrText xml:space="preserve"> PAGEREF _Toc73519051 \h </w:instrText>
            </w:r>
            <w:r w:rsidR="00341659">
              <w:rPr>
                <w:noProof/>
                <w:webHidden/>
              </w:rPr>
            </w:r>
            <w:r w:rsidR="00341659">
              <w:rPr>
                <w:noProof/>
                <w:webHidden/>
              </w:rPr>
              <w:fldChar w:fldCharType="separate"/>
            </w:r>
            <w:r w:rsidR="00341659">
              <w:rPr>
                <w:noProof/>
                <w:webHidden/>
              </w:rPr>
              <w:t>7</w:t>
            </w:r>
            <w:r w:rsidR="00341659">
              <w:rPr>
                <w:noProof/>
                <w:webHidden/>
              </w:rPr>
              <w:fldChar w:fldCharType="end"/>
            </w:r>
          </w:hyperlink>
        </w:p>
        <w:p w14:paraId="372AC8E5" w14:textId="3A2F09BF" w:rsidR="00341659" w:rsidRDefault="00BE01C5">
          <w:pPr>
            <w:pStyle w:val="TOC1"/>
            <w:tabs>
              <w:tab w:val="left" w:pos="660"/>
              <w:tab w:val="right" w:leader="dot" w:pos="9016"/>
            </w:tabs>
            <w:rPr>
              <w:rFonts w:eastAsiaTheme="minorEastAsia" w:cstheme="minorBidi"/>
              <w:bCs w:val="0"/>
              <w:noProof/>
              <w:sz w:val="22"/>
              <w:szCs w:val="22"/>
            </w:rPr>
          </w:pPr>
          <w:hyperlink w:anchor="_Toc73519052" w:history="1">
            <w:r w:rsidR="00341659" w:rsidRPr="00490A21">
              <w:rPr>
                <w:rStyle w:val="Hyperlink"/>
                <w:noProof/>
              </w:rPr>
              <w:t>5.3</w:t>
            </w:r>
            <w:r w:rsidR="00341659">
              <w:rPr>
                <w:rFonts w:eastAsiaTheme="minorEastAsia" w:cstheme="minorBidi"/>
                <w:bCs w:val="0"/>
                <w:noProof/>
                <w:sz w:val="22"/>
                <w:szCs w:val="22"/>
              </w:rPr>
              <w:tab/>
            </w:r>
            <w:r w:rsidR="00341659" w:rsidRPr="00490A21">
              <w:rPr>
                <w:rStyle w:val="Hyperlink"/>
                <w:noProof/>
              </w:rPr>
              <w:t>Setting the Energy Savings Contribution</w:t>
            </w:r>
            <w:r w:rsidR="00341659">
              <w:rPr>
                <w:noProof/>
                <w:webHidden/>
              </w:rPr>
              <w:tab/>
            </w:r>
            <w:r w:rsidR="00341659">
              <w:rPr>
                <w:noProof/>
                <w:webHidden/>
              </w:rPr>
              <w:fldChar w:fldCharType="begin"/>
            </w:r>
            <w:r w:rsidR="00341659">
              <w:rPr>
                <w:noProof/>
                <w:webHidden/>
              </w:rPr>
              <w:instrText xml:space="preserve"> PAGEREF _Toc73519052 \h </w:instrText>
            </w:r>
            <w:r w:rsidR="00341659">
              <w:rPr>
                <w:noProof/>
                <w:webHidden/>
              </w:rPr>
            </w:r>
            <w:r w:rsidR="00341659">
              <w:rPr>
                <w:noProof/>
                <w:webHidden/>
              </w:rPr>
              <w:fldChar w:fldCharType="separate"/>
            </w:r>
            <w:r w:rsidR="00341659">
              <w:rPr>
                <w:noProof/>
                <w:webHidden/>
              </w:rPr>
              <w:t>7</w:t>
            </w:r>
            <w:r w:rsidR="00341659">
              <w:rPr>
                <w:noProof/>
                <w:webHidden/>
              </w:rPr>
              <w:fldChar w:fldCharType="end"/>
            </w:r>
          </w:hyperlink>
        </w:p>
        <w:p w14:paraId="7F69B761" w14:textId="41FADC61" w:rsidR="00341659" w:rsidRDefault="00BE01C5">
          <w:pPr>
            <w:pStyle w:val="TOC1"/>
            <w:tabs>
              <w:tab w:val="left" w:pos="660"/>
              <w:tab w:val="right" w:leader="dot" w:pos="9016"/>
            </w:tabs>
            <w:rPr>
              <w:rFonts w:eastAsiaTheme="minorEastAsia" w:cstheme="minorBidi"/>
              <w:bCs w:val="0"/>
              <w:noProof/>
              <w:sz w:val="22"/>
              <w:szCs w:val="22"/>
            </w:rPr>
          </w:pPr>
          <w:hyperlink w:anchor="_Toc73519053" w:history="1">
            <w:r w:rsidR="00341659" w:rsidRPr="00490A21">
              <w:rPr>
                <w:rStyle w:val="Hyperlink"/>
                <w:noProof/>
              </w:rPr>
              <w:t>5.4</w:t>
            </w:r>
            <w:r w:rsidR="00341659">
              <w:rPr>
                <w:rFonts w:eastAsiaTheme="minorEastAsia" w:cstheme="minorBidi"/>
                <w:bCs w:val="0"/>
                <w:noProof/>
                <w:sz w:val="22"/>
                <w:szCs w:val="22"/>
              </w:rPr>
              <w:tab/>
            </w:r>
            <w:r w:rsidR="00341659" w:rsidRPr="00490A21">
              <w:rPr>
                <w:rStyle w:val="Hyperlink"/>
                <w:noProof/>
              </w:rPr>
              <w:t>Setting Penalties for Noncompliance</w:t>
            </w:r>
            <w:r w:rsidR="00341659">
              <w:rPr>
                <w:noProof/>
                <w:webHidden/>
              </w:rPr>
              <w:tab/>
            </w:r>
            <w:r w:rsidR="00341659">
              <w:rPr>
                <w:noProof/>
                <w:webHidden/>
              </w:rPr>
              <w:fldChar w:fldCharType="begin"/>
            </w:r>
            <w:r w:rsidR="00341659">
              <w:rPr>
                <w:noProof/>
                <w:webHidden/>
              </w:rPr>
              <w:instrText xml:space="preserve"> PAGEREF _Toc73519053 \h </w:instrText>
            </w:r>
            <w:r w:rsidR="00341659">
              <w:rPr>
                <w:noProof/>
                <w:webHidden/>
              </w:rPr>
            </w:r>
            <w:r w:rsidR="00341659">
              <w:rPr>
                <w:noProof/>
                <w:webHidden/>
              </w:rPr>
              <w:fldChar w:fldCharType="separate"/>
            </w:r>
            <w:r w:rsidR="00341659">
              <w:rPr>
                <w:noProof/>
                <w:webHidden/>
              </w:rPr>
              <w:t>8</w:t>
            </w:r>
            <w:r w:rsidR="00341659">
              <w:rPr>
                <w:noProof/>
                <w:webHidden/>
              </w:rPr>
              <w:fldChar w:fldCharType="end"/>
            </w:r>
          </w:hyperlink>
        </w:p>
        <w:p w14:paraId="15ACFB4D" w14:textId="06BB21E0" w:rsidR="00341659" w:rsidRDefault="00BE01C5">
          <w:pPr>
            <w:pStyle w:val="TOC1"/>
            <w:tabs>
              <w:tab w:val="left" w:pos="660"/>
              <w:tab w:val="right" w:leader="dot" w:pos="9016"/>
            </w:tabs>
            <w:rPr>
              <w:rFonts w:eastAsiaTheme="minorEastAsia" w:cstheme="minorBidi"/>
              <w:bCs w:val="0"/>
              <w:noProof/>
              <w:sz w:val="22"/>
              <w:szCs w:val="22"/>
            </w:rPr>
          </w:pPr>
          <w:hyperlink w:anchor="_Toc73519054" w:history="1">
            <w:r w:rsidR="00341659" w:rsidRPr="00490A21">
              <w:rPr>
                <w:rStyle w:val="Hyperlink"/>
                <w:noProof/>
              </w:rPr>
              <w:t>5.5</w:t>
            </w:r>
            <w:r w:rsidR="00341659">
              <w:rPr>
                <w:rFonts w:eastAsiaTheme="minorEastAsia" w:cstheme="minorBidi"/>
                <w:bCs w:val="0"/>
                <w:noProof/>
                <w:sz w:val="22"/>
                <w:szCs w:val="22"/>
              </w:rPr>
              <w:tab/>
            </w:r>
            <w:r w:rsidR="00341659" w:rsidRPr="00490A21">
              <w:rPr>
                <w:rStyle w:val="Hyperlink"/>
                <w:noProof/>
              </w:rPr>
              <w:t>Summary of proposed key scheme parameters</w:t>
            </w:r>
            <w:r w:rsidR="00341659">
              <w:rPr>
                <w:noProof/>
                <w:webHidden/>
              </w:rPr>
              <w:tab/>
            </w:r>
            <w:r w:rsidR="00341659">
              <w:rPr>
                <w:noProof/>
                <w:webHidden/>
              </w:rPr>
              <w:fldChar w:fldCharType="begin"/>
            </w:r>
            <w:r w:rsidR="00341659">
              <w:rPr>
                <w:noProof/>
                <w:webHidden/>
              </w:rPr>
              <w:instrText xml:space="preserve"> PAGEREF _Toc73519054 \h </w:instrText>
            </w:r>
            <w:r w:rsidR="00341659">
              <w:rPr>
                <w:noProof/>
                <w:webHidden/>
              </w:rPr>
            </w:r>
            <w:r w:rsidR="00341659">
              <w:rPr>
                <w:noProof/>
                <w:webHidden/>
              </w:rPr>
              <w:fldChar w:fldCharType="separate"/>
            </w:r>
            <w:r w:rsidR="00341659">
              <w:rPr>
                <w:noProof/>
                <w:webHidden/>
              </w:rPr>
              <w:t>8</w:t>
            </w:r>
            <w:r w:rsidR="00341659">
              <w:rPr>
                <w:noProof/>
                <w:webHidden/>
              </w:rPr>
              <w:fldChar w:fldCharType="end"/>
            </w:r>
          </w:hyperlink>
        </w:p>
        <w:p w14:paraId="28318494" w14:textId="3E891ACD" w:rsidR="00341659" w:rsidRDefault="00BE01C5">
          <w:pPr>
            <w:pStyle w:val="TOC1"/>
            <w:tabs>
              <w:tab w:val="left" w:pos="440"/>
              <w:tab w:val="right" w:leader="dot" w:pos="9016"/>
            </w:tabs>
            <w:rPr>
              <w:rFonts w:eastAsiaTheme="minorEastAsia" w:cstheme="minorBidi"/>
              <w:bCs w:val="0"/>
              <w:noProof/>
              <w:sz w:val="22"/>
              <w:szCs w:val="22"/>
            </w:rPr>
          </w:pPr>
          <w:hyperlink w:anchor="_Toc73519055" w:history="1">
            <w:r w:rsidR="00341659" w:rsidRPr="00490A21">
              <w:rPr>
                <w:rStyle w:val="Hyperlink"/>
                <w:rFonts w:cstheme="majorHAnsi"/>
                <w:noProof/>
              </w:rPr>
              <w:t>6.</w:t>
            </w:r>
            <w:r w:rsidR="00341659">
              <w:rPr>
                <w:rFonts w:eastAsiaTheme="minorEastAsia" w:cstheme="minorBidi"/>
                <w:bCs w:val="0"/>
                <w:noProof/>
                <w:sz w:val="22"/>
                <w:szCs w:val="22"/>
              </w:rPr>
              <w:tab/>
            </w:r>
            <w:r w:rsidR="00341659" w:rsidRPr="00490A21">
              <w:rPr>
                <w:rStyle w:val="Hyperlink"/>
                <w:noProof/>
              </w:rPr>
              <w:t>Strategy for further implementation, review and consultation</w:t>
            </w:r>
            <w:r w:rsidR="00341659">
              <w:rPr>
                <w:noProof/>
                <w:webHidden/>
              </w:rPr>
              <w:tab/>
            </w:r>
            <w:r w:rsidR="00341659">
              <w:rPr>
                <w:noProof/>
                <w:webHidden/>
              </w:rPr>
              <w:fldChar w:fldCharType="begin"/>
            </w:r>
            <w:r w:rsidR="00341659">
              <w:rPr>
                <w:noProof/>
                <w:webHidden/>
              </w:rPr>
              <w:instrText xml:space="preserve"> PAGEREF _Toc73519055 \h </w:instrText>
            </w:r>
            <w:r w:rsidR="00341659">
              <w:rPr>
                <w:noProof/>
                <w:webHidden/>
              </w:rPr>
            </w:r>
            <w:r w:rsidR="00341659">
              <w:rPr>
                <w:noProof/>
                <w:webHidden/>
              </w:rPr>
              <w:fldChar w:fldCharType="separate"/>
            </w:r>
            <w:r w:rsidR="00341659">
              <w:rPr>
                <w:noProof/>
                <w:webHidden/>
              </w:rPr>
              <w:t>9</w:t>
            </w:r>
            <w:r w:rsidR="00341659">
              <w:rPr>
                <w:noProof/>
                <w:webHidden/>
              </w:rPr>
              <w:fldChar w:fldCharType="end"/>
            </w:r>
          </w:hyperlink>
        </w:p>
        <w:p w14:paraId="0EB7DFCF" w14:textId="5830276B" w:rsidR="00341659" w:rsidRDefault="00BE01C5">
          <w:pPr>
            <w:pStyle w:val="TOC1"/>
            <w:tabs>
              <w:tab w:val="left" w:pos="440"/>
              <w:tab w:val="right" w:leader="dot" w:pos="9016"/>
            </w:tabs>
            <w:rPr>
              <w:rFonts w:eastAsiaTheme="minorEastAsia" w:cstheme="minorBidi"/>
              <w:bCs w:val="0"/>
              <w:noProof/>
              <w:sz w:val="22"/>
              <w:szCs w:val="22"/>
            </w:rPr>
          </w:pPr>
          <w:hyperlink w:anchor="_Toc73519056" w:history="1">
            <w:r w:rsidR="00341659" w:rsidRPr="00490A21">
              <w:rPr>
                <w:rStyle w:val="Hyperlink"/>
                <w:rFonts w:cstheme="majorHAnsi"/>
                <w:noProof/>
              </w:rPr>
              <w:t>7.</w:t>
            </w:r>
            <w:r w:rsidR="00341659">
              <w:rPr>
                <w:rFonts w:eastAsiaTheme="minorEastAsia" w:cstheme="minorBidi"/>
                <w:bCs w:val="0"/>
                <w:noProof/>
                <w:sz w:val="22"/>
                <w:szCs w:val="22"/>
              </w:rPr>
              <w:tab/>
            </w:r>
            <w:r w:rsidR="00341659" w:rsidRPr="00490A21">
              <w:rPr>
                <w:rStyle w:val="Hyperlink"/>
                <w:noProof/>
              </w:rPr>
              <w:t>Complementarity</w:t>
            </w:r>
            <w:r w:rsidR="00341659">
              <w:rPr>
                <w:noProof/>
                <w:webHidden/>
              </w:rPr>
              <w:tab/>
            </w:r>
            <w:r w:rsidR="00341659">
              <w:rPr>
                <w:noProof/>
                <w:webHidden/>
              </w:rPr>
              <w:fldChar w:fldCharType="begin"/>
            </w:r>
            <w:r w:rsidR="00341659">
              <w:rPr>
                <w:noProof/>
                <w:webHidden/>
              </w:rPr>
              <w:instrText xml:space="preserve"> PAGEREF _Toc73519056 \h </w:instrText>
            </w:r>
            <w:r w:rsidR="00341659">
              <w:rPr>
                <w:noProof/>
                <w:webHidden/>
              </w:rPr>
            </w:r>
            <w:r w:rsidR="00341659">
              <w:rPr>
                <w:noProof/>
                <w:webHidden/>
              </w:rPr>
              <w:fldChar w:fldCharType="separate"/>
            </w:r>
            <w:r w:rsidR="00341659">
              <w:rPr>
                <w:noProof/>
                <w:webHidden/>
              </w:rPr>
              <w:t>9</w:t>
            </w:r>
            <w:r w:rsidR="00341659">
              <w:rPr>
                <w:noProof/>
                <w:webHidden/>
              </w:rPr>
              <w:fldChar w:fldCharType="end"/>
            </w:r>
          </w:hyperlink>
        </w:p>
        <w:p w14:paraId="3F11CAF6" w14:textId="469DB6B1" w:rsidR="00341659" w:rsidRDefault="00BE01C5">
          <w:pPr>
            <w:pStyle w:val="TOC1"/>
            <w:tabs>
              <w:tab w:val="left" w:pos="440"/>
              <w:tab w:val="right" w:leader="dot" w:pos="9016"/>
            </w:tabs>
            <w:rPr>
              <w:rFonts w:eastAsiaTheme="minorEastAsia" w:cstheme="minorBidi"/>
              <w:bCs w:val="0"/>
              <w:noProof/>
              <w:sz w:val="22"/>
              <w:szCs w:val="22"/>
            </w:rPr>
          </w:pPr>
          <w:hyperlink w:anchor="_Toc73519057" w:history="1">
            <w:r w:rsidR="00341659" w:rsidRPr="00490A21">
              <w:rPr>
                <w:rStyle w:val="Hyperlink"/>
                <w:rFonts w:cstheme="majorHAnsi"/>
                <w:noProof/>
              </w:rPr>
              <w:t>8.</w:t>
            </w:r>
            <w:r w:rsidR="00341659">
              <w:rPr>
                <w:rFonts w:eastAsiaTheme="minorEastAsia" w:cstheme="minorBidi"/>
                <w:bCs w:val="0"/>
                <w:noProof/>
                <w:sz w:val="22"/>
                <w:szCs w:val="22"/>
              </w:rPr>
              <w:tab/>
            </w:r>
            <w:r w:rsidR="00341659" w:rsidRPr="00490A21">
              <w:rPr>
                <w:rStyle w:val="Hyperlink"/>
                <w:noProof/>
              </w:rPr>
              <w:t>Human rights</w:t>
            </w:r>
            <w:r w:rsidR="00341659">
              <w:rPr>
                <w:noProof/>
                <w:webHidden/>
              </w:rPr>
              <w:tab/>
            </w:r>
            <w:r w:rsidR="00341659">
              <w:rPr>
                <w:noProof/>
                <w:webHidden/>
              </w:rPr>
              <w:fldChar w:fldCharType="begin"/>
            </w:r>
            <w:r w:rsidR="00341659">
              <w:rPr>
                <w:noProof/>
                <w:webHidden/>
              </w:rPr>
              <w:instrText xml:space="preserve"> PAGEREF _Toc73519057 \h </w:instrText>
            </w:r>
            <w:r w:rsidR="00341659">
              <w:rPr>
                <w:noProof/>
                <w:webHidden/>
              </w:rPr>
            </w:r>
            <w:r w:rsidR="00341659">
              <w:rPr>
                <w:noProof/>
                <w:webHidden/>
              </w:rPr>
              <w:fldChar w:fldCharType="separate"/>
            </w:r>
            <w:r w:rsidR="00341659">
              <w:rPr>
                <w:noProof/>
                <w:webHidden/>
              </w:rPr>
              <w:t>9</w:t>
            </w:r>
            <w:r w:rsidR="00341659">
              <w:rPr>
                <w:noProof/>
                <w:webHidden/>
              </w:rPr>
              <w:fldChar w:fldCharType="end"/>
            </w:r>
          </w:hyperlink>
        </w:p>
        <w:p w14:paraId="28A41324" w14:textId="74201B56" w:rsidR="00341659" w:rsidRDefault="00BE01C5">
          <w:pPr>
            <w:pStyle w:val="TOC1"/>
            <w:tabs>
              <w:tab w:val="left" w:pos="440"/>
              <w:tab w:val="right" w:leader="dot" w:pos="9016"/>
            </w:tabs>
            <w:rPr>
              <w:rFonts w:eastAsiaTheme="minorEastAsia" w:cstheme="minorBidi"/>
              <w:bCs w:val="0"/>
              <w:noProof/>
              <w:sz w:val="22"/>
              <w:szCs w:val="22"/>
            </w:rPr>
          </w:pPr>
          <w:hyperlink w:anchor="_Toc73519058" w:history="1">
            <w:r w:rsidR="00341659" w:rsidRPr="00490A21">
              <w:rPr>
                <w:rStyle w:val="Hyperlink"/>
                <w:rFonts w:cstheme="majorHAnsi"/>
                <w:noProof/>
              </w:rPr>
              <w:t>9.</w:t>
            </w:r>
            <w:r w:rsidR="00341659">
              <w:rPr>
                <w:rFonts w:eastAsiaTheme="minorEastAsia" w:cstheme="minorBidi"/>
                <w:bCs w:val="0"/>
                <w:noProof/>
                <w:sz w:val="22"/>
                <w:szCs w:val="22"/>
              </w:rPr>
              <w:tab/>
            </w:r>
            <w:r w:rsidR="00341659" w:rsidRPr="00490A21">
              <w:rPr>
                <w:rStyle w:val="Hyperlink"/>
                <w:noProof/>
              </w:rPr>
              <w:t>Assessment of the consistency of the proposed law with Scrutiny of Bills Committee principles</w:t>
            </w:r>
            <w:r w:rsidR="00341659">
              <w:rPr>
                <w:noProof/>
                <w:webHidden/>
              </w:rPr>
              <w:tab/>
            </w:r>
            <w:r w:rsidR="00341659">
              <w:rPr>
                <w:noProof/>
                <w:webHidden/>
              </w:rPr>
              <w:fldChar w:fldCharType="begin"/>
            </w:r>
            <w:r w:rsidR="00341659">
              <w:rPr>
                <w:noProof/>
                <w:webHidden/>
              </w:rPr>
              <w:instrText xml:space="preserve"> PAGEREF _Toc73519058 \h </w:instrText>
            </w:r>
            <w:r w:rsidR="00341659">
              <w:rPr>
                <w:noProof/>
                <w:webHidden/>
              </w:rPr>
            </w:r>
            <w:r w:rsidR="00341659">
              <w:rPr>
                <w:noProof/>
                <w:webHidden/>
              </w:rPr>
              <w:fldChar w:fldCharType="separate"/>
            </w:r>
            <w:r w:rsidR="00341659">
              <w:rPr>
                <w:noProof/>
                <w:webHidden/>
              </w:rPr>
              <w:t>9</w:t>
            </w:r>
            <w:r w:rsidR="00341659">
              <w:rPr>
                <w:noProof/>
                <w:webHidden/>
              </w:rPr>
              <w:fldChar w:fldCharType="end"/>
            </w:r>
          </w:hyperlink>
        </w:p>
        <w:p w14:paraId="397F0267" w14:textId="5EAFD679" w:rsidR="00341659" w:rsidRDefault="00BE01C5">
          <w:pPr>
            <w:pStyle w:val="TOC1"/>
            <w:tabs>
              <w:tab w:val="left" w:pos="660"/>
              <w:tab w:val="right" w:leader="dot" w:pos="9016"/>
            </w:tabs>
            <w:rPr>
              <w:rFonts w:eastAsiaTheme="minorEastAsia" w:cstheme="minorBidi"/>
              <w:bCs w:val="0"/>
              <w:noProof/>
              <w:sz w:val="22"/>
              <w:szCs w:val="22"/>
            </w:rPr>
          </w:pPr>
          <w:hyperlink w:anchor="_Toc73519059" w:history="1">
            <w:r w:rsidR="00341659" w:rsidRPr="00490A21">
              <w:rPr>
                <w:rStyle w:val="Hyperlink"/>
                <w:rFonts w:cstheme="majorHAnsi"/>
                <w:noProof/>
              </w:rPr>
              <w:t>10.</w:t>
            </w:r>
            <w:r w:rsidR="00341659">
              <w:rPr>
                <w:rFonts w:eastAsiaTheme="minorEastAsia" w:cstheme="minorBidi"/>
                <w:bCs w:val="0"/>
                <w:noProof/>
                <w:sz w:val="22"/>
                <w:szCs w:val="22"/>
              </w:rPr>
              <w:tab/>
            </w:r>
            <w:r w:rsidR="00341659" w:rsidRPr="00490A21">
              <w:rPr>
                <w:rStyle w:val="Hyperlink"/>
                <w:noProof/>
              </w:rPr>
              <w:t>Conclusion</w:t>
            </w:r>
            <w:r w:rsidR="00341659">
              <w:rPr>
                <w:noProof/>
                <w:webHidden/>
              </w:rPr>
              <w:tab/>
            </w:r>
            <w:r w:rsidR="00341659">
              <w:rPr>
                <w:noProof/>
                <w:webHidden/>
              </w:rPr>
              <w:fldChar w:fldCharType="begin"/>
            </w:r>
            <w:r w:rsidR="00341659">
              <w:rPr>
                <w:noProof/>
                <w:webHidden/>
              </w:rPr>
              <w:instrText xml:space="preserve"> PAGEREF _Toc73519059 \h </w:instrText>
            </w:r>
            <w:r w:rsidR="00341659">
              <w:rPr>
                <w:noProof/>
                <w:webHidden/>
              </w:rPr>
            </w:r>
            <w:r w:rsidR="00341659">
              <w:rPr>
                <w:noProof/>
                <w:webHidden/>
              </w:rPr>
              <w:fldChar w:fldCharType="separate"/>
            </w:r>
            <w:r w:rsidR="00341659">
              <w:rPr>
                <w:noProof/>
                <w:webHidden/>
              </w:rPr>
              <w:t>10</w:t>
            </w:r>
            <w:r w:rsidR="00341659">
              <w:rPr>
                <w:noProof/>
                <w:webHidden/>
              </w:rPr>
              <w:fldChar w:fldCharType="end"/>
            </w:r>
          </w:hyperlink>
        </w:p>
        <w:p w14:paraId="48B312A3" w14:textId="588BF758" w:rsidR="00257C48" w:rsidRDefault="00257C48">
          <w:r>
            <w:rPr>
              <w:b/>
              <w:noProof/>
            </w:rPr>
            <w:fldChar w:fldCharType="end"/>
          </w:r>
        </w:p>
      </w:sdtContent>
    </w:sdt>
    <w:p w14:paraId="6FDC3765" w14:textId="77777777" w:rsidR="00CE7D17" w:rsidRDefault="00CE7D17">
      <w:pPr>
        <w:autoSpaceDE/>
        <w:autoSpaceDN/>
        <w:adjustRightInd/>
        <w:spacing w:after="160" w:line="259" w:lineRule="auto"/>
        <w:rPr>
          <w:rFonts w:asciiTheme="majorHAnsi" w:eastAsiaTheme="majorEastAsia" w:hAnsiTheme="majorHAnsi" w:cstheme="majorBidi"/>
          <w:b/>
          <w:bCs w:val="0"/>
          <w:color w:val="2F5496" w:themeColor="accent1" w:themeShade="BF"/>
          <w:sz w:val="28"/>
          <w:szCs w:val="28"/>
        </w:rPr>
      </w:pPr>
      <w:r>
        <w:br w:type="page"/>
      </w:r>
    </w:p>
    <w:p w14:paraId="28557F6C" w14:textId="20AC6E9D" w:rsidR="005E15AF" w:rsidRDefault="005E15AF" w:rsidP="005E15AF">
      <w:pPr>
        <w:pStyle w:val="Heading1"/>
        <w:numPr>
          <w:ilvl w:val="0"/>
          <w:numId w:val="4"/>
        </w:numPr>
      </w:pPr>
      <w:bookmarkStart w:id="1" w:name="_Toc73519045"/>
      <w:r w:rsidRPr="00621CB9">
        <w:lastRenderedPageBreak/>
        <w:t>Executive</w:t>
      </w:r>
      <w:r>
        <w:t xml:space="preserve"> </w:t>
      </w:r>
      <w:r w:rsidR="00041461">
        <w:t>s</w:t>
      </w:r>
      <w:r w:rsidRPr="00621CB9">
        <w:t>ummary</w:t>
      </w:r>
      <w:bookmarkEnd w:id="1"/>
      <w:bookmarkEnd w:id="0"/>
    </w:p>
    <w:p w14:paraId="69EB6D53" w14:textId="467188BD" w:rsidR="00001665" w:rsidRDefault="0078202B" w:rsidP="00001665">
      <w:r w:rsidRPr="0078202B">
        <w:t xml:space="preserve">The </w:t>
      </w:r>
      <w:r w:rsidRPr="0078202B">
        <w:rPr>
          <w:i/>
          <w:iCs/>
        </w:rPr>
        <w:t>Energy Efficiency (Cost of Living) Improvement Act 2012</w:t>
      </w:r>
      <w:r w:rsidRPr="0078202B">
        <w:t xml:space="preserve"> (the Act) establishes the </w:t>
      </w:r>
      <w:r>
        <w:t xml:space="preserve">Australian Capital Territory’s (ACT’s) </w:t>
      </w:r>
      <w:r w:rsidRPr="0078202B">
        <w:t>Energy Efficiency Improvement Scheme (EEIS</w:t>
      </w:r>
      <w:r w:rsidR="00EE3DD1">
        <w:t>/the ‘Scheme’</w:t>
      </w:r>
      <w:r w:rsidRPr="0078202B">
        <w:t>), which aims to encourage the efficient use of energy; reduce greenhouse gas emissions associated with energy use in the Territory; reduce household and business energy use and costs; and increase opportunities for priority households to reduce energy use and costs.</w:t>
      </w:r>
      <w:r w:rsidR="00001665">
        <w:t xml:space="preserve"> The EEIS</w:t>
      </w:r>
      <w:r w:rsidR="00001665" w:rsidRPr="00137490">
        <w:t xml:space="preserve"> establishes a Territory-wide Energy Savings Target (EST)</w:t>
      </w:r>
      <w:r w:rsidR="00A50B74">
        <w:t>,</w:t>
      </w:r>
      <w:r w:rsidR="00001665" w:rsidRPr="00137490">
        <w:t xml:space="preserve"> defined as a proportion of a retailer’s total electricity sales in the ACT.</w:t>
      </w:r>
    </w:p>
    <w:p w14:paraId="07CE0430" w14:textId="1AC3BDD8" w:rsidR="00001665" w:rsidRDefault="00001665" w:rsidP="00001665">
      <w:pPr>
        <w:spacing w:before="120"/>
      </w:pPr>
      <w:r>
        <w:t>The Act requires individual</w:t>
      </w:r>
      <w:r w:rsidRPr="00E461D0">
        <w:t xml:space="preserve"> </w:t>
      </w:r>
      <w:r>
        <w:t xml:space="preserve">electricity </w:t>
      </w:r>
      <w:r w:rsidRPr="00E461D0">
        <w:t xml:space="preserve">retailers to </w:t>
      </w:r>
      <w:r>
        <w:t xml:space="preserve">achieve energy savings </w:t>
      </w:r>
      <w:r w:rsidRPr="00E461D0">
        <w:t>by delivering eligible activities</w:t>
      </w:r>
      <w:r>
        <w:t xml:space="preserve"> to households and small-to-medium businesses</w:t>
      </w:r>
      <w:r w:rsidRPr="00E461D0">
        <w:t>. Eligible activities</w:t>
      </w:r>
      <w:r>
        <w:t xml:space="preserve"> are determined by the Minister and</w:t>
      </w:r>
      <w:r w:rsidRPr="00E461D0">
        <w:t xml:space="preserve"> include </w:t>
      </w:r>
      <w:r w:rsidR="003B4E5D">
        <w:t>insulation</w:t>
      </w:r>
      <w:r w:rsidRPr="00E461D0">
        <w:t xml:space="preserve">, draught seals, efficient </w:t>
      </w:r>
      <w:r>
        <w:t xml:space="preserve">space heating and cooling systems, </w:t>
      </w:r>
      <w:r w:rsidRPr="00E461D0">
        <w:t>water heaters a</w:t>
      </w:r>
      <w:r>
        <w:t xml:space="preserve">nd other items that reduce energy bills and provide energy savings </w:t>
      </w:r>
      <w:r w:rsidRPr="00E461D0">
        <w:t>while maintaining quality of life.</w:t>
      </w:r>
      <w:r>
        <w:t xml:space="preserve"> Whereas </w:t>
      </w:r>
      <w:r w:rsidR="001D7452">
        <w:t>‘</w:t>
      </w:r>
      <w:r>
        <w:t>Tier 1</w:t>
      </w:r>
      <w:r w:rsidR="001D7452">
        <w:t>’</w:t>
      </w:r>
      <w:r>
        <w:t xml:space="preserve"> retailers (currently only ActewAGL</w:t>
      </w:r>
      <w:r w:rsidR="00A50B74">
        <w:t xml:space="preserve"> Retail</w:t>
      </w:r>
      <w:r>
        <w:t xml:space="preserve">) must deliver energy savings activities, smaller, </w:t>
      </w:r>
      <w:r w:rsidR="001D7452">
        <w:t>‘</w:t>
      </w:r>
      <w:r>
        <w:t>T</w:t>
      </w:r>
      <w:r w:rsidRPr="00E461D0">
        <w:t>ier</w:t>
      </w:r>
      <w:r w:rsidR="00FE2BF2">
        <w:t xml:space="preserve"> </w:t>
      </w:r>
      <w:r w:rsidRPr="00E461D0">
        <w:t>2</w:t>
      </w:r>
      <w:r w:rsidR="001D7452">
        <w:t>’</w:t>
      </w:r>
      <w:r w:rsidRPr="00E461D0">
        <w:t xml:space="preserve"> retailers can either deliver eligible activities or pay an </w:t>
      </w:r>
      <w:r>
        <w:t>E</w:t>
      </w:r>
      <w:r w:rsidRPr="00E461D0">
        <w:t>nergy Savings Contribution</w:t>
      </w:r>
      <w:r>
        <w:t xml:space="preserve"> (ESC)</w:t>
      </w:r>
      <w:r w:rsidRPr="00E461D0">
        <w:t xml:space="preserve">. </w:t>
      </w:r>
      <w:r w:rsidR="001D7452">
        <w:t>Any retailer that fails to meet its obligations under the Scheme within a given compliance period is required to pay a ‘Shortfall Penalty’.</w:t>
      </w:r>
    </w:p>
    <w:p w14:paraId="44D9A9DB" w14:textId="0573B703" w:rsidR="005E15AF" w:rsidRDefault="005E15AF" w:rsidP="00137490">
      <w:r w:rsidRPr="00005844">
        <w:t xml:space="preserve">This Regulatory Impact Statement </w:t>
      </w:r>
      <w:r>
        <w:t>(RIS) was</w:t>
      </w:r>
      <w:r w:rsidRPr="00005844">
        <w:t xml:space="preserve"> prepared in accordance with </w:t>
      </w:r>
      <w:r>
        <w:t>Part</w:t>
      </w:r>
      <w:r w:rsidRPr="00005844">
        <w:t xml:space="preserve"> 5</w:t>
      </w:r>
      <w:r>
        <w:t>.2</w:t>
      </w:r>
      <w:r w:rsidRPr="00005844">
        <w:t xml:space="preserve"> of the </w:t>
      </w:r>
      <w:r w:rsidRPr="0078202B">
        <w:rPr>
          <w:i/>
          <w:iCs/>
        </w:rPr>
        <w:t>Legislation Act 2001</w:t>
      </w:r>
      <w:r w:rsidR="0078202B">
        <w:t xml:space="preserve">. </w:t>
      </w:r>
      <w:r>
        <w:t xml:space="preserve">The specific proposal considered in this document is for the following </w:t>
      </w:r>
      <w:r w:rsidR="00A50B74">
        <w:t>S</w:t>
      </w:r>
      <w:r>
        <w:t xml:space="preserve">cheme parameters to be set by the Minister for Water, Energy and Emissions Reduction in disallowable instruments for the </w:t>
      </w:r>
      <w:r w:rsidRPr="001E2EDA">
        <w:t>202</w:t>
      </w:r>
      <w:r>
        <w:t>2 compliance period</w:t>
      </w:r>
      <w:r w:rsidRPr="001E2EDA">
        <w:t>:</w:t>
      </w:r>
    </w:p>
    <w:p w14:paraId="6D5618F0" w14:textId="5C2440E5" w:rsidR="005E15AF" w:rsidRPr="00033060" w:rsidRDefault="005E15AF" w:rsidP="005E15AF">
      <w:pPr>
        <w:pStyle w:val="ListParagraph"/>
        <w:numPr>
          <w:ilvl w:val="0"/>
          <w:numId w:val="5"/>
        </w:numPr>
      </w:pPr>
      <w:r w:rsidRPr="00033060">
        <w:t>Energy Saving</w:t>
      </w:r>
      <w:r w:rsidR="00D71830" w:rsidRPr="00033060">
        <w:t>s</w:t>
      </w:r>
      <w:r w:rsidRPr="00033060">
        <w:t xml:space="preserve"> Target at </w:t>
      </w:r>
      <w:r w:rsidR="006B1DC6" w:rsidRPr="00033060">
        <w:t>12</w:t>
      </w:r>
      <w:r w:rsidRPr="00033060">
        <w:t>.</w:t>
      </w:r>
      <w:r w:rsidR="00D61ED3" w:rsidRPr="00033060">
        <w:t>5</w:t>
      </w:r>
      <w:r w:rsidRPr="00033060">
        <w:t xml:space="preserve">% </w:t>
      </w:r>
    </w:p>
    <w:p w14:paraId="1B079BFC" w14:textId="3E84CBC3" w:rsidR="005E15AF" w:rsidRPr="00033060" w:rsidRDefault="005E15AF" w:rsidP="005E15AF">
      <w:pPr>
        <w:pStyle w:val="ListParagraph"/>
        <w:numPr>
          <w:ilvl w:val="0"/>
          <w:numId w:val="5"/>
        </w:numPr>
      </w:pPr>
      <w:r w:rsidRPr="00033060">
        <w:t>Energy Savings Contribution at $</w:t>
      </w:r>
      <w:r w:rsidR="006B1DC6" w:rsidRPr="00033060">
        <w:t>32</w:t>
      </w:r>
      <w:r w:rsidRPr="00033060">
        <w:t>/MWh, and</w:t>
      </w:r>
    </w:p>
    <w:p w14:paraId="0DF7E280" w14:textId="1977BB8B" w:rsidR="005E15AF" w:rsidRPr="00033060" w:rsidRDefault="005E15AF" w:rsidP="005E15AF">
      <w:pPr>
        <w:pStyle w:val="ListParagraph"/>
        <w:numPr>
          <w:ilvl w:val="0"/>
          <w:numId w:val="5"/>
        </w:numPr>
      </w:pPr>
      <w:r w:rsidRPr="00033060">
        <w:t>Shortfall Penalty at $</w:t>
      </w:r>
      <w:r w:rsidR="006B1DC6" w:rsidRPr="00033060">
        <w:t>83</w:t>
      </w:r>
      <w:r w:rsidRPr="00033060">
        <w:t>/MWh.</w:t>
      </w:r>
    </w:p>
    <w:p w14:paraId="11A36801" w14:textId="77777777" w:rsidR="005E15AF" w:rsidRPr="00935BF5" w:rsidRDefault="005E15AF" w:rsidP="005E15AF">
      <w:pPr>
        <w:spacing w:after="0"/>
      </w:pPr>
    </w:p>
    <w:p w14:paraId="1A88DFF2" w14:textId="77777777" w:rsidR="005E15AF" w:rsidRDefault="005E15AF" w:rsidP="005E15AF">
      <w:pPr>
        <w:keepNext/>
      </w:pPr>
      <w:r>
        <w:t>These parameters are set by the following disallowable instruments:</w:t>
      </w:r>
    </w:p>
    <w:p w14:paraId="1003F8F8" w14:textId="4EA46B59" w:rsidR="005E15AF" w:rsidRPr="00012B96" w:rsidRDefault="005E15AF" w:rsidP="005E15AF">
      <w:pPr>
        <w:pStyle w:val="ListParagraph"/>
        <w:keepNext/>
        <w:numPr>
          <w:ilvl w:val="0"/>
          <w:numId w:val="6"/>
        </w:numPr>
        <w:rPr>
          <w:i/>
          <w:iCs/>
        </w:rPr>
      </w:pPr>
      <w:r w:rsidRPr="00012B96">
        <w:rPr>
          <w:i/>
          <w:iCs/>
        </w:rPr>
        <w:t>Energy Efficiency (Cost of Living) Improvement (Energy Savings Target) Determination 202</w:t>
      </w:r>
      <w:r>
        <w:rPr>
          <w:i/>
          <w:iCs/>
        </w:rPr>
        <w:t>1</w:t>
      </w:r>
    </w:p>
    <w:p w14:paraId="03730276" w14:textId="2312B686" w:rsidR="005E15AF" w:rsidRPr="00012B96" w:rsidRDefault="005E15AF" w:rsidP="005E15AF">
      <w:pPr>
        <w:pStyle w:val="ListParagraph"/>
        <w:keepNext/>
        <w:numPr>
          <w:ilvl w:val="0"/>
          <w:numId w:val="6"/>
        </w:numPr>
        <w:rPr>
          <w:i/>
          <w:iCs/>
        </w:rPr>
      </w:pPr>
      <w:r w:rsidRPr="00012B96">
        <w:rPr>
          <w:i/>
          <w:iCs/>
        </w:rPr>
        <w:t>Energy Efficiency (Cost of Living) Improvement (Energy Savings Contribution) Determination 202</w:t>
      </w:r>
      <w:r>
        <w:rPr>
          <w:i/>
          <w:iCs/>
        </w:rPr>
        <w:t>1</w:t>
      </w:r>
      <w:r w:rsidRPr="00012B96">
        <w:rPr>
          <w:i/>
          <w:iCs/>
        </w:rPr>
        <w:t xml:space="preserve"> </w:t>
      </w:r>
    </w:p>
    <w:p w14:paraId="5222A6B9" w14:textId="6EF5E9D5" w:rsidR="00137490" w:rsidRPr="0078202B" w:rsidRDefault="005E15AF" w:rsidP="0078202B">
      <w:pPr>
        <w:pStyle w:val="ListParagraph"/>
        <w:keepNext/>
        <w:numPr>
          <w:ilvl w:val="0"/>
          <w:numId w:val="6"/>
        </w:numPr>
        <w:rPr>
          <w:i/>
          <w:iCs/>
        </w:rPr>
      </w:pPr>
      <w:r w:rsidRPr="00012B96">
        <w:rPr>
          <w:i/>
          <w:iCs/>
        </w:rPr>
        <w:t>Energy Efficiency (Cost of Living) Improvement (Penalties for Noncompliance) Determination 202</w:t>
      </w:r>
      <w:r w:rsidR="006B1DC6">
        <w:rPr>
          <w:i/>
          <w:iCs/>
        </w:rPr>
        <w:t>1</w:t>
      </w:r>
      <w:r w:rsidRPr="00012B96">
        <w:rPr>
          <w:i/>
          <w:iCs/>
        </w:rPr>
        <w:t xml:space="preserve"> </w:t>
      </w:r>
    </w:p>
    <w:p w14:paraId="44D1C55E" w14:textId="1D24DEFF" w:rsidR="00AF1304" w:rsidRDefault="00D61ED3" w:rsidP="00F81CB8">
      <w:pPr>
        <w:pStyle w:val="Heading1"/>
      </w:pPr>
      <w:bookmarkStart w:id="2" w:name="_Toc73519046"/>
      <w:r>
        <w:t>The authorising law</w:t>
      </w:r>
      <w:bookmarkEnd w:id="2"/>
    </w:p>
    <w:p w14:paraId="7FD02DD8" w14:textId="2D7A6B9B" w:rsidR="00A26270" w:rsidRDefault="00AF1304" w:rsidP="002022DC">
      <w:r>
        <w:t xml:space="preserve">The EEIS is the ACT’s market-based Energy Efficiency Obligation </w:t>
      </w:r>
      <w:r w:rsidRPr="004C2DF7">
        <w:t>(EEO)</w:t>
      </w:r>
      <w:r>
        <w:t xml:space="preserve"> scheme established under the </w:t>
      </w:r>
      <w:r w:rsidRPr="00911C78">
        <w:rPr>
          <w:i/>
        </w:rPr>
        <w:t>Energy Efficiency (Cost of Living) Improvement Act 2012</w:t>
      </w:r>
      <w:r w:rsidRPr="00911C78">
        <w:t xml:space="preserve"> </w:t>
      </w:r>
      <w:r>
        <w:t>(the Act). The Act was passed by the Legislative Assembly on 3 May 2012</w:t>
      </w:r>
      <w:r w:rsidR="00A26270">
        <w:t xml:space="preserve"> and the Scheme is currently legislated to run until</w:t>
      </w:r>
      <w:r w:rsidR="00A26270" w:rsidRPr="000D4FA0">
        <w:rPr>
          <w:rFonts w:cs="Calibri"/>
        </w:rPr>
        <w:t xml:space="preserve"> </w:t>
      </w:r>
      <w:r w:rsidR="00A26270">
        <w:t>31 December 2030</w:t>
      </w:r>
      <w:r>
        <w:t xml:space="preserve">. </w:t>
      </w:r>
      <w:r w:rsidR="00A26270" w:rsidRPr="00A26270">
        <w:t xml:space="preserve">Under the Act, a Territory-wide Energy Savings Target (EST) is </w:t>
      </w:r>
      <w:r w:rsidR="00A26270" w:rsidRPr="00A26270">
        <w:lastRenderedPageBreak/>
        <w:t xml:space="preserve">established, which determines the total energy savings to be achieved by individual retailers in a compliance period, expressed as a percentage of their total electricity sales in the ACT. A Retailer’s Energy Savings Obligation (RESO) for a compliance period is calculated as follows: </w:t>
      </w:r>
      <w:r w:rsidR="00D13E43">
        <w:rPr>
          <w:rFonts w:ascii="Calibri" w:hAnsi="Calibri" w:cs="Arial"/>
          <w:iCs/>
        </w:rPr>
        <w:t>EST</w:t>
      </w:r>
      <w:r w:rsidR="00D13E43" w:rsidRPr="009A7D5C">
        <w:rPr>
          <w:rFonts w:ascii="Calibri" w:hAnsi="Calibri" w:cs="Arial"/>
          <w:iCs/>
        </w:rPr>
        <w:t xml:space="preserve"> (%) x Electricity Sales (in </w:t>
      </w:r>
      <w:r w:rsidR="00FE2BF2">
        <w:rPr>
          <w:rFonts w:ascii="Calibri" w:hAnsi="Calibri" w:cs="Arial"/>
          <w:iCs/>
        </w:rPr>
        <w:t xml:space="preserve">megawatt hours </w:t>
      </w:r>
      <w:r w:rsidR="003E31FE">
        <w:rPr>
          <w:rFonts w:ascii="Calibri" w:hAnsi="Calibri" w:cs="Arial"/>
          <w:iCs/>
        </w:rPr>
        <w:t xml:space="preserve">or </w:t>
      </w:r>
      <w:r w:rsidR="00D13E43" w:rsidRPr="009A7D5C">
        <w:rPr>
          <w:rFonts w:ascii="Calibri" w:hAnsi="Calibri" w:cs="Arial"/>
          <w:iCs/>
        </w:rPr>
        <w:t>MWh)</w:t>
      </w:r>
      <w:r w:rsidR="00A26270" w:rsidRPr="00A26270">
        <w:t>.</w:t>
      </w:r>
      <w:r w:rsidR="00A26270">
        <w:t xml:space="preserve"> </w:t>
      </w:r>
      <w:r w:rsidR="00723377">
        <w:t xml:space="preserve">Those Tier 2 retailers that choose not to deliver energy savings activities are required to achieve their RESO through the payment of an Energy Savings Contribution (ESC). </w:t>
      </w:r>
      <w:r w:rsidR="008C77CF">
        <w:t>In cases where</w:t>
      </w:r>
      <w:r w:rsidR="002022DC">
        <w:t xml:space="preserve"> a retailer fails to meet their RESO, a Shortfall Penalty applies. </w:t>
      </w:r>
    </w:p>
    <w:p w14:paraId="4B0BDA1E" w14:textId="7D68DCF4" w:rsidR="00252B35" w:rsidRDefault="00723377" w:rsidP="00C922A8">
      <w:pPr>
        <w:spacing w:after="0"/>
      </w:pPr>
      <w:r>
        <w:t xml:space="preserve">The specific level of </w:t>
      </w:r>
      <w:r w:rsidR="002022DC">
        <w:t xml:space="preserve">each of </w:t>
      </w:r>
      <w:r>
        <w:t>the</w:t>
      </w:r>
      <w:r w:rsidR="002022DC">
        <w:t>se parameters</w:t>
      </w:r>
      <w:r>
        <w:t xml:space="preserve"> </w:t>
      </w:r>
      <w:r w:rsidR="00033060">
        <w:t xml:space="preserve">may </w:t>
      </w:r>
      <w:r w:rsidR="006B1DC6">
        <w:t>be set for several years in advance</w:t>
      </w:r>
      <w:r w:rsidR="005D708B">
        <w:t xml:space="preserve"> and reviewed and adjusted as needed</w:t>
      </w:r>
      <w:r>
        <w:t>.</w:t>
      </w:r>
      <w:r w:rsidR="002022DC">
        <w:t xml:space="preserve"> </w:t>
      </w:r>
      <w:bookmarkStart w:id="3" w:name="_Hlk71200820"/>
      <w:r w:rsidR="00F77F93">
        <w:t>The</w:t>
      </w:r>
      <w:r w:rsidR="00F77F93" w:rsidRPr="00137490">
        <w:t xml:space="preserve"> EST</w:t>
      </w:r>
      <w:r w:rsidR="00F77F93">
        <w:t xml:space="preserve"> </w:t>
      </w:r>
      <w:r w:rsidR="00F77F93" w:rsidRPr="00137490">
        <w:t xml:space="preserve">must be </w:t>
      </w:r>
      <w:r w:rsidR="002022DC">
        <w:t>determined</w:t>
      </w:r>
      <w:r w:rsidR="00F77F93" w:rsidRPr="00137490">
        <w:t xml:space="preserve"> by the Minister for Water, Energy and Emissions Reductions no later than six months before the commencement of the compliance period</w:t>
      </w:r>
      <w:r w:rsidR="00FE2BF2">
        <w:t xml:space="preserve"> (by 30 June)</w:t>
      </w:r>
      <w:r w:rsidR="00F77F93" w:rsidRPr="00137490">
        <w:t xml:space="preserve"> if </w:t>
      </w:r>
      <w:r w:rsidR="00F77F93">
        <w:t>it</w:t>
      </w:r>
      <w:r w:rsidR="00F77F93" w:rsidRPr="00137490">
        <w:t xml:space="preserve"> increase</w:t>
      </w:r>
      <w:r w:rsidR="00F77F93">
        <w:t>s</w:t>
      </w:r>
      <w:r w:rsidR="00FE2BF2">
        <w:t>;</w:t>
      </w:r>
      <w:r w:rsidR="00CE7D17">
        <w:t xml:space="preserve"> </w:t>
      </w:r>
      <w:r w:rsidR="00F77F93" w:rsidRPr="00137490">
        <w:t>or no later than three months before the commencement of the compliance period</w:t>
      </w:r>
      <w:r w:rsidR="00FE2BF2">
        <w:t xml:space="preserve"> (by 30 September)</w:t>
      </w:r>
      <w:r w:rsidR="00F77F93" w:rsidRPr="00137490">
        <w:t xml:space="preserve"> if there is no increase. </w:t>
      </w:r>
      <w:bookmarkEnd w:id="3"/>
    </w:p>
    <w:p w14:paraId="4694C0AC" w14:textId="4BF42A06" w:rsidR="00D61ED3" w:rsidRDefault="00D61ED3" w:rsidP="00D61ED3">
      <w:pPr>
        <w:pStyle w:val="Heading1"/>
      </w:pPr>
      <w:bookmarkStart w:id="4" w:name="_Toc73519047"/>
      <w:r>
        <w:t>Policy objective</w:t>
      </w:r>
      <w:r w:rsidR="00E36C54">
        <w:t>s</w:t>
      </w:r>
      <w:r>
        <w:t xml:space="preserve"> of the disallowable instrument</w:t>
      </w:r>
      <w:r w:rsidR="00E130B5">
        <w:t>s</w:t>
      </w:r>
      <w:bookmarkEnd w:id="4"/>
    </w:p>
    <w:p w14:paraId="329BDAA4" w14:textId="1275524E" w:rsidR="00457F5A" w:rsidRDefault="00D61ED3" w:rsidP="00457F5A">
      <w:r>
        <w:t>The</w:t>
      </w:r>
      <w:r w:rsidR="00E36C54">
        <w:t xml:space="preserve"> </w:t>
      </w:r>
      <w:r w:rsidR="00457F5A">
        <w:t>three</w:t>
      </w:r>
      <w:r w:rsidR="00E36C54">
        <w:t xml:space="preserve"> disallowable instruments </w:t>
      </w:r>
      <w:r w:rsidR="005A01D9">
        <w:t xml:space="preserve">set key parameters for the EEIS. The </w:t>
      </w:r>
      <w:r w:rsidR="00457F5A">
        <w:t xml:space="preserve">Objects of </w:t>
      </w:r>
      <w:r w:rsidR="00EE3DD1">
        <w:t xml:space="preserve">the </w:t>
      </w:r>
      <w:r w:rsidR="005A01D9">
        <w:t>Scheme, as set out in Section 6 of the Act, are to</w:t>
      </w:r>
      <w:r w:rsidR="00457F5A">
        <w:t>:</w:t>
      </w:r>
    </w:p>
    <w:p w14:paraId="201F9946" w14:textId="77777777" w:rsidR="00457F5A" w:rsidRDefault="00457F5A" w:rsidP="00457F5A">
      <w:pPr>
        <w:spacing w:after="0" w:line="240" w:lineRule="auto"/>
        <w:ind w:left="709" w:hanging="698"/>
      </w:pPr>
      <w:r>
        <w:t xml:space="preserve">(a) </w:t>
      </w:r>
      <w:r>
        <w:tab/>
        <w:t>encourage the efficient use of energy; and</w:t>
      </w:r>
    </w:p>
    <w:p w14:paraId="7747E825" w14:textId="0245031D" w:rsidR="00457F5A" w:rsidRDefault="00457F5A" w:rsidP="00457F5A">
      <w:pPr>
        <w:spacing w:after="0" w:line="240" w:lineRule="auto"/>
        <w:ind w:left="709" w:hanging="698"/>
      </w:pPr>
      <w:r>
        <w:t xml:space="preserve">(b) </w:t>
      </w:r>
      <w:r>
        <w:tab/>
        <w:t>reduce greenhouse gas emissions associated with energy use in the Territory; and</w:t>
      </w:r>
    </w:p>
    <w:p w14:paraId="1CA1CBDB" w14:textId="77777777" w:rsidR="00457F5A" w:rsidRDefault="00457F5A" w:rsidP="00457F5A">
      <w:pPr>
        <w:spacing w:after="0" w:line="240" w:lineRule="auto"/>
        <w:ind w:left="709" w:hanging="698"/>
      </w:pPr>
      <w:r>
        <w:t xml:space="preserve">(c) </w:t>
      </w:r>
      <w:r>
        <w:tab/>
        <w:t>reduce household and business energy use and costs; and</w:t>
      </w:r>
    </w:p>
    <w:p w14:paraId="06164024" w14:textId="2C9527BC" w:rsidR="00457F5A" w:rsidRDefault="00457F5A" w:rsidP="00457F5A">
      <w:pPr>
        <w:spacing w:after="0" w:line="240" w:lineRule="auto"/>
        <w:ind w:left="709" w:hanging="698"/>
      </w:pPr>
      <w:r>
        <w:t xml:space="preserve">(d) </w:t>
      </w:r>
      <w:r>
        <w:tab/>
        <w:t>increase opportunities for priority households to reduce energy use and costs</w:t>
      </w:r>
      <w:r>
        <w:rPr>
          <w:rStyle w:val="FootnoteReference"/>
        </w:rPr>
        <w:footnoteReference w:id="1"/>
      </w:r>
      <w:r>
        <w:t>.</w:t>
      </w:r>
    </w:p>
    <w:p w14:paraId="6046968F" w14:textId="77777777" w:rsidR="00E1429A" w:rsidRDefault="00E1429A" w:rsidP="00E1429A">
      <w:pPr>
        <w:spacing w:after="0"/>
      </w:pPr>
    </w:p>
    <w:p w14:paraId="29BD846C" w14:textId="5D960B08" w:rsidR="00D61ED3" w:rsidRDefault="00457F5A" w:rsidP="00E21086">
      <w:r>
        <w:t xml:space="preserve">These </w:t>
      </w:r>
      <w:r w:rsidR="006C53BE">
        <w:t>O</w:t>
      </w:r>
      <w:r>
        <w:t xml:space="preserve">bjects </w:t>
      </w:r>
      <w:r w:rsidR="006C53BE">
        <w:t xml:space="preserve">also </w:t>
      </w:r>
      <w:r>
        <w:t xml:space="preserve">deliver on key objectives of the </w:t>
      </w:r>
      <w:r w:rsidRPr="00A41FAE">
        <w:rPr>
          <w:i/>
          <w:iCs/>
        </w:rPr>
        <w:t>ACT Climate Strategy 2019</w:t>
      </w:r>
      <w:r>
        <w:rPr>
          <w:i/>
          <w:iCs/>
        </w:rPr>
        <w:t>–</w:t>
      </w:r>
      <w:r w:rsidRPr="00A41FAE">
        <w:rPr>
          <w:i/>
          <w:iCs/>
        </w:rPr>
        <w:t>2025</w:t>
      </w:r>
      <w:r>
        <w:rPr>
          <w:rStyle w:val="FootnoteReference"/>
        </w:rPr>
        <w:footnoteReference w:id="2"/>
      </w:r>
      <w:r>
        <w:rPr>
          <w:i/>
          <w:iCs/>
        </w:rPr>
        <w:t xml:space="preserve"> </w:t>
      </w:r>
      <w:r w:rsidRPr="00402625">
        <w:t>including</w:t>
      </w:r>
      <w:r>
        <w:t>: achieving</w:t>
      </w:r>
      <w:r w:rsidRPr="00402625">
        <w:t xml:space="preserve"> net ze</w:t>
      </w:r>
      <w:r>
        <w:t>r</w:t>
      </w:r>
      <w:r w:rsidRPr="00402625">
        <w:t>o emissions in the ACT by 2045 at the latest;</w:t>
      </w:r>
      <w:r>
        <w:t xml:space="preserve"> building resilience to climate change impacts; and supporting a just transition to net zero emissions. </w:t>
      </w:r>
      <w:r w:rsidR="00E21086">
        <w:t>As one of the most cost-effective ways for the ACT to reduce emissions and energy bills and, to date, the only legislated instrument for doing so, t</w:t>
      </w:r>
      <w:r>
        <w:t xml:space="preserve">he EEIS is a key delivery mechanism of the Climate Change Strategy. </w:t>
      </w:r>
      <w:r w:rsidR="00AA7C9A">
        <w:t xml:space="preserve">The EEIS </w:t>
      </w:r>
      <w:r w:rsidR="00E21086">
        <w:t xml:space="preserve">specifically </w:t>
      </w:r>
      <w:r w:rsidR="00AA7C9A">
        <w:t xml:space="preserve">supports the objective of a just transition through the Priority Household Target, </w:t>
      </w:r>
      <w:r w:rsidR="006B1DC6">
        <w:t xml:space="preserve">by </w:t>
      </w:r>
      <w:r w:rsidR="00AA7C9A">
        <w:t xml:space="preserve">which a </w:t>
      </w:r>
      <w:r w:rsidR="00CE7D17">
        <w:t>proportion</w:t>
      </w:r>
      <w:r w:rsidR="0082562E">
        <w:t xml:space="preserve"> of</w:t>
      </w:r>
      <w:r>
        <w:t xml:space="preserve"> savings are delivered to priority households.</w:t>
      </w:r>
      <w:r w:rsidR="005A01D9">
        <w:t xml:space="preserve"> </w:t>
      </w:r>
      <w:r w:rsidR="00A50B74">
        <w:t>T</w:t>
      </w:r>
      <w:r w:rsidR="0082562E">
        <w:t>he Objects</w:t>
      </w:r>
      <w:r w:rsidR="005A01D9">
        <w:t xml:space="preserve"> of the Scheme </w:t>
      </w:r>
      <w:r w:rsidR="006C53BE">
        <w:t xml:space="preserve">further </w:t>
      </w:r>
      <w:r>
        <w:t>align with the c</w:t>
      </w:r>
      <w:r w:rsidRPr="009E5708">
        <w:t xml:space="preserve">urrent </w:t>
      </w:r>
      <w:r>
        <w:t>10</w:t>
      </w:r>
      <w:r w:rsidRPr="009E5708">
        <w:t>th Labor</w:t>
      </w:r>
      <w:r>
        <w:t xml:space="preserve"> – </w:t>
      </w:r>
      <w:r w:rsidRPr="009E5708">
        <w:t>Greens Parliamentary Agreement</w:t>
      </w:r>
      <w:r>
        <w:rPr>
          <w:rStyle w:val="FootnoteReference"/>
        </w:rPr>
        <w:footnoteReference w:id="3"/>
      </w:r>
      <w:r>
        <w:t>, the first action under which is to ‘phase out fossil-fuel-gas in the ACT by 2045 at the latest, support energy grid stability and support vulnerable households’.</w:t>
      </w:r>
      <w:r w:rsidR="00D61ED3">
        <w:t xml:space="preserve"> </w:t>
      </w:r>
    </w:p>
    <w:p w14:paraId="0A288A0A" w14:textId="77777777" w:rsidR="00A50B74" w:rsidRDefault="00A50B74">
      <w:pPr>
        <w:autoSpaceDE/>
        <w:autoSpaceDN/>
        <w:adjustRightInd/>
        <w:spacing w:after="160" w:line="259" w:lineRule="auto"/>
        <w:rPr>
          <w:rFonts w:asciiTheme="majorHAnsi" w:eastAsiaTheme="majorEastAsia" w:hAnsiTheme="majorHAnsi" w:cstheme="majorBidi"/>
          <w:b/>
          <w:bCs w:val="0"/>
          <w:color w:val="2F5496" w:themeColor="accent1" w:themeShade="BF"/>
          <w:sz w:val="28"/>
          <w:szCs w:val="28"/>
        </w:rPr>
      </w:pPr>
      <w:r>
        <w:br w:type="page"/>
      </w:r>
    </w:p>
    <w:p w14:paraId="43442EA0" w14:textId="03F9330F" w:rsidR="00D61ED3" w:rsidRPr="00D61ED3" w:rsidRDefault="00E130B5" w:rsidP="00E130B5">
      <w:pPr>
        <w:pStyle w:val="Heading1"/>
      </w:pPr>
      <w:bookmarkStart w:id="5" w:name="_Toc73519048"/>
      <w:r>
        <w:lastRenderedPageBreak/>
        <w:t>Achieving the policy objectives</w:t>
      </w:r>
      <w:bookmarkEnd w:id="5"/>
    </w:p>
    <w:p w14:paraId="55650161" w14:textId="45A2EB56" w:rsidR="00252B35" w:rsidRDefault="00252B35" w:rsidP="00252B35">
      <w:r>
        <w:t xml:space="preserve">An independent review of </w:t>
      </w:r>
      <w:r w:rsidR="00EE3DD1">
        <w:t xml:space="preserve">the </w:t>
      </w:r>
      <w:r>
        <w:t>EEIS was completed in 2018 by Point Advisory</w:t>
      </w:r>
      <w:r w:rsidRPr="00AB61A2">
        <w:rPr>
          <w:vertAlign w:val="superscript"/>
        </w:rPr>
        <w:footnoteReference w:id="4"/>
      </w:r>
      <w:r>
        <w:t xml:space="preserve"> (the Review). </w:t>
      </w:r>
      <w:r w:rsidRPr="00A21361">
        <w:t xml:space="preserve">The Review confirmed that </w:t>
      </w:r>
      <w:r w:rsidR="00DF3A36">
        <w:t xml:space="preserve">the </w:t>
      </w:r>
      <w:r w:rsidRPr="00A21361">
        <w:t xml:space="preserve">EEIS </w:t>
      </w:r>
      <w:r w:rsidR="003D5591">
        <w:t xml:space="preserve">had fulfilled its four </w:t>
      </w:r>
      <w:r w:rsidR="006C53BE">
        <w:t xml:space="preserve">Objects </w:t>
      </w:r>
      <w:r w:rsidR="003D5591">
        <w:t xml:space="preserve">and </w:t>
      </w:r>
      <w:r w:rsidRPr="00A21361">
        <w:t xml:space="preserve">has been effective in </w:t>
      </w:r>
      <w:r>
        <w:t>reaching</w:t>
      </w:r>
      <w:r w:rsidRPr="00A21361">
        <w:t xml:space="preserve"> a large proportion of ACT households and businesses</w:t>
      </w:r>
      <w:r w:rsidR="003D5591">
        <w:t>. Moreover, it</w:t>
      </w:r>
      <w:r w:rsidRPr="00A21361">
        <w:t xml:space="preserve"> has been efficiently delivered, with a positive benefit cost ratio </w:t>
      </w:r>
      <w:r>
        <w:t>of 4:1 and a majority of participants reporting bill savings</w:t>
      </w:r>
      <w:r w:rsidRPr="00AB61A2">
        <w:rPr>
          <w:vertAlign w:val="superscript"/>
        </w:rPr>
        <w:footnoteReference w:id="5"/>
      </w:r>
      <w:r>
        <w:t xml:space="preserve">. </w:t>
      </w:r>
    </w:p>
    <w:p w14:paraId="1C42B926" w14:textId="548EAB87" w:rsidR="00C922A8" w:rsidRDefault="00C922A8" w:rsidP="00252B35">
      <w:r w:rsidRPr="00C922A8">
        <w:t xml:space="preserve">Over the lifetime of the Scheme, more than 1.35 million energy saving items have been installed. These have delivered more than 7 million gigajoules (GJ) of lifetime energy savings, over $445 million of lifetime energy bill savings and lifetime greenhouse gas emission reductions of around 580,000 tonnes (tCO2–e). This is equivalent to taking approximately 190,000 cars off Canberra roads for a year. Since 2013, almost 78,000 households and businesses have participated </w:t>
      </w:r>
      <w:r w:rsidR="00DD5CB4">
        <w:t xml:space="preserve">in </w:t>
      </w:r>
      <w:r w:rsidRPr="00C922A8">
        <w:t xml:space="preserve">and benefited </w:t>
      </w:r>
      <w:r w:rsidR="00DD5CB4">
        <w:t>from</w:t>
      </w:r>
      <w:r w:rsidRPr="00C922A8">
        <w:t xml:space="preserve"> the Scheme, including more than 20,500 priority households.</w:t>
      </w:r>
      <w:r w:rsidR="00DD5CB4">
        <w:t xml:space="preserve"> </w:t>
      </w:r>
      <w:r w:rsidR="00DD5CB4" w:rsidRPr="00DD5CB4">
        <w:t>Over 45</w:t>
      </w:r>
      <w:r w:rsidR="000167B7">
        <w:t>%</w:t>
      </w:r>
      <w:r w:rsidR="00B16B88" w:rsidRPr="00DD5CB4">
        <w:t xml:space="preserve"> </w:t>
      </w:r>
      <w:r w:rsidR="00DD5CB4" w:rsidRPr="00DD5CB4">
        <w:t>of ACT households have participated in the Scheme and are saving an average</w:t>
      </w:r>
      <w:r w:rsidR="00AC1520">
        <w:t xml:space="preserve"> of</w:t>
      </w:r>
      <w:r w:rsidR="00DD5CB4" w:rsidRPr="00DD5CB4">
        <w:t xml:space="preserve"> $5.80 per week</w:t>
      </w:r>
      <w:r w:rsidR="00AA7C9A">
        <w:rPr>
          <w:rStyle w:val="FootnoteReference"/>
        </w:rPr>
        <w:footnoteReference w:id="6"/>
      </w:r>
      <w:r w:rsidR="00DD5CB4" w:rsidRPr="00DD5CB4">
        <w:t>.</w:t>
      </w:r>
    </w:p>
    <w:p w14:paraId="30FF1F2A" w14:textId="0D0F7E83" w:rsidR="00DF3A36" w:rsidRDefault="00DF3A36" w:rsidP="00252B35">
      <w:r>
        <w:t xml:space="preserve">Updating the parameters for 2022 will enable continued achievement of the </w:t>
      </w:r>
      <w:r w:rsidR="006C53BE">
        <w:t xml:space="preserve">Objects </w:t>
      </w:r>
      <w:r>
        <w:t>of the EEIS.</w:t>
      </w:r>
    </w:p>
    <w:p w14:paraId="07937C64" w14:textId="77777777" w:rsidR="00137490" w:rsidRPr="00137490" w:rsidRDefault="00137490" w:rsidP="00137490">
      <w:pPr>
        <w:pStyle w:val="Heading1"/>
      </w:pPr>
      <w:bookmarkStart w:id="6" w:name="_Toc41575588"/>
      <w:bookmarkStart w:id="7" w:name="_Toc73519049"/>
      <w:r w:rsidRPr="00137490">
        <w:t>Considering a level of ambition</w:t>
      </w:r>
      <w:bookmarkEnd w:id="6"/>
      <w:bookmarkEnd w:id="7"/>
    </w:p>
    <w:p w14:paraId="5ED007FC" w14:textId="0CC1DBBF" w:rsidR="00F15ED2" w:rsidRDefault="00137490" w:rsidP="00137490">
      <w:pPr>
        <w:rPr>
          <w:rFonts w:ascii="Calibri" w:hAnsi="Calibri"/>
        </w:rPr>
      </w:pPr>
      <w:bookmarkStart w:id="8" w:name="_Hlk71201355"/>
      <w:r>
        <w:rPr>
          <w:rFonts w:ascii="Calibri" w:hAnsi="Calibri"/>
        </w:rPr>
        <w:t>Based on analysis conducted by Energetics, t</w:t>
      </w:r>
      <w:r w:rsidRPr="00137490">
        <w:rPr>
          <w:rFonts w:ascii="Calibri" w:hAnsi="Calibri"/>
        </w:rPr>
        <w:t xml:space="preserve">his section outlines </w:t>
      </w:r>
      <w:bookmarkEnd w:id="8"/>
      <w:r w:rsidRPr="00137490">
        <w:rPr>
          <w:rFonts w:ascii="Calibri" w:hAnsi="Calibri"/>
        </w:rPr>
        <w:t xml:space="preserve">the key </w:t>
      </w:r>
      <w:r w:rsidR="00EE3DD1">
        <w:rPr>
          <w:rFonts w:ascii="Calibri" w:hAnsi="Calibri"/>
        </w:rPr>
        <w:t>S</w:t>
      </w:r>
      <w:r w:rsidRPr="00137490">
        <w:rPr>
          <w:rFonts w:ascii="Calibri" w:hAnsi="Calibri"/>
        </w:rPr>
        <w:t xml:space="preserve">cheme </w:t>
      </w:r>
      <w:r w:rsidR="007A4D29">
        <w:rPr>
          <w:rFonts w:ascii="Calibri" w:hAnsi="Calibri"/>
        </w:rPr>
        <w:t>parameters</w:t>
      </w:r>
      <w:r w:rsidRPr="00137490">
        <w:rPr>
          <w:rFonts w:ascii="Calibri" w:hAnsi="Calibri"/>
        </w:rPr>
        <w:t xml:space="preserve"> </w:t>
      </w:r>
      <w:r>
        <w:rPr>
          <w:rFonts w:ascii="Calibri" w:hAnsi="Calibri"/>
        </w:rPr>
        <w:t>that</w:t>
      </w:r>
      <w:r w:rsidRPr="00137490">
        <w:rPr>
          <w:rFonts w:ascii="Calibri" w:hAnsi="Calibri"/>
        </w:rPr>
        <w:t xml:space="preserve"> have been identified </w:t>
      </w:r>
      <w:r w:rsidR="00D13E43">
        <w:rPr>
          <w:rFonts w:ascii="Calibri" w:hAnsi="Calibri"/>
        </w:rPr>
        <w:t xml:space="preserve">through modelling </w:t>
      </w:r>
      <w:r w:rsidRPr="00137490">
        <w:rPr>
          <w:rFonts w:ascii="Calibri" w:hAnsi="Calibri"/>
        </w:rPr>
        <w:t>as the ideal for maximising EEIS benefits</w:t>
      </w:r>
      <w:r w:rsidR="006C53BE">
        <w:rPr>
          <w:rFonts w:ascii="Calibri" w:hAnsi="Calibri"/>
        </w:rPr>
        <w:t xml:space="preserve"> in 2022</w:t>
      </w:r>
      <w:r w:rsidRPr="00137490">
        <w:rPr>
          <w:rFonts w:ascii="Calibri" w:hAnsi="Calibri"/>
        </w:rPr>
        <w:t>.</w:t>
      </w:r>
    </w:p>
    <w:p w14:paraId="4B7A4C09" w14:textId="04C96903" w:rsidR="008C77CF" w:rsidRDefault="006C53BE" w:rsidP="00137490">
      <w:pPr>
        <w:rPr>
          <w:rFonts w:ascii="Calibri" w:hAnsi="Calibri"/>
        </w:rPr>
      </w:pPr>
      <w:r>
        <w:t>It is important to note that prior to 2020, the EEIS determined energy savings in the ACT using a greenhouse gas emissions abatement metric. As of 2020, the ACT secured a 100% renewable electricity supply and</w:t>
      </w:r>
      <w:r w:rsidR="00B93BB1">
        <w:t>,</w:t>
      </w:r>
      <w:r>
        <w:t xml:space="preserve"> in line with this, the EEIS transitioned to an energy savings metric.</w:t>
      </w:r>
      <w:r w:rsidR="006C6C2C">
        <w:t xml:space="preserve"> This has implications for the </w:t>
      </w:r>
      <w:r w:rsidR="00A50B74">
        <w:t>S</w:t>
      </w:r>
      <w:r w:rsidR="006C6C2C">
        <w:t xml:space="preserve">cheme settings because the </w:t>
      </w:r>
      <w:r w:rsidR="006C6C2C" w:rsidRPr="00741602">
        <w:rPr>
          <w:rFonts w:ascii="Calibri" w:hAnsi="Calibri"/>
        </w:rPr>
        <w:t xml:space="preserve">numerical abatement values under the </w:t>
      </w:r>
      <w:r w:rsidR="006C6C2C">
        <w:rPr>
          <w:rFonts w:ascii="Calibri" w:hAnsi="Calibri"/>
        </w:rPr>
        <w:t xml:space="preserve">former </w:t>
      </w:r>
      <w:r w:rsidR="009539A2">
        <w:rPr>
          <w:rFonts w:ascii="Calibri" w:hAnsi="Calibri"/>
        </w:rPr>
        <w:t>abatement</w:t>
      </w:r>
      <w:r w:rsidR="006C6C2C" w:rsidRPr="00741602">
        <w:rPr>
          <w:rFonts w:ascii="Calibri" w:hAnsi="Calibri"/>
        </w:rPr>
        <w:t xml:space="preserve"> metric do not equate directly to the values under the energy savings metric</w:t>
      </w:r>
      <w:r w:rsidR="006C6C2C">
        <w:rPr>
          <w:rFonts w:ascii="Calibri" w:hAnsi="Calibri"/>
        </w:rPr>
        <w:t>. Given some ongoing uncertainty about the effect of the shift to an energy metric</w:t>
      </w:r>
      <w:r w:rsidR="005C5927">
        <w:rPr>
          <w:rFonts w:ascii="Calibri" w:hAnsi="Calibri"/>
        </w:rPr>
        <w:t xml:space="preserve">, the </w:t>
      </w:r>
      <w:r w:rsidR="00A50B74">
        <w:rPr>
          <w:rFonts w:ascii="Calibri" w:hAnsi="Calibri"/>
        </w:rPr>
        <w:t>S</w:t>
      </w:r>
      <w:r w:rsidR="005C5927">
        <w:rPr>
          <w:rFonts w:ascii="Calibri" w:hAnsi="Calibri"/>
        </w:rPr>
        <w:t xml:space="preserve">cheme parameters </w:t>
      </w:r>
      <w:r w:rsidR="00486060">
        <w:rPr>
          <w:rFonts w:ascii="Calibri" w:hAnsi="Calibri"/>
        </w:rPr>
        <w:t xml:space="preserve">were </w:t>
      </w:r>
      <w:r w:rsidR="005C5927">
        <w:rPr>
          <w:rFonts w:ascii="Calibri" w:hAnsi="Calibri"/>
        </w:rPr>
        <w:t xml:space="preserve">last </w:t>
      </w:r>
      <w:r w:rsidR="00486060">
        <w:rPr>
          <w:rFonts w:ascii="Calibri" w:hAnsi="Calibri"/>
        </w:rPr>
        <w:t>set for 2021 and are again</w:t>
      </w:r>
      <w:r w:rsidR="00F15ED2">
        <w:rPr>
          <w:rFonts w:ascii="Calibri" w:hAnsi="Calibri"/>
        </w:rPr>
        <w:t xml:space="preserve"> being set for </w:t>
      </w:r>
      <w:r w:rsidR="00DE1873">
        <w:rPr>
          <w:rFonts w:ascii="Calibri" w:hAnsi="Calibri"/>
        </w:rPr>
        <w:t xml:space="preserve">just </w:t>
      </w:r>
      <w:r w:rsidR="00F15ED2">
        <w:rPr>
          <w:rFonts w:ascii="Calibri" w:hAnsi="Calibri"/>
        </w:rPr>
        <w:t>one compliance period</w:t>
      </w:r>
      <w:r w:rsidR="00AC1520">
        <w:rPr>
          <w:rFonts w:ascii="Calibri" w:hAnsi="Calibri"/>
        </w:rPr>
        <w:t xml:space="preserve"> </w:t>
      </w:r>
      <w:r w:rsidR="00486060">
        <w:rPr>
          <w:rFonts w:ascii="Calibri" w:hAnsi="Calibri"/>
        </w:rPr>
        <w:t xml:space="preserve">in 2022. </w:t>
      </w:r>
      <w:r w:rsidR="005C5927">
        <w:rPr>
          <w:rFonts w:ascii="Calibri" w:hAnsi="Calibri"/>
        </w:rPr>
        <w:t>T</w:t>
      </w:r>
      <w:r w:rsidR="00486060" w:rsidRPr="00741602">
        <w:rPr>
          <w:rFonts w:ascii="Calibri" w:hAnsi="Calibri"/>
        </w:rPr>
        <w:t xml:space="preserve">he targets may need to be adjusted further </w:t>
      </w:r>
      <w:r w:rsidR="00DE1873">
        <w:rPr>
          <w:rFonts w:ascii="Calibri" w:hAnsi="Calibri"/>
        </w:rPr>
        <w:t>in future years</w:t>
      </w:r>
      <w:r w:rsidR="00DE1873" w:rsidRPr="00741602">
        <w:rPr>
          <w:rFonts w:ascii="Calibri" w:hAnsi="Calibri"/>
        </w:rPr>
        <w:t xml:space="preserve"> </w:t>
      </w:r>
      <w:r w:rsidR="00486060" w:rsidRPr="00741602">
        <w:rPr>
          <w:rFonts w:ascii="Calibri" w:hAnsi="Calibri"/>
        </w:rPr>
        <w:t xml:space="preserve">to </w:t>
      </w:r>
      <w:r w:rsidR="00AC1520">
        <w:rPr>
          <w:rFonts w:ascii="Calibri" w:hAnsi="Calibri"/>
        </w:rPr>
        <w:t xml:space="preserve">more precisely </w:t>
      </w:r>
      <w:r w:rsidR="00486060" w:rsidRPr="00741602">
        <w:rPr>
          <w:rFonts w:ascii="Calibri" w:hAnsi="Calibri"/>
        </w:rPr>
        <w:t xml:space="preserve">account for </w:t>
      </w:r>
      <w:r w:rsidR="005C5927">
        <w:rPr>
          <w:rFonts w:ascii="Calibri" w:hAnsi="Calibri"/>
        </w:rPr>
        <w:t>the effect of transitioning to an energy metric</w:t>
      </w:r>
      <w:r w:rsidR="00486060" w:rsidRPr="00741602">
        <w:rPr>
          <w:rFonts w:ascii="Calibri" w:hAnsi="Calibri"/>
        </w:rPr>
        <w:t xml:space="preserve"> as more data become</w:t>
      </w:r>
      <w:r w:rsidR="00A50B74">
        <w:rPr>
          <w:rFonts w:ascii="Calibri" w:hAnsi="Calibri"/>
        </w:rPr>
        <w:t>s</w:t>
      </w:r>
      <w:r w:rsidR="00486060" w:rsidRPr="00741602">
        <w:rPr>
          <w:rFonts w:ascii="Calibri" w:hAnsi="Calibri"/>
        </w:rPr>
        <w:t xml:space="preserve"> available.</w:t>
      </w:r>
      <w:r w:rsidR="00486060">
        <w:rPr>
          <w:rFonts w:ascii="Calibri" w:hAnsi="Calibri"/>
        </w:rPr>
        <w:t xml:space="preserve"> </w:t>
      </w:r>
    </w:p>
    <w:p w14:paraId="67962F72" w14:textId="77777777" w:rsidR="00A50B74" w:rsidRDefault="00A50B74">
      <w:pPr>
        <w:autoSpaceDE/>
        <w:autoSpaceDN/>
        <w:adjustRightInd/>
        <w:spacing w:after="160" w:line="259" w:lineRule="auto"/>
        <w:rPr>
          <w:rFonts w:asciiTheme="majorHAnsi" w:eastAsiaTheme="majorEastAsia" w:hAnsiTheme="majorHAnsi" w:cstheme="majorBidi"/>
          <w:b/>
          <w:bCs w:val="0"/>
          <w:color w:val="2F5496" w:themeColor="accent1" w:themeShade="BF"/>
          <w:sz w:val="28"/>
          <w:szCs w:val="28"/>
        </w:rPr>
      </w:pPr>
      <w:bookmarkStart w:id="9" w:name="_Toc41575584"/>
      <w:r>
        <w:br w:type="page"/>
      </w:r>
    </w:p>
    <w:p w14:paraId="3014DA0A" w14:textId="50444EF7" w:rsidR="00137490" w:rsidRPr="00E361B5" w:rsidRDefault="00137490" w:rsidP="00E361B5">
      <w:pPr>
        <w:pStyle w:val="Heading1"/>
        <w:numPr>
          <w:ilvl w:val="1"/>
          <w:numId w:val="2"/>
        </w:numPr>
      </w:pPr>
      <w:bookmarkStart w:id="10" w:name="_Toc73519050"/>
      <w:r w:rsidRPr="00137490">
        <w:lastRenderedPageBreak/>
        <w:t>Setting the Energy Saving</w:t>
      </w:r>
      <w:r w:rsidR="00257C48">
        <w:t>s</w:t>
      </w:r>
      <w:r w:rsidRPr="00137490">
        <w:t xml:space="preserve"> Target</w:t>
      </w:r>
      <w:bookmarkEnd w:id="9"/>
      <w:bookmarkEnd w:id="10"/>
    </w:p>
    <w:p w14:paraId="2FE8122A" w14:textId="3305244F" w:rsidR="00F81CB8" w:rsidRDefault="00F81CB8" w:rsidP="00F81CB8">
      <w:r>
        <w:t xml:space="preserve">The EST setting aims to optimise EEIS outcomes which are measured in </w:t>
      </w:r>
      <w:r w:rsidR="003B4E5D">
        <w:t>energy savings</w:t>
      </w:r>
      <w:r>
        <w:t xml:space="preserve">, bill savings and Net Present Value (NPV) to the ACT economy. </w:t>
      </w:r>
    </w:p>
    <w:p w14:paraId="1340C8D8" w14:textId="2ED1045E" w:rsidR="00822AB7" w:rsidRPr="00A41FAE" w:rsidRDefault="00822AB7" w:rsidP="00822AB7">
      <w:pPr>
        <w:rPr>
          <w:rFonts w:ascii="Calibri" w:hAnsi="Calibri" w:cs="Calibri"/>
        </w:rPr>
      </w:pPr>
      <w:r w:rsidRPr="000026BB">
        <w:rPr>
          <w:rFonts w:ascii="Calibri" w:hAnsi="Calibri" w:cs="Calibri"/>
        </w:rPr>
        <w:t xml:space="preserve">It is recommended that the EST be increased to </w:t>
      </w:r>
      <w:r w:rsidR="00B93BB1" w:rsidRPr="000026BB">
        <w:rPr>
          <w:rFonts w:ascii="Calibri" w:hAnsi="Calibri" w:cs="Calibri"/>
        </w:rPr>
        <w:t>12</w:t>
      </w:r>
      <w:r w:rsidRPr="000026BB">
        <w:rPr>
          <w:rFonts w:ascii="Calibri" w:hAnsi="Calibri" w:cs="Calibri"/>
        </w:rPr>
        <w:t>.5</w:t>
      </w:r>
      <w:r w:rsidR="00A50B74">
        <w:rPr>
          <w:rFonts w:ascii="Calibri" w:hAnsi="Calibri" w:cs="Calibri"/>
        </w:rPr>
        <w:t>%</w:t>
      </w:r>
      <w:r w:rsidR="00EA63A8" w:rsidRPr="000026BB">
        <w:rPr>
          <w:rFonts w:ascii="Calibri" w:hAnsi="Calibri" w:cs="Calibri"/>
        </w:rPr>
        <w:t xml:space="preserve"> </w:t>
      </w:r>
      <w:r w:rsidRPr="000026BB">
        <w:rPr>
          <w:rFonts w:ascii="Calibri" w:hAnsi="Calibri" w:cs="Calibri"/>
        </w:rPr>
        <w:t>for the 2022 compliance period. This is supported by detailed analysis, as outlined below.</w:t>
      </w:r>
    </w:p>
    <w:p w14:paraId="7A9F3561" w14:textId="0057383B" w:rsidR="00053E31" w:rsidRDefault="002A1FF1" w:rsidP="00F81CB8">
      <w:r w:rsidRPr="00137490">
        <w:t xml:space="preserve">The EST </w:t>
      </w:r>
      <w:r w:rsidR="008C77CF">
        <w:t>has been</w:t>
      </w:r>
      <w:r w:rsidRPr="00137490">
        <w:t xml:space="preserve"> set at 8.6</w:t>
      </w:r>
      <w:r w:rsidR="00A50B74">
        <w:t>%</w:t>
      </w:r>
      <w:r w:rsidR="00EA63A8" w:rsidRPr="00137490">
        <w:t xml:space="preserve"> </w:t>
      </w:r>
      <w:r w:rsidRPr="00137490">
        <w:t xml:space="preserve">for the </w:t>
      </w:r>
      <w:r w:rsidR="008C77CF">
        <w:t xml:space="preserve">previous six </w:t>
      </w:r>
      <w:r w:rsidRPr="00137490">
        <w:t>compliance period</w:t>
      </w:r>
      <w:r w:rsidR="008C77CF">
        <w:t>s from 1 January 2016 to 31 December 2021</w:t>
      </w:r>
      <w:r w:rsidRPr="00137490">
        <w:t>.</w:t>
      </w:r>
      <w:r w:rsidR="003B4CEA">
        <w:t xml:space="preserve"> </w:t>
      </w:r>
      <w:r w:rsidR="003B4CEA" w:rsidRPr="003B4CEA">
        <w:t xml:space="preserve">The 2018 Review into the </w:t>
      </w:r>
      <w:r w:rsidR="003B4CEA">
        <w:t>EEIS</w:t>
      </w:r>
      <w:r w:rsidR="003B4CEA" w:rsidRPr="003B4CEA">
        <w:t xml:space="preserve"> recommended that the </w:t>
      </w:r>
      <w:r w:rsidR="000026BB">
        <w:br/>
      </w:r>
      <w:r w:rsidR="003B4CEA" w:rsidRPr="003B4CEA">
        <w:t xml:space="preserve">ACT Government continue the </w:t>
      </w:r>
      <w:r w:rsidR="002B4499">
        <w:t>S</w:t>
      </w:r>
      <w:r w:rsidR="003B4CEA" w:rsidRPr="003B4CEA">
        <w:t>cheme at the existing level of ambition (energy savings equivalent to 8.6</w:t>
      </w:r>
      <w:r w:rsidR="00A50B74">
        <w:t xml:space="preserve">% </w:t>
      </w:r>
      <w:r w:rsidR="003B4CEA" w:rsidRPr="003B4CEA">
        <w:t>of electricity sales) and with a pass-through cost of $4/MWh.</w:t>
      </w:r>
      <w:r w:rsidR="003B4CEA">
        <w:t xml:space="preserve"> This was partly on the basis that there was some uncertainty introduced into the modelling through changes to eligible activities (namely the removal of low</w:t>
      </w:r>
      <w:r w:rsidR="00822AB7">
        <w:t>-</w:t>
      </w:r>
      <w:r w:rsidR="003B4CEA">
        <w:t>cost lighting measures</w:t>
      </w:r>
      <w:r w:rsidR="000167B7">
        <w:t>,</w:t>
      </w:r>
      <w:r w:rsidR="003B4CEA">
        <w:t xml:space="preserve"> which had featured prominently in the early years of the </w:t>
      </w:r>
      <w:r w:rsidR="00A50B74">
        <w:t>S</w:t>
      </w:r>
      <w:r w:rsidR="003B4CEA">
        <w:t>cheme</w:t>
      </w:r>
      <w:r w:rsidR="00822AB7">
        <w:t>’</w:t>
      </w:r>
      <w:r w:rsidR="003B4CEA">
        <w:t xml:space="preserve">s operation). However, analysis of available information about the operation of the </w:t>
      </w:r>
      <w:r w:rsidR="002B4499">
        <w:t>S</w:t>
      </w:r>
      <w:r w:rsidR="003B4CEA">
        <w:t xml:space="preserve">cheme in 2021 suggests that the pass-through cost of $4/MWh is too high for the </w:t>
      </w:r>
      <w:r w:rsidR="00E145AF">
        <w:t xml:space="preserve">current </w:t>
      </w:r>
      <w:r w:rsidR="003B4CEA">
        <w:t xml:space="preserve">level of ambition. </w:t>
      </w:r>
      <w:r w:rsidR="00053E31">
        <w:t>As such, t</w:t>
      </w:r>
      <w:r w:rsidR="00053E31" w:rsidRPr="00053E31">
        <w:t xml:space="preserve">he modelling suggests that </w:t>
      </w:r>
      <w:r w:rsidR="00053E31">
        <w:t>an increased EST</w:t>
      </w:r>
      <w:r w:rsidR="00053E31" w:rsidRPr="00053E31">
        <w:t xml:space="preserve"> can be achieved without requiring an increase in the pass-through cost. </w:t>
      </w:r>
    </w:p>
    <w:p w14:paraId="1F03AC53" w14:textId="76114BA9" w:rsidR="009B40C7" w:rsidRPr="002A04F1" w:rsidRDefault="00287DBB" w:rsidP="00E0485F">
      <w:pPr>
        <w:rPr>
          <w:rFonts w:eastAsiaTheme="majorEastAsia"/>
        </w:rPr>
      </w:pPr>
      <w:r>
        <w:t xml:space="preserve">Amendments to the Act relating to the adoption of an energy metric </w:t>
      </w:r>
      <w:r w:rsidR="00053E31">
        <w:t xml:space="preserve">in place of </w:t>
      </w:r>
      <w:r>
        <w:t xml:space="preserve">an abatement metric commenced on 1 January 2021. </w:t>
      </w:r>
      <w:r w:rsidR="002B4499">
        <w:rPr>
          <w:rFonts w:eastAsiaTheme="majorEastAsia"/>
        </w:rPr>
        <w:t>The</w:t>
      </w:r>
      <w:r w:rsidR="00C156AE">
        <w:rPr>
          <w:rFonts w:eastAsiaTheme="majorEastAsia"/>
        </w:rPr>
        <w:t xml:space="preserve"> </w:t>
      </w:r>
      <w:r w:rsidR="004669A4">
        <w:rPr>
          <w:rFonts w:eastAsiaTheme="majorEastAsia"/>
        </w:rPr>
        <w:t xml:space="preserve">greenhouse gas emissions metric </w:t>
      </w:r>
      <w:r w:rsidR="002B4499">
        <w:rPr>
          <w:rFonts w:eastAsiaTheme="majorEastAsia"/>
        </w:rPr>
        <w:t>was changed to an</w:t>
      </w:r>
      <w:r w:rsidR="004669A4">
        <w:rPr>
          <w:rFonts w:eastAsiaTheme="majorEastAsia"/>
        </w:rPr>
        <w:t xml:space="preserve"> energy metric because </w:t>
      </w:r>
      <w:r w:rsidR="002B4499">
        <w:rPr>
          <w:rFonts w:eastAsiaTheme="majorEastAsia"/>
        </w:rPr>
        <w:t xml:space="preserve">the </w:t>
      </w:r>
      <w:r w:rsidR="004669A4">
        <w:rPr>
          <w:rFonts w:eastAsiaTheme="majorEastAsia"/>
        </w:rPr>
        <w:t xml:space="preserve">ACT’s 100% renewable electricity </w:t>
      </w:r>
      <w:r w:rsidR="002B4499">
        <w:rPr>
          <w:rFonts w:eastAsiaTheme="majorEastAsia"/>
        </w:rPr>
        <w:t xml:space="preserve">supply </w:t>
      </w:r>
      <w:r w:rsidR="004669A4">
        <w:rPr>
          <w:rFonts w:eastAsiaTheme="majorEastAsia"/>
        </w:rPr>
        <w:t>would otherwise effectively exclude any electricity saving activities from being delivered by</w:t>
      </w:r>
      <w:r w:rsidR="00EE3DD1">
        <w:rPr>
          <w:rFonts w:eastAsiaTheme="majorEastAsia"/>
        </w:rPr>
        <w:t xml:space="preserve"> the</w:t>
      </w:r>
      <w:r w:rsidR="004669A4">
        <w:rPr>
          <w:rFonts w:eastAsiaTheme="majorEastAsia"/>
        </w:rPr>
        <w:t xml:space="preserve"> EEIS</w:t>
      </w:r>
      <w:r w:rsidR="004669A4">
        <w:t>. The changes remove</w:t>
      </w:r>
      <w:r>
        <w:t>d</w:t>
      </w:r>
      <w:r w:rsidR="004669A4">
        <w:t xml:space="preserve"> the definition of an emissions multiplier from the </w:t>
      </w:r>
      <w:r w:rsidR="00A50B74">
        <w:t xml:space="preserve">Act’s </w:t>
      </w:r>
      <w:r w:rsidR="004669A4">
        <w:t>dictionary and from all relevant equations and sections</w:t>
      </w:r>
      <w:r w:rsidR="002B4499">
        <w:t>,</w:t>
      </w:r>
      <w:r w:rsidR="004669A4">
        <w:t xml:space="preserve"> replac</w:t>
      </w:r>
      <w:r w:rsidR="00EA63A8">
        <w:t>ing</w:t>
      </w:r>
      <w:r w:rsidR="004669A4">
        <w:t xml:space="preserve"> it with the energy measure of </w:t>
      </w:r>
      <w:r w:rsidR="002B4499">
        <w:t>m</w:t>
      </w:r>
      <w:r w:rsidR="004669A4">
        <w:t xml:space="preserve">egawatt-hours (MWh). </w:t>
      </w:r>
      <w:r w:rsidR="009539A2">
        <w:t xml:space="preserve">As noted above, the </w:t>
      </w:r>
      <w:r w:rsidR="009539A2" w:rsidRPr="00741602">
        <w:rPr>
          <w:rFonts w:ascii="Calibri" w:hAnsi="Calibri"/>
        </w:rPr>
        <w:t xml:space="preserve">numerical abatement values under the </w:t>
      </w:r>
      <w:r w:rsidR="009539A2">
        <w:rPr>
          <w:rFonts w:ascii="Calibri" w:hAnsi="Calibri"/>
        </w:rPr>
        <w:t xml:space="preserve">former </w:t>
      </w:r>
      <w:r w:rsidR="009539A2" w:rsidRPr="00741602">
        <w:rPr>
          <w:rFonts w:ascii="Calibri" w:hAnsi="Calibri"/>
        </w:rPr>
        <w:t xml:space="preserve">emissions </w:t>
      </w:r>
      <w:r w:rsidR="00EA63A8">
        <w:rPr>
          <w:rFonts w:ascii="Calibri" w:hAnsi="Calibri"/>
        </w:rPr>
        <w:t xml:space="preserve">abatement </w:t>
      </w:r>
      <w:r w:rsidR="009539A2" w:rsidRPr="00741602">
        <w:rPr>
          <w:rFonts w:ascii="Calibri" w:hAnsi="Calibri"/>
        </w:rPr>
        <w:t xml:space="preserve">metric do not equate directly to </w:t>
      </w:r>
      <w:r w:rsidR="009C73FD">
        <w:rPr>
          <w:rFonts w:ascii="Calibri" w:hAnsi="Calibri"/>
        </w:rPr>
        <w:t>those</w:t>
      </w:r>
      <w:r w:rsidR="009539A2" w:rsidRPr="00741602">
        <w:rPr>
          <w:rFonts w:ascii="Calibri" w:hAnsi="Calibri"/>
        </w:rPr>
        <w:t xml:space="preserve"> under the energy savings metric</w:t>
      </w:r>
      <w:r w:rsidR="003B4E5D">
        <w:rPr>
          <w:rFonts w:ascii="Calibri" w:hAnsi="Calibri"/>
        </w:rPr>
        <w:t xml:space="preserve">, which consequently affects target setting in order to maintain an appropriate level of ambition for the </w:t>
      </w:r>
      <w:r w:rsidR="00EE3DD1">
        <w:rPr>
          <w:rFonts w:ascii="Calibri" w:hAnsi="Calibri"/>
        </w:rPr>
        <w:t>S</w:t>
      </w:r>
      <w:r w:rsidR="003B4E5D">
        <w:rPr>
          <w:rFonts w:ascii="Calibri" w:hAnsi="Calibri"/>
        </w:rPr>
        <w:t>cheme</w:t>
      </w:r>
      <w:r w:rsidR="009539A2">
        <w:rPr>
          <w:rFonts w:ascii="Calibri" w:hAnsi="Calibri"/>
        </w:rPr>
        <w:t xml:space="preserve">. </w:t>
      </w:r>
      <w:r w:rsidR="003B49AC">
        <w:t>To</w:t>
      </w:r>
      <w:r w:rsidR="00DE1873">
        <w:t xml:space="preserve"> maintain the effectiveness of the </w:t>
      </w:r>
      <w:r w:rsidR="00A50B74">
        <w:t>S</w:t>
      </w:r>
      <w:r w:rsidR="00DE1873">
        <w:t>cheme</w:t>
      </w:r>
      <w:r w:rsidR="003B4E5D">
        <w:t xml:space="preserve"> under an energy metric,</w:t>
      </w:r>
      <w:r w:rsidR="00DE1873">
        <w:t xml:space="preserve"> an increase in the EST is necessary</w:t>
      </w:r>
      <w:r w:rsidR="00E0485F">
        <w:t xml:space="preserve"> and, as noted above, this is feasible without increasing the cost of the </w:t>
      </w:r>
      <w:r w:rsidR="00A50B74">
        <w:t>S</w:t>
      </w:r>
      <w:r w:rsidR="00E0485F">
        <w:t>cheme to consumers.</w:t>
      </w:r>
      <w:r w:rsidR="00DE1873">
        <w:t xml:space="preserve"> </w:t>
      </w:r>
      <w:r w:rsidR="009B40C7">
        <w:t>The data will continue to be monitored in the coming years to assess the ongoing effect of the transition, and whether a further increase is warranted.</w:t>
      </w:r>
    </w:p>
    <w:p w14:paraId="11719785" w14:textId="0E125A9D" w:rsidR="00924545" w:rsidRDefault="009C73FD" w:rsidP="00F81CB8">
      <w:r>
        <w:t xml:space="preserve">In addition to ensuring that the EEIS continues to deliver on its key objectives, an increased EST </w:t>
      </w:r>
      <w:r w:rsidR="003B4E5D">
        <w:t>will</w:t>
      </w:r>
      <w:r>
        <w:t xml:space="preserve"> further incentivise the delivery of </w:t>
      </w:r>
      <w:r w:rsidR="003B4E5D">
        <w:t xml:space="preserve">a range of </w:t>
      </w:r>
      <w:r>
        <w:t>cost-efficient energy savings measures in the ACT. When</w:t>
      </w:r>
      <w:r w:rsidR="006A2C16">
        <w:t xml:space="preserve"> the </w:t>
      </w:r>
      <w:r w:rsidR="00A50B74">
        <w:t>S</w:t>
      </w:r>
      <w:r w:rsidR="006A2C16">
        <w:t xml:space="preserve">cheme extension was modelled in 2018, it was assumed that the bulk of energy savings activities being delivered in future years would be home insulation measures as these were thought to be </w:t>
      </w:r>
      <w:r w:rsidR="003A62CA">
        <w:t>the lowest cost source of energy savings</w:t>
      </w:r>
      <w:r w:rsidR="006A2C16">
        <w:t>.</w:t>
      </w:r>
      <w:r w:rsidR="003A62CA">
        <w:t xml:space="preserve"> </w:t>
      </w:r>
      <w:r w:rsidR="00D1193F">
        <w:t xml:space="preserve">While eligible, </w:t>
      </w:r>
      <w:r w:rsidR="003A62CA">
        <w:t xml:space="preserve">insulation activities have not yet been delivered </w:t>
      </w:r>
      <w:r w:rsidR="00EA63A8">
        <w:t xml:space="preserve">under the </w:t>
      </w:r>
      <w:r w:rsidR="00A50B74">
        <w:t>S</w:t>
      </w:r>
      <w:r w:rsidR="00EA63A8">
        <w:t xml:space="preserve">cheme </w:t>
      </w:r>
      <w:r w:rsidR="003A62CA">
        <w:t xml:space="preserve">due to the absence of a </w:t>
      </w:r>
      <w:r w:rsidR="003B4E5D">
        <w:t xml:space="preserve">ready </w:t>
      </w:r>
      <w:r w:rsidR="003A62CA">
        <w:t xml:space="preserve">pool of certified installers in the ACT. </w:t>
      </w:r>
      <w:r w:rsidR="003A62CA">
        <w:rPr>
          <w:bCs w:val="0"/>
        </w:rPr>
        <w:t>I</w:t>
      </w:r>
      <w:r w:rsidR="00924545" w:rsidRPr="00924545">
        <w:rPr>
          <w:bCs w:val="0"/>
        </w:rPr>
        <w:t xml:space="preserve">nsulation training has </w:t>
      </w:r>
      <w:r w:rsidR="003A62CA">
        <w:rPr>
          <w:bCs w:val="0"/>
        </w:rPr>
        <w:t xml:space="preserve">now </w:t>
      </w:r>
      <w:r w:rsidR="00924545" w:rsidRPr="00924545">
        <w:rPr>
          <w:bCs w:val="0"/>
        </w:rPr>
        <w:t xml:space="preserve">commenced that will </w:t>
      </w:r>
      <w:r w:rsidR="003A62CA">
        <w:rPr>
          <w:bCs w:val="0"/>
        </w:rPr>
        <w:t>en</w:t>
      </w:r>
      <w:r w:rsidR="00924545" w:rsidRPr="00924545">
        <w:rPr>
          <w:bCs w:val="0"/>
        </w:rPr>
        <w:t>able deliver</w:t>
      </w:r>
      <w:r w:rsidR="003A62CA">
        <w:rPr>
          <w:bCs w:val="0"/>
        </w:rPr>
        <w:t>y of</w:t>
      </w:r>
      <w:r w:rsidR="00924545" w:rsidRPr="00924545">
        <w:rPr>
          <w:bCs w:val="0"/>
        </w:rPr>
        <w:t xml:space="preserve"> insulation activities in accordance with the </w:t>
      </w:r>
      <w:r w:rsidR="00924545" w:rsidRPr="00924545">
        <w:rPr>
          <w:bCs w:val="0"/>
          <w:i/>
          <w:iCs/>
        </w:rPr>
        <w:t>Energy Efficiency (Cost of Living) Improvement (Eligible Activities) Code of Practice 2020 (No 2)</w:t>
      </w:r>
      <w:r w:rsidR="00924545" w:rsidRPr="00924545">
        <w:rPr>
          <w:bCs w:val="0"/>
        </w:rPr>
        <w:t xml:space="preserve">. This </w:t>
      </w:r>
      <w:r w:rsidR="00924545" w:rsidRPr="00924545">
        <w:rPr>
          <w:bCs w:val="0"/>
        </w:rPr>
        <w:lastRenderedPageBreak/>
        <w:t xml:space="preserve">will create a </w:t>
      </w:r>
      <w:r w:rsidR="003A62CA">
        <w:rPr>
          <w:bCs w:val="0"/>
        </w:rPr>
        <w:t xml:space="preserve">new cost-efficient </w:t>
      </w:r>
      <w:r w:rsidR="00924545" w:rsidRPr="00924545">
        <w:rPr>
          <w:bCs w:val="0"/>
        </w:rPr>
        <w:t xml:space="preserve">pathway </w:t>
      </w:r>
      <w:r w:rsidR="003A62CA">
        <w:rPr>
          <w:bCs w:val="0"/>
        </w:rPr>
        <w:t xml:space="preserve">in 2022–23 </w:t>
      </w:r>
      <w:r w:rsidR="00924545" w:rsidRPr="00924545">
        <w:rPr>
          <w:bCs w:val="0"/>
        </w:rPr>
        <w:t xml:space="preserve">for the Tier 1 retailer to </w:t>
      </w:r>
      <w:r w:rsidR="003A62CA">
        <w:rPr>
          <w:bCs w:val="0"/>
        </w:rPr>
        <w:t xml:space="preserve">meet its obligations under the </w:t>
      </w:r>
      <w:r w:rsidR="00A50B74">
        <w:rPr>
          <w:bCs w:val="0"/>
        </w:rPr>
        <w:t>S</w:t>
      </w:r>
      <w:r w:rsidR="003A62CA">
        <w:rPr>
          <w:bCs w:val="0"/>
        </w:rPr>
        <w:t xml:space="preserve">cheme. </w:t>
      </w:r>
    </w:p>
    <w:p w14:paraId="5353DFCE" w14:textId="55BFB367" w:rsidR="00B949DB" w:rsidRDefault="00B949DB" w:rsidP="00B949DB">
      <w:pPr>
        <w:pStyle w:val="Heading1"/>
        <w:numPr>
          <w:ilvl w:val="1"/>
          <w:numId w:val="2"/>
        </w:numPr>
      </w:pPr>
      <w:bookmarkStart w:id="11" w:name="_Toc41575590"/>
      <w:bookmarkStart w:id="12" w:name="_Toc73519051"/>
      <w:r>
        <w:t>Pass</w:t>
      </w:r>
      <w:r w:rsidR="008E0B5F">
        <w:t>-</w:t>
      </w:r>
      <w:r>
        <w:t>through costs</w:t>
      </w:r>
      <w:bookmarkEnd w:id="11"/>
      <w:bookmarkEnd w:id="12"/>
    </w:p>
    <w:p w14:paraId="0D739B0F" w14:textId="071642E7" w:rsidR="00FA2234" w:rsidRDefault="00FA2234" w:rsidP="00FA2234">
      <w:r w:rsidRPr="00A039D0">
        <w:t xml:space="preserve">This section describes processes for estimating the pass-through costs </w:t>
      </w:r>
      <w:r w:rsidRPr="00F04A57">
        <w:t>and how those will tra</w:t>
      </w:r>
      <w:r w:rsidRPr="00EB55B1">
        <w:t xml:space="preserve">nslate into key </w:t>
      </w:r>
      <w:r w:rsidR="00A50B74">
        <w:t>S</w:t>
      </w:r>
      <w:r w:rsidRPr="00EB55B1">
        <w:t xml:space="preserve">cheme </w:t>
      </w:r>
      <w:r w:rsidR="009127C9">
        <w:t>parameters</w:t>
      </w:r>
      <w:r w:rsidRPr="00EB55B1">
        <w:t>.</w:t>
      </w:r>
      <w:r>
        <w:t xml:space="preserve"> </w:t>
      </w:r>
    </w:p>
    <w:p w14:paraId="27104633" w14:textId="4E5DE661" w:rsidR="00FA2234" w:rsidRDefault="00E145AF" w:rsidP="00FA2234">
      <w:r>
        <w:t xml:space="preserve">The </w:t>
      </w:r>
      <w:r w:rsidR="00FA2234">
        <w:t>EEIS</w:t>
      </w:r>
      <w:r>
        <w:t xml:space="preserve"> is funded via pass</w:t>
      </w:r>
      <w:r w:rsidR="00A50B74">
        <w:t>-</w:t>
      </w:r>
      <w:r>
        <w:t xml:space="preserve">through </w:t>
      </w:r>
      <w:r w:rsidR="00FA2234">
        <w:t xml:space="preserve">costs </w:t>
      </w:r>
      <w:r>
        <w:t xml:space="preserve">incorporated in the electricity bills of </w:t>
      </w:r>
      <w:r w:rsidR="00FA2234">
        <w:t xml:space="preserve">all ACT energy users. ActewAGL </w:t>
      </w:r>
      <w:r w:rsidR="00A50B74">
        <w:t xml:space="preserve">Retail </w:t>
      </w:r>
      <w:r w:rsidR="00FA2234">
        <w:t xml:space="preserve">is the only Tier 1 retailer, and the only </w:t>
      </w:r>
      <w:r w:rsidR="00B64322">
        <w:t xml:space="preserve">retailer that is </w:t>
      </w:r>
      <w:r w:rsidR="00FA2234">
        <w:t xml:space="preserve">currently delivering activities. ActewAGL </w:t>
      </w:r>
      <w:r w:rsidR="00A50B74">
        <w:t xml:space="preserve">Retail </w:t>
      </w:r>
      <w:r w:rsidR="00FA2234">
        <w:t>is also a regulated retailer, meaning that its EEIS pass-through costs are determined by the Independent Competition and Regulatory Commission (ICRC)</w:t>
      </w:r>
      <w:r w:rsidR="00FA2234">
        <w:rPr>
          <w:rStyle w:val="FootnoteReference"/>
        </w:rPr>
        <w:footnoteReference w:id="7"/>
      </w:r>
      <w:r w:rsidR="00FA2234">
        <w:t>. This determination is made annually, based on a methodology that takes account of legislative requirements and cost estimates provided by ActewAGL</w:t>
      </w:r>
      <w:r w:rsidR="004D049A">
        <w:t>,</w:t>
      </w:r>
      <w:r w:rsidR="00FA2234">
        <w:t xml:space="preserve"> and</w:t>
      </w:r>
      <w:r w:rsidR="009127C9">
        <w:t xml:space="preserve"> is</w:t>
      </w:r>
      <w:r w:rsidR="00FA2234">
        <w:t xml:space="preserve"> “subjected to a forward-looking prudency and efficiency assessment by the Commission”</w:t>
      </w:r>
      <w:r w:rsidR="00FA2234">
        <w:rPr>
          <w:rStyle w:val="FootnoteReference"/>
        </w:rPr>
        <w:footnoteReference w:id="8"/>
      </w:r>
      <w:r w:rsidR="00FA2234">
        <w:t>. For 2019</w:t>
      </w:r>
      <w:r w:rsidR="004D049A">
        <w:t>–</w:t>
      </w:r>
      <w:r w:rsidR="00FA2234">
        <w:t>2020</w:t>
      </w:r>
      <w:r w:rsidR="005043A1">
        <w:t>,</w:t>
      </w:r>
      <w:r w:rsidR="00FA2234">
        <w:t xml:space="preserve"> this review resulted in an approved pass-through cost of </w:t>
      </w:r>
      <w:r w:rsidR="00B64322">
        <w:t>$115.93</w:t>
      </w:r>
      <w:r w:rsidR="00FA2234">
        <w:t>/tCO</w:t>
      </w:r>
      <w:r w:rsidR="00FA2234" w:rsidRPr="009E4777">
        <w:rPr>
          <w:vertAlign w:val="subscript"/>
        </w:rPr>
        <w:t>2</w:t>
      </w:r>
      <w:r w:rsidR="00FA2234">
        <w:t>e, or $4/MWh</w:t>
      </w:r>
      <w:r w:rsidR="00FA2234" w:rsidRPr="00B64322">
        <w:rPr>
          <w:vertAlign w:val="superscript"/>
        </w:rPr>
        <w:footnoteReference w:id="9"/>
      </w:r>
      <w:r w:rsidR="00FA2234">
        <w:t xml:space="preserve">. </w:t>
      </w:r>
      <w:r w:rsidR="00B64322">
        <w:t xml:space="preserve">This means ActewAGL </w:t>
      </w:r>
      <w:r w:rsidR="00A50B74">
        <w:t xml:space="preserve">Retail </w:t>
      </w:r>
      <w:r w:rsidR="00B64322">
        <w:t>is permitted to pass through up to $4/MWh to deliver EEIS activities at the level of</w:t>
      </w:r>
      <w:r w:rsidR="00FA2234">
        <w:t xml:space="preserve"> the current EST of 8.6</w:t>
      </w:r>
      <w:r w:rsidR="00A50B74">
        <w:t xml:space="preserve">% </w:t>
      </w:r>
      <w:r w:rsidR="00FA2234">
        <w:t xml:space="preserve">of retail sales. </w:t>
      </w:r>
    </w:p>
    <w:p w14:paraId="3701D4C4" w14:textId="0255B3E8" w:rsidR="0009230A" w:rsidRDefault="0009230A" w:rsidP="00FA2234">
      <w:r>
        <w:t>The recommendation based on Energetics’ analysis is that the existing pass-through cost of $4/MWh be retained for the 2022 compliance period.</w:t>
      </w:r>
    </w:p>
    <w:p w14:paraId="23BF0A82" w14:textId="3CE96F38" w:rsidR="00F81CB8" w:rsidRDefault="00F81CB8" w:rsidP="00F81CB8">
      <w:pPr>
        <w:pStyle w:val="Heading1"/>
        <w:numPr>
          <w:ilvl w:val="1"/>
          <w:numId w:val="2"/>
        </w:numPr>
      </w:pPr>
      <w:bookmarkStart w:id="13" w:name="_Toc41575591"/>
      <w:bookmarkStart w:id="14" w:name="_Toc73519052"/>
      <w:r>
        <w:t>Setting the Energy Savings Contribution</w:t>
      </w:r>
      <w:bookmarkEnd w:id="13"/>
      <w:bookmarkEnd w:id="14"/>
    </w:p>
    <w:p w14:paraId="663059BE" w14:textId="20BA8966" w:rsidR="00F81CB8" w:rsidRPr="0017511C" w:rsidRDefault="00D1193F" w:rsidP="00F81CB8">
      <w:r>
        <w:t>Smaller Tier 2 retailers are able to pay an Energy Savings Contribution (ESC) to meet their obligation under the EEIS. This is in recognition of the increased difficulty for smaller retailers to deliver energy savings in the ACT. A Tier 2 retailer’s target is calculated in the same way as a Tier 1 retailer target.</w:t>
      </w:r>
      <w:r w:rsidRPr="000026BB" w:rsidDel="00D1193F">
        <w:t xml:space="preserve"> </w:t>
      </w:r>
      <w:r w:rsidR="00F81CB8" w:rsidRPr="000026BB">
        <w:t>All Tier 2 retailers currently opt</w:t>
      </w:r>
      <w:r w:rsidR="00FD3E95">
        <w:t xml:space="preserve"> </w:t>
      </w:r>
      <w:r w:rsidR="00F81CB8" w:rsidRPr="000026BB">
        <w:t xml:space="preserve">to pay the ESC as an alternative to delivering activities. The ESC is currently set at </w:t>
      </w:r>
      <w:r w:rsidR="00A1271C" w:rsidRPr="007B3D25">
        <w:t>$46.50</w:t>
      </w:r>
      <w:r w:rsidR="00E37594" w:rsidRPr="007B3D25">
        <w:t>/</w:t>
      </w:r>
      <w:r w:rsidR="00A1271C" w:rsidRPr="007B3D25">
        <w:t>MWh</w:t>
      </w:r>
      <w:r w:rsidR="00F81CB8" w:rsidRPr="00AC773D">
        <w:t xml:space="preserve"> by way of the </w:t>
      </w:r>
      <w:r w:rsidR="00A1271C" w:rsidRPr="00AC773D">
        <w:rPr>
          <w:i/>
          <w:iCs/>
        </w:rPr>
        <w:t>Energy Efficiency (Cost of Living) Improvement (Energy</w:t>
      </w:r>
      <w:r w:rsidR="00A1271C" w:rsidRPr="006F4567">
        <w:rPr>
          <w:i/>
          <w:iCs/>
        </w:rPr>
        <w:t xml:space="preserve"> Savings Contribution) Determination 2020 (No 1)</w:t>
      </w:r>
      <w:r w:rsidR="00A1271C" w:rsidRPr="006F4567">
        <w:t>.</w:t>
      </w:r>
    </w:p>
    <w:p w14:paraId="70E858F3" w14:textId="3FA32134" w:rsidR="0009230A" w:rsidRDefault="0009230A" w:rsidP="00F81CB8">
      <w:r w:rsidRPr="0017511C">
        <w:t xml:space="preserve">It is recommended that the ESC be reduced to </w:t>
      </w:r>
      <w:r w:rsidR="00924545" w:rsidRPr="000026BB">
        <w:t>$</w:t>
      </w:r>
      <w:r w:rsidR="004D049A" w:rsidRPr="000026BB">
        <w:t>32</w:t>
      </w:r>
      <w:r w:rsidR="00924545" w:rsidRPr="000026BB">
        <w:t>/MWh</w:t>
      </w:r>
      <w:r w:rsidR="00206F1D" w:rsidRPr="000026BB">
        <w:t>. This is based on the recommended change in the EST. The ESC calculation is based on the expected</w:t>
      </w:r>
      <w:r w:rsidR="00206F1D" w:rsidRPr="007B3D25">
        <w:t xml:space="preserve"> </w:t>
      </w:r>
      <w:r w:rsidR="00D1193F">
        <w:t xml:space="preserve">average </w:t>
      </w:r>
      <w:r w:rsidR="00206F1D" w:rsidRPr="007B3D25">
        <w:t>cost</w:t>
      </w:r>
      <w:r w:rsidR="00D1193F">
        <w:t xml:space="preserve"> of compliance for </w:t>
      </w:r>
      <w:r w:rsidR="00206F1D" w:rsidRPr="007B3D25">
        <w:t>a Tier 1 electricity retailer</w:t>
      </w:r>
      <w:r w:rsidR="00D1193F">
        <w:t xml:space="preserve">. This figure will continue to be monitored and adjusted based on the actual costs determined by the ACT’s Independent Competition and Regulatory Commission. </w:t>
      </w:r>
    </w:p>
    <w:p w14:paraId="725D5FEB" w14:textId="4B5FEA0F" w:rsidR="00F81CB8" w:rsidRDefault="00F81CB8" w:rsidP="00F81CB8">
      <w:pPr>
        <w:pStyle w:val="Heading1"/>
        <w:numPr>
          <w:ilvl w:val="1"/>
          <w:numId w:val="2"/>
        </w:numPr>
      </w:pPr>
      <w:bookmarkStart w:id="15" w:name="_Toc41575592"/>
      <w:bookmarkStart w:id="16" w:name="_Toc73519053"/>
      <w:r>
        <w:lastRenderedPageBreak/>
        <w:t xml:space="preserve">Setting </w:t>
      </w:r>
      <w:r w:rsidRPr="00C90A73">
        <w:t>Penalties for Noncompliance</w:t>
      </w:r>
      <w:bookmarkEnd w:id="15"/>
      <w:bookmarkEnd w:id="16"/>
    </w:p>
    <w:p w14:paraId="702C0E24" w14:textId="708BB100" w:rsidR="00206F1D" w:rsidRDefault="00F81CB8" w:rsidP="00F81CB8">
      <w:r>
        <w:t xml:space="preserve">The Shortfall Penalty acts as an upper limit to potential costs for delivering activities and aims to disincentivise non-compliance, including the risk of Tier 1 retailers not delivering activities. </w:t>
      </w:r>
      <w:r w:rsidR="00206F1D">
        <w:t>I</w:t>
      </w:r>
      <w:r w:rsidR="00206F1D" w:rsidRPr="00206F1D">
        <w:t xml:space="preserve">f </w:t>
      </w:r>
      <w:r w:rsidR="007D73C7">
        <w:t xml:space="preserve">a </w:t>
      </w:r>
      <w:r w:rsidR="00206F1D" w:rsidRPr="00206F1D">
        <w:t xml:space="preserve">retailer’s energy savings result is a net shortfall, the retailer is liable to pay a </w:t>
      </w:r>
      <w:r w:rsidR="00E37594">
        <w:t>S</w:t>
      </w:r>
      <w:r w:rsidR="00206F1D">
        <w:t xml:space="preserve">hortfall </w:t>
      </w:r>
      <w:r w:rsidR="00E37594">
        <w:t>P</w:t>
      </w:r>
      <w:r w:rsidR="00206F1D" w:rsidRPr="00206F1D">
        <w:t>enalty to the Territory.</w:t>
      </w:r>
    </w:p>
    <w:p w14:paraId="0335A7EC" w14:textId="0598462B" w:rsidR="00F81CB8" w:rsidRDefault="00F81CB8" w:rsidP="00F81CB8">
      <w:r>
        <w:t xml:space="preserve">The Shortfall Penalty is currently set at </w:t>
      </w:r>
      <w:r w:rsidR="00301EE7" w:rsidRPr="00301EE7">
        <w:t>$120 per MWh</w:t>
      </w:r>
      <w:r>
        <w:t xml:space="preserve"> by way of the </w:t>
      </w:r>
      <w:r w:rsidR="00301EE7" w:rsidRPr="00301EE7">
        <w:rPr>
          <w:i/>
          <w:iCs/>
        </w:rPr>
        <w:t>Energy Efficiency (Cost of Living) Improvement (Penalties for Noncompliance) Determination 2020 (No 1)</w:t>
      </w:r>
      <w:r>
        <w:t>.</w:t>
      </w:r>
      <w:r w:rsidR="00E37594">
        <w:t xml:space="preserve"> The</w:t>
      </w:r>
      <w:r w:rsidRPr="007B7ECF">
        <w:t xml:space="preserve"> </w:t>
      </w:r>
      <w:r>
        <w:t>ICRC uses the Shortfall Penalty as a ceiling on its price determination</w:t>
      </w:r>
      <w:r w:rsidR="00B949DB">
        <w:t>. C</w:t>
      </w:r>
      <w:r>
        <w:t>ompliance has been extremely high</w:t>
      </w:r>
      <w:r w:rsidR="00206F1D">
        <w:t>,</w:t>
      </w:r>
      <w:r>
        <w:t xml:space="preserve"> and the Shortfall Penalty has never been applied. </w:t>
      </w:r>
    </w:p>
    <w:p w14:paraId="7669796A" w14:textId="2F71E505" w:rsidR="00206F1D" w:rsidRDefault="008F15C5" w:rsidP="00F81CB8">
      <w:r>
        <w:t xml:space="preserve">The </w:t>
      </w:r>
      <w:r w:rsidRPr="000026BB">
        <w:t>proposed Shortfall Penalty of $</w:t>
      </w:r>
      <w:r w:rsidR="008F7F1E" w:rsidRPr="000026BB">
        <w:t>83</w:t>
      </w:r>
      <w:r w:rsidRPr="000026BB">
        <w:t xml:space="preserve">/MWh is </w:t>
      </w:r>
      <w:r w:rsidR="008F7F1E" w:rsidRPr="000026BB">
        <w:t>commensurate with the other proposed settings</w:t>
      </w:r>
      <w:r w:rsidR="00206F1D" w:rsidRPr="007B3D25">
        <w:t>,</w:t>
      </w:r>
      <w:r w:rsidRPr="007B3D25">
        <w:t xml:space="preserve"> being 2.6 times the value of the </w:t>
      </w:r>
      <w:r w:rsidR="00E37594" w:rsidRPr="007B3D25">
        <w:t>ESC, as per current practice</w:t>
      </w:r>
      <w:r w:rsidRPr="007B3D25">
        <w:t>. This setting is</w:t>
      </w:r>
      <w:r w:rsidRPr="00273D1D">
        <w:t xml:space="preserve"> recommended to be an incentive for retailers to deliver </w:t>
      </w:r>
      <w:r w:rsidR="00F81178" w:rsidRPr="00AC773D">
        <w:t>an energy savings result consistent with the set targets.</w:t>
      </w:r>
    </w:p>
    <w:p w14:paraId="1D0013B1" w14:textId="5EBCCF90" w:rsidR="007A4D29" w:rsidRDefault="007A4D29" w:rsidP="00C23FEF">
      <w:pPr>
        <w:pStyle w:val="Heading1"/>
        <w:numPr>
          <w:ilvl w:val="1"/>
          <w:numId w:val="2"/>
        </w:numPr>
      </w:pPr>
      <w:bookmarkStart w:id="17" w:name="_Toc41575593"/>
      <w:bookmarkStart w:id="18" w:name="_Toc73519054"/>
      <w:r>
        <w:t xml:space="preserve">Summary of proposed key </w:t>
      </w:r>
      <w:r w:rsidR="00EE3DD1">
        <w:t>S</w:t>
      </w:r>
      <w:r>
        <w:t>cheme parameters</w:t>
      </w:r>
      <w:bookmarkEnd w:id="17"/>
      <w:bookmarkEnd w:id="18"/>
    </w:p>
    <w:p w14:paraId="04A82D42" w14:textId="3F6BC543" w:rsidR="00065E91" w:rsidRPr="007B3D25" w:rsidRDefault="00065E91" w:rsidP="00065E91">
      <w:r w:rsidRPr="000026BB">
        <w:t xml:space="preserve">For the reasons outlined above, the EEIS settings for </w:t>
      </w:r>
      <w:r w:rsidR="006732D2" w:rsidRPr="000026BB">
        <w:t xml:space="preserve">the </w:t>
      </w:r>
      <w:r w:rsidRPr="000026BB">
        <w:t>2022</w:t>
      </w:r>
      <w:r w:rsidR="006732D2" w:rsidRPr="000026BB">
        <w:t xml:space="preserve"> compliance period</w:t>
      </w:r>
      <w:r w:rsidRPr="007B3D25">
        <w:t xml:space="preserve"> are as follows:</w:t>
      </w:r>
    </w:p>
    <w:p w14:paraId="42DCDDDF" w14:textId="701F7F7D" w:rsidR="00065E91" w:rsidRPr="000026BB" w:rsidRDefault="00065E91" w:rsidP="00065E91">
      <w:pPr>
        <w:pStyle w:val="ListParagraph"/>
        <w:numPr>
          <w:ilvl w:val="0"/>
          <w:numId w:val="5"/>
        </w:numPr>
      </w:pPr>
      <w:r w:rsidRPr="00273D1D">
        <w:t xml:space="preserve">Energy Savings Target at </w:t>
      </w:r>
      <w:r w:rsidR="008F7F1E" w:rsidRPr="000026BB">
        <w:t>12</w:t>
      </w:r>
      <w:r w:rsidRPr="000026BB">
        <w:t>.5</w:t>
      </w:r>
      <w:r w:rsidR="00066FB8">
        <w:t>%</w:t>
      </w:r>
    </w:p>
    <w:p w14:paraId="2E3883E3" w14:textId="4BAD72B7" w:rsidR="00065E91" w:rsidRPr="000026BB" w:rsidRDefault="00065E91" w:rsidP="00065E91">
      <w:pPr>
        <w:pStyle w:val="ListParagraph"/>
        <w:numPr>
          <w:ilvl w:val="0"/>
          <w:numId w:val="5"/>
        </w:numPr>
      </w:pPr>
      <w:r w:rsidRPr="000026BB">
        <w:t>Energy Savings Contribution at $</w:t>
      </w:r>
      <w:r w:rsidR="008F7F1E" w:rsidRPr="000026BB">
        <w:t>3</w:t>
      </w:r>
      <w:r w:rsidRPr="000026BB">
        <w:t>2/MWh, and</w:t>
      </w:r>
    </w:p>
    <w:p w14:paraId="49286711" w14:textId="77606383" w:rsidR="00065E91" w:rsidRPr="000026BB" w:rsidRDefault="00065E91" w:rsidP="00065E91">
      <w:pPr>
        <w:pStyle w:val="ListParagraph"/>
        <w:numPr>
          <w:ilvl w:val="0"/>
          <w:numId w:val="5"/>
        </w:numPr>
        <w:spacing w:after="240"/>
      </w:pPr>
      <w:r w:rsidRPr="000026BB">
        <w:t>Shortfall Penalty at $</w:t>
      </w:r>
      <w:r w:rsidR="008F7F1E" w:rsidRPr="000026BB">
        <w:t>83</w:t>
      </w:r>
      <w:r w:rsidRPr="000026BB">
        <w:t>/MWh.</w:t>
      </w:r>
    </w:p>
    <w:p w14:paraId="3B32A8D7" w14:textId="0D7EEEE1" w:rsidR="006732D2" w:rsidRDefault="006732D2" w:rsidP="00065E91">
      <w:r>
        <w:t>As part of its analysis to inform the 2022 settings, Energetics modelled several alternative options</w:t>
      </w:r>
      <w:r w:rsidR="002D76FE">
        <w:t xml:space="preserve"> for </w:t>
      </w:r>
      <w:r w:rsidR="009E4F9F">
        <w:t>S</w:t>
      </w:r>
      <w:r w:rsidR="002D76FE">
        <w:t xml:space="preserve">cheme settings. This modelling shows that emissions abatement increases in line with </w:t>
      </w:r>
      <w:r w:rsidR="009E4F9F">
        <w:t xml:space="preserve">a </w:t>
      </w:r>
      <w:r w:rsidR="002D76FE">
        <w:t>higher EST but that this also translates into higher pass-through costs to consumers. Moreover, when the EST is set above around 18</w:t>
      </w:r>
      <w:r w:rsidR="009E4F9F">
        <w:t>%</w:t>
      </w:r>
      <w:r w:rsidR="002D76FE">
        <w:t xml:space="preserve">, the </w:t>
      </w:r>
      <w:r w:rsidR="009E4F9F">
        <w:t>S</w:t>
      </w:r>
      <w:r w:rsidR="002D76FE">
        <w:t>cheme becomes a burden on the ACT economy. In contrast, a moderate increase in the target (</w:t>
      </w:r>
      <w:r w:rsidR="0093791A">
        <w:t xml:space="preserve">for instance </w:t>
      </w:r>
      <w:r w:rsidR="002D76FE">
        <w:t>to 9.5</w:t>
      </w:r>
      <w:r w:rsidR="009E4F9F">
        <w:t>%</w:t>
      </w:r>
      <w:r w:rsidR="002D76FE">
        <w:t>)</w:t>
      </w:r>
      <w:r>
        <w:t xml:space="preserve"> </w:t>
      </w:r>
      <w:r w:rsidR="002D76FE">
        <w:t xml:space="preserve">maximises the net present value (NPV) of the </w:t>
      </w:r>
      <w:r w:rsidR="009E4F9F">
        <w:t>S</w:t>
      </w:r>
      <w:r w:rsidR="002D76FE">
        <w:t xml:space="preserve">cheme. However, </w:t>
      </w:r>
      <w:r w:rsidR="0093791A">
        <w:t xml:space="preserve">this would not address the reductions in emissions abatement </w:t>
      </w:r>
      <w:r w:rsidR="00066FB8">
        <w:t xml:space="preserve">that have </w:t>
      </w:r>
      <w:r w:rsidR="0093791A">
        <w:t>follow</w:t>
      </w:r>
      <w:r w:rsidR="00066FB8">
        <w:t>ed</w:t>
      </w:r>
      <w:r w:rsidR="0093791A">
        <w:t xml:space="preserve"> the transition to an energy metric, thus curtailing the </w:t>
      </w:r>
      <w:r w:rsidR="009E4F9F">
        <w:t>S</w:t>
      </w:r>
      <w:r w:rsidR="0093791A">
        <w:t>cheme’s ability to deliver on its legislated objectives.</w:t>
      </w:r>
    </w:p>
    <w:p w14:paraId="1727F0A8" w14:textId="4FF94D4A" w:rsidR="00A448B8" w:rsidRDefault="00A448B8" w:rsidP="00065E91">
      <w:r>
        <w:t xml:space="preserve">The modelled option </w:t>
      </w:r>
      <w:r w:rsidRPr="00A448B8">
        <w:t xml:space="preserve">of increasing the level of ambition </w:t>
      </w:r>
      <w:r w:rsidR="007E3331">
        <w:t>(to 12.5</w:t>
      </w:r>
      <w:r w:rsidR="009E4F9F">
        <w:t>%</w:t>
      </w:r>
      <w:r w:rsidR="007E3331">
        <w:t xml:space="preserve">) while maintaining the </w:t>
      </w:r>
      <w:r w:rsidRPr="00A448B8">
        <w:t xml:space="preserve">expected pass-through cost </w:t>
      </w:r>
      <w:r w:rsidR="007E3331">
        <w:t>of</w:t>
      </w:r>
      <w:r w:rsidRPr="00A448B8">
        <w:t xml:space="preserve"> $4/MWh</w:t>
      </w:r>
      <w:r w:rsidR="00273D1D">
        <w:t>,</w:t>
      </w:r>
      <w:r>
        <w:t xml:space="preserve"> </w:t>
      </w:r>
      <w:r w:rsidR="007E3331">
        <w:t xml:space="preserve">is </w:t>
      </w:r>
      <w:r>
        <w:t xml:space="preserve">considered optimal as it </w:t>
      </w:r>
      <w:r w:rsidR="007E3331" w:rsidRPr="007E3331">
        <w:t xml:space="preserve">will result in a </w:t>
      </w:r>
      <w:r w:rsidR="009E4F9F">
        <w:t>15%</w:t>
      </w:r>
      <w:r w:rsidR="007E3331" w:rsidRPr="007E3331">
        <w:t xml:space="preserve"> </w:t>
      </w:r>
      <w:r w:rsidR="009E4F9F">
        <w:t>decrease in natural gas emissions in</w:t>
      </w:r>
      <w:r w:rsidR="007E3331" w:rsidRPr="007E3331">
        <w:t xml:space="preserve"> 2030</w:t>
      </w:r>
      <w:r w:rsidR="007E3331">
        <w:t xml:space="preserve">. Importantly, this outcome will be achieved without imposing additional costs on ACT electricity consumers and there will be only a minor impact on </w:t>
      </w:r>
      <w:r w:rsidRPr="00A448B8">
        <w:t xml:space="preserve">the value of the </w:t>
      </w:r>
      <w:r w:rsidR="00EE3DD1">
        <w:t>S</w:t>
      </w:r>
      <w:r w:rsidRPr="00A448B8">
        <w:t>cheme to the ACT economy</w:t>
      </w:r>
      <w:r>
        <w:t xml:space="preserve">. </w:t>
      </w:r>
    </w:p>
    <w:p w14:paraId="3CB2A493" w14:textId="4D224398" w:rsidR="00CE7D17" w:rsidRPr="00065E91" w:rsidRDefault="007D73C7" w:rsidP="00065E91">
      <w:r>
        <w:t>A final option of n</w:t>
      </w:r>
      <w:r w:rsidR="00065E91" w:rsidRPr="00065E91">
        <w:t xml:space="preserve">ot setting parameters at all would be inconsistent with the Act, as it would not provide retailers with the information they need to participate in the </w:t>
      </w:r>
      <w:r w:rsidR="00EE3DD1">
        <w:t>S</w:t>
      </w:r>
      <w:r w:rsidR="00065E91" w:rsidRPr="00065E91">
        <w:t>cheme.</w:t>
      </w:r>
    </w:p>
    <w:p w14:paraId="6E186B0C" w14:textId="77777777" w:rsidR="009E4F9F" w:rsidRDefault="009E4F9F">
      <w:pPr>
        <w:autoSpaceDE/>
        <w:autoSpaceDN/>
        <w:adjustRightInd/>
        <w:spacing w:after="160" w:line="259" w:lineRule="auto"/>
        <w:rPr>
          <w:rFonts w:asciiTheme="majorHAnsi" w:eastAsiaTheme="majorEastAsia" w:hAnsiTheme="majorHAnsi" w:cstheme="majorBidi"/>
          <w:bCs w:val="0"/>
          <w:color w:val="2F5496" w:themeColor="accent1" w:themeShade="BF"/>
          <w:sz w:val="28"/>
          <w:szCs w:val="28"/>
        </w:rPr>
      </w:pPr>
      <w:bookmarkStart w:id="19" w:name="_Toc41575594"/>
      <w:r>
        <w:rPr>
          <w:b/>
        </w:rPr>
        <w:br w:type="page"/>
      </w:r>
    </w:p>
    <w:p w14:paraId="65D57AB7" w14:textId="3D973D53" w:rsidR="009B65C0" w:rsidRPr="00EE3DD1" w:rsidRDefault="009B65C0" w:rsidP="009B65C0">
      <w:pPr>
        <w:pStyle w:val="Heading1"/>
        <w:rPr>
          <w:bCs/>
        </w:rPr>
      </w:pPr>
      <w:bookmarkStart w:id="20" w:name="_Toc73519055"/>
      <w:r w:rsidRPr="00EE3DD1">
        <w:rPr>
          <w:bCs/>
        </w:rPr>
        <w:lastRenderedPageBreak/>
        <w:t>Strategy for further implementation, review and consultation</w:t>
      </w:r>
      <w:bookmarkEnd w:id="19"/>
      <w:bookmarkEnd w:id="20"/>
    </w:p>
    <w:p w14:paraId="0C9BC79F" w14:textId="7304A044" w:rsidR="009B65C0" w:rsidRDefault="009B65C0" w:rsidP="009B65C0">
      <w:r>
        <w:t xml:space="preserve">The regulatory reforms presented here will be achieved through a continuation of current EEIS implementation processes. The Act allows the </w:t>
      </w:r>
      <w:r w:rsidR="00E37594">
        <w:t>EST</w:t>
      </w:r>
      <w:r>
        <w:t xml:space="preserve"> and </w:t>
      </w:r>
      <w:r w:rsidR="00E37594">
        <w:t>ESC</w:t>
      </w:r>
      <w:r>
        <w:t xml:space="preserve"> to be reviewed and re-set by the Minister throughout the life of the Scheme. It is important to set key </w:t>
      </w:r>
      <w:r w:rsidR="00E37594">
        <w:t>S</w:t>
      </w:r>
      <w:r>
        <w:t xml:space="preserve">cheme </w:t>
      </w:r>
      <w:r w:rsidR="00296581">
        <w:t>parameters</w:t>
      </w:r>
      <w:r w:rsidR="00D71ECD">
        <w:t xml:space="preserve"> </w:t>
      </w:r>
      <w:r>
        <w:t xml:space="preserve">with a long lead time to provide business certainty, which is why the Act requires </w:t>
      </w:r>
      <w:r w:rsidR="006B5988">
        <w:t xml:space="preserve">that increased targets be set </w:t>
      </w:r>
      <w:r>
        <w:t xml:space="preserve">at least </w:t>
      </w:r>
      <w:r w:rsidR="00E37594">
        <w:t>six</w:t>
      </w:r>
      <w:r>
        <w:t xml:space="preserve"> months </w:t>
      </w:r>
      <w:r w:rsidR="006B5988">
        <w:t>ahead of the relevant compliance period</w:t>
      </w:r>
      <w:r>
        <w:t xml:space="preserve">. </w:t>
      </w:r>
    </w:p>
    <w:p w14:paraId="120A02F8" w14:textId="121FB68E" w:rsidR="00F81CB8" w:rsidRDefault="007B3D25" w:rsidP="00F81CB8">
      <w:r>
        <w:t>T</w:t>
      </w:r>
      <w:r w:rsidR="009B65C0">
        <w:t xml:space="preserve">he ACT Government </w:t>
      </w:r>
      <w:r>
        <w:t xml:space="preserve">will </w:t>
      </w:r>
      <w:r w:rsidR="009B65C0">
        <w:t xml:space="preserve">continue reviewing </w:t>
      </w:r>
      <w:r w:rsidR="00296581">
        <w:t>T</w:t>
      </w:r>
      <w:r w:rsidR="006B5988">
        <w:t>ier 1 delivery</w:t>
      </w:r>
      <w:r w:rsidR="009B65C0">
        <w:t xml:space="preserve"> costs, pass-through costs and the energy savings outcomes, and adjust </w:t>
      </w:r>
      <w:r w:rsidR="00E37594">
        <w:t>S</w:t>
      </w:r>
      <w:r w:rsidR="009B65C0">
        <w:t xml:space="preserve">cheme </w:t>
      </w:r>
      <w:r w:rsidR="00296581">
        <w:t xml:space="preserve">parameters </w:t>
      </w:r>
      <w:r w:rsidR="009B65C0">
        <w:t xml:space="preserve">if needed. </w:t>
      </w:r>
    </w:p>
    <w:p w14:paraId="3D18E60F" w14:textId="77777777" w:rsidR="003D5591" w:rsidRPr="003D5591" w:rsidRDefault="003D5591" w:rsidP="003D5591">
      <w:pPr>
        <w:pStyle w:val="Heading1"/>
        <w:rPr>
          <w:rFonts w:ascii="Cambria" w:hAnsi="Cambria" w:cs="Times New Roman"/>
          <w:color w:val="365F91"/>
        </w:rPr>
      </w:pPr>
      <w:bookmarkStart w:id="21" w:name="_Toc41575595"/>
      <w:bookmarkStart w:id="22" w:name="_Toc73519056"/>
      <w:r w:rsidRPr="003D5591">
        <w:t>Complementarity</w:t>
      </w:r>
      <w:bookmarkEnd w:id="21"/>
      <w:bookmarkEnd w:id="22"/>
    </w:p>
    <w:p w14:paraId="7F3EB299" w14:textId="77777777" w:rsidR="003D5591" w:rsidRPr="003D5591" w:rsidRDefault="003D5591" w:rsidP="003D5591">
      <w:pPr>
        <w:spacing w:before="240"/>
        <w:rPr>
          <w:rFonts w:ascii="Calibri" w:hAnsi="Calibri"/>
        </w:rPr>
      </w:pPr>
      <w:r w:rsidRPr="003D5591">
        <w:rPr>
          <w:rFonts w:ascii="Calibri" w:hAnsi="Calibri"/>
        </w:rPr>
        <w:t xml:space="preserve">The determinations are not inconsistent with the policy objectives of another Territory law. </w:t>
      </w:r>
    </w:p>
    <w:p w14:paraId="2356A007" w14:textId="5E13880C" w:rsidR="003D5591" w:rsidRPr="003D5591" w:rsidRDefault="003D5591" w:rsidP="003D5591">
      <w:pPr>
        <w:pStyle w:val="Heading1"/>
      </w:pPr>
      <w:bookmarkStart w:id="23" w:name="_Toc41575596"/>
      <w:bookmarkStart w:id="24" w:name="_Toc73519057"/>
      <w:bookmarkStart w:id="25" w:name="_Hlk71278320"/>
      <w:r w:rsidRPr="003D5591">
        <w:t xml:space="preserve">Human </w:t>
      </w:r>
      <w:r w:rsidR="00041461">
        <w:t>r</w:t>
      </w:r>
      <w:r w:rsidRPr="003D5591">
        <w:t>ights</w:t>
      </w:r>
      <w:bookmarkEnd w:id="23"/>
      <w:bookmarkEnd w:id="24"/>
    </w:p>
    <w:p w14:paraId="4D45FD8A" w14:textId="77777777" w:rsidR="003D5591" w:rsidRPr="003D5591" w:rsidRDefault="003D5591" w:rsidP="003D5591">
      <w:pPr>
        <w:spacing w:before="240"/>
        <w:rPr>
          <w:rFonts w:ascii="Calibri" w:hAnsi="Calibri"/>
        </w:rPr>
      </w:pPr>
      <w:r w:rsidRPr="003D5591">
        <w:rPr>
          <w:rFonts w:ascii="Calibri" w:hAnsi="Calibri"/>
        </w:rPr>
        <w:t xml:space="preserve">The determinations do not engage any human right set out in the </w:t>
      </w:r>
      <w:r w:rsidRPr="003D5591">
        <w:rPr>
          <w:rFonts w:ascii="Calibri" w:hAnsi="Calibri"/>
          <w:i/>
        </w:rPr>
        <w:t>Human Rights Act 2004</w:t>
      </w:r>
      <w:r w:rsidRPr="003D5591">
        <w:rPr>
          <w:rFonts w:ascii="Calibri" w:hAnsi="Calibri"/>
        </w:rPr>
        <w:t xml:space="preserve">.   </w:t>
      </w:r>
    </w:p>
    <w:p w14:paraId="111C7E89" w14:textId="77777777" w:rsidR="003D5591" w:rsidRPr="003D5591" w:rsidRDefault="003D5591" w:rsidP="003D5591">
      <w:pPr>
        <w:pStyle w:val="Heading1"/>
      </w:pPr>
      <w:bookmarkStart w:id="26" w:name="_Toc41575597"/>
      <w:bookmarkStart w:id="27" w:name="_Toc73519058"/>
      <w:r w:rsidRPr="003D5591">
        <w:t>Assessment of the consistency of the proposed law with Scrutiny of Bills Committee principles</w:t>
      </w:r>
      <w:bookmarkEnd w:id="26"/>
      <w:bookmarkEnd w:id="27"/>
    </w:p>
    <w:p w14:paraId="67F4C211" w14:textId="77777777" w:rsidR="00517C3B" w:rsidRPr="003D5591" w:rsidRDefault="00517C3B" w:rsidP="00517C3B">
      <w:pPr>
        <w:spacing w:before="240"/>
        <w:rPr>
          <w:rFonts w:ascii="Calibri" w:hAnsi="Calibri"/>
        </w:rPr>
      </w:pPr>
      <w:r w:rsidRPr="003D5591">
        <w:rPr>
          <w:rFonts w:ascii="Calibri" w:hAnsi="Calibri"/>
        </w:rPr>
        <w:t xml:space="preserve">The Standing Committee on Justice and Community Safety (Legislative Scrutiny Role) </w:t>
      </w:r>
      <w:r>
        <w:rPr>
          <w:rFonts w:ascii="Calibri" w:hAnsi="Calibri"/>
        </w:rPr>
        <w:t xml:space="preserve">must </w:t>
      </w:r>
      <w:r w:rsidRPr="003D5591">
        <w:rPr>
          <w:rFonts w:ascii="Calibri" w:hAnsi="Calibri"/>
        </w:rPr>
        <w:t>consider whether any instrument of a legislative nature made under an Act which is subject to disallowance and/or disapproval by the Assembly:</w:t>
      </w:r>
    </w:p>
    <w:p w14:paraId="33C601E2" w14:textId="77777777" w:rsidR="00517C3B" w:rsidRPr="003D5591" w:rsidRDefault="00517C3B" w:rsidP="00517C3B">
      <w:pPr>
        <w:numPr>
          <w:ilvl w:val="0"/>
          <w:numId w:val="7"/>
        </w:numPr>
        <w:spacing w:after="0"/>
        <w:ind w:left="1276"/>
        <w:contextualSpacing/>
        <w:rPr>
          <w:rFonts w:ascii="Calibri" w:hAnsi="Calibri"/>
        </w:rPr>
      </w:pPr>
      <w:r w:rsidRPr="003D5591">
        <w:rPr>
          <w:rFonts w:ascii="Calibri" w:hAnsi="Calibri"/>
        </w:rPr>
        <w:t xml:space="preserve">is in accord with the general objects of the Act under which it is made, </w:t>
      </w:r>
    </w:p>
    <w:p w14:paraId="4E4310AB" w14:textId="77777777" w:rsidR="00517C3B" w:rsidRPr="003D5591" w:rsidRDefault="00517C3B" w:rsidP="00517C3B">
      <w:pPr>
        <w:numPr>
          <w:ilvl w:val="0"/>
          <w:numId w:val="7"/>
        </w:numPr>
        <w:spacing w:after="0"/>
        <w:ind w:left="1276"/>
        <w:contextualSpacing/>
        <w:rPr>
          <w:rFonts w:ascii="Calibri" w:hAnsi="Calibri"/>
        </w:rPr>
      </w:pPr>
      <w:r w:rsidRPr="003D5591">
        <w:rPr>
          <w:rFonts w:ascii="Calibri" w:hAnsi="Calibri"/>
        </w:rPr>
        <w:t xml:space="preserve">unduly trespasses on rights previously established by law, </w:t>
      </w:r>
    </w:p>
    <w:p w14:paraId="7DE35A97" w14:textId="77777777" w:rsidR="00517C3B" w:rsidRPr="003D5591" w:rsidRDefault="00517C3B" w:rsidP="00517C3B">
      <w:pPr>
        <w:numPr>
          <w:ilvl w:val="0"/>
          <w:numId w:val="7"/>
        </w:numPr>
        <w:spacing w:after="0"/>
        <w:ind w:left="1276"/>
        <w:contextualSpacing/>
        <w:rPr>
          <w:rFonts w:ascii="Calibri" w:hAnsi="Calibri"/>
        </w:rPr>
      </w:pPr>
      <w:r w:rsidRPr="003D5591">
        <w:rPr>
          <w:rFonts w:ascii="Calibri" w:hAnsi="Calibri"/>
        </w:rPr>
        <w:t>makes rights, liberties and/or obligations unduly dependent upon non reviewable decisions, or</w:t>
      </w:r>
    </w:p>
    <w:p w14:paraId="16175755" w14:textId="77777777" w:rsidR="00517C3B" w:rsidRPr="003D5591" w:rsidRDefault="00517C3B" w:rsidP="00517C3B">
      <w:pPr>
        <w:numPr>
          <w:ilvl w:val="0"/>
          <w:numId w:val="7"/>
        </w:numPr>
        <w:spacing w:after="0"/>
        <w:ind w:left="1276"/>
        <w:contextualSpacing/>
        <w:rPr>
          <w:rFonts w:ascii="Calibri" w:hAnsi="Calibri"/>
        </w:rPr>
      </w:pPr>
      <w:r w:rsidRPr="003D5591">
        <w:rPr>
          <w:rFonts w:ascii="Calibri" w:hAnsi="Calibri"/>
        </w:rPr>
        <w:t>contains matters which in the opinion of the Committee should properly be dealt with in an Act of the Legislative Assembly.</w:t>
      </w:r>
    </w:p>
    <w:p w14:paraId="7B2A0435" w14:textId="77777777" w:rsidR="003D5591" w:rsidRPr="003D5591" w:rsidRDefault="003D5591" w:rsidP="003D5591">
      <w:pPr>
        <w:keepNext/>
        <w:spacing w:before="240" w:after="0"/>
        <w:rPr>
          <w:rFonts w:ascii="Calibri" w:hAnsi="Calibri"/>
        </w:rPr>
      </w:pPr>
      <w:r w:rsidRPr="003D5591">
        <w:rPr>
          <w:rFonts w:ascii="Calibri" w:hAnsi="Calibri"/>
        </w:rPr>
        <w:t>The position in relation to each term of reference is as follows.</w:t>
      </w:r>
    </w:p>
    <w:p w14:paraId="15F05EDE" w14:textId="77777777" w:rsidR="003D5591" w:rsidRPr="003D5591" w:rsidRDefault="003D5591" w:rsidP="003D5591">
      <w:pPr>
        <w:numPr>
          <w:ilvl w:val="0"/>
          <w:numId w:val="21"/>
        </w:numPr>
        <w:spacing w:after="0"/>
        <w:ind w:left="1276"/>
        <w:contextualSpacing/>
        <w:rPr>
          <w:rFonts w:ascii="Calibri" w:hAnsi="Calibri"/>
          <w:i/>
        </w:rPr>
      </w:pPr>
      <w:r w:rsidRPr="003D5591">
        <w:rPr>
          <w:rFonts w:ascii="Calibri" w:hAnsi="Calibri"/>
          <w:i/>
        </w:rPr>
        <w:t>is in accord with the general objects of the Act under which it is made</w:t>
      </w:r>
    </w:p>
    <w:p w14:paraId="417416A2" w14:textId="77777777" w:rsidR="003D5591" w:rsidRPr="003D5591" w:rsidRDefault="003D5591" w:rsidP="003D5591">
      <w:pPr>
        <w:spacing w:after="0"/>
        <w:ind w:left="1276"/>
        <w:rPr>
          <w:rFonts w:ascii="Calibri" w:hAnsi="Calibri"/>
        </w:rPr>
      </w:pPr>
      <w:r w:rsidRPr="003D5591">
        <w:rPr>
          <w:rFonts w:ascii="Calibri" w:hAnsi="Calibri"/>
        </w:rPr>
        <w:t xml:space="preserve">As noted above, the proposed settings are in accordance with the general objects of the Act. </w:t>
      </w:r>
    </w:p>
    <w:p w14:paraId="1D95103B" w14:textId="77777777" w:rsidR="003D5591" w:rsidRPr="003D5591" w:rsidRDefault="003D5591" w:rsidP="003D5591">
      <w:pPr>
        <w:numPr>
          <w:ilvl w:val="0"/>
          <w:numId w:val="21"/>
        </w:numPr>
        <w:spacing w:after="0"/>
        <w:ind w:left="1276"/>
        <w:contextualSpacing/>
        <w:rPr>
          <w:rFonts w:ascii="Calibri" w:hAnsi="Calibri"/>
          <w:i/>
        </w:rPr>
      </w:pPr>
      <w:r w:rsidRPr="003D5591">
        <w:rPr>
          <w:rFonts w:ascii="Calibri" w:hAnsi="Calibri"/>
          <w:i/>
        </w:rPr>
        <w:t>unduly trespasses on rights previously established by law</w:t>
      </w:r>
    </w:p>
    <w:p w14:paraId="7A9C76EE" w14:textId="77777777" w:rsidR="003D5591" w:rsidRPr="003D5591" w:rsidRDefault="003D5591" w:rsidP="003D5591">
      <w:pPr>
        <w:spacing w:after="0"/>
        <w:ind w:left="1276"/>
        <w:rPr>
          <w:rFonts w:ascii="Calibri" w:hAnsi="Calibri"/>
        </w:rPr>
      </w:pPr>
      <w:r w:rsidRPr="003D5591">
        <w:rPr>
          <w:rFonts w:ascii="Calibri" w:hAnsi="Calibri"/>
        </w:rPr>
        <w:t>The proposed settings do not unduly trespass on rights previously established under law.</w:t>
      </w:r>
    </w:p>
    <w:p w14:paraId="5F8B7DF2" w14:textId="77777777" w:rsidR="003D5591" w:rsidRPr="003D5591" w:rsidRDefault="003D5591" w:rsidP="003D5591">
      <w:pPr>
        <w:numPr>
          <w:ilvl w:val="0"/>
          <w:numId w:val="21"/>
        </w:numPr>
        <w:spacing w:after="0"/>
        <w:ind w:left="1276"/>
        <w:contextualSpacing/>
        <w:rPr>
          <w:rFonts w:ascii="Calibri" w:hAnsi="Calibri"/>
          <w:i/>
        </w:rPr>
      </w:pPr>
      <w:r w:rsidRPr="003D5591">
        <w:rPr>
          <w:rFonts w:ascii="Calibri" w:hAnsi="Calibri"/>
          <w:i/>
        </w:rPr>
        <w:lastRenderedPageBreak/>
        <w:t>makes rights, liberties and/or obligations unduly dependent upon non reviewable decisions</w:t>
      </w:r>
    </w:p>
    <w:p w14:paraId="056BA5ED" w14:textId="65AB10D1" w:rsidR="003D5591" w:rsidRPr="003D5591" w:rsidRDefault="003D5591" w:rsidP="003D5591">
      <w:pPr>
        <w:spacing w:after="0"/>
        <w:ind w:left="1276"/>
        <w:rPr>
          <w:rFonts w:ascii="Calibri" w:hAnsi="Calibri"/>
        </w:rPr>
      </w:pPr>
      <w:r w:rsidRPr="003D5591">
        <w:rPr>
          <w:rFonts w:ascii="Calibri" w:hAnsi="Calibri"/>
        </w:rPr>
        <w:t>The proposed settings do not make rights, liberties and/or obligations unduly dependent upon nonreviewable decisions.</w:t>
      </w:r>
    </w:p>
    <w:p w14:paraId="0DC935FD" w14:textId="77777777" w:rsidR="003D5591" w:rsidRPr="003D5591" w:rsidRDefault="003D5591" w:rsidP="003D5591">
      <w:pPr>
        <w:numPr>
          <w:ilvl w:val="0"/>
          <w:numId w:val="21"/>
        </w:numPr>
        <w:spacing w:after="0"/>
        <w:ind w:left="1276"/>
        <w:contextualSpacing/>
        <w:rPr>
          <w:rFonts w:ascii="Calibri" w:hAnsi="Calibri"/>
          <w:i/>
        </w:rPr>
      </w:pPr>
      <w:r w:rsidRPr="003D5591">
        <w:rPr>
          <w:rFonts w:ascii="Calibri" w:hAnsi="Calibri"/>
          <w:i/>
        </w:rPr>
        <w:t>contains matter which in the opinion of the Committee should properly be dealt with in an Act of the Legislative Assembly</w:t>
      </w:r>
    </w:p>
    <w:p w14:paraId="7B28E9EC" w14:textId="77777777" w:rsidR="003D5591" w:rsidRPr="003D5591" w:rsidRDefault="003D5591" w:rsidP="003D5591">
      <w:pPr>
        <w:spacing w:after="0"/>
        <w:ind w:left="1276"/>
        <w:rPr>
          <w:rFonts w:ascii="Calibri" w:hAnsi="Calibri"/>
        </w:rPr>
      </w:pPr>
      <w:r w:rsidRPr="003D5591">
        <w:rPr>
          <w:rFonts w:ascii="Calibri" w:hAnsi="Calibri"/>
        </w:rPr>
        <w:t>The proposed settings do not require further amendments to an Act and the subject matter is appropriate for disallowable instruments.</w:t>
      </w:r>
    </w:p>
    <w:p w14:paraId="76F7520C" w14:textId="77777777" w:rsidR="00D02C3C" w:rsidRPr="006D0F97" w:rsidRDefault="00D02C3C" w:rsidP="00D02C3C">
      <w:pPr>
        <w:pStyle w:val="Heading1"/>
      </w:pPr>
      <w:bookmarkStart w:id="28" w:name="_Toc71201549"/>
      <w:bookmarkStart w:id="29" w:name="_Toc73519059"/>
      <w:bookmarkEnd w:id="25"/>
      <w:r>
        <w:t>Conclusion</w:t>
      </w:r>
      <w:bookmarkEnd w:id="28"/>
      <w:bookmarkEnd w:id="29"/>
    </w:p>
    <w:p w14:paraId="797855B4" w14:textId="187CE443" w:rsidR="00224FBA" w:rsidRDefault="00224FBA" w:rsidP="00224FBA">
      <w:pPr>
        <w:pStyle w:val="NoSpacing"/>
      </w:pPr>
    </w:p>
    <w:p w14:paraId="637A7D69" w14:textId="476031E2" w:rsidR="00D6657E" w:rsidRDefault="00D6657E" w:rsidP="00D6657E">
      <w:r w:rsidRPr="00005844">
        <w:t xml:space="preserve">This Regulatory Impact Statement </w:t>
      </w:r>
      <w:r>
        <w:t>was</w:t>
      </w:r>
      <w:r w:rsidRPr="00005844">
        <w:t xml:space="preserve"> prepared in accordance with </w:t>
      </w:r>
      <w:r>
        <w:t>Part</w:t>
      </w:r>
      <w:r w:rsidRPr="00005844">
        <w:t xml:space="preserve"> 5</w:t>
      </w:r>
      <w:r>
        <w:t>.2</w:t>
      </w:r>
      <w:r w:rsidRPr="00005844">
        <w:t xml:space="preserve"> of the </w:t>
      </w:r>
      <w:r w:rsidRPr="0078202B">
        <w:rPr>
          <w:i/>
          <w:iCs/>
        </w:rPr>
        <w:t>Legislation Act 2001</w:t>
      </w:r>
      <w:r>
        <w:t xml:space="preserve">, to consider the following </w:t>
      </w:r>
      <w:r w:rsidR="00473FDA">
        <w:t>S</w:t>
      </w:r>
      <w:r>
        <w:t xml:space="preserve">cheme parameters for the EEIS for the </w:t>
      </w:r>
      <w:r w:rsidRPr="001E2EDA">
        <w:t>202</w:t>
      </w:r>
      <w:r>
        <w:t>2 compliance period</w:t>
      </w:r>
      <w:r w:rsidRPr="001E2EDA">
        <w:t>:</w:t>
      </w:r>
    </w:p>
    <w:p w14:paraId="6D2A1C6E" w14:textId="065D765E" w:rsidR="00D6657E" w:rsidRPr="007B3D25" w:rsidRDefault="00D6657E" w:rsidP="00D6657E">
      <w:pPr>
        <w:pStyle w:val="ListParagraph"/>
        <w:numPr>
          <w:ilvl w:val="0"/>
          <w:numId w:val="5"/>
        </w:numPr>
      </w:pPr>
      <w:r w:rsidRPr="007B3D25">
        <w:t xml:space="preserve">Energy Savings Target at </w:t>
      </w:r>
      <w:r w:rsidR="006B5988" w:rsidRPr="007B3D25">
        <w:t>12</w:t>
      </w:r>
      <w:r w:rsidRPr="007B3D25">
        <w:t>.5</w:t>
      </w:r>
      <w:r w:rsidR="00473FDA">
        <w:t>%</w:t>
      </w:r>
      <w:r w:rsidR="00AD342D" w:rsidRPr="007B3D25">
        <w:t xml:space="preserve"> </w:t>
      </w:r>
    </w:p>
    <w:p w14:paraId="03918866" w14:textId="0D1187D6" w:rsidR="00D6657E" w:rsidRPr="007B3D25" w:rsidRDefault="00D6657E" w:rsidP="00D6657E">
      <w:pPr>
        <w:pStyle w:val="ListParagraph"/>
        <w:numPr>
          <w:ilvl w:val="0"/>
          <w:numId w:val="5"/>
        </w:numPr>
      </w:pPr>
      <w:r w:rsidRPr="007B3D25">
        <w:t>Energy Savings Contribution at $</w:t>
      </w:r>
      <w:r w:rsidR="006B5988" w:rsidRPr="007B3D25">
        <w:t>32</w:t>
      </w:r>
      <w:r w:rsidRPr="007B3D25">
        <w:t>/MWh, and</w:t>
      </w:r>
    </w:p>
    <w:p w14:paraId="012A5BD8" w14:textId="5DEB4001" w:rsidR="00D6657E" w:rsidRPr="007B3D25" w:rsidRDefault="00D6657E" w:rsidP="00D6657E">
      <w:pPr>
        <w:pStyle w:val="ListParagraph"/>
        <w:numPr>
          <w:ilvl w:val="0"/>
          <w:numId w:val="5"/>
        </w:numPr>
      </w:pPr>
      <w:r w:rsidRPr="007B3D25">
        <w:t>Shortfall Penalty at $</w:t>
      </w:r>
      <w:r w:rsidR="006B5988" w:rsidRPr="007B3D25">
        <w:t>83</w:t>
      </w:r>
      <w:r w:rsidRPr="007B3D25">
        <w:t>/MWh.</w:t>
      </w:r>
    </w:p>
    <w:p w14:paraId="2FAE00A1" w14:textId="77777777" w:rsidR="008E0B5F" w:rsidRDefault="008E0B5F" w:rsidP="008E0B5F">
      <w:pPr>
        <w:spacing w:after="0"/>
      </w:pPr>
    </w:p>
    <w:p w14:paraId="502230AF" w14:textId="12388D3B" w:rsidR="00D6657E" w:rsidRDefault="00D6657E" w:rsidP="00D6657E">
      <w:r>
        <w:t xml:space="preserve">These parameters are consistent with the objectives of the </w:t>
      </w:r>
      <w:r w:rsidRPr="00911C78">
        <w:rPr>
          <w:i/>
        </w:rPr>
        <w:t>Energy Efficiency (Cost of Living) Improvement Act 2012</w:t>
      </w:r>
      <w:r>
        <w:t xml:space="preserve"> and will </w:t>
      </w:r>
      <w:bookmarkStart w:id="30" w:name="_Hlk72955324"/>
      <w:r w:rsidR="006B5988">
        <w:t xml:space="preserve">adjust for the impacts of the transition to an energy metric, thereby ensuring that the </w:t>
      </w:r>
      <w:r w:rsidR="00EE3DD1">
        <w:t>S</w:t>
      </w:r>
      <w:r w:rsidR="006B5988">
        <w:t>cheme remains fit-for-purpose</w:t>
      </w:r>
      <w:r w:rsidR="00981470">
        <w:t>.</w:t>
      </w:r>
      <w:bookmarkEnd w:id="30"/>
    </w:p>
    <w:p w14:paraId="0A4D9A36" w14:textId="77777777" w:rsidR="00224FBA" w:rsidRDefault="00224FBA" w:rsidP="00224FBA">
      <w:pPr>
        <w:pStyle w:val="NoSpacing"/>
      </w:pPr>
    </w:p>
    <w:sectPr w:rsidR="00224FB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9A3BC" w14:textId="77777777" w:rsidR="008A575D" w:rsidRDefault="008A575D" w:rsidP="005E15AF">
      <w:pPr>
        <w:spacing w:after="0" w:line="240" w:lineRule="auto"/>
      </w:pPr>
      <w:r>
        <w:separator/>
      </w:r>
    </w:p>
  </w:endnote>
  <w:endnote w:type="continuationSeparator" w:id="0">
    <w:p w14:paraId="136CE03E" w14:textId="77777777" w:rsidR="008A575D" w:rsidRDefault="008A575D" w:rsidP="005E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89039" w14:textId="77777777" w:rsidR="00BE01C5" w:rsidRDefault="00BE0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1421F" w14:textId="5C0554E9" w:rsidR="00BE01C5" w:rsidRPr="00BE01C5" w:rsidRDefault="00BE01C5" w:rsidP="00BE01C5">
    <w:pPr>
      <w:pStyle w:val="Footer"/>
      <w:jc w:val="center"/>
      <w:rPr>
        <w:rFonts w:ascii="Arial" w:hAnsi="Arial" w:cs="Arial"/>
        <w:sz w:val="14"/>
      </w:rPr>
    </w:pPr>
    <w:r w:rsidRPr="00BE01C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5F57" w14:textId="77777777" w:rsidR="00BE01C5" w:rsidRDefault="00BE0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AFAA7" w14:textId="77777777" w:rsidR="008A575D" w:rsidRDefault="008A575D" w:rsidP="005E15AF">
      <w:pPr>
        <w:spacing w:after="0" w:line="240" w:lineRule="auto"/>
      </w:pPr>
      <w:r>
        <w:separator/>
      </w:r>
    </w:p>
  </w:footnote>
  <w:footnote w:type="continuationSeparator" w:id="0">
    <w:p w14:paraId="606CFB17" w14:textId="77777777" w:rsidR="008A575D" w:rsidRDefault="008A575D" w:rsidP="005E15AF">
      <w:pPr>
        <w:spacing w:after="0" w:line="240" w:lineRule="auto"/>
      </w:pPr>
      <w:r>
        <w:continuationSeparator/>
      </w:r>
    </w:p>
  </w:footnote>
  <w:footnote w:id="1">
    <w:p w14:paraId="7122139D" w14:textId="58126718" w:rsidR="002D76FE" w:rsidRPr="00E1429A" w:rsidRDefault="002D76FE">
      <w:pPr>
        <w:pStyle w:val="FootnoteText"/>
        <w:rPr>
          <w:sz w:val="16"/>
          <w:szCs w:val="16"/>
        </w:rPr>
      </w:pPr>
      <w:r w:rsidRPr="00E1429A">
        <w:rPr>
          <w:rStyle w:val="FootnoteReference"/>
          <w:sz w:val="16"/>
          <w:szCs w:val="16"/>
        </w:rPr>
        <w:footnoteRef/>
      </w:r>
      <w:r w:rsidRPr="00E1429A">
        <w:rPr>
          <w:sz w:val="16"/>
          <w:szCs w:val="16"/>
        </w:rPr>
        <w:t xml:space="preserve"> Note that Object (d) is addressed through a separate disallowable instrument (</w:t>
      </w:r>
      <w:r w:rsidRPr="00E1429A">
        <w:rPr>
          <w:i/>
          <w:sz w:val="16"/>
          <w:szCs w:val="16"/>
        </w:rPr>
        <w:t>Energy Efficiency (Cost of Living) Improvement (Priority Household Target) Determination 2021</w:t>
      </w:r>
      <w:r w:rsidRPr="00E1429A">
        <w:rPr>
          <w:iCs/>
          <w:sz w:val="16"/>
          <w:szCs w:val="16"/>
        </w:rPr>
        <w:t xml:space="preserve"> and regulatory impact statement.</w:t>
      </w:r>
    </w:p>
  </w:footnote>
  <w:footnote w:id="2">
    <w:p w14:paraId="4C799DDB" w14:textId="0A374921" w:rsidR="002D76FE" w:rsidRPr="00E1429A" w:rsidRDefault="002D76FE" w:rsidP="00457F5A">
      <w:pPr>
        <w:pStyle w:val="FootnoteText"/>
        <w:rPr>
          <w:sz w:val="16"/>
          <w:szCs w:val="16"/>
        </w:rPr>
      </w:pPr>
      <w:r w:rsidRPr="00E1429A">
        <w:rPr>
          <w:rStyle w:val="FootnoteReference"/>
          <w:sz w:val="16"/>
          <w:szCs w:val="16"/>
        </w:rPr>
        <w:footnoteRef/>
      </w:r>
      <w:r w:rsidRPr="00E1429A">
        <w:rPr>
          <w:sz w:val="16"/>
          <w:szCs w:val="16"/>
        </w:rPr>
        <w:t xml:space="preserve"> </w:t>
      </w:r>
      <w:r w:rsidR="00A50B74">
        <w:rPr>
          <w:sz w:val="16"/>
          <w:szCs w:val="16"/>
        </w:rPr>
        <w:t xml:space="preserve">Source: </w:t>
      </w:r>
      <w:hyperlink r:id="rId1" w:history="1">
        <w:r w:rsidR="00A50B74" w:rsidRPr="00A50B74">
          <w:rPr>
            <w:rStyle w:val="Hyperlink"/>
            <w:sz w:val="16"/>
            <w:szCs w:val="16"/>
          </w:rPr>
          <w:t>https://www.environment.act.gov.au/__data/assets/pdf_file/0003/1414641/ACT-Climate-Change-Strategy-2019-2025.pdf/_recache</w:t>
        </w:r>
      </w:hyperlink>
      <w:r w:rsidRPr="00E1429A">
        <w:rPr>
          <w:sz w:val="16"/>
          <w:szCs w:val="16"/>
        </w:rPr>
        <w:t xml:space="preserve"> </w:t>
      </w:r>
    </w:p>
  </w:footnote>
  <w:footnote w:id="3">
    <w:p w14:paraId="70A9AD0D" w14:textId="1411739E" w:rsidR="002D76FE" w:rsidRPr="00E1429A" w:rsidRDefault="002D76FE" w:rsidP="00457F5A">
      <w:pPr>
        <w:pStyle w:val="FootnoteText"/>
        <w:rPr>
          <w:sz w:val="16"/>
          <w:szCs w:val="16"/>
        </w:rPr>
      </w:pPr>
      <w:r w:rsidRPr="00E1429A">
        <w:rPr>
          <w:rStyle w:val="FootnoteReference"/>
          <w:sz w:val="16"/>
          <w:szCs w:val="16"/>
        </w:rPr>
        <w:footnoteRef/>
      </w:r>
      <w:r w:rsidRPr="00E1429A">
        <w:rPr>
          <w:sz w:val="16"/>
          <w:szCs w:val="16"/>
        </w:rPr>
        <w:t xml:space="preserve"> </w:t>
      </w:r>
      <w:r w:rsidR="00A50B74">
        <w:rPr>
          <w:sz w:val="16"/>
          <w:szCs w:val="16"/>
        </w:rPr>
        <w:t xml:space="preserve">Source: </w:t>
      </w:r>
      <w:hyperlink r:id="rId2" w:history="1">
        <w:r w:rsidR="00A50B74" w:rsidRPr="00A50B74">
          <w:rPr>
            <w:rStyle w:val="Hyperlink"/>
            <w:sz w:val="16"/>
            <w:szCs w:val="16"/>
          </w:rPr>
          <w:t>https://www.cmtedd.act.gov.au/__data/assets/pdf_file/0003/1654077/Parliamentary-Agreement-for-the-10th-Legislative-Assembly.pdf</w:t>
        </w:r>
      </w:hyperlink>
      <w:r w:rsidRPr="00E1429A">
        <w:rPr>
          <w:sz w:val="16"/>
          <w:szCs w:val="16"/>
        </w:rPr>
        <w:t xml:space="preserve"> </w:t>
      </w:r>
    </w:p>
  </w:footnote>
  <w:footnote w:id="4">
    <w:p w14:paraId="1EF2CD6B" w14:textId="6D26B602" w:rsidR="002D76FE" w:rsidRPr="00E1429A" w:rsidRDefault="002D76FE" w:rsidP="00252B35">
      <w:pPr>
        <w:pStyle w:val="FootnoteText"/>
        <w:rPr>
          <w:sz w:val="16"/>
          <w:szCs w:val="16"/>
        </w:rPr>
      </w:pPr>
      <w:r w:rsidRPr="00E1429A">
        <w:rPr>
          <w:rStyle w:val="FootnoteReference"/>
          <w:sz w:val="16"/>
          <w:szCs w:val="16"/>
        </w:rPr>
        <w:footnoteRef/>
      </w:r>
      <w:r w:rsidRPr="00E1429A">
        <w:rPr>
          <w:sz w:val="16"/>
          <w:szCs w:val="16"/>
        </w:rPr>
        <w:t xml:space="preserve"> </w:t>
      </w:r>
      <w:r w:rsidR="00473FDA">
        <w:rPr>
          <w:sz w:val="16"/>
          <w:szCs w:val="16"/>
        </w:rPr>
        <w:t xml:space="preserve">Source: </w:t>
      </w:r>
      <w:hyperlink r:id="rId3" w:history="1">
        <w:r w:rsidR="00473FDA" w:rsidRPr="00473FDA">
          <w:rPr>
            <w:rStyle w:val="Hyperlink"/>
            <w:sz w:val="16"/>
            <w:szCs w:val="16"/>
          </w:rPr>
          <w:t>http://www.pointadvisory.com/</w:t>
        </w:r>
      </w:hyperlink>
    </w:p>
  </w:footnote>
  <w:footnote w:id="5">
    <w:p w14:paraId="63BF39EA" w14:textId="0413F0C1" w:rsidR="002D76FE" w:rsidRDefault="002D76FE" w:rsidP="00252B35">
      <w:pPr>
        <w:pStyle w:val="FootnoteText"/>
      </w:pPr>
      <w:r w:rsidRPr="00E1429A">
        <w:rPr>
          <w:rStyle w:val="FootnoteReference"/>
          <w:sz w:val="16"/>
          <w:szCs w:val="16"/>
        </w:rPr>
        <w:footnoteRef/>
      </w:r>
      <w:r w:rsidRPr="00E1429A">
        <w:rPr>
          <w:sz w:val="16"/>
          <w:szCs w:val="16"/>
        </w:rPr>
        <w:t xml:space="preserve"> </w:t>
      </w:r>
      <w:r w:rsidR="00473FDA">
        <w:rPr>
          <w:sz w:val="16"/>
          <w:szCs w:val="16"/>
        </w:rPr>
        <w:t xml:space="preserve">Source: </w:t>
      </w:r>
      <w:hyperlink r:id="rId4" w:history="1">
        <w:r w:rsidR="00473FDA" w:rsidRPr="00473FDA">
          <w:rPr>
            <w:rStyle w:val="Hyperlink"/>
            <w:sz w:val="16"/>
            <w:szCs w:val="16"/>
          </w:rPr>
          <w:t>https://www.environment.act.gov.au/__data/assets/pdf_file/0020/1221527/EEIS-Review-Part-1-Executive-Summary-ACCESSIBLE.pdf</w:t>
        </w:r>
      </w:hyperlink>
    </w:p>
  </w:footnote>
  <w:footnote w:id="6">
    <w:p w14:paraId="2CDB816F" w14:textId="57BEAD74" w:rsidR="002D76FE" w:rsidRPr="00AA7C9A" w:rsidRDefault="002D76FE">
      <w:pPr>
        <w:pStyle w:val="FootnoteText"/>
        <w:rPr>
          <w:sz w:val="16"/>
          <w:szCs w:val="16"/>
        </w:rPr>
      </w:pPr>
      <w:r w:rsidRPr="00AA7C9A">
        <w:rPr>
          <w:rStyle w:val="FootnoteReference"/>
          <w:sz w:val="16"/>
          <w:szCs w:val="16"/>
        </w:rPr>
        <w:footnoteRef/>
      </w:r>
      <w:r w:rsidRPr="00AA7C9A">
        <w:rPr>
          <w:sz w:val="16"/>
          <w:szCs w:val="16"/>
        </w:rPr>
        <w:t xml:space="preserve"> As per the 2019-20 Environment, Planning and Sustainable Development Directorate Annual Report, available at </w:t>
      </w:r>
      <w:hyperlink r:id="rId5" w:history="1">
        <w:r w:rsidRPr="00AA7C9A">
          <w:rPr>
            <w:rStyle w:val="Hyperlink"/>
            <w:sz w:val="16"/>
            <w:szCs w:val="16"/>
          </w:rPr>
          <w:t>https://www.planning.act.gov.au/about-us/annual-reports</w:t>
        </w:r>
      </w:hyperlink>
      <w:r>
        <w:rPr>
          <w:sz w:val="16"/>
          <w:szCs w:val="16"/>
        </w:rPr>
        <w:t xml:space="preserve"> </w:t>
      </w:r>
    </w:p>
  </w:footnote>
  <w:footnote w:id="7">
    <w:p w14:paraId="3661CB66" w14:textId="24EB1D3E" w:rsidR="002D76FE" w:rsidRPr="00FA2234" w:rsidRDefault="002D76FE" w:rsidP="00FA2234">
      <w:pPr>
        <w:pStyle w:val="FootnoteText"/>
        <w:rPr>
          <w:sz w:val="16"/>
          <w:szCs w:val="16"/>
        </w:rPr>
      </w:pPr>
      <w:r w:rsidRPr="00FA2234">
        <w:rPr>
          <w:rStyle w:val="FootnoteReference"/>
          <w:sz w:val="16"/>
          <w:szCs w:val="16"/>
        </w:rPr>
        <w:footnoteRef/>
      </w:r>
      <w:r w:rsidRPr="00FA2234">
        <w:rPr>
          <w:sz w:val="16"/>
          <w:szCs w:val="16"/>
        </w:rPr>
        <w:t xml:space="preserve"> </w:t>
      </w:r>
      <w:r w:rsidR="009E4F9F">
        <w:rPr>
          <w:sz w:val="16"/>
          <w:szCs w:val="16"/>
        </w:rPr>
        <w:t xml:space="preserve">Source: </w:t>
      </w:r>
      <w:hyperlink r:id="rId6" w:history="1">
        <w:r w:rsidR="009E4F9F" w:rsidRPr="009E4F9F">
          <w:rPr>
            <w:rStyle w:val="Hyperlink"/>
            <w:sz w:val="16"/>
            <w:szCs w:val="16"/>
          </w:rPr>
          <w:t>https://www.icrc.act.gov.au/energy/electricity</w:t>
        </w:r>
      </w:hyperlink>
    </w:p>
  </w:footnote>
  <w:footnote w:id="8">
    <w:p w14:paraId="60C4DCB9" w14:textId="77777777" w:rsidR="002D76FE" w:rsidRPr="00FA2234" w:rsidRDefault="002D76FE" w:rsidP="00FA2234">
      <w:pPr>
        <w:pStyle w:val="FootnoteText"/>
        <w:rPr>
          <w:sz w:val="16"/>
          <w:szCs w:val="16"/>
        </w:rPr>
      </w:pPr>
      <w:r w:rsidRPr="00FA2234">
        <w:rPr>
          <w:rStyle w:val="FootnoteReference"/>
          <w:sz w:val="16"/>
          <w:szCs w:val="16"/>
        </w:rPr>
        <w:footnoteRef/>
      </w:r>
      <w:r w:rsidRPr="00FA2234">
        <w:rPr>
          <w:sz w:val="16"/>
          <w:szCs w:val="16"/>
        </w:rPr>
        <w:t xml:space="preserve"> ICRC, 2019. </w:t>
      </w:r>
      <w:r w:rsidRPr="00FA2234">
        <w:rPr>
          <w:i/>
          <w:sz w:val="16"/>
          <w:szCs w:val="16"/>
        </w:rPr>
        <w:t>Electricity Model and Methodology Review 2018-19</w:t>
      </w:r>
      <w:r w:rsidRPr="00FA2234">
        <w:rPr>
          <w:sz w:val="16"/>
          <w:szCs w:val="16"/>
        </w:rPr>
        <w:t xml:space="preserve">, available at </w:t>
      </w:r>
      <w:hyperlink r:id="rId7" w:history="1">
        <w:r w:rsidRPr="00FA2234">
          <w:rPr>
            <w:rStyle w:val="Hyperlink"/>
            <w:sz w:val="16"/>
            <w:szCs w:val="16"/>
          </w:rPr>
          <w:t>https://www.icrc.act.gov.au/__data/assets/pdf_file/0011/1369190/Report-5-of-2019-Electricity-Model-and-Methodology-Review-Final-Report.pdf</w:t>
        </w:r>
      </w:hyperlink>
      <w:r w:rsidRPr="00FA2234">
        <w:rPr>
          <w:sz w:val="16"/>
          <w:szCs w:val="16"/>
        </w:rPr>
        <w:t xml:space="preserve">, pp.33-34. </w:t>
      </w:r>
    </w:p>
  </w:footnote>
  <w:footnote w:id="9">
    <w:p w14:paraId="7B5488C9" w14:textId="77777777" w:rsidR="002D76FE" w:rsidRPr="009E4777" w:rsidRDefault="002D76FE" w:rsidP="00FA2234">
      <w:pPr>
        <w:pStyle w:val="FootnoteText"/>
      </w:pPr>
      <w:r w:rsidRPr="00FA2234">
        <w:rPr>
          <w:rStyle w:val="FootnoteReference"/>
          <w:sz w:val="16"/>
          <w:szCs w:val="16"/>
        </w:rPr>
        <w:footnoteRef/>
      </w:r>
      <w:r w:rsidRPr="00FA2234">
        <w:rPr>
          <w:sz w:val="16"/>
          <w:szCs w:val="16"/>
        </w:rPr>
        <w:t xml:space="preserve"> ICRC, 2019. </w:t>
      </w:r>
      <w:r w:rsidRPr="00FA2234">
        <w:rPr>
          <w:i/>
          <w:sz w:val="16"/>
          <w:szCs w:val="16"/>
        </w:rPr>
        <w:t>Final decision: Retail electricity price recalibration 2019-20.</w:t>
      </w:r>
      <w:r w:rsidRPr="00FA2234">
        <w:rPr>
          <w:sz w:val="16"/>
          <w:szCs w:val="16"/>
        </w:rPr>
        <w:t xml:space="preserve"> Available at </w:t>
      </w:r>
      <w:hyperlink r:id="rId8" w:history="1">
        <w:r w:rsidRPr="00FA2234">
          <w:rPr>
            <w:rStyle w:val="Hyperlink"/>
            <w:sz w:val="16"/>
            <w:szCs w:val="16"/>
          </w:rPr>
          <w:t>https://www.icrc.act.gov.au/__data/assets/pdf_file/0003/1372773/Report-6-of-2019-Electricity-Price-Reset-2019-20.pdf</w:t>
        </w:r>
      </w:hyperlink>
      <w:r w:rsidRPr="00FA2234">
        <w:rPr>
          <w:sz w:val="16"/>
          <w:szCs w:val="16"/>
        </w:rPr>
        <w:t>. Pp. 28-29.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6C1EB" w14:textId="77777777" w:rsidR="00BE01C5" w:rsidRDefault="00BE0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920D7" w14:textId="77777777" w:rsidR="00BE01C5" w:rsidRDefault="00BE0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86C2" w14:textId="77777777" w:rsidR="00BE01C5" w:rsidRDefault="00BE0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85EAE"/>
    <w:multiLevelType w:val="hybridMultilevel"/>
    <w:tmpl w:val="FE54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4689A"/>
    <w:multiLevelType w:val="hybridMultilevel"/>
    <w:tmpl w:val="3A1A4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55DD2"/>
    <w:multiLevelType w:val="hybridMultilevel"/>
    <w:tmpl w:val="3612AB04"/>
    <w:lvl w:ilvl="0" w:tplc="AC6AEB9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6B5DD6"/>
    <w:multiLevelType w:val="hybridMultilevel"/>
    <w:tmpl w:val="BFFE1C7E"/>
    <w:lvl w:ilvl="0" w:tplc="B4C0A85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77F5F97"/>
    <w:multiLevelType w:val="hybridMultilevel"/>
    <w:tmpl w:val="BFD4A442"/>
    <w:lvl w:ilvl="0" w:tplc="7480BADA">
      <w:start w:val="1"/>
      <w:numFmt w:val="lowerLetter"/>
      <w:lvlText w:val="(%1)"/>
      <w:lvlJc w:val="left"/>
      <w:pPr>
        <w:ind w:left="1980" w:hanging="360"/>
      </w:pPr>
      <w:rPr>
        <w:rFonts w:cs="Times New Roman" w:hint="default"/>
      </w:rPr>
    </w:lvl>
    <w:lvl w:ilvl="1" w:tplc="0C090019" w:tentative="1">
      <w:start w:val="1"/>
      <w:numFmt w:val="lowerLetter"/>
      <w:lvlText w:val="%2."/>
      <w:lvlJc w:val="left"/>
      <w:pPr>
        <w:ind w:left="2700" w:hanging="360"/>
      </w:pPr>
      <w:rPr>
        <w:rFonts w:cs="Times New Roman"/>
      </w:rPr>
    </w:lvl>
    <w:lvl w:ilvl="2" w:tplc="0C09001B" w:tentative="1">
      <w:start w:val="1"/>
      <w:numFmt w:val="lowerRoman"/>
      <w:lvlText w:val="%3."/>
      <w:lvlJc w:val="right"/>
      <w:pPr>
        <w:ind w:left="3420" w:hanging="180"/>
      </w:pPr>
      <w:rPr>
        <w:rFonts w:cs="Times New Roman"/>
      </w:rPr>
    </w:lvl>
    <w:lvl w:ilvl="3" w:tplc="0C09000F" w:tentative="1">
      <w:start w:val="1"/>
      <w:numFmt w:val="decimal"/>
      <w:lvlText w:val="%4."/>
      <w:lvlJc w:val="left"/>
      <w:pPr>
        <w:ind w:left="4140" w:hanging="360"/>
      </w:pPr>
      <w:rPr>
        <w:rFonts w:cs="Times New Roman"/>
      </w:rPr>
    </w:lvl>
    <w:lvl w:ilvl="4" w:tplc="0C090019" w:tentative="1">
      <w:start w:val="1"/>
      <w:numFmt w:val="lowerLetter"/>
      <w:lvlText w:val="%5."/>
      <w:lvlJc w:val="left"/>
      <w:pPr>
        <w:ind w:left="4860" w:hanging="360"/>
      </w:pPr>
      <w:rPr>
        <w:rFonts w:cs="Times New Roman"/>
      </w:rPr>
    </w:lvl>
    <w:lvl w:ilvl="5" w:tplc="0C09001B" w:tentative="1">
      <w:start w:val="1"/>
      <w:numFmt w:val="lowerRoman"/>
      <w:lvlText w:val="%6."/>
      <w:lvlJc w:val="right"/>
      <w:pPr>
        <w:ind w:left="5580" w:hanging="180"/>
      </w:pPr>
      <w:rPr>
        <w:rFonts w:cs="Times New Roman"/>
      </w:rPr>
    </w:lvl>
    <w:lvl w:ilvl="6" w:tplc="0C09000F" w:tentative="1">
      <w:start w:val="1"/>
      <w:numFmt w:val="decimal"/>
      <w:lvlText w:val="%7."/>
      <w:lvlJc w:val="left"/>
      <w:pPr>
        <w:ind w:left="6300" w:hanging="360"/>
      </w:pPr>
      <w:rPr>
        <w:rFonts w:cs="Times New Roman"/>
      </w:rPr>
    </w:lvl>
    <w:lvl w:ilvl="7" w:tplc="0C090019" w:tentative="1">
      <w:start w:val="1"/>
      <w:numFmt w:val="lowerLetter"/>
      <w:lvlText w:val="%8."/>
      <w:lvlJc w:val="left"/>
      <w:pPr>
        <w:ind w:left="7020" w:hanging="360"/>
      </w:pPr>
      <w:rPr>
        <w:rFonts w:cs="Times New Roman"/>
      </w:rPr>
    </w:lvl>
    <w:lvl w:ilvl="8" w:tplc="0C09001B" w:tentative="1">
      <w:start w:val="1"/>
      <w:numFmt w:val="lowerRoman"/>
      <w:lvlText w:val="%9."/>
      <w:lvlJc w:val="right"/>
      <w:pPr>
        <w:ind w:left="7740" w:hanging="180"/>
      </w:pPr>
      <w:rPr>
        <w:rFonts w:cs="Times New Roman"/>
      </w:rPr>
    </w:lvl>
  </w:abstractNum>
  <w:abstractNum w:abstractNumId="5" w15:restartNumberingAfterBreak="0">
    <w:nsid w:val="2DA83C84"/>
    <w:multiLevelType w:val="hybridMultilevel"/>
    <w:tmpl w:val="22081270"/>
    <w:lvl w:ilvl="0" w:tplc="5212F942">
      <w:start w:val="1"/>
      <w:numFmt w:val="lowerRoman"/>
      <w:lvlText w:val="%1."/>
      <w:lvlJc w:val="left"/>
      <w:pPr>
        <w:ind w:left="2700" w:hanging="720"/>
      </w:pPr>
      <w:rPr>
        <w:rFonts w:cs="Times New Roman" w:hint="default"/>
      </w:rPr>
    </w:lvl>
    <w:lvl w:ilvl="1" w:tplc="0C090019" w:tentative="1">
      <w:start w:val="1"/>
      <w:numFmt w:val="lowerLetter"/>
      <w:lvlText w:val="%2."/>
      <w:lvlJc w:val="left"/>
      <w:pPr>
        <w:ind w:left="3060" w:hanging="360"/>
      </w:pPr>
      <w:rPr>
        <w:rFonts w:cs="Times New Roman"/>
      </w:rPr>
    </w:lvl>
    <w:lvl w:ilvl="2" w:tplc="0C09001B" w:tentative="1">
      <w:start w:val="1"/>
      <w:numFmt w:val="lowerRoman"/>
      <w:lvlText w:val="%3."/>
      <w:lvlJc w:val="right"/>
      <w:pPr>
        <w:ind w:left="3780" w:hanging="180"/>
      </w:pPr>
      <w:rPr>
        <w:rFonts w:cs="Times New Roman"/>
      </w:rPr>
    </w:lvl>
    <w:lvl w:ilvl="3" w:tplc="0C09000F" w:tentative="1">
      <w:start w:val="1"/>
      <w:numFmt w:val="decimal"/>
      <w:lvlText w:val="%4."/>
      <w:lvlJc w:val="left"/>
      <w:pPr>
        <w:ind w:left="4500" w:hanging="360"/>
      </w:pPr>
      <w:rPr>
        <w:rFonts w:cs="Times New Roman"/>
      </w:rPr>
    </w:lvl>
    <w:lvl w:ilvl="4" w:tplc="0C090019" w:tentative="1">
      <w:start w:val="1"/>
      <w:numFmt w:val="lowerLetter"/>
      <w:lvlText w:val="%5."/>
      <w:lvlJc w:val="left"/>
      <w:pPr>
        <w:ind w:left="5220" w:hanging="360"/>
      </w:pPr>
      <w:rPr>
        <w:rFonts w:cs="Times New Roman"/>
      </w:rPr>
    </w:lvl>
    <w:lvl w:ilvl="5" w:tplc="0C09001B" w:tentative="1">
      <w:start w:val="1"/>
      <w:numFmt w:val="lowerRoman"/>
      <w:lvlText w:val="%6."/>
      <w:lvlJc w:val="right"/>
      <w:pPr>
        <w:ind w:left="5940" w:hanging="180"/>
      </w:pPr>
      <w:rPr>
        <w:rFonts w:cs="Times New Roman"/>
      </w:rPr>
    </w:lvl>
    <w:lvl w:ilvl="6" w:tplc="0C09000F" w:tentative="1">
      <w:start w:val="1"/>
      <w:numFmt w:val="decimal"/>
      <w:lvlText w:val="%7."/>
      <w:lvlJc w:val="left"/>
      <w:pPr>
        <w:ind w:left="6660" w:hanging="360"/>
      </w:pPr>
      <w:rPr>
        <w:rFonts w:cs="Times New Roman"/>
      </w:rPr>
    </w:lvl>
    <w:lvl w:ilvl="7" w:tplc="0C090019" w:tentative="1">
      <w:start w:val="1"/>
      <w:numFmt w:val="lowerLetter"/>
      <w:lvlText w:val="%8."/>
      <w:lvlJc w:val="left"/>
      <w:pPr>
        <w:ind w:left="7380" w:hanging="360"/>
      </w:pPr>
      <w:rPr>
        <w:rFonts w:cs="Times New Roman"/>
      </w:rPr>
    </w:lvl>
    <w:lvl w:ilvl="8" w:tplc="0C09001B" w:tentative="1">
      <w:start w:val="1"/>
      <w:numFmt w:val="lowerRoman"/>
      <w:lvlText w:val="%9."/>
      <w:lvlJc w:val="right"/>
      <w:pPr>
        <w:ind w:left="8100" w:hanging="180"/>
      </w:pPr>
      <w:rPr>
        <w:rFonts w:cs="Times New Roman"/>
      </w:rPr>
    </w:lvl>
  </w:abstractNum>
  <w:abstractNum w:abstractNumId="6" w15:restartNumberingAfterBreak="0">
    <w:nsid w:val="335872B8"/>
    <w:multiLevelType w:val="hybridMultilevel"/>
    <w:tmpl w:val="FB2454EC"/>
    <w:lvl w:ilvl="0" w:tplc="3A1A6852">
      <w:start w:val="1"/>
      <w:numFmt w:val="decimal"/>
      <w:lvlText w:val="%1."/>
      <w:lvlJc w:val="left"/>
      <w:pPr>
        <w:ind w:left="720" w:hanging="360"/>
      </w:pPr>
      <w:rPr>
        <w:b w:val="0"/>
        <w:bCs/>
        <w:color w:val="auto"/>
        <w:sz w:val="24"/>
        <w:szCs w:val="24"/>
      </w:rPr>
    </w:lvl>
    <w:lvl w:ilvl="1" w:tplc="24DC7F0C">
      <w:start w:val="1"/>
      <w:numFmt w:val="lowerLetter"/>
      <w:lvlText w:val="%2."/>
      <w:lvlJc w:val="left"/>
      <w:pPr>
        <w:ind w:left="1440" w:hanging="360"/>
      </w:pPr>
      <w:rPr>
        <w:rFonts w:asciiTheme="minorHAnsi" w:hAnsiTheme="minorHAnsi" w:cstheme="minorHAns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7E7ECA"/>
    <w:multiLevelType w:val="hybridMultilevel"/>
    <w:tmpl w:val="B7582D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D674BD"/>
    <w:multiLevelType w:val="hybridMultilevel"/>
    <w:tmpl w:val="A0AA04E2"/>
    <w:lvl w:ilvl="0" w:tplc="C214182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2E6DC2"/>
    <w:multiLevelType w:val="hybridMultilevel"/>
    <w:tmpl w:val="F04C3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15A41"/>
    <w:multiLevelType w:val="multilevel"/>
    <w:tmpl w:val="D06415C2"/>
    <w:lvl w:ilvl="0">
      <w:start w:val="2"/>
      <w:numFmt w:val="decimal"/>
      <w:pStyle w:val="Heading1"/>
      <w:lvlText w:val="%1."/>
      <w:lvlJc w:val="left"/>
      <w:pPr>
        <w:ind w:left="1080" w:hanging="360"/>
      </w:pPr>
      <w:rPr>
        <w:rFonts w:asciiTheme="majorHAnsi" w:hAnsiTheme="majorHAnsi" w:cstheme="majorHAnsi" w:hint="default"/>
        <w:b w:val="0"/>
        <w:bCs/>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6866EFA"/>
    <w:multiLevelType w:val="hybridMultilevel"/>
    <w:tmpl w:val="C0E45F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146CCF"/>
    <w:multiLevelType w:val="hybridMultilevel"/>
    <w:tmpl w:val="19FA026C"/>
    <w:lvl w:ilvl="0" w:tplc="1CF2E758">
      <w:start w:val="1"/>
      <w:numFmt w:val="decimal"/>
      <w:lvlText w:val="%1."/>
      <w:lvlJc w:val="left"/>
      <w:pPr>
        <w:ind w:left="360" w:hanging="360"/>
      </w:pPr>
      <w:rPr>
        <w:rFonts w:hint="default"/>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3" w15:restartNumberingAfterBreak="0">
    <w:nsid w:val="6C2179C8"/>
    <w:multiLevelType w:val="hybridMultilevel"/>
    <w:tmpl w:val="9B5A3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446868"/>
    <w:multiLevelType w:val="hybridMultilevel"/>
    <w:tmpl w:val="5A4CA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356BEA"/>
    <w:multiLevelType w:val="hybridMultilevel"/>
    <w:tmpl w:val="A360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1"/>
  </w:num>
  <w:num w:numId="5">
    <w:abstractNumId w:val="14"/>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4"/>
  </w:num>
  <w:num w:numId="21">
    <w:abstractNumId w:val="3"/>
  </w:num>
  <w:num w:numId="22">
    <w:abstractNumId w:val="10"/>
  </w:num>
  <w:num w:numId="23">
    <w:abstractNumId w:val="10"/>
  </w:num>
  <w:num w:numId="24">
    <w:abstractNumId w:val="10"/>
  </w:num>
  <w:num w:numId="25">
    <w:abstractNumId w:val="10"/>
  </w:num>
  <w:num w:numId="26">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num>
  <w:num w:numId="29">
    <w:abstractNumId w:val="10"/>
  </w:num>
  <w:num w:numId="30">
    <w:abstractNumId w:val="2"/>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BA"/>
    <w:rsid w:val="00001665"/>
    <w:rsid w:val="000026BB"/>
    <w:rsid w:val="000167B7"/>
    <w:rsid w:val="00033060"/>
    <w:rsid w:val="00041461"/>
    <w:rsid w:val="00052A7A"/>
    <w:rsid w:val="00053E31"/>
    <w:rsid w:val="00054895"/>
    <w:rsid w:val="00063F2A"/>
    <w:rsid w:val="00065E91"/>
    <w:rsid w:val="00066FB8"/>
    <w:rsid w:val="000850A1"/>
    <w:rsid w:val="0009230A"/>
    <w:rsid w:val="000D0104"/>
    <w:rsid w:val="000D5BE4"/>
    <w:rsid w:val="000D68C4"/>
    <w:rsid w:val="000E313B"/>
    <w:rsid w:val="001045DA"/>
    <w:rsid w:val="00137490"/>
    <w:rsid w:val="0017511C"/>
    <w:rsid w:val="00183ED7"/>
    <w:rsid w:val="001A46A2"/>
    <w:rsid w:val="001A7CF0"/>
    <w:rsid w:val="001D7452"/>
    <w:rsid w:val="002022DC"/>
    <w:rsid w:val="00206F1D"/>
    <w:rsid w:val="0021039F"/>
    <w:rsid w:val="00224FBA"/>
    <w:rsid w:val="00252B35"/>
    <w:rsid w:val="00257C48"/>
    <w:rsid w:val="00273D1D"/>
    <w:rsid w:val="00281278"/>
    <w:rsid w:val="00287DBB"/>
    <w:rsid w:val="00296581"/>
    <w:rsid w:val="002A1FF1"/>
    <w:rsid w:val="002A29EA"/>
    <w:rsid w:val="002B4499"/>
    <w:rsid w:val="002D5F7F"/>
    <w:rsid w:val="002D76FE"/>
    <w:rsid w:val="00301EE7"/>
    <w:rsid w:val="0030237A"/>
    <w:rsid w:val="00341659"/>
    <w:rsid w:val="00366D51"/>
    <w:rsid w:val="00370DC6"/>
    <w:rsid w:val="00387FFD"/>
    <w:rsid w:val="003A62CA"/>
    <w:rsid w:val="003B1652"/>
    <w:rsid w:val="003B49AC"/>
    <w:rsid w:val="003B4CEA"/>
    <w:rsid w:val="003B4E5D"/>
    <w:rsid w:val="003C073A"/>
    <w:rsid w:val="003C1BB4"/>
    <w:rsid w:val="003D5591"/>
    <w:rsid w:val="003D6954"/>
    <w:rsid w:val="003E31FE"/>
    <w:rsid w:val="003E3E86"/>
    <w:rsid w:val="004213D1"/>
    <w:rsid w:val="00450696"/>
    <w:rsid w:val="00457F5A"/>
    <w:rsid w:val="00465171"/>
    <w:rsid w:val="004669A4"/>
    <w:rsid w:val="00473FDA"/>
    <w:rsid w:val="00486060"/>
    <w:rsid w:val="004921EA"/>
    <w:rsid w:val="004D049A"/>
    <w:rsid w:val="004E632B"/>
    <w:rsid w:val="005043A1"/>
    <w:rsid w:val="00517C3B"/>
    <w:rsid w:val="00520DC2"/>
    <w:rsid w:val="00546604"/>
    <w:rsid w:val="005635C7"/>
    <w:rsid w:val="00565BA5"/>
    <w:rsid w:val="00572809"/>
    <w:rsid w:val="00590B60"/>
    <w:rsid w:val="005957B8"/>
    <w:rsid w:val="005A01D9"/>
    <w:rsid w:val="005B4312"/>
    <w:rsid w:val="005C5927"/>
    <w:rsid w:val="005D708B"/>
    <w:rsid w:val="005E15AF"/>
    <w:rsid w:val="00623396"/>
    <w:rsid w:val="006732D2"/>
    <w:rsid w:val="00684AAF"/>
    <w:rsid w:val="006A2C16"/>
    <w:rsid w:val="006B1DC6"/>
    <w:rsid w:val="006B5988"/>
    <w:rsid w:val="006C53BE"/>
    <w:rsid w:val="006C6C2C"/>
    <w:rsid w:val="006D160C"/>
    <w:rsid w:val="006F4567"/>
    <w:rsid w:val="00703F38"/>
    <w:rsid w:val="00723377"/>
    <w:rsid w:val="00745DC9"/>
    <w:rsid w:val="007548F2"/>
    <w:rsid w:val="007620FA"/>
    <w:rsid w:val="00781BB7"/>
    <w:rsid w:val="0078202B"/>
    <w:rsid w:val="00796FB5"/>
    <w:rsid w:val="007A4D29"/>
    <w:rsid w:val="007B3D25"/>
    <w:rsid w:val="007D73C7"/>
    <w:rsid w:val="007E3331"/>
    <w:rsid w:val="00822AB7"/>
    <w:rsid w:val="0082562E"/>
    <w:rsid w:val="00827A71"/>
    <w:rsid w:val="00832CF7"/>
    <w:rsid w:val="008A575D"/>
    <w:rsid w:val="008C77CF"/>
    <w:rsid w:val="008E0B5F"/>
    <w:rsid w:val="008F15C5"/>
    <w:rsid w:val="008F7F1E"/>
    <w:rsid w:val="009050DC"/>
    <w:rsid w:val="0091218C"/>
    <w:rsid w:val="009127C9"/>
    <w:rsid w:val="00924545"/>
    <w:rsid w:val="009347FF"/>
    <w:rsid w:val="0093791A"/>
    <w:rsid w:val="009539A2"/>
    <w:rsid w:val="0097226F"/>
    <w:rsid w:val="009740C7"/>
    <w:rsid w:val="00981470"/>
    <w:rsid w:val="00992CC5"/>
    <w:rsid w:val="009A370B"/>
    <w:rsid w:val="009B1483"/>
    <w:rsid w:val="009B40C7"/>
    <w:rsid w:val="009B5316"/>
    <w:rsid w:val="009B65C0"/>
    <w:rsid w:val="009C73FD"/>
    <w:rsid w:val="009E4F9F"/>
    <w:rsid w:val="00A1271C"/>
    <w:rsid w:val="00A26270"/>
    <w:rsid w:val="00A448B8"/>
    <w:rsid w:val="00A50B74"/>
    <w:rsid w:val="00A925E8"/>
    <w:rsid w:val="00AA7C9A"/>
    <w:rsid w:val="00AC1520"/>
    <w:rsid w:val="00AC543D"/>
    <w:rsid w:val="00AC773D"/>
    <w:rsid w:val="00AD342D"/>
    <w:rsid w:val="00AE795F"/>
    <w:rsid w:val="00AF1304"/>
    <w:rsid w:val="00AF2E9F"/>
    <w:rsid w:val="00B01FD8"/>
    <w:rsid w:val="00B16B88"/>
    <w:rsid w:val="00B64322"/>
    <w:rsid w:val="00B65F6C"/>
    <w:rsid w:val="00B84FA7"/>
    <w:rsid w:val="00B93BB1"/>
    <w:rsid w:val="00B949DB"/>
    <w:rsid w:val="00BB0BDD"/>
    <w:rsid w:val="00BE01C5"/>
    <w:rsid w:val="00BE56E1"/>
    <w:rsid w:val="00C07D06"/>
    <w:rsid w:val="00C156AE"/>
    <w:rsid w:val="00C23FEF"/>
    <w:rsid w:val="00C53842"/>
    <w:rsid w:val="00C55B4E"/>
    <w:rsid w:val="00C85A48"/>
    <w:rsid w:val="00C91041"/>
    <w:rsid w:val="00C922A8"/>
    <w:rsid w:val="00C97460"/>
    <w:rsid w:val="00CA121D"/>
    <w:rsid w:val="00CB40DC"/>
    <w:rsid w:val="00CC6C8C"/>
    <w:rsid w:val="00CE7D17"/>
    <w:rsid w:val="00D02C3C"/>
    <w:rsid w:val="00D1154C"/>
    <w:rsid w:val="00D1193F"/>
    <w:rsid w:val="00D13E43"/>
    <w:rsid w:val="00D61ED3"/>
    <w:rsid w:val="00D648A8"/>
    <w:rsid w:val="00D6657E"/>
    <w:rsid w:val="00D71830"/>
    <w:rsid w:val="00D71ECD"/>
    <w:rsid w:val="00D8023B"/>
    <w:rsid w:val="00DD5CB4"/>
    <w:rsid w:val="00DE1873"/>
    <w:rsid w:val="00DF3A36"/>
    <w:rsid w:val="00DF7B3F"/>
    <w:rsid w:val="00E0485F"/>
    <w:rsid w:val="00E130B5"/>
    <w:rsid w:val="00E1429A"/>
    <w:rsid w:val="00E145AF"/>
    <w:rsid w:val="00E21086"/>
    <w:rsid w:val="00E361B5"/>
    <w:rsid w:val="00E36C54"/>
    <w:rsid w:val="00E37594"/>
    <w:rsid w:val="00E453A0"/>
    <w:rsid w:val="00E70825"/>
    <w:rsid w:val="00EA63A8"/>
    <w:rsid w:val="00EC2400"/>
    <w:rsid w:val="00EE3DD1"/>
    <w:rsid w:val="00F15ED2"/>
    <w:rsid w:val="00F26A49"/>
    <w:rsid w:val="00F311A4"/>
    <w:rsid w:val="00F55D73"/>
    <w:rsid w:val="00F77F93"/>
    <w:rsid w:val="00F81178"/>
    <w:rsid w:val="00F81CB8"/>
    <w:rsid w:val="00F969BE"/>
    <w:rsid w:val="00FA2234"/>
    <w:rsid w:val="00FC7D03"/>
    <w:rsid w:val="00FD3E95"/>
    <w:rsid w:val="00FD5CEB"/>
    <w:rsid w:val="00FE2BF2"/>
    <w:rsid w:val="00FF4E78"/>
    <w:rsid w:val="00FF5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527CE"/>
  <w15:chartTrackingRefBased/>
  <w15:docId w15:val="{9997DF03-7B1A-4E9D-AAB6-F1F4ED61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5AF"/>
    <w:pPr>
      <w:autoSpaceDE w:val="0"/>
      <w:autoSpaceDN w:val="0"/>
      <w:adjustRightInd w:val="0"/>
      <w:spacing w:after="200" w:line="276" w:lineRule="auto"/>
    </w:pPr>
    <w:rPr>
      <w:rFonts w:eastAsia="Times New Roman" w:cs="Calibri-Bold"/>
      <w:bCs/>
      <w:sz w:val="24"/>
      <w:szCs w:val="24"/>
      <w:lang w:eastAsia="en-AU"/>
    </w:rPr>
  </w:style>
  <w:style w:type="paragraph" w:styleId="Heading1">
    <w:name w:val="heading 1"/>
    <w:basedOn w:val="Normal"/>
    <w:next w:val="Normal"/>
    <w:link w:val="Heading1Char"/>
    <w:qFormat/>
    <w:rsid w:val="005E15AF"/>
    <w:pPr>
      <w:widowControl w:val="0"/>
      <w:numPr>
        <w:numId w:val="2"/>
      </w:numPr>
      <w:spacing w:before="480" w:after="0"/>
      <w:outlineLvl w:val="0"/>
    </w:pPr>
    <w:rPr>
      <w:rFonts w:asciiTheme="majorHAnsi" w:eastAsiaTheme="majorEastAsia" w:hAnsiTheme="majorHAnsi" w:cstheme="majorBidi"/>
      <w:b/>
      <w:bCs w:val="0"/>
      <w:color w:val="2F5496" w:themeColor="accent1" w:themeShade="BF"/>
      <w:sz w:val="28"/>
      <w:szCs w:val="28"/>
    </w:rPr>
  </w:style>
  <w:style w:type="paragraph" w:styleId="Heading2">
    <w:name w:val="heading 2"/>
    <w:basedOn w:val="Normal"/>
    <w:next w:val="Normal"/>
    <w:link w:val="Heading2Char"/>
    <w:uiPriority w:val="9"/>
    <w:semiHidden/>
    <w:unhideWhenUsed/>
    <w:qFormat/>
    <w:rsid w:val="00E21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return">
    <w:name w:val="A main return"/>
    <w:basedOn w:val="Normal"/>
    <w:link w:val="AmainreturnChar"/>
    <w:rsid w:val="00224FBA"/>
    <w:pPr>
      <w:spacing w:before="140" w:after="0" w:line="240" w:lineRule="auto"/>
      <w:ind w:left="1100"/>
      <w:jc w:val="both"/>
    </w:pPr>
    <w:rPr>
      <w:rFonts w:ascii="Times New Roman" w:hAnsi="Times New Roman" w:cs="Times New Roman"/>
      <w:szCs w:val="20"/>
    </w:rPr>
  </w:style>
  <w:style w:type="paragraph" w:customStyle="1" w:styleId="Apara">
    <w:name w:val="A para"/>
    <w:basedOn w:val="Normal"/>
    <w:rsid w:val="00224FBA"/>
    <w:pPr>
      <w:tabs>
        <w:tab w:val="right" w:pos="1400"/>
        <w:tab w:val="left" w:pos="1600"/>
      </w:tabs>
      <w:spacing w:before="140" w:after="0" w:line="240" w:lineRule="auto"/>
      <w:ind w:left="1600" w:hanging="1600"/>
      <w:jc w:val="both"/>
      <w:outlineLvl w:val="6"/>
    </w:pPr>
    <w:rPr>
      <w:rFonts w:ascii="Times New Roman" w:hAnsi="Times New Roman" w:cs="Times New Roman"/>
      <w:szCs w:val="20"/>
    </w:rPr>
  </w:style>
  <w:style w:type="paragraph" w:customStyle="1" w:styleId="Asubpara">
    <w:name w:val="A subpara"/>
    <w:basedOn w:val="Normal"/>
    <w:rsid w:val="00224FBA"/>
    <w:pPr>
      <w:tabs>
        <w:tab w:val="right" w:pos="1900"/>
        <w:tab w:val="left" w:pos="2100"/>
      </w:tabs>
      <w:spacing w:before="140" w:after="0" w:line="240" w:lineRule="auto"/>
      <w:ind w:left="2100" w:hanging="2100"/>
      <w:jc w:val="both"/>
      <w:outlineLvl w:val="7"/>
    </w:pPr>
    <w:rPr>
      <w:rFonts w:ascii="Times New Roman" w:hAnsi="Times New Roman" w:cs="Times New Roman"/>
      <w:szCs w:val="20"/>
    </w:rPr>
  </w:style>
  <w:style w:type="character" w:customStyle="1" w:styleId="charBoldItals">
    <w:name w:val="charBoldItals"/>
    <w:basedOn w:val="DefaultParagraphFont"/>
    <w:rsid w:val="00224FBA"/>
    <w:rPr>
      <w:b/>
      <w:i/>
    </w:rPr>
  </w:style>
  <w:style w:type="character" w:customStyle="1" w:styleId="AmainreturnChar">
    <w:name w:val="A main return Char"/>
    <w:basedOn w:val="DefaultParagraphFont"/>
    <w:link w:val="Amainreturn"/>
    <w:locked/>
    <w:rsid w:val="00224FBA"/>
    <w:rPr>
      <w:rFonts w:ascii="Times New Roman" w:eastAsia="Times New Roman" w:hAnsi="Times New Roman" w:cs="Times New Roman"/>
      <w:sz w:val="24"/>
      <w:szCs w:val="20"/>
    </w:rPr>
  </w:style>
  <w:style w:type="paragraph" w:styleId="NoSpacing">
    <w:name w:val="No Spacing"/>
    <w:uiPriority w:val="1"/>
    <w:qFormat/>
    <w:rsid w:val="00224FBA"/>
    <w:pPr>
      <w:spacing w:after="0" w:line="240" w:lineRule="auto"/>
    </w:pPr>
  </w:style>
  <w:style w:type="character" w:customStyle="1" w:styleId="Heading1Char">
    <w:name w:val="Heading 1 Char"/>
    <w:basedOn w:val="DefaultParagraphFont"/>
    <w:link w:val="Heading1"/>
    <w:rsid w:val="005E15AF"/>
    <w:rPr>
      <w:rFonts w:asciiTheme="majorHAnsi" w:eastAsiaTheme="majorEastAsia" w:hAnsiTheme="majorHAnsi" w:cstheme="majorBidi"/>
      <w:b/>
      <w:color w:val="2F5496" w:themeColor="accent1" w:themeShade="BF"/>
      <w:sz w:val="28"/>
      <w:szCs w:val="28"/>
      <w:lang w:eastAsia="en-AU"/>
    </w:rPr>
  </w:style>
  <w:style w:type="paragraph" w:styleId="ListParagraph">
    <w:name w:val="List Paragraph"/>
    <w:basedOn w:val="Normal"/>
    <w:link w:val="ListParagraphChar"/>
    <w:uiPriority w:val="34"/>
    <w:qFormat/>
    <w:rsid w:val="005E15AF"/>
    <w:pPr>
      <w:numPr>
        <w:numId w:val="1"/>
      </w:numPr>
      <w:spacing w:after="0"/>
      <w:contextualSpacing/>
    </w:pPr>
  </w:style>
  <w:style w:type="paragraph" w:styleId="FootnoteText">
    <w:name w:val="footnote text"/>
    <w:basedOn w:val="Normal"/>
    <w:link w:val="FootnoteTextChar"/>
    <w:uiPriority w:val="99"/>
    <w:rsid w:val="005E15AF"/>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5E15AF"/>
    <w:rPr>
      <w:rFonts w:ascii="Arial" w:eastAsia="Times New Roman" w:hAnsi="Arial" w:cs="Calibri-Bold"/>
      <w:bCs/>
      <w:sz w:val="20"/>
      <w:szCs w:val="20"/>
      <w:lang w:eastAsia="en-AU"/>
    </w:rPr>
  </w:style>
  <w:style w:type="character" w:styleId="FootnoteReference">
    <w:name w:val="footnote reference"/>
    <w:basedOn w:val="DefaultParagraphFont"/>
    <w:uiPriority w:val="99"/>
    <w:rsid w:val="005E15AF"/>
    <w:rPr>
      <w:vertAlign w:val="superscript"/>
    </w:rPr>
  </w:style>
  <w:style w:type="character" w:styleId="Hyperlink">
    <w:name w:val="Hyperlink"/>
    <w:basedOn w:val="DefaultParagraphFont"/>
    <w:uiPriority w:val="99"/>
    <w:unhideWhenUsed/>
    <w:rsid w:val="005E15AF"/>
    <w:rPr>
      <w:color w:val="0044BB"/>
      <w:u w:val="single"/>
    </w:rPr>
  </w:style>
  <w:style w:type="character" w:customStyle="1" w:styleId="ListParagraphChar">
    <w:name w:val="List Paragraph Char"/>
    <w:basedOn w:val="DefaultParagraphFont"/>
    <w:link w:val="ListParagraph"/>
    <w:uiPriority w:val="34"/>
    <w:locked/>
    <w:rsid w:val="005E15AF"/>
    <w:rPr>
      <w:rFonts w:eastAsia="Times New Roman" w:cs="Calibri-Bold"/>
      <w:bCs/>
      <w:sz w:val="24"/>
      <w:szCs w:val="24"/>
      <w:lang w:eastAsia="en-AU"/>
    </w:rPr>
  </w:style>
  <w:style w:type="character" w:styleId="CommentReference">
    <w:name w:val="annotation reference"/>
    <w:basedOn w:val="DefaultParagraphFont"/>
    <w:uiPriority w:val="99"/>
    <w:semiHidden/>
    <w:unhideWhenUsed/>
    <w:rsid w:val="00AF1304"/>
    <w:rPr>
      <w:sz w:val="16"/>
      <w:szCs w:val="16"/>
    </w:rPr>
  </w:style>
  <w:style w:type="paragraph" w:styleId="CommentText">
    <w:name w:val="annotation text"/>
    <w:basedOn w:val="Normal"/>
    <w:link w:val="CommentTextChar"/>
    <w:uiPriority w:val="99"/>
    <w:unhideWhenUsed/>
    <w:rsid w:val="00AF1304"/>
    <w:pPr>
      <w:spacing w:line="240" w:lineRule="auto"/>
    </w:pPr>
    <w:rPr>
      <w:sz w:val="20"/>
      <w:szCs w:val="20"/>
    </w:rPr>
  </w:style>
  <w:style w:type="character" w:customStyle="1" w:styleId="CommentTextChar">
    <w:name w:val="Comment Text Char"/>
    <w:basedOn w:val="DefaultParagraphFont"/>
    <w:link w:val="CommentText"/>
    <w:uiPriority w:val="99"/>
    <w:rsid w:val="00AF1304"/>
    <w:rPr>
      <w:rFonts w:eastAsia="Times New Roman" w:cs="Calibri-Bold"/>
      <w:bCs/>
      <w:sz w:val="20"/>
      <w:szCs w:val="20"/>
      <w:lang w:eastAsia="en-AU"/>
    </w:rPr>
  </w:style>
  <w:style w:type="paragraph" w:styleId="CommentSubject">
    <w:name w:val="annotation subject"/>
    <w:basedOn w:val="CommentText"/>
    <w:next w:val="CommentText"/>
    <w:link w:val="CommentSubjectChar"/>
    <w:uiPriority w:val="99"/>
    <w:semiHidden/>
    <w:unhideWhenUsed/>
    <w:rsid w:val="00AF1304"/>
    <w:rPr>
      <w:b/>
    </w:rPr>
  </w:style>
  <w:style w:type="character" w:customStyle="1" w:styleId="CommentSubjectChar">
    <w:name w:val="Comment Subject Char"/>
    <w:basedOn w:val="CommentTextChar"/>
    <w:link w:val="CommentSubject"/>
    <w:uiPriority w:val="99"/>
    <w:semiHidden/>
    <w:rsid w:val="00AF1304"/>
    <w:rPr>
      <w:rFonts w:eastAsia="Times New Roman" w:cs="Calibri-Bold"/>
      <w:b/>
      <w:bCs/>
      <w:sz w:val="20"/>
      <w:szCs w:val="20"/>
      <w:lang w:eastAsia="en-AU"/>
    </w:rPr>
  </w:style>
  <w:style w:type="paragraph" w:styleId="TOCHeading">
    <w:name w:val="TOC Heading"/>
    <w:basedOn w:val="Heading1"/>
    <w:next w:val="Normal"/>
    <w:uiPriority w:val="39"/>
    <w:unhideWhenUsed/>
    <w:qFormat/>
    <w:rsid w:val="00257C48"/>
    <w:pPr>
      <w:keepNext/>
      <w:keepLines/>
      <w:widowControl/>
      <w:numPr>
        <w:numId w:val="0"/>
      </w:numPr>
      <w:autoSpaceDE/>
      <w:autoSpaceDN/>
      <w:adjustRightInd/>
      <w:spacing w:before="240" w:line="259" w:lineRule="auto"/>
      <w:outlineLvl w:val="9"/>
    </w:pPr>
    <w:rPr>
      <w:b w:val="0"/>
      <w:sz w:val="32"/>
      <w:szCs w:val="32"/>
      <w:lang w:val="en-US" w:eastAsia="en-US"/>
    </w:rPr>
  </w:style>
  <w:style w:type="paragraph" w:styleId="TOC1">
    <w:name w:val="toc 1"/>
    <w:basedOn w:val="Normal"/>
    <w:next w:val="Normal"/>
    <w:autoRedefine/>
    <w:uiPriority w:val="39"/>
    <w:unhideWhenUsed/>
    <w:rsid w:val="00257C48"/>
    <w:pPr>
      <w:spacing w:after="100"/>
    </w:pPr>
  </w:style>
  <w:style w:type="character" w:customStyle="1" w:styleId="Calibri12">
    <w:name w:val="Calibri 12"/>
    <w:basedOn w:val="DefaultParagraphFont"/>
    <w:uiPriority w:val="1"/>
    <w:qFormat/>
    <w:rsid w:val="00B949DB"/>
    <w:rPr>
      <w:rFonts w:ascii="Calibri" w:hAnsi="Calibri"/>
      <w:sz w:val="24"/>
    </w:rPr>
  </w:style>
  <w:style w:type="character" w:styleId="FollowedHyperlink">
    <w:name w:val="FollowedHyperlink"/>
    <w:basedOn w:val="DefaultParagraphFont"/>
    <w:uiPriority w:val="99"/>
    <w:semiHidden/>
    <w:unhideWhenUsed/>
    <w:rsid w:val="005043A1"/>
    <w:rPr>
      <w:color w:val="954F72" w:themeColor="followedHyperlink"/>
      <w:u w:val="single"/>
    </w:rPr>
  </w:style>
  <w:style w:type="character" w:styleId="UnresolvedMention">
    <w:name w:val="Unresolved Mention"/>
    <w:basedOn w:val="DefaultParagraphFont"/>
    <w:uiPriority w:val="99"/>
    <w:semiHidden/>
    <w:unhideWhenUsed/>
    <w:rsid w:val="00B65F6C"/>
    <w:rPr>
      <w:color w:val="605E5C"/>
      <w:shd w:val="clear" w:color="auto" w:fill="E1DFDD"/>
    </w:rPr>
  </w:style>
  <w:style w:type="character" w:customStyle="1" w:styleId="Heading2Char">
    <w:name w:val="Heading 2 Char"/>
    <w:basedOn w:val="DefaultParagraphFont"/>
    <w:link w:val="Heading2"/>
    <w:uiPriority w:val="9"/>
    <w:semiHidden/>
    <w:rsid w:val="00E21086"/>
    <w:rPr>
      <w:rFonts w:asciiTheme="majorHAnsi" w:eastAsiaTheme="majorEastAsia" w:hAnsiTheme="majorHAnsi" w:cstheme="majorBidi"/>
      <w:bCs/>
      <w:color w:val="2F5496" w:themeColor="accent1" w:themeShade="BF"/>
      <w:sz w:val="26"/>
      <w:szCs w:val="26"/>
      <w:lang w:eastAsia="en-AU"/>
    </w:rPr>
  </w:style>
  <w:style w:type="paragraph" w:styleId="Header">
    <w:name w:val="header"/>
    <w:basedOn w:val="Normal"/>
    <w:link w:val="HeaderChar"/>
    <w:uiPriority w:val="99"/>
    <w:unhideWhenUsed/>
    <w:rsid w:val="00B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1C5"/>
    <w:rPr>
      <w:rFonts w:eastAsia="Times New Roman" w:cs="Calibri-Bold"/>
      <w:bCs/>
      <w:sz w:val="24"/>
      <w:szCs w:val="24"/>
      <w:lang w:eastAsia="en-AU"/>
    </w:rPr>
  </w:style>
  <w:style w:type="paragraph" w:styleId="Footer">
    <w:name w:val="footer"/>
    <w:basedOn w:val="Normal"/>
    <w:link w:val="FooterChar"/>
    <w:uiPriority w:val="99"/>
    <w:unhideWhenUsed/>
    <w:rsid w:val="00B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1C5"/>
    <w:rPr>
      <w:rFonts w:eastAsia="Times New Roman" w:cs="Calibri-Bold"/>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7865">
      <w:bodyDiv w:val="1"/>
      <w:marLeft w:val="0"/>
      <w:marRight w:val="0"/>
      <w:marTop w:val="0"/>
      <w:marBottom w:val="0"/>
      <w:divBdr>
        <w:top w:val="none" w:sz="0" w:space="0" w:color="auto"/>
        <w:left w:val="none" w:sz="0" w:space="0" w:color="auto"/>
        <w:bottom w:val="none" w:sz="0" w:space="0" w:color="auto"/>
        <w:right w:val="none" w:sz="0" w:space="0" w:color="auto"/>
      </w:divBdr>
      <w:divsChild>
        <w:div w:id="1327398122">
          <w:marLeft w:val="0"/>
          <w:marRight w:val="0"/>
          <w:marTop w:val="0"/>
          <w:marBottom w:val="0"/>
          <w:divBdr>
            <w:top w:val="none" w:sz="0" w:space="0" w:color="auto"/>
            <w:left w:val="none" w:sz="0" w:space="0" w:color="auto"/>
            <w:bottom w:val="none" w:sz="0" w:space="0" w:color="auto"/>
            <w:right w:val="none" w:sz="0" w:space="0" w:color="auto"/>
          </w:divBdr>
        </w:div>
        <w:div w:id="1469592780">
          <w:marLeft w:val="0"/>
          <w:marRight w:val="0"/>
          <w:marTop w:val="0"/>
          <w:marBottom w:val="0"/>
          <w:divBdr>
            <w:top w:val="none" w:sz="0" w:space="0" w:color="auto"/>
            <w:left w:val="none" w:sz="0" w:space="0" w:color="auto"/>
            <w:bottom w:val="none" w:sz="0" w:space="0" w:color="auto"/>
            <w:right w:val="none" w:sz="0" w:space="0" w:color="auto"/>
          </w:divBdr>
        </w:div>
        <w:div w:id="2132480718">
          <w:marLeft w:val="0"/>
          <w:marRight w:val="0"/>
          <w:marTop w:val="0"/>
          <w:marBottom w:val="0"/>
          <w:divBdr>
            <w:top w:val="none" w:sz="0" w:space="0" w:color="auto"/>
            <w:left w:val="none" w:sz="0" w:space="0" w:color="auto"/>
            <w:bottom w:val="none" w:sz="0" w:space="0" w:color="auto"/>
            <w:right w:val="none" w:sz="0" w:space="0" w:color="auto"/>
          </w:divBdr>
        </w:div>
      </w:divsChild>
    </w:div>
    <w:div w:id="436798372">
      <w:bodyDiv w:val="1"/>
      <w:marLeft w:val="0"/>
      <w:marRight w:val="0"/>
      <w:marTop w:val="0"/>
      <w:marBottom w:val="0"/>
      <w:divBdr>
        <w:top w:val="none" w:sz="0" w:space="0" w:color="auto"/>
        <w:left w:val="none" w:sz="0" w:space="0" w:color="auto"/>
        <w:bottom w:val="none" w:sz="0" w:space="0" w:color="auto"/>
        <w:right w:val="none" w:sz="0" w:space="0" w:color="auto"/>
      </w:divBdr>
    </w:div>
    <w:div w:id="637998571">
      <w:bodyDiv w:val="1"/>
      <w:marLeft w:val="0"/>
      <w:marRight w:val="0"/>
      <w:marTop w:val="0"/>
      <w:marBottom w:val="0"/>
      <w:divBdr>
        <w:top w:val="none" w:sz="0" w:space="0" w:color="auto"/>
        <w:left w:val="none" w:sz="0" w:space="0" w:color="auto"/>
        <w:bottom w:val="none" w:sz="0" w:space="0" w:color="auto"/>
        <w:right w:val="none" w:sz="0" w:space="0" w:color="auto"/>
      </w:divBdr>
      <w:divsChild>
        <w:div w:id="557476037">
          <w:marLeft w:val="0"/>
          <w:marRight w:val="0"/>
          <w:marTop w:val="0"/>
          <w:marBottom w:val="0"/>
          <w:divBdr>
            <w:top w:val="none" w:sz="0" w:space="0" w:color="auto"/>
            <w:left w:val="none" w:sz="0" w:space="0" w:color="auto"/>
            <w:bottom w:val="none" w:sz="0" w:space="0" w:color="auto"/>
            <w:right w:val="none" w:sz="0" w:space="0" w:color="auto"/>
          </w:divBdr>
        </w:div>
        <w:div w:id="1939832042">
          <w:marLeft w:val="0"/>
          <w:marRight w:val="0"/>
          <w:marTop w:val="0"/>
          <w:marBottom w:val="0"/>
          <w:divBdr>
            <w:top w:val="none" w:sz="0" w:space="0" w:color="auto"/>
            <w:left w:val="none" w:sz="0" w:space="0" w:color="auto"/>
            <w:bottom w:val="none" w:sz="0" w:space="0" w:color="auto"/>
            <w:right w:val="none" w:sz="0" w:space="0" w:color="auto"/>
          </w:divBdr>
        </w:div>
        <w:div w:id="1365254377">
          <w:marLeft w:val="0"/>
          <w:marRight w:val="0"/>
          <w:marTop w:val="0"/>
          <w:marBottom w:val="0"/>
          <w:divBdr>
            <w:top w:val="none" w:sz="0" w:space="0" w:color="auto"/>
            <w:left w:val="none" w:sz="0" w:space="0" w:color="auto"/>
            <w:bottom w:val="none" w:sz="0" w:space="0" w:color="auto"/>
            <w:right w:val="none" w:sz="0" w:space="0" w:color="auto"/>
          </w:divBdr>
        </w:div>
      </w:divsChild>
    </w:div>
    <w:div w:id="704909685">
      <w:bodyDiv w:val="1"/>
      <w:marLeft w:val="0"/>
      <w:marRight w:val="0"/>
      <w:marTop w:val="0"/>
      <w:marBottom w:val="0"/>
      <w:divBdr>
        <w:top w:val="none" w:sz="0" w:space="0" w:color="auto"/>
        <w:left w:val="none" w:sz="0" w:space="0" w:color="auto"/>
        <w:bottom w:val="none" w:sz="0" w:space="0" w:color="auto"/>
        <w:right w:val="none" w:sz="0" w:space="0" w:color="auto"/>
      </w:divBdr>
      <w:divsChild>
        <w:div w:id="441651259">
          <w:marLeft w:val="0"/>
          <w:marRight w:val="0"/>
          <w:marTop w:val="0"/>
          <w:marBottom w:val="0"/>
          <w:divBdr>
            <w:top w:val="none" w:sz="0" w:space="0" w:color="auto"/>
            <w:left w:val="none" w:sz="0" w:space="0" w:color="auto"/>
            <w:bottom w:val="none" w:sz="0" w:space="0" w:color="auto"/>
            <w:right w:val="none" w:sz="0" w:space="0" w:color="auto"/>
          </w:divBdr>
        </w:div>
        <w:div w:id="1172526929">
          <w:marLeft w:val="0"/>
          <w:marRight w:val="0"/>
          <w:marTop w:val="0"/>
          <w:marBottom w:val="0"/>
          <w:divBdr>
            <w:top w:val="none" w:sz="0" w:space="0" w:color="auto"/>
            <w:left w:val="none" w:sz="0" w:space="0" w:color="auto"/>
            <w:bottom w:val="none" w:sz="0" w:space="0" w:color="auto"/>
            <w:right w:val="none" w:sz="0" w:space="0" w:color="auto"/>
          </w:divBdr>
        </w:div>
        <w:div w:id="1839148785">
          <w:marLeft w:val="0"/>
          <w:marRight w:val="0"/>
          <w:marTop w:val="0"/>
          <w:marBottom w:val="0"/>
          <w:divBdr>
            <w:top w:val="none" w:sz="0" w:space="0" w:color="auto"/>
            <w:left w:val="none" w:sz="0" w:space="0" w:color="auto"/>
            <w:bottom w:val="none" w:sz="0" w:space="0" w:color="auto"/>
            <w:right w:val="none" w:sz="0" w:space="0" w:color="auto"/>
          </w:divBdr>
        </w:div>
        <w:div w:id="1626812643">
          <w:marLeft w:val="0"/>
          <w:marRight w:val="0"/>
          <w:marTop w:val="0"/>
          <w:marBottom w:val="0"/>
          <w:divBdr>
            <w:top w:val="none" w:sz="0" w:space="0" w:color="auto"/>
            <w:left w:val="none" w:sz="0" w:space="0" w:color="auto"/>
            <w:bottom w:val="none" w:sz="0" w:space="0" w:color="auto"/>
            <w:right w:val="none" w:sz="0" w:space="0" w:color="auto"/>
          </w:divBdr>
        </w:div>
        <w:div w:id="458649200">
          <w:marLeft w:val="0"/>
          <w:marRight w:val="0"/>
          <w:marTop w:val="0"/>
          <w:marBottom w:val="0"/>
          <w:divBdr>
            <w:top w:val="none" w:sz="0" w:space="0" w:color="auto"/>
            <w:left w:val="none" w:sz="0" w:space="0" w:color="auto"/>
            <w:bottom w:val="none" w:sz="0" w:space="0" w:color="auto"/>
            <w:right w:val="none" w:sz="0" w:space="0" w:color="auto"/>
          </w:divBdr>
        </w:div>
        <w:div w:id="1833567726">
          <w:marLeft w:val="0"/>
          <w:marRight w:val="0"/>
          <w:marTop w:val="0"/>
          <w:marBottom w:val="0"/>
          <w:divBdr>
            <w:top w:val="none" w:sz="0" w:space="0" w:color="auto"/>
            <w:left w:val="none" w:sz="0" w:space="0" w:color="auto"/>
            <w:bottom w:val="none" w:sz="0" w:space="0" w:color="auto"/>
            <w:right w:val="none" w:sz="0" w:space="0" w:color="auto"/>
          </w:divBdr>
        </w:div>
        <w:div w:id="2108307522">
          <w:marLeft w:val="0"/>
          <w:marRight w:val="0"/>
          <w:marTop w:val="0"/>
          <w:marBottom w:val="0"/>
          <w:divBdr>
            <w:top w:val="none" w:sz="0" w:space="0" w:color="auto"/>
            <w:left w:val="none" w:sz="0" w:space="0" w:color="auto"/>
            <w:bottom w:val="none" w:sz="0" w:space="0" w:color="auto"/>
            <w:right w:val="none" w:sz="0" w:space="0" w:color="auto"/>
          </w:divBdr>
        </w:div>
        <w:div w:id="1485391134">
          <w:marLeft w:val="0"/>
          <w:marRight w:val="0"/>
          <w:marTop w:val="0"/>
          <w:marBottom w:val="0"/>
          <w:divBdr>
            <w:top w:val="none" w:sz="0" w:space="0" w:color="auto"/>
            <w:left w:val="none" w:sz="0" w:space="0" w:color="auto"/>
            <w:bottom w:val="none" w:sz="0" w:space="0" w:color="auto"/>
            <w:right w:val="none" w:sz="0" w:space="0" w:color="auto"/>
          </w:divBdr>
        </w:div>
      </w:divsChild>
    </w:div>
    <w:div w:id="860364453">
      <w:bodyDiv w:val="1"/>
      <w:marLeft w:val="0"/>
      <w:marRight w:val="0"/>
      <w:marTop w:val="0"/>
      <w:marBottom w:val="0"/>
      <w:divBdr>
        <w:top w:val="none" w:sz="0" w:space="0" w:color="auto"/>
        <w:left w:val="none" w:sz="0" w:space="0" w:color="auto"/>
        <w:bottom w:val="none" w:sz="0" w:space="0" w:color="auto"/>
        <w:right w:val="none" w:sz="0" w:space="0" w:color="auto"/>
      </w:divBdr>
    </w:div>
    <w:div w:id="1155414720">
      <w:bodyDiv w:val="1"/>
      <w:marLeft w:val="0"/>
      <w:marRight w:val="0"/>
      <w:marTop w:val="0"/>
      <w:marBottom w:val="0"/>
      <w:divBdr>
        <w:top w:val="none" w:sz="0" w:space="0" w:color="auto"/>
        <w:left w:val="none" w:sz="0" w:space="0" w:color="auto"/>
        <w:bottom w:val="none" w:sz="0" w:space="0" w:color="auto"/>
        <w:right w:val="none" w:sz="0" w:space="0" w:color="auto"/>
      </w:divBdr>
    </w:div>
    <w:div w:id="1222210468">
      <w:bodyDiv w:val="1"/>
      <w:marLeft w:val="0"/>
      <w:marRight w:val="0"/>
      <w:marTop w:val="0"/>
      <w:marBottom w:val="0"/>
      <w:divBdr>
        <w:top w:val="none" w:sz="0" w:space="0" w:color="auto"/>
        <w:left w:val="none" w:sz="0" w:space="0" w:color="auto"/>
        <w:bottom w:val="none" w:sz="0" w:space="0" w:color="auto"/>
        <w:right w:val="none" w:sz="0" w:space="0" w:color="auto"/>
      </w:divBdr>
      <w:divsChild>
        <w:div w:id="1221476097">
          <w:marLeft w:val="0"/>
          <w:marRight w:val="0"/>
          <w:marTop w:val="0"/>
          <w:marBottom w:val="0"/>
          <w:divBdr>
            <w:top w:val="none" w:sz="0" w:space="0" w:color="auto"/>
            <w:left w:val="none" w:sz="0" w:space="0" w:color="auto"/>
            <w:bottom w:val="none" w:sz="0" w:space="0" w:color="auto"/>
            <w:right w:val="none" w:sz="0" w:space="0" w:color="auto"/>
          </w:divBdr>
        </w:div>
        <w:div w:id="313025542">
          <w:marLeft w:val="0"/>
          <w:marRight w:val="0"/>
          <w:marTop w:val="0"/>
          <w:marBottom w:val="0"/>
          <w:divBdr>
            <w:top w:val="none" w:sz="0" w:space="0" w:color="auto"/>
            <w:left w:val="none" w:sz="0" w:space="0" w:color="auto"/>
            <w:bottom w:val="none" w:sz="0" w:space="0" w:color="auto"/>
            <w:right w:val="none" w:sz="0" w:space="0" w:color="auto"/>
          </w:divBdr>
        </w:div>
        <w:div w:id="1385065077">
          <w:marLeft w:val="0"/>
          <w:marRight w:val="0"/>
          <w:marTop w:val="0"/>
          <w:marBottom w:val="0"/>
          <w:divBdr>
            <w:top w:val="none" w:sz="0" w:space="0" w:color="auto"/>
            <w:left w:val="none" w:sz="0" w:space="0" w:color="auto"/>
            <w:bottom w:val="none" w:sz="0" w:space="0" w:color="auto"/>
            <w:right w:val="none" w:sz="0" w:space="0" w:color="auto"/>
          </w:divBdr>
        </w:div>
        <w:div w:id="1040785921">
          <w:marLeft w:val="0"/>
          <w:marRight w:val="0"/>
          <w:marTop w:val="0"/>
          <w:marBottom w:val="0"/>
          <w:divBdr>
            <w:top w:val="none" w:sz="0" w:space="0" w:color="auto"/>
            <w:left w:val="none" w:sz="0" w:space="0" w:color="auto"/>
            <w:bottom w:val="none" w:sz="0" w:space="0" w:color="auto"/>
            <w:right w:val="none" w:sz="0" w:space="0" w:color="auto"/>
          </w:divBdr>
        </w:div>
        <w:div w:id="630326736">
          <w:marLeft w:val="0"/>
          <w:marRight w:val="0"/>
          <w:marTop w:val="0"/>
          <w:marBottom w:val="0"/>
          <w:divBdr>
            <w:top w:val="none" w:sz="0" w:space="0" w:color="auto"/>
            <w:left w:val="none" w:sz="0" w:space="0" w:color="auto"/>
            <w:bottom w:val="none" w:sz="0" w:space="0" w:color="auto"/>
            <w:right w:val="none" w:sz="0" w:space="0" w:color="auto"/>
          </w:divBdr>
        </w:div>
        <w:div w:id="340010341">
          <w:marLeft w:val="0"/>
          <w:marRight w:val="0"/>
          <w:marTop w:val="0"/>
          <w:marBottom w:val="0"/>
          <w:divBdr>
            <w:top w:val="none" w:sz="0" w:space="0" w:color="auto"/>
            <w:left w:val="none" w:sz="0" w:space="0" w:color="auto"/>
            <w:bottom w:val="none" w:sz="0" w:space="0" w:color="auto"/>
            <w:right w:val="none" w:sz="0" w:space="0" w:color="auto"/>
          </w:divBdr>
        </w:div>
        <w:div w:id="505676231">
          <w:marLeft w:val="0"/>
          <w:marRight w:val="0"/>
          <w:marTop w:val="0"/>
          <w:marBottom w:val="0"/>
          <w:divBdr>
            <w:top w:val="none" w:sz="0" w:space="0" w:color="auto"/>
            <w:left w:val="none" w:sz="0" w:space="0" w:color="auto"/>
            <w:bottom w:val="none" w:sz="0" w:space="0" w:color="auto"/>
            <w:right w:val="none" w:sz="0" w:space="0" w:color="auto"/>
          </w:divBdr>
        </w:div>
        <w:div w:id="828331301">
          <w:marLeft w:val="0"/>
          <w:marRight w:val="0"/>
          <w:marTop w:val="0"/>
          <w:marBottom w:val="0"/>
          <w:divBdr>
            <w:top w:val="none" w:sz="0" w:space="0" w:color="auto"/>
            <w:left w:val="none" w:sz="0" w:space="0" w:color="auto"/>
            <w:bottom w:val="none" w:sz="0" w:space="0" w:color="auto"/>
            <w:right w:val="none" w:sz="0" w:space="0" w:color="auto"/>
          </w:divBdr>
        </w:div>
        <w:div w:id="103307324">
          <w:marLeft w:val="0"/>
          <w:marRight w:val="0"/>
          <w:marTop w:val="0"/>
          <w:marBottom w:val="0"/>
          <w:divBdr>
            <w:top w:val="none" w:sz="0" w:space="0" w:color="auto"/>
            <w:left w:val="none" w:sz="0" w:space="0" w:color="auto"/>
            <w:bottom w:val="none" w:sz="0" w:space="0" w:color="auto"/>
            <w:right w:val="none" w:sz="0" w:space="0" w:color="auto"/>
          </w:divBdr>
        </w:div>
        <w:div w:id="140468033">
          <w:marLeft w:val="0"/>
          <w:marRight w:val="0"/>
          <w:marTop w:val="0"/>
          <w:marBottom w:val="0"/>
          <w:divBdr>
            <w:top w:val="none" w:sz="0" w:space="0" w:color="auto"/>
            <w:left w:val="none" w:sz="0" w:space="0" w:color="auto"/>
            <w:bottom w:val="none" w:sz="0" w:space="0" w:color="auto"/>
            <w:right w:val="none" w:sz="0" w:space="0" w:color="auto"/>
          </w:divBdr>
        </w:div>
        <w:div w:id="1519734204">
          <w:marLeft w:val="0"/>
          <w:marRight w:val="0"/>
          <w:marTop w:val="0"/>
          <w:marBottom w:val="0"/>
          <w:divBdr>
            <w:top w:val="none" w:sz="0" w:space="0" w:color="auto"/>
            <w:left w:val="none" w:sz="0" w:space="0" w:color="auto"/>
            <w:bottom w:val="none" w:sz="0" w:space="0" w:color="auto"/>
            <w:right w:val="none" w:sz="0" w:space="0" w:color="auto"/>
          </w:divBdr>
        </w:div>
        <w:div w:id="972717663">
          <w:marLeft w:val="0"/>
          <w:marRight w:val="0"/>
          <w:marTop w:val="0"/>
          <w:marBottom w:val="0"/>
          <w:divBdr>
            <w:top w:val="none" w:sz="0" w:space="0" w:color="auto"/>
            <w:left w:val="none" w:sz="0" w:space="0" w:color="auto"/>
            <w:bottom w:val="none" w:sz="0" w:space="0" w:color="auto"/>
            <w:right w:val="none" w:sz="0" w:space="0" w:color="auto"/>
          </w:divBdr>
        </w:div>
        <w:div w:id="553390707">
          <w:marLeft w:val="0"/>
          <w:marRight w:val="0"/>
          <w:marTop w:val="0"/>
          <w:marBottom w:val="0"/>
          <w:divBdr>
            <w:top w:val="none" w:sz="0" w:space="0" w:color="auto"/>
            <w:left w:val="none" w:sz="0" w:space="0" w:color="auto"/>
            <w:bottom w:val="none" w:sz="0" w:space="0" w:color="auto"/>
            <w:right w:val="none" w:sz="0" w:space="0" w:color="auto"/>
          </w:divBdr>
        </w:div>
        <w:div w:id="1221282077">
          <w:marLeft w:val="0"/>
          <w:marRight w:val="0"/>
          <w:marTop w:val="0"/>
          <w:marBottom w:val="0"/>
          <w:divBdr>
            <w:top w:val="none" w:sz="0" w:space="0" w:color="auto"/>
            <w:left w:val="none" w:sz="0" w:space="0" w:color="auto"/>
            <w:bottom w:val="none" w:sz="0" w:space="0" w:color="auto"/>
            <w:right w:val="none" w:sz="0" w:space="0" w:color="auto"/>
          </w:divBdr>
        </w:div>
        <w:div w:id="1767578963">
          <w:marLeft w:val="0"/>
          <w:marRight w:val="0"/>
          <w:marTop w:val="0"/>
          <w:marBottom w:val="0"/>
          <w:divBdr>
            <w:top w:val="none" w:sz="0" w:space="0" w:color="auto"/>
            <w:left w:val="none" w:sz="0" w:space="0" w:color="auto"/>
            <w:bottom w:val="none" w:sz="0" w:space="0" w:color="auto"/>
            <w:right w:val="none" w:sz="0" w:space="0" w:color="auto"/>
          </w:divBdr>
        </w:div>
        <w:div w:id="32930026">
          <w:marLeft w:val="0"/>
          <w:marRight w:val="0"/>
          <w:marTop w:val="0"/>
          <w:marBottom w:val="0"/>
          <w:divBdr>
            <w:top w:val="none" w:sz="0" w:space="0" w:color="auto"/>
            <w:left w:val="none" w:sz="0" w:space="0" w:color="auto"/>
            <w:bottom w:val="none" w:sz="0" w:space="0" w:color="auto"/>
            <w:right w:val="none" w:sz="0" w:space="0" w:color="auto"/>
          </w:divBdr>
        </w:div>
        <w:div w:id="1166899812">
          <w:marLeft w:val="0"/>
          <w:marRight w:val="0"/>
          <w:marTop w:val="0"/>
          <w:marBottom w:val="0"/>
          <w:divBdr>
            <w:top w:val="none" w:sz="0" w:space="0" w:color="auto"/>
            <w:left w:val="none" w:sz="0" w:space="0" w:color="auto"/>
            <w:bottom w:val="none" w:sz="0" w:space="0" w:color="auto"/>
            <w:right w:val="none" w:sz="0" w:space="0" w:color="auto"/>
          </w:divBdr>
        </w:div>
        <w:div w:id="82529109">
          <w:marLeft w:val="0"/>
          <w:marRight w:val="0"/>
          <w:marTop w:val="0"/>
          <w:marBottom w:val="0"/>
          <w:divBdr>
            <w:top w:val="none" w:sz="0" w:space="0" w:color="auto"/>
            <w:left w:val="none" w:sz="0" w:space="0" w:color="auto"/>
            <w:bottom w:val="none" w:sz="0" w:space="0" w:color="auto"/>
            <w:right w:val="none" w:sz="0" w:space="0" w:color="auto"/>
          </w:divBdr>
        </w:div>
        <w:div w:id="224150164">
          <w:marLeft w:val="0"/>
          <w:marRight w:val="0"/>
          <w:marTop w:val="0"/>
          <w:marBottom w:val="0"/>
          <w:divBdr>
            <w:top w:val="none" w:sz="0" w:space="0" w:color="auto"/>
            <w:left w:val="none" w:sz="0" w:space="0" w:color="auto"/>
            <w:bottom w:val="none" w:sz="0" w:space="0" w:color="auto"/>
            <w:right w:val="none" w:sz="0" w:space="0" w:color="auto"/>
          </w:divBdr>
        </w:div>
        <w:div w:id="964581941">
          <w:marLeft w:val="0"/>
          <w:marRight w:val="0"/>
          <w:marTop w:val="0"/>
          <w:marBottom w:val="0"/>
          <w:divBdr>
            <w:top w:val="none" w:sz="0" w:space="0" w:color="auto"/>
            <w:left w:val="none" w:sz="0" w:space="0" w:color="auto"/>
            <w:bottom w:val="none" w:sz="0" w:space="0" w:color="auto"/>
            <w:right w:val="none" w:sz="0" w:space="0" w:color="auto"/>
          </w:divBdr>
        </w:div>
        <w:div w:id="1445420867">
          <w:marLeft w:val="0"/>
          <w:marRight w:val="0"/>
          <w:marTop w:val="0"/>
          <w:marBottom w:val="0"/>
          <w:divBdr>
            <w:top w:val="none" w:sz="0" w:space="0" w:color="auto"/>
            <w:left w:val="none" w:sz="0" w:space="0" w:color="auto"/>
            <w:bottom w:val="none" w:sz="0" w:space="0" w:color="auto"/>
            <w:right w:val="none" w:sz="0" w:space="0" w:color="auto"/>
          </w:divBdr>
        </w:div>
        <w:div w:id="655038178">
          <w:marLeft w:val="0"/>
          <w:marRight w:val="0"/>
          <w:marTop w:val="0"/>
          <w:marBottom w:val="0"/>
          <w:divBdr>
            <w:top w:val="none" w:sz="0" w:space="0" w:color="auto"/>
            <w:left w:val="none" w:sz="0" w:space="0" w:color="auto"/>
            <w:bottom w:val="none" w:sz="0" w:space="0" w:color="auto"/>
            <w:right w:val="none" w:sz="0" w:space="0" w:color="auto"/>
          </w:divBdr>
        </w:div>
        <w:div w:id="1695887718">
          <w:marLeft w:val="0"/>
          <w:marRight w:val="0"/>
          <w:marTop w:val="0"/>
          <w:marBottom w:val="0"/>
          <w:divBdr>
            <w:top w:val="none" w:sz="0" w:space="0" w:color="auto"/>
            <w:left w:val="none" w:sz="0" w:space="0" w:color="auto"/>
            <w:bottom w:val="none" w:sz="0" w:space="0" w:color="auto"/>
            <w:right w:val="none" w:sz="0" w:space="0" w:color="auto"/>
          </w:divBdr>
        </w:div>
        <w:div w:id="1033265088">
          <w:marLeft w:val="0"/>
          <w:marRight w:val="0"/>
          <w:marTop w:val="0"/>
          <w:marBottom w:val="0"/>
          <w:divBdr>
            <w:top w:val="none" w:sz="0" w:space="0" w:color="auto"/>
            <w:left w:val="none" w:sz="0" w:space="0" w:color="auto"/>
            <w:bottom w:val="none" w:sz="0" w:space="0" w:color="auto"/>
            <w:right w:val="none" w:sz="0" w:space="0" w:color="auto"/>
          </w:divBdr>
        </w:div>
        <w:div w:id="1956711527">
          <w:marLeft w:val="0"/>
          <w:marRight w:val="0"/>
          <w:marTop w:val="0"/>
          <w:marBottom w:val="0"/>
          <w:divBdr>
            <w:top w:val="none" w:sz="0" w:space="0" w:color="auto"/>
            <w:left w:val="none" w:sz="0" w:space="0" w:color="auto"/>
            <w:bottom w:val="none" w:sz="0" w:space="0" w:color="auto"/>
            <w:right w:val="none" w:sz="0" w:space="0" w:color="auto"/>
          </w:divBdr>
        </w:div>
        <w:div w:id="1482037877">
          <w:marLeft w:val="0"/>
          <w:marRight w:val="0"/>
          <w:marTop w:val="0"/>
          <w:marBottom w:val="0"/>
          <w:divBdr>
            <w:top w:val="none" w:sz="0" w:space="0" w:color="auto"/>
            <w:left w:val="none" w:sz="0" w:space="0" w:color="auto"/>
            <w:bottom w:val="none" w:sz="0" w:space="0" w:color="auto"/>
            <w:right w:val="none" w:sz="0" w:space="0" w:color="auto"/>
          </w:divBdr>
        </w:div>
        <w:div w:id="288822806">
          <w:marLeft w:val="0"/>
          <w:marRight w:val="0"/>
          <w:marTop w:val="0"/>
          <w:marBottom w:val="0"/>
          <w:divBdr>
            <w:top w:val="none" w:sz="0" w:space="0" w:color="auto"/>
            <w:left w:val="none" w:sz="0" w:space="0" w:color="auto"/>
            <w:bottom w:val="none" w:sz="0" w:space="0" w:color="auto"/>
            <w:right w:val="none" w:sz="0" w:space="0" w:color="auto"/>
          </w:divBdr>
        </w:div>
        <w:div w:id="1354962464">
          <w:marLeft w:val="0"/>
          <w:marRight w:val="0"/>
          <w:marTop w:val="0"/>
          <w:marBottom w:val="0"/>
          <w:divBdr>
            <w:top w:val="none" w:sz="0" w:space="0" w:color="auto"/>
            <w:left w:val="none" w:sz="0" w:space="0" w:color="auto"/>
            <w:bottom w:val="none" w:sz="0" w:space="0" w:color="auto"/>
            <w:right w:val="none" w:sz="0" w:space="0" w:color="auto"/>
          </w:divBdr>
        </w:div>
        <w:div w:id="1348219373">
          <w:marLeft w:val="0"/>
          <w:marRight w:val="0"/>
          <w:marTop w:val="0"/>
          <w:marBottom w:val="0"/>
          <w:divBdr>
            <w:top w:val="none" w:sz="0" w:space="0" w:color="auto"/>
            <w:left w:val="none" w:sz="0" w:space="0" w:color="auto"/>
            <w:bottom w:val="none" w:sz="0" w:space="0" w:color="auto"/>
            <w:right w:val="none" w:sz="0" w:space="0" w:color="auto"/>
          </w:divBdr>
        </w:div>
        <w:div w:id="1975089574">
          <w:marLeft w:val="0"/>
          <w:marRight w:val="0"/>
          <w:marTop w:val="0"/>
          <w:marBottom w:val="0"/>
          <w:divBdr>
            <w:top w:val="none" w:sz="0" w:space="0" w:color="auto"/>
            <w:left w:val="none" w:sz="0" w:space="0" w:color="auto"/>
            <w:bottom w:val="none" w:sz="0" w:space="0" w:color="auto"/>
            <w:right w:val="none" w:sz="0" w:space="0" w:color="auto"/>
          </w:divBdr>
        </w:div>
        <w:div w:id="259489469">
          <w:marLeft w:val="0"/>
          <w:marRight w:val="0"/>
          <w:marTop w:val="0"/>
          <w:marBottom w:val="0"/>
          <w:divBdr>
            <w:top w:val="none" w:sz="0" w:space="0" w:color="auto"/>
            <w:left w:val="none" w:sz="0" w:space="0" w:color="auto"/>
            <w:bottom w:val="none" w:sz="0" w:space="0" w:color="auto"/>
            <w:right w:val="none" w:sz="0" w:space="0" w:color="auto"/>
          </w:divBdr>
        </w:div>
      </w:divsChild>
    </w:div>
    <w:div w:id="1938980383">
      <w:bodyDiv w:val="1"/>
      <w:marLeft w:val="0"/>
      <w:marRight w:val="0"/>
      <w:marTop w:val="0"/>
      <w:marBottom w:val="0"/>
      <w:divBdr>
        <w:top w:val="none" w:sz="0" w:space="0" w:color="auto"/>
        <w:left w:val="none" w:sz="0" w:space="0" w:color="auto"/>
        <w:bottom w:val="none" w:sz="0" w:space="0" w:color="auto"/>
        <w:right w:val="none" w:sz="0" w:space="0" w:color="auto"/>
      </w:divBdr>
      <w:divsChild>
        <w:div w:id="1435858751">
          <w:marLeft w:val="0"/>
          <w:marRight w:val="0"/>
          <w:marTop w:val="0"/>
          <w:marBottom w:val="0"/>
          <w:divBdr>
            <w:top w:val="none" w:sz="0" w:space="0" w:color="auto"/>
            <w:left w:val="none" w:sz="0" w:space="0" w:color="auto"/>
            <w:bottom w:val="none" w:sz="0" w:space="0" w:color="auto"/>
            <w:right w:val="none" w:sz="0" w:space="0" w:color="auto"/>
          </w:divBdr>
        </w:div>
        <w:div w:id="1565095981">
          <w:marLeft w:val="0"/>
          <w:marRight w:val="0"/>
          <w:marTop w:val="0"/>
          <w:marBottom w:val="0"/>
          <w:divBdr>
            <w:top w:val="none" w:sz="0" w:space="0" w:color="auto"/>
            <w:left w:val="none" w:sz="0" w:space="0" w:color="auto"/>
            <w:bottom w:val="none" w:sz="0" w:space="0" w:color="auto"/>
            <w:right w:val="none" w:sz="0" w:space="0" w:color="auto"/>
          </w:divBdr>
        </w:div>
        <w:div w:id="2042316670">
          <w:marLeft w:val="0"/>
          <w:marRight w:val="0"/>
          <w:marTop w:val="0"/>
          <w:marBottom w:val="0"/>
          <w:divBdr>
            <w:top w:val="none" w:sz="0" w:space="0" w:color="auto"/>
            <w:left w:val="none" w:sz="0" w:space="0" w:color="auto"/>
            <w:bottom w:val="none" w:sz="0" w:space="0" w:color="auto"/>
            <w:right w:val="none" w:sz="0" w:space="0" w:color="auto"/>
          </w:divBdr>
        </w:div>
        <w:div w:id="1181167270">
          <w:marLeft w:val="0"/>
          <w:marRight w:val="0"/>
          <w:marTop w:val="0"/>
          <w:marBottom w:val="0"/>
          <w:divBdr>
            <w:top w:val="none" w:sz="0" w:space="0" w:color="auto"/>
            <w:left w:val="none" w:sz="0" w:space="0" w:color="auto"/>
            <w:bottom w:val="none" w:sz="0" w:space="0" w:color="auto"/>
            <w:right w:val="none" w:sz="0" w:space="0" w:color="auto"/>
          </w:divBdr>
        </w:div>
        <w:div w:id="78782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icrc.act.gov.au/__data/assets/pdf_file/0003/1372773/Report-6-of-2019-Electricity-Price-Reset-2019-20.pdf" TargetMode="External"/><Relationship Id="rId3" Type="http://schemas.openxmlformats.org/officeDocument/2006/relationships/hyperlink" Target="http://www.pointadvisory.com/" TargetMode="External"/><Relationship Id="rId7" Type="http://schemas.openxmlformats.org/officeDocument/2006/relationships/hyperlink" Target="https://www.icrc.act.gov.au/__data/assets/pdf_file/0011/1369190/Report-5-of-2019-Electricity-Model-and-Methodology-Review-Final-Report.pdf" TargetMode="External"/><Relationship Id="rId2" Type="http://schemas.openxmlformats.org/officeDocument/2006/relationships/hyperlink" Target="https://www.cmtedd.act.gov.au/__data/assets/pdf_file/0003/1654077/Parliamentary-Agreement-for-the-10th-Legislative-Assembly.pdf" TargetMode="External"/><Relationship Id="rId1" Type="http://schemas.openxmlformats.org/officeDocument/2006/relationships/hyperlink" Target="https://www.environment.act.gov.au/__data/assets/pdf_file/0003/1414641/ACT-Climate-Change-Strategy-2019-2025.pdf/_recache" TargetMode="External"/><Relationship Id="rId6" Type="http://schemas.openxmlformats.org/officeDocument/2006/relationships/hyperlink" Target="https://www.icrc.act.gov.au/energy/electricity" TargetMode="External"/><Relationship Id="rId5" Type="http://schemas.openxmlformats.org/officeDocument/2006/relationships/hyperlink" Target="https://www.planning.act.gov.au/about-us/annual-reports" TargetMode="External"/><Relationship Id="rId4" Type="http://schemas.openxmlformats.org/officeDocument/2006/relationships/hyperlink" Target="https://www.environment.act.gov.au/__data/assets/pdf_file/0020/1221527/EEIS-Review-Part-1-Executive-Summary-ACCE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668B-8C84-4266-BB31-339D3913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3030</Words>
  <Characters>16291</Characters>
  <Application>Microsoft Office Word</Application>
  <DocSecurity>0</DocSecurity>
  <Lines>289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Ereaut, Emma</dc:creator>
  <cp:keywords/>
  <dc:description/>
  <cp:lastModifiedBy>Moxon, KarenL</cp:lastModifiedBy>
  <cp:revision>4</cp:revision>
  <dcterms:created xsi:type="dcterms:W3CDTF">2021-06-29T04:32:00Z</dcterms:created>
  <dcterms:modified xsi:type="dcterms:W3CDTF">2021-06-29T04:32:00Z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A29074721</vt:lpwstr>
  </property>
  <property fmtid="{D5CDD505-2E9C-101B-9397-08002B2CF9AE}" pid="4" name="Objective-Title">
    <vt:lpwstr>Att I - EST, ESC and Shortfall penalty - RIS</vt:lpwstr>
  </property>
  <property fmtid="{D5CDD505-2E9C-101B-9397-08002B2CF9AE}" pid="5" name="Objective-Comment">
    <vt:lpwstr/>
  </property>
  <property fmtid="{D5CDD505-2E9C-101B-9397-08002B2CF9AE}" pid="6" name="Objective-CreationStamp">
    <vt:filetime>2021-04-27T02:24:02Z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2021-06-21T00:59:36Z</vt:filetime>
  </property>
  <property fmtid="{D5CDD505-2E9C-101B-9397-08002B2CF9AE}" pid="10" name="Objective-ModificationStamp">
    <vt:filetime>2021-06-22T00:09:24Z</vt:filetime>
  </property>
  <property fmtid="{D5CDD505-2E9C-101B-9397-08002B2CF9AE}" pid="11" name="Objective-Owner">
    <vt:lpwstr>Emily Kilham</vt:lpwstr>
  </property>
  <property fmtid="{D5CDD505-2E9C-101B-9397-08002B2CF9AE}" pid="12" name="Objective-Path">
    <vt:lpwstr>Whole of ACT Government:EPSDD - Environment Planning and Sustainable Development Directorate:07. Ministerial, Cabinet and Government Relations:06. Ministerials:2021 - Ministerial and Chief Ministerial Briefs / Correspondence:Climate Change &amp; Energy:04. April:21/35674 Ministerial-Information Brief - Rattenbury - Energy Efficiency Improvement Scheme target instruments 2022:</vt:lpwstr>
  </property>
  <property fmtid="{D5CDD505-2E9C-101B-9397-08002B2CF9AE}" pid="13" name="Objective-Parent">
    <vt:lpwstr>21/35674 Ministerial-Information Brief - Rattenbury - Energy Efficiency Improvement Scheme target instruments 2022</vt:lpwstr>
  </property>
  <property fmtid="{D5CDD505-2E9C-101B-9397-08002B2CF9AE}" pid="14" name="Objective-State">
    <vt:lpwstr>Published</vt:lpwstr>
  </property>
  <property fmtid="{D5CDD505-2E9C-101B-9397-08002B2CF9AE}" pid="15" name="Objective-Version">
    <vt:lpwstr>29.0</vt:lpwstr>
  </property>
  <property fmtid="{D5CDD505-2E9C-101B-9397-08002B2CF9AE}" pid="16" name="Objective-VersionNumber">
    <vt:r8>33</vt:r8>
  </property>
  <property fmtid="{D5CDD505-2E9C-101B-9397-08002B2CF9AE}" pid="17" name="Objective-VersionComment">
    <vt:lpwstr/>
  </property>
  <property fmtid="{D5CDD505-2E9C-101B-9397-08002B2CF9AE}" pid="18" name="Objective-FileNumber">
    <vt:lpwstr>1-2021/35674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