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1" w:type="dxa"/>
        <w:tblLayout w:type="fixed"/>
        <w:tblCellMar>
          <w:left w:w="0" w:type="dxa"/>
          <w:right w:w="0" w:type="dxa"/>
        </w:tblCellMar>
        <w:tblLook w:val="0000" w:firstRow="0" w:lastRow="0" w:firstColumn="0" w:lastColumn="0" w:noHBand="0" w:noVBand="0"/>
      </w:tblPr>
      <w:tblGrid>
        <w:gridCol w:w="1200"/>
        <w:gridCol w:w="8461"/>
      </w:tblGrid>
      <w:tr w:rsidR="00B949E1" w14:paraId="3377B3F1" w14:textId="77777777" w:rsidTr="00B9362B">
        <w:trPr>
          <w:trHeight w:hRule="exact" w:val="332"/>
        </w:trPr>
        <w:tc>
          <w:tcPr>
            <w:tcW w:w="9661" w:type="dxa"/>
            <w:gridSpan w:val="2"/>
            <w:shd w:val="clear" w:color="auto" w:fill="auto"/>
          </w:tcPr>
          <w:p w14:paraId="115CE2DB" w14:textId="77777777" w:rsidR="00B949E1" w:rsidRDefault="00B949E1" w:rsidP="00B9362B">
            <w:pPr>
              <w:pStyle w:val="CpReportDate"/>
            </w:pPr>
            <w:bookmarkStart w:id="0" w:name="_Hlk136936714"/>
            <w:r>
              <w:t xml:space="preserve">03 </w:t>
            </w:r>
            <w:sdt>
              <w:sdtPr>
                <w:id w:val="-1907209277"/>
                <w:placeholder>
                  <w:docPart w:val="F287C0221F2A4680A104DB4A5A66F551"/>
                </w:placeholder>
                <w:date w:fullDate="2023-05-03T00:00:00Z">
                  <w:dateFormat w:val="MMMM yyyy"/>
                  <w:lid w:val="en-AU"/>
                  <w:storeMappedDataAs w:val="dateTime"/>
                  <w:calendar w:val="gregorian"/>
                </w:date>
              </w:sdtPr>
              <w:sdtEndPr/>
              <w:sdtContent>
                <w:r w:rsidRPr="003B353C">
                  <w:t>May 2023</w:t>
                </w:r>
              </w:sdtContent>
            </w:sdt>
          </w:p>
        </w:tc>
      </w:tr>
      <w:tr w:rsidR="00B949E1" w14:paraId="22C9C3C9" w14:textId="77777777" w:rsidTr="00B9362B">
        <w:sdt>
          <w:sdtPr>
            <w:id w:val="-681818328"/>
            <w:placeholder>
              <w:docPart w:val="306CB3E3CF6D4FCEB7F0346112881F66"/>
            </w:placeholder>
            <w:comboBox>
              <w:listItem w:displayText="Report to" w:value="Report to"/>
              <w:listItem w:displayText="Proposal to" w:value="Proposal to"/>
            </w:comboBox>
          </w:sdtPr>
          <w:sdtEndPr/>
          <w:sdtContent>
            <w:tc>
              <w:tcPr>
                <w:tcW w:w="1200" w:type="dxa"/>
                <w:shd w:val="clear" w:color="auto" w:fill="auto"/>
                <w:tcMar>
                  <w:bottom w:w="432" w:type="dxa"/>
                </w:tcMar>
              </w:tcPr>
              <w:p w14:paraId="123F00DE" w14:textId="77777777" w:rsidR="00B949E1" w:rsidRDefault="00B949E1" w:rsidP="00B9362B">
                <w:pPr>
                  <w:pStyle w:val="CpReportTo"/>
                </w:pPr>
                <w:r w:rsidRPr="005F2570">
                  <w:t>Report to</w:t>
                </w:r>
              </w:p>
            </w:tc>
          </w:sdtContent>
        </w:sdt>
        <w:tc>
          <w:tcPr>
            <w:tcW w:w="8461" w:type="dxa"/>
            <w:shd w:val="clear" w:color="auto" w:fill="auto"/>
          </w:tcPr>
          <w:p w14:paraId="1610EFBC" w14:textId="77777777" w:rsidR="00B949E1" w:rsidRDefault="00B949E1" w:rsidP="00B9362B">
            <w:pPr>
              <w:pStyle w:val="CpClientName"/>
            </w:pPr>
            <w:r>
              <w:t>ACT NoWaste</w:t>
            </w:r>
          </w:p>
        </w:tc>
      </w:tr>
      <w:tr w:rsidR="00B949E1" w14:paraId="1757FD85" w14:textId="77777777" w:rsidTr="00B9362B">
        <w:tc>
          <w:tcPr>
            <w:tcW w:w="9661" w:type="dxa"/>
            <w:gridSpan w:val="2"/>
            <w:shd w:val="clear" w:color="auto" w:fill="auto"/>
          </w:tcPr>
          <w:p w14:paraId="3168AA3F" w14:textId="77777777" w:rsidR="00B949E1" w:rsidRDefault="00B949E1" w:rsidP="00B9362B">
            <w:pPr>
              <w:pStyle w:val="CpTitle"/>
            </w:pPr>
            <w:r>
              <w:t>Proposed ban of a third tranche of single-use plastic items</w:t>
            </w:r>
          </w:p>
        </w:tc>
      </w:tr>
      <w:tr w:rsidR="00B949E1" w14:paraId="5A4BE51B" w14:textId="77777777" w:rsidTr="00B9362B">
        <w:tc>
          <w:tcPr>
            <w:tcW w:w="9661" w:type="dxa"/>
            <w:gridSpan w:val="2"/>
            <w:shd w:val="clear" w:color="auto" w:fill="auto"/>
          </w:tcPr>
          <w:p w14:paraId="25A5877F" w14:textId="77777777" w:rsidR="00B949E1" w:rsidRDefault="00B949E1" w:rsidP="00B9362B">
            <w:pPr>
              <w:pStyle w:val="CpSubTitle"/>
            </w:pPr>
            <w:r>
              <w:t>Regulatory Impact Statement</w:t>
            </w:r>
          </w:p>
        </w:tc>
      </w:tr>
    </w:tbl>
    <w:p w14:paraId="2CA13213" w14:textId="77777777" w:rsidR="00B949E1" w:rsidRPr="00EC7EF4" w:rsidRDefault="00B949E1" w:rsidP="00B949E1">
      <w:pPr>
        <w:pStyle w:val="BodyText"/>
        <w:rPr>
          <w:rFonts w:asciiTheme="minorHAnsi" w:hAnsiTheme="minorHAnsi"/>
        </w:rPr>
      </w:pPr>
      <w:r w:rsidRPr="00EC7EF4">
        <w:rPr>
          <w:rFonts w:asciiTheme="minorHAnsi" w:hAnsiTheme="minorHAnsi"/>
          <w:color w:val="9D85BE"/>
        </w:rPr>
        <w:t>SL2023-10</w:t>
      </w:r>
    </w:p>
    <w:p w14:paraId="3F0AC0A5" w14:textId="5F4A18EC" w:rsidR="00B949E1" w:rsidRDefault="003E2764" w:rsidP="00B949E1">
      <w:pPr>
        <w:pStyle w:val="BodyText"/>
      </w:pPr>
      <w:r w:rsidRPr="00B636AE">
        <w:rPr>
          <w:noProof/>
        </w:rPr>
        <w:drawing>
          <wp:anchor distT="0" distB="0" distL="114300" distR="114300" simplePos="0" relativeHeight="251674624" behindDoc="1" locked="1" layoutInCell="1" allowOverlap="1" wp14:anchorId="38AAFBF0" wp14:editId="117D11A6">
            <wp:simplePos x="0" y="0"/>
            <wp:positionH relativeFrom="page">
              <wp:posOffset>769620</wp:posOffset>
            </wp:positionH>
            <wp:positionV relativeFrom="margin">
              <wp:align>bottom</wp:align>
            </wp:positionV>
            <wp:extent cx="6106160" cy="4064635"/>
            <wp:effectExtent l="0" t="0" r="8890" b="0"/>
            <wp:wrapNone/>
            <wp:docPr id="553" name="Picture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p_pict_large">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06160" cy="4064635"/>
                    </a:xfrm>
                    <a:prstGeom prst="rect">
                      <a:avLst/>
                    </a:prstGeom>
                  </pic:spPr>
                </pic:pic>
              </a:graphicData>
            </a:graphic>
            <wp14:sizeRelH relativeFrom="margin">
              <wp14:pctWidth>0</wp14:pctWidth>
            </wp14:sizeRelH>
            <wp14:sizeRelV relativeFrom="margin">
              <wp14:pctHeight>0</wp14:pctHeight>
            </wp14:sizeRelV>
          </wp:anchor>
        </w:drawing>
      </w:r>
      <w:r w:rsidR="00B949E1">
        <w:rPr>
          <w:noProof/>
        </w:rPr>
        <mc:AlternateContent>
          <mc:Choice Requires="wps">
            <w:drawing>
              <wp:anchor distT="0" distB="0" distL="114300" distR="114300" simplePos="0" relativeHeight="251669504" behindDoc="1" locked="1" layoutInCell="1" allowOverlap="1" wp14:anchorId="5381B4A0" wp14:editId="324F716F">
                <wp:simplePos x="0" y="0"/>
                <wp:positionH relativeFrom="page">
                  <wp:posOffset>-2540</wp:posOffset>
                </wp:positionH>
                <wp:positionV relativeFrom="page">
                  <wp:posOffset>1905</wp:posOffset>
                </wp:positionV>
                <wp:extent cx="7560310" cy="10692130"/>
                <wp:effectExtent l="0" t="0" r="0" b="0"/>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44FF3" id="Rectangle 552" o:spid="_x0000_s1026" style="position:absolute;margin-left:-.2pt;margin-top:.15pt;width:595.3pt;height:841.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" fillcolor="#140034" stroked="f" strokeweight="2pt">
                <w10:wrap anchorx="page" anchory="page"/>
                <w10:anchorlock/>
              </v:rect>
            </w:pict>
          </mc:Fallback>
        </mc:AlternateContent>
      </w:r>
      <w:r w:rsidR="00B949E1">
        <w:rPr>
          <w:noProof/>
        </w:rPr>
        <mc:AlternateContent>
          <mc:Choice Requires="wpg">
            <w:drawing>
              <wp:anchor distT="0" distB="0" distL="114300" distR="114300" simplePos="0" relativeHeight="251670528" behindDoc="0" locked="1" layoutInCell="1" allowOverlap="1" wp14:anchorId="2BAC0022" wp14:editId="2985343C">
                <wp:simplePos x="0" y="0"/>
                <wp:positionH relativeFrom="page">
                  <wp:posOffset>721360</wp:posOffset>
                </wp:positionH>
                <wp:positionV relativeFrom="page">
                  <wp:posOffset>725805</wp:posOffset>
                </wp:positionV>
                <wp:extent cx="1988185" cy="28067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185" cy="280670"/>
                          <a:chOff x="0" y="-21209"/>
                          <a:chExt cx="12188825" cy="1878663"/>
                        </a:xfrm>
                      </wpg:grpSpPr>
                      <wps:wsp>
                        <wps:cNvPr id="550" name="Rectangle 34"/>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51"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FFFE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E21A77" id="Group 549" o:spid="_x0000_s1026" style="position:absolute;margin-left:56.8pt;margin-top:57.15pt;width:156.55pt;height:22.1pt;z-index:25167052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">
                <v:rect id="Rectangle 34"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fffeff"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r w:rsidR="00B949E1" w:rsidRPr="00B636AE">
        <w:rPr>
          <w:noProof/>
        </w:rPr>
        <w:drawing>
          <wp:anchor distT="0" distB="0" distL="114300" distR="114300" simplePos="0" relativeHeight="251668992" behindDoc="1" locked="1" layoutInCell="1" allowOverlap="1" wp14:anchorId="525D3908" wp14:editId="5D61BB9A">
            <wp:simplePos x="0" y="0"/>
            <wp:positionH relativeFrom="page">
              <wp:posOffset>724535</wp:posOffset>
            </wp:positionH>
            <wp:positionV relativeFrom="page">
              <wp:posOffset>5902960</wp:posOffset>
            </wp:positionV>
            <wp:extent cx="6106160" cy="4064635"/>
            <wp:effectExtent l="0" t="0" r="8890" b="0"/>
            <wp:wrapNone/>
            <wp:docPr id="36" name="cp_pict_lar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p_pict_large">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06160" cy="4064635"/>
                    </a:xfrm>
                    <a:prstGeom prst="rect">
                      <a:avLst/>
                    </a:prstGeom>
                  </pic:spPr>
                </pic:pic>
              </a:graphicData>
            </a:graphic>
            <wp14:sizeRelH relativeFrom="margin">
              <wp14:pctWidth>0</wp14:pctWidth>
            </wp14:sizeRelH>
            <wp14:sizeRelV relativeFrom="margin">
              <wp14:pctHeight>0</wp14:pctHeight>
            </wp14:sizeRelV>
          </wp:anchor>
        </w:drawing>
      </w:r>
    </w:p>
    <w:p w14:paraId="1A8D4732" w14:textId="77777777" w:rsidR="00B949E1" w:rsidRDefault="00B949E1" w:rsidP="00B949E1">
      <w:pPr>
        <w:pStyle w:val="BodyText"/>
        <w:sectPr w:rsidR="00B949E1" w:rsidSect="00361FF9">
          <w:footerReference w:type="default" r:id="rId8"/>
          <w:footerReference w:type="first" r:id="rId9"/>
          <w:pgSz w:w="11906" w:h="16838" w:code="9"/>
          <w:pgMar w:top="2557" w:right="1111" w:bottom="1134" w:left="1134" w:header="454" w:footer="164" w:gutter="0"/>
          <w:cols w:space="708"/>
          <w:titlePg/>
          <w:docGrid w:linePitch="360"/>
        </w:sectPr>
      </w:pPr>
    </w:p>
    <w:tbl>
      <w:tblPr>
        <w:tblStyle w:val="aacTablenolines"/>
        <w:tblW w:w="10052" w:type="dxa"/>
        <w:tblLayout w:type="fixed"/>
        <w:tblCellMar>
          <w:left w:w="108" w:type="dxa"/>
          <w:right w:w="108" w:type="dxa"/>
        </w:tblCellMar>
        <w:tblLook w:val="04A0" w:firstRow="1" w:lastRow="0" w:firstColumn="1" w:lastColumn="0" w:noHBand="0" w:noVBand="1"/>
      </w:tblPr>
      <w:tblGrid>
        <w:gridCol w:w="10052"/>
      </w:tblGrid>
      <w:tr w:rsidR="00B949E1" w14:paraId="11A87F47" w14:textId="77777777" w:rsidTr="00B9362B">
        <w:trPr>
          <w:trHeight w:hRule="exact" w:val="140"/>
        </w:trPr>
        <w:tc>
          <w:tcPr>
            <w:tcW w:w="10052" w:type="dxa"/>
            <w:shd w:val="clear" w:color="auto" w:fill="auto"/>
          </w:tcPr>
          <w:p w14:paraId="38F1070E" w14:textId="77777777" w:rsidR="00B949E1" w:rsidRDefault="00B949E1" w:rsidP="00B9362B">
            <w:pPr>
              <w:pStyle w:val="tagcontactsPage-Front"/>
            </w:pPr>
          </w:p>
        </w:tc>
      </w:tr>
      <w:tr w:rsidR="00B949E1" w14:paraId="74BD15C6" w14:textId="77777777" w:rsidTr="00B9362B">
        <w:trPr>
          <w:trHeight w:hRule="exact" w:val="2700"/>
        </w:trPr>
        <w:tc>
          <w:tcPr>
            <w:tcW w:w="10052" w:type="dxa"/>
            <w:shd w:val="clear" w:color="auto" w:fill="auto"/>
          </w:tcPr>
          <w:tbl>
            <w:tblPr>
              <w:tblStyle w:val="aacTablenolines"/>
              <w:tblW w:w="9836" w:type="dxa"/>
              <w:tblLayout w:type="fixed"/>
              <w:tblLook w:val="04A0" w:firstRow="1" w:lastRow="0" w:firstColumn="1" w:lastColumn="0" w:noHBand="0" w:noVBand="1"/>
            </w:tblPr>
            <w:tblGrid>
              <w:gridCol w:w="9836"/>
            </w:tblGrid>
            <w:tr w:rsidR="00B949E1" w14:paraId="6DDDD6FC" w14:textId="77777777" w:rsidTr="00B9362B">
              <w:tc>
                <w:tcPr>
                  <w:tcW w:w="9836" w:type="dxa"/>
                  <w:shd w:val="clear" w:color="auto" w:fill="auto"/>
                </w:tcPr>
                <w:p w14:paraId="08277C72" w14:textId="77777777" w:rsidR="00B949E1" w:rsidRPr="00361FF9" w:rsidRDefault="00B949E1" w:rsidP="00B9362B">
                  <w:pPr>
                    <w:pStyle w:val="CpAboutAcilAllen"/>
                    <w:rPr>
                      <w:b/>
                      <w:color w:val="FFFFFF"/>
                    </w:rPr>
                  </w:pPr>
                  <w:r w:rsidRPr="00361FF9">
                    <w:rPr>
                      <w:b/>
                      <w:color w:val="FFFFFF"/>
                    </w:rPr>
                    <w:t>About ACIL Allen</w:t>
                  </w:r>
                </w:p>
              </w:tc>
            </w:tr>
            <w:tr w:rsidR="00B949E1" w14:paraId="17BE1AD3" w14:textId="77777777" w:rsidTr="00B9362B">
              <w:tc>
                <w:tcPr>
                  <w:tcW w:w="9836" w:type="dxa"/>
                  <w:shd w:val="clear" w:color="auto" w:fill="auto"/>
                </w:tcPr>
                <w:p w14:paraId="728D7CE0" w14:textId="77777777" w:rsidR="00B949E1" w:rsidRDefault="00B949E1" w:rsidP="00B9362B">
                  <w:pPr>
                    <w:pStyle w:val="CpAboutAcilAllen"/>
                  </w:pPr>
                  <w:r>
                    <w:t>ACIL Allen is a leading independent economics, policy and strategy advisory firm, dedicated to helping clients solve complex issues.</w:t>
                  </w:r>
                </w:p>
                <w:p w14:paraId="38FC9CFB" w14:textId="77777777" w:rsidR="00B949E1" w:rsidRDefault="00B949E1" w:rsidP="00B9362B">
                  <w:pPr>
                    <w:pStyle w:val="CpAboutAcilAllen"/>
                  </w:pPr>
                  <w:r>
                    <w:t>Our purpose is to help clients make informed decisions about complex economic and public policy issues.</w:t>
                  </w:r>
                </w:p>
                <w:p w14:paraId="4E1F098C" w14:textId="77777777" w:rsidR="00B949E1" w:rsidRDefault="00B949E1" w:rsidP="00B9362B">
                  <w:pPr>
                    <w:pStyle w:val="CpAboutAcilAllen"/>
                  </w:pPr>
                  <w:r>
                    <w:t>Our vision is to be Australia's most trusted economics, policy and strategy advisory firm. We are committed and passionate about providing rigorous independent advice that contributes to a better world.</w:t>
                  </w:r>
                </w:p>
              </w:tc>
            </w:tr>
          </w:tbl>
          <w:p w14:paraId="7317D7C2" w14:textId="77777777" w:rsidR="00B949E1" w:rsidRDefault="00B949E1" w:rsidP="00B9362B">
            <w:pPr>
              <w:pStyle w:val="Normal-nospace"/>
            </w:pPr>
          </w:p>
        </w:tc>
      </w:tr>
      <w:tr w:rsidR="00B949E1" w14:paraId="17534EC2" w14:textId="77777777" w:rsidTr="00B9362B">
        <w:trPr>
          <w:trHeight w:hRule="exact" w:val="11900"/>
        </w:trPr>
        <w:tc>
          <w:tcPr>
            <w:tcW w:w="10052" w:type="dxa"/>
            <w:shd w:val="clear" w:color="auto" w:fill="auto"/>
            <w:vAlign w:val="bottom"/>
          </w:tcPr>
          <w:tbl>
            <w:tblPr>
              <w:tblStyle w:val="aacTablenolines"/>
              <w:tblW w:w="9836" w:type="dxa"/>
              <w:tblLayout w:type="fixed"/>
              <w:tblLook w:val="04A0" w:firstRow="1" w:lastRow="0" w:firstColumn="1" w:lastColumn="0" w:noHBand="0" w:noVBand="1"/>
            </w:tblPr>
            <w:tblGrid>
              <w:gridCol w:w="9836"/>
            </w:tblGrid>
            <w:tr w:rsidR="00B949E1" w14:paraId="3A2AED72" w14:textId="77777777" w:rsidTr="00B9362B">
              <w:tc>
                <w:tcPr>
                  <w:tcW w:w="9836" w:type="dxa"/>
                  <w:shd w:val="clear" w:color="auto" w:fill="auto"/>
                </w:tcPr>
                <w:p w14:paraId="14F94724" w14:textId="77777777" w:rsidR="00B949E1" w:rsidRDefault="00B949E1" w:rsidP="00B9362B">
                  <w:pPr>
                    <w:pStyle w:val="CpDisclaimer9pt"/>
                  </w:pPr>
                </w:p>
              </w:tc>
            </w:tr>
            <w:tr w:rsidR="00B949E1" w14:paraId="436B671E" w14:textId="77777777" w:rsidTr="00B9362B">
              <w:tc>
                <w:tcPr>
                  <w:tcW w:w="9836" w:type="dxa"/>
                  <w:shd w:val="clear" w:color="auto" w:fill="auto"/>
                </w:tcPr>
                <w:p w14:paraId="1BE3FF30" w14:textId="77777777" w:rsidR="00B949E1" w:rsidRDefault="00B949E1" w:rsidP="00B9362B">
                  <w:pPr>
                    <w:pStyle w:val="CpDisclaimer"/>
                  </w:pPr>
                  <w:r w:rsidRPr="00361FF9">
                    <w:rPr>
                      <w:b/>
                    </w:rPr>
                    <w:t>Reliance and disclaimer</w:t>
                  </w:r>
                  <w:r>
                    <w:t xml:space="preserve"> </w:t>
                  </w:r>
                  <w:proofErr w:type="gramStart"/>
                  <w:r>
                    <w:t>The</w:t>
                  </w:r>
                  <w:proofErr w:type="gramEnd"/>
                  <w:r>
                    <w:t xml:space="preserv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Allen’s prior written consent. ACIL Allen accepts no responsibility whatsoever for any loss occasioned by any person acting or refraining from action as a result of reliance on the report, other than the addressee.</w:t>
                  </w:r>
                </w:p>
                <w:p w14:paraId="14C1A6F0" w14:textId="77777777" w:rsidR="00B949E1" w:rsidRDefault="00B949E1" w:rsidP="00B9362B">
                  <w:pPr>
                    <w:pStyle w:val="CpDisclaimer"/>
                  </w:pPr>
                  <w:r>
                    <w:t>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inaccurate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observations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642DF823" w14:textId="77777777" w:rsidR="00B949E1" w:rsidRDefault="00B949E1" w:rsidP="00B9362B">
                  <w:pPr>
                    <w:pStyle w:val="CpDisclaimer"/>
                  </w:pPr>
                  <w:r>
                    <w:t xml:space="preserve">This report does not constitute a personal recommendation of ACIL Allen or </w:t>
                  </w:r>
                  <w:proofErr w:type="gramStart"/>
                  <w:r>
                    <w:t>take into account</w:t>
                  </w:r>
                  <w:proofErr w:type="gramEnd"/>
                  <w:r>
                    <w:t xml:space="preserve"> the particular investment objectives, financial situations, or needs of the addressee in relation to any transaction that the addressee is contemplating. Investors should consider whether the content of this report is suitable for their </w:t>
                  </w:r>
                  <w:proofErr w:type="gramStart"/>
                  <w:r>
                    <w:t>particular circumstances</w:t>
                  </w:r>
                  <w:proofErr w:type="gramEnd"/>
                  <w:r>
                    <w:t xml:space="preserve">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52954456" w14:textId="77777777" w:rsidR="00B949E1" w:rsidRDefault="00A42F85" w:rsidP="00B9362B">
                  <w:pPr>
                    <w:pStyle w:val="CpDisclaimer"/>
                  </w:pPr>
                  <w:r>
                    <w:fldChar w:fldCharType="begin"/>
                  </w:r>
                  <w:r>
                    <w:instrText xml:space="preserve"> COMMENTS  \* MERGEFORMAT </w:instrText>
                  </w:r>
                  <w:r>
                    <w:fldChar w:fldCharType="separate"/>
                  </w:r>
                  <w:r w:rsidR="00B949E1">
                    <w:t>© ACIL Allen 2023</w:t>
                  </w:r>
                  <w:r>
                    <w:fldChar w:fldCharType="end"/>
                  </w:r>
                </w:p>
              </w:tc>
            </w:tr>
            <w:tr w:rsidR="00B949E1" w14:paraId="191B2FC5" w14:textId="77777777" w:rsidTr="00B9362B">
              <w:tc>
                <w:tcPr>
                  <w:tcW w:w="9836" w:type="dxa"/>
                  <w:shd w:val="clear" w:color="auto" w:fill="auto"/>
                </w:tcPr>
                <w:p w14:paraId="0A5FB581" w14:textId="77777777" w:rsidR="00B949E1" w:rsidRDefault="00B949E1" w:rsidP="00B9362B">
                  <w:pPr>
                    <w:pStyle w:val="CpAboutAcilAllen"/>
                    <w:spacing w:before="240" w:after="240"/>
                  </w:pPr>
                  <w:r>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14C2D3E8" w14:textId="77777777" w:rsidR="00B949E1" w:rsidRDefault="00B949E1" w:rsidP="00B9362B">
                  <w:pPr>
                    <w:pStyle w:val="Normal-nospace"/>
                    <w:spacing w:line="240" w:lineRule="auto"/>
                  </w:pPr>
                  <w:r>
                    <w:rPr>
                      <w:noProof/>
                    </w:rPr>
                    <w:drawing>
                      <wp:inline distT="0" distB="0" distL="0" distR="0" wp14:anchorId="0966D8AB" wp14:editId="4992C3CE">
                        <wp:extent cx="6245860" cy="890905"/>
                        <wp:effectExtent l="0" t="0" r="2540" b="4445"/>
                        <wp:docPr id="31" name="Picture 31" descr="A piece of indigenous artwork called Goomup, by Jarni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ece of indigenous artwork called Goomup, by Jarni McGuire"/>
                                <pic:cNvPicPr/>
                              </pic:nvPicPr>
                              <pic:blipFill>
                                <a:blip r:embed="rId10">
                                  <a:extLst>
                                    <a:ext uri="{28A0092B-C50C-407E-A947-70E740481C1C}">
                                      <a14:useLocalDpi xmlns:a14="http://schemas.microsoft.com/office/drawing/2010/main" val="0"/>
                                    </a:ext>
                                  </a:extLst>
                                </a:blip>
                                <a:stretch>
                                  <a:fillRect/>
                                </a:stretch>
                              </pic:blipFill>
                              <pic:spPr>
                                <a:xfrm>
                                  <a:off x="0" y="0"/>
                                  <a:ext cx="6245860" cy="890905"/>
                                </a:xfrm>
                                <a:prstGeom prst="rect">
                                  <a:avLst/>
                                </a:prstGeom>
                              </pic:spPr>
                            </pic:pic>
                          </a:graphicData>
                        </a:graphic>
                      </wp:inline>
                    </w:drawing>
                  </w:r>
                </w:p>
                <w:p w14:paraId="11482E0C" w14:textId="77777777" w:rsidR="00B949E1" w:rsidRDefault="00B949E1" w:rsidP="00B9362B">
                  <w:pPr>
                    <w:pStyle w:val="Normal-nospace"/>
                    <w:spacing w:before="60" w:line="240" w:lineRule="auto"/>
                    <w:jc w:val="right"/>
                  </w:pPr>
                  <w:r w:rsidRPr="00361FF9">
                    <w:rPr>
                      <w:color w:val="FFFFFF"/>
                      <w:sz w:val="14"/>
                    </w:rPr>
                    <w:t>Goomup, by Jarni McGuire</w:t>
                  </w:r>
                </w:p>
              </w:tc>
            </w:tr>
          </w:tbl>
          <w:p w14:paraId="43044EE4" w14:textId="77777777" w:rsidR="00B949E1" w:rsidRDefault="00B949E1" w:rsidP="00B9362B">
            <w:pPr>
              <w:pStyle w:val="Normal-nospace"/>
            </w:pPr>
          </w:p>
        </w:tc>
      </w:tr>
    </w:tbl>
    <w:p w14:paraId="7201185A" w14:textId="291FE46B" w:rsidR="00B949E1" w:rsidRDefault="00B949E1" w:rsidP="00B949E1">
      <w:pPr>
        <w:pStyle w:val="BodyText"/>
      </w:pPr>
      <w:r>
        <w:rPr>
          <w:noProof/>
        </w:rPr>
        <mc:AlternateContent>
          <mc:Choice Requires="wps">
            <w:drawing>
              <wp:anchor distT="0" distB="0" distL="114300" distR="114300" simplePos="0" relativeHeight="251672576" behindDoc="1" locked="1" layoutInCell="1" allowOverlap="1" wp14:anchorId="638C9F19" wp14:editId="7AEB1F62">
                <wp:simplePos x="0" y="0"/>
                <wp:positionH relativeFrom="page">
                  <wp:align>right</wp:align>
                </wp:positionH>
                <wp:positionV relativeFrom="page">
                  <wp:posOffset>-17145</wp:posOffset>
                </wp:positionV>
                <wp:extent cx="7560310" cy="10692130"/>
                <wp:effectExtent l="0" t="0" r="0" b="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522C83" id="Rectangle 548" o:spid="_x0000_s1026" style="position:absolute;margin-left:544.1pt;margin-top:-1.35pt;width:595.3pt;height:841.9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" fillcolor="#140034" stroked="f" strokeweight="2pt">
                <w10:wrap anchorx="page" anchory="page"/>
                <w10:anchorlock/>
              </v:rect>
            </w:pict>
          </mc:Fallback>
        </mc:AlternateContent>
      </w:r>
    </w:p>
    <w:p w14:paraId="2F103785" w14:textId="77777777" w:rsidR="00B949E1" w:rsidRDefault="00B949E1" w:rsidP="00B949E1">
      <w:pPr>
        <w:pStyle w:val="BodyText"/>
        <w:sectPr w:rsidR="00B949E1" w:rsidSect="00361FF9">
          <w:headerReference w:type="even" r:id="rId11"/>
          <w:headerReference w:type="default" r:id="rId12"/>
          <w:footerReference w:type="even" r:id="rId13"/>
          <w:footerReference w:type="default" r:id="rId14"/>
          <w:headerReference w:type="first" r:id="rId15"/>
          <w:footerReference w:type="first" r:id="rId16"/>
          <w:pgSz w:w="11906" w:h="16838" w:code="9"/>
          <w:pgMar w:top="1134" w:right="720" w:bottom="518" w:left="1134" w:header="454" w:footer="288" w:gutter="0"/>
          <w:cols w:space="708"/>
          <w:docGrid w:linePitch="360"/>
        </w:sectPr>
      </w:pPr>
    </w:p>
    <w:bookmarkStart w:id="1" w:name="_Hlk136937928"/>
    <w:bookmarkStart w:id="2" w:name="_Hlk136937962"/>
    <w:p w14:paraId="1C2EC8DA" w14:textId="77777777" w:rsidR="00B949E1" w:rsidRDefault="00B949E1" w:rsidP="00B949E1">
      <w:pPr>
        <w:pStyle w:val="TOC1"/>
        <w:rPr>
          <w:rFonts w:asciiTheme="minorHAnsi" w:eastAsiaTheme="minorEastAsia" w:hAnsiTheme="minorHAnsi"/>
          <w:b w:val="0"/>
          <w:color w:val="auto"/>
          <w:sz w:val="22"/>
          <w:lang w:eastAsia="en-AU"/>
        </w:rPr>
      </w:pPr>
      <w:r>
        <w:rPr>
          <w:b w:val="0"/>
          <w:color w:val="000100"/>
        </w:rPr>
        <w:lastRenderedPageBreak/>
        <w:fldChar w:fldCharType="begin"/>
      </w:r>
      <w:r>
        <w:rPr>
          <w:b w:val="0"/>
          <w:color w:val="000100"/>
        </w:rPr>
        <w:instrText xml:space="preserve"> TOC \o "2-2" \h \z \t "Heading 1,2,Heading 2,3,Part xx,1,Heading 1 (ES),1,App - Divider (Heading),1,Heading 1 (AP),2,Heading 2 (AP),3,Heading (glossary),1" </w:instrText>
      </w:r>
      <w:r>
        <w:rPr>
          <w:b w:val="0"/>
          <w:color w:val="000100"/>
        </w:rPr>
        <w:fldChar w:fldCharType="separate"/>
      </w:r>
      <w:hyperlink w:anchor="_Toc136872608" w:history="1">
        <w:bookmarkStart w:id="3" w:name="_Hlk136937158"/>
        <w:r w:rsidRPr="000F2E75">
          <w:rPr>
            <w:rStyle w:val="Hyperlink"/>
          </w:rPr>
          <w:t>Glossary</w:t>
        </w:r>
        <w:r>
          <w:rPr>
            <w:webHidden/>
          </w:rPr>
          <w:tab/>
        </w:r>
        <w:r>
          <w:rPr>
            <w:webHidden/>
          </w:rPr>
          <w:fldChar w:fldCharType="begin"/>
        </w:r>
        <w:r>
          <w:rPr>
            <w:webHidden/>
          </w:rPr>
          <w:instrText xml:space="preserve"> PAGEREF _Toc136872608 \h </w:instrText>
        </w:r>
        <w:r>
          <w:rPr>
            <w:webHidden/>
          </w:rPr>
        </w:r>
        <w:r>
          <w:rPr>
            <w:webHidden/>
          </w:rPr>
          <w:fldChar w:fldCharType="separate"/>
        </w:r>
        <w:r>
          <w:rPr>
            <w:webHidden/>
          </w:rPr>
          <w:t>i</w:t>
        </w:r>
        <w:r>
          <w:rPr>
            <w:webHidden/>
          </w:rPr>
          <w:fldChar w:fldCharType="end"/>
        </w:r>
        <w:bookmarkEnd w:id="3"/>
      </w:hyperlink>
    </w:p>
    <w:p w14:paraId="49DC1D60" w14:textId="77777777" w:rsidR="00B949E1" w:rsidRDefault="00A42F85" w:rsidP="00B949E1">
      <w:pPr>
        <w:pStyle w:val="TOC1"/>
        <w:rPr>
          <w:rFonts w:asciiTheme="minorHAnsi" w:eastAsiaTheme="minorEastAsia" w:hAnsiTheme="minorHAnsi"/>
          <w:b w:val="0"/>
          <w:color w:val="auto"/>
          <w:sz w:val="22"/>
          <w:lang w:eastAsia="en-AU"/>
        </w:rPr>
      </w:pPr>
      <w:hyperlink w:anchor="_Toc136872609" w:history="1">
        <w:r w:rsidR="00B949E1" w:rsidRPr="000F2E75">
          <w:rPr>
            <w:rStyle w:val="Hyperlink"/>
          </w:rPr>
          <w:t>Executive summary</w:t>
        </w:r>
        <w:r w:rsidR="00B949E1">
          <w:rPr>
            <w:webHidden/>
          </w:rPr>
          <w:tab/>
        </w:r>
        <w:r w:rsidR="00B949E1">
          <w:rPr>
            <w:webHidden/>
          </w:rPr>
          <w:fldChar w:fldCharType="begin"/>
        </w:r>
        <w:r w:rsidR="00B949E1">
          <w:rPr>
            <w:webHidden/>
          </w:rPr>
          <w:instrText xml:space="preserve"> PAGEREF _Toc136872609 \h </w:instrText>
        </w:r>
        <w:r w:rsidR="00B949E1">
          <w:rPr>
            <w:webHidden/>
          </w:rPr>
        </w:r>
        <w:r w:rsidR="00B949E1">
          <w:rPr>
            <w:webHidden/>
          </w:rPr>
          <w:fldChar w:fldCharType="separate"/>
        </w:r>
        <w:r w:rsidR="00B949E1">
          <w:rPr>
            <w:webHidden/>
          </w:rPr>
          <w:t>i</w:t>
        </w:r>
        <w:r w:rsidR="00B949E1">
          <w:rPr>
            <w:webHidden/>
          </w:rPr>
          <w:fldChar w:fldCharType="end"/>
        </w:r>
      </w:hyperlink>
    </w:p>
    <w:p w14:paraId="1C5FBEF9" w14:textId="77777777" w:rsidR="00B949E1" w:rsidRDefault="00A42F85" w:rsidP="00B949E1">
      <w:pPr>
        <w:pStyle w:val="TOC2"/>
        <w:rPr>
          <w:rFonts w:asciiTheme="minorHAnsi" w:eastAsiaTheme="minorEastAsia" w:hAnsiTheme="minorHAnsi"/>
          <w:b w:val="0"/>
          <w:color w:val="auto"/>
          <w:sz w:val="22"/>
          <w:lang w:eastAsia="en-AU"/>
        </w:rPr>
      </w:pPr>
      <w:hyperlink w:anchor="_Toc136872610" w:history="1">
        <w:r w:rsidR="00B949E1" w:rsidRPr="000F2E75">
          <w:rPr>
            <w:rStyle w:val="Hyperlink"/>
          </w:rPr>
          <w:t>2</w:t>
        </w:r>
        <w:r w:rsidR="00B949E1">
          <w:rPr>
            <w:rFonts w:asciiTheme="minorHAnsi" w:eastAsiaTheme="minorEastAsia" w:hAnsiTheme="minorHAnsi"/>
            <w:b w:val="0"/>
            <w:color w:val="auto"/>
            <w:sz w:val="22"/>
            <w:lang w:eastAsia="en-AU"/>
          </w:rPr>
          <w:tab/>
        </w:r>
        <w:r w:rsidR="00B949E1" w:rsidRPr="000F2E75">
          <w:rPr>
            <w:rStyle w:val="Hyperlink"/>
          </w:rPr>
          <w:t>Introduction</w:t>
        </w:r>
        <w:r w:rsidR="00B949E1">
          <w:rPr>
            <w:webHidden/>
          </w:rPr>
          <w:tab/>
        </w:r>
        <w:r w:rsidR="00B949E1">
          <w:rPr>
            <w:webHidden/>
          </w:rPr>
          <w:fldChar w:fldCharType="begin"/>
        </w:r>
        <w:r w:rsidR="00B949E1">
          <w:rPr>
            <w:webHidden/>
          </w:rPr>
          <w:instrText xml:space="preserve"> PAGEREF _Toc136872610 \h </w:instrText>
        </w:r>
        <w:r w:rsidR="00B949E1">
          <w:rPr>
            <w:webHidden/>
          </w:rPr>
        </w:r>
        <w:r w:rsidR="00B949E1">
          <w:rPr>
            <w:webHidden/>
          </w:rPr>
          <w:fldChar w:fldCharType="separate"/>
        </w:r>
        <w:r w:rsidR="00B949E1">
          <w:rPr>
            <w:webHidden/>
          </w:rPr>
          <w:t>8</w:t>
        </w:r>
        <w:r w:rsidR="00B949E1">
          <w:rPr>
            <w:webHidden/>
          </w:rPr>
          <w:fldChar w:fldCharType="end"/>
        </w:r>
      </w:hyperlink>
    </w:p>
    <w:p w14:paraId="202E1ACB"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1" w:history="1">
        <w:r w:rsidR="00B949E1" w:rsidRPr="000F2E75">
          <w:rPr>
            <w:rStyle w:val="Hyperlink"/>
          </w:rPr>
          <w:t>2.1</w:t>
        </w:r>
        <w:r w:rsidR="00B949E1">
          <w:rPr>
            <w:rFonts w:asciiTheme="minorHAnsi" w:eastAsiaTheme="minorEastAsia" w:hAnsiTheme="minorHAnsi"/>
            <w:color w:val="auto"/>
            <w:position w:val="0"/>
            <w:lang w:eastAsia="en-AU"/>
          </w:rPr>
          <w:tab/>
        </w:r>
        <w:r w:rsidR="00B949E1" w:rsidRPr="000F2E75">
          <w:rPr>
            <w:rStyle w:val="Hyperlink"/>
          </w:rPr>
          <w:t>Background</w:t>
        </w:r>
        <w:r w:rsidR="00B949E1">
          <w:rPr>
            <w:webHidden/>
          </w:rPr>
          <w:tab/>
        </w:r>
        <w:r w:rsidR="00B949E1">
          <w:rPr>
            <w:webHidden/>
          </w:rPr>
          <w:fldChar w:fldCharType="begin"/>
        </w:r>
        <w:r w:rsidR="00B949E1">
          <w:rPr>
            <w:webHidden/>
          </w:rPr>
          <w:instrText xml:space="preserve"> PAGEREF _Toc136872611 \h </w:instrText>
        </w:r>
        <w:r w:rsidR="00B949E1">
          <w:rPr>
            <w:webHidden/>
          </w:rPr>
        </w:r>
        <w:r w:rsidR="00B949E1">
          <w:rPr>
            <w:webHidden/>
          </w:rPr>
          <w:fldChar w:fldCharType="separate"/>
        </w:r>
        <w:r w:rsidR="00B949E1">
          <w:rPr>
            <w:webHidden/>
          </w:rPr>
          <w:t>8</w:t>
        </w:r>
        <w:r w:rsidR="00B949E1">
          <w:rPr>
            <w:webHidden/>
          </w:rPr>
          <w:fldChar w:fldCharType="end"/>
        </w:r>
      </w:hyperlink>
    </w:p>
    <w:p w14:paraId="23C6AA66"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2" w:history="1">
        <w:r w:rsidR="00B949E1" w:rsidRPr="000F2E75">
          <w:rPr>
            <w:rStyle w:val="Hyperlink"/>
          </w:rPr>
          <w:t>2.2</w:t>
        </w:r>
        <w:r w:rsidR="00B949E1">
          <w:rPr>
            <w:rFonts w:asciiTheme="minorHAnsi" w:eastAsiaTheme="minorEastAsia" w:hAnsiTheme="minorHAnsi"/>
            <w:color w:val="auto"/>
            <w:position w:val="0"/>
            <w:lang w:eastAsia="en-AU"/>
          </w:rPr>
          <w:tab/>
        </w:r>
        <w:r w:rsidR="00B949E1" w:rsidRPr="000F2E75">
          <w:rPr>
            <w:rStyle w:val="Hyperlink"/>
          </w:rPr>
          <w:t>RIS scope</w:t>
        </w:r>
        <w:r w:rsidR="00B949E1">
          <w:rPr>
            <w:webHidden/>
          </w:rPr>
          <w:tab/>
        </w:r>
        <w:r w:rsidR="00B949E1">
          <w:rPr>
            <w:webHidden/>
          </w:rPr>
          <w:fldChar w:fldCharType="begin"/>
        </w:r>
        <w:r w:rsidR="00B949E1">
          <w:rPr>
            <w:webHidden/>
          </w:rPr>
          <w:instrText xml:space="preserve"> PAGEREF _Toc136872612 \h </w:instrText>
        </w:r>
        <w:r w:rsidR="00B949E1">
          <w:rPr>
            <w:webHidden/>
          </w:rPr>
        </w:r>
        <w:r w:rsidR="00B949E1">
          <w:rPr>
            <w:webHidden/>
          </w:rPr>
          <w:fldChar w:fldCharType="separate"/>
        </w:r>
        <w:r w:rsidR="00B949E1">
          <w:rPr>
            <w:webHidden/>
          </w:rPr>
          <w:t>9</w:t>
        </w:r>
        <w:r w:rsidR="00B949E1">
          <w:rPr>
            <w:webHidden/>
          </w:rPr>
          <w:fldChar w:fldCharType="end"/>
        </w:r>
      </w:hyperlink>
    </w:p>
    <w:p w14:paraId="1783DDEE"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3" w:history="1">
        <w:r w:rsidR="00B949E1" w:rsidRPr="000F2E75">
          <w:rPr>
            <w:rStyle w:val="Hyperlink"/>
          </w:rPr>
          <w:t>2.3</w:t>
        </w:r>
        <w:r w:rsidR="00B949E1">
          <w:rPr>
            <w:rFonts w:asciiTheme="minorHAnsi" w:eastAsiaTheme="minorEastAsia" w:hAnsiTheme="minorHAnsi"/>
            <w:color w:val="auto"/>
            <w:position w:val="0"/>
            <w:lang w:eastAsia="en-AU"/>
          </w:rPr>
          <w:tab/>
        </w:r>
        <w:r w:rsidR="00B949E1" w:rsidRPr="000F2E75">
          <w:rPr>
            <w:rStyle w:val="Hyperlink"/>
          </w:rPr>
          <w:t>Legislative and policy requirements</w:t>
        </w:r>
        <w:r w:rsidR="00B949E1">
          <w:rPr>
            <w:webHidden/>
          </w:rPr>
          <w:tab/>
        </w:r>
        <w:r w:rsidR="00B949E1">
          <w:rPr>
            <w:webHidden/>
          </w:rPr>
          <w:fldChar w:fldCharType="begin"/>
        </w:r>
        <w:r w:rsidR="00B949E1">
          <w:rPr>
            <w:webHidden/>
          </w:rPr>
          <w:instrText xml:space="preserve"> PAGEREF _Toc136872613 \h </w:instrText>
        </w:r>
        <w:r w:rsidR="00B949E1">
          <w:rPr>
            <w:webHidden/>
          </w:rPr>
        </w:r>
        <w:r w:rsidR="00B949E1">
          <w:rPr>
            <w:webHidden/>
          </w:rPr>
          <w:fldChar w:fldCharType="separate"/>
        </w:r>
        <w:r w:rsidR="00B949E1">
          <w:rPr>
            <w:webHidden/>
          </w:rPr>
          <w:t>11</w:t>
        </w:r>
        <w:r w:rsidR="00B949E1">
          <w:rPr>
            <w:webHidden/>
          </w:rPr>
          <w:fldChar w:fldCharType="end"/>
        </w:r>
      </w:hyperlink>
    </w:p>
    <w:p w14:paraId="38E5A2E4"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4" w:history="1">
        <w:r w:rsidR="00B949E1" w:rsidRPr="000F2E75">
          <w:rPr>
            <w:rStyle w:val="Hyperlink"/>
          </w:rPr>
          <w:t>2.4</w:t>
        </w:r>
        <w:r w:rsidR="00B949E1">
          <w:rPr>
            <w:rFonts w:asciiTheme="minorHAnsi" w:eastAsiaTheme="minorEastAsia" w:hAnsiTheme="minorHAnsi"/>
            <w:color w:val="auto"/>
            <w:position w:val="0"/>
            <w:lang w:eastAsia="en-AU"/>
          </w:rPr>
          <w:tab/>
        </w:r>
        <w:r w:rsidR="00B949E1" w:rsidRPr="000F2E75">
          <w:rPr>
            <w:rStyle w:val="Hyperlink"/>
          </w:rPr>
          <w:t>RIS requirements</w:t>
        </w:r>
        <w:r w:rsidR="00B949E1">
          <w:rPr>
            <w:webHidden/>
          </w:rPr>
          <w:tab/>
        </w:r>
        <w:r w:rsidR="00B949E1">
          <w:rPr>
            <w:webHidden/>
          </w:rPr>
          <w:fldChar w:fldCharType="begin"/>
        </w:r>
        <w:r w:rsidR="00B949E1">
          <w:rPr>
            <w:webHidden/>
          </w:rPr>
          <w:instrText xml:space="preserve"> PAGEREF _Toc136872614 \h </w:instrText>
        </w:r>
        <w:r w:rsidR="00B949E1">
          <w:rPr>
            <w:webHidden/>
          </w:rPr>
        </w:r>
        <w:r w:rsidR="00B949E1">
          <w:rPr>
            <w:webHidden/>
          </w:rPr>
          <w:fldChar w:fldCharType="separate"/>
        </w:r>
        <w:r w:rsidR="00B949E1">
          <w:rPr>
            <w:webHidden/>
          </w:rPr>
          <w:t>12</w:t>
        </w:r>
        <w:r w:rsidR="00B949E1">
          <w:rPr>
            <w:webHidden/>
          </w:rPr>
          <w:fldChar w:fldCharType="end"/>
        </w:r>
      </w:hyperlink>
    </w:p>
    <w:p w14:paraId="5CA6DDD7"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5" w:history="1">
        <w:r w:rsidR="00B949E1" w:rsidRPr="000F2E75">
          <w:rPr>
            <w:rStyle w:val="Hyperlink"/>
          </w:rPr>
          <w:t>2.5</w:t>
        </w:r>
        <w:r w:rsidR="00B949E1">
          <w:rPr>
            <w:rFonts w:asciiTheme="minorHAnsi" w:eastAsiaTheme="minorEastAsia" w:hAnsiTheme="minorHAnsi"/>
            <w:color w:val="auto"/>
            <w:position w:val="0"/>
            <w:lang w:eastAsia="en-AU"/>
          </w:rPr>
          <w:tab/>
        </w:r>
        <w:r w:rsidR="00B949E1" w:rsidRPr="000F2E75">
          <w:rPr>
            <w:rStyle w:val="Hyperlink"/>
          </w:rPr>
          <w:t>Structure of this report</w:t>
        </w:r>
        <w:r w:rsidR="00B949E1">
          <w:rPr>
            <w:webHidden/>
          </w:rPr>
          <w:tab/>
        </w:r>
        <w:r w:rsidR="00B949E1">
          <w:rPr>
            <w:webHidden/>
          </w:rPr>
          <w:fldChar w:fldCharType="begin"/>
        </w:r>
        <w:r w:rsidR="00B949E1">
          <w:rPr>
            <w:webHidden/>
          </w:rPr>
          <w:instrText xml:space="preserve"> PAGEREF _Toc136872615 \h </w:instrText>
        </w:r>
        <w:r w:rsidR="00B949E1">
          <w:rPr>
            <w:webHidden/>
          </w:rPr>
        </w:r>
        <w:r w:rsidR="00B949E1">
          <w:rPr>
            <w:webHidden/>
          </w:rPr>
          <w:fldChar w:fldCharType="separate"/>
        </w:r>
        <w:r w:rsidR="00B949E1">
          <w:rPr>
            <w:webHidden/>
          </w:rPr>
          <w:t>14</w:t>
        </w:r>
        <w:r w:rsidR="00B949E1">
          <w:rPr>
            <w:webHidden/>
          </w:rPr>
          <w:fldChar w:fldCharType="end"/>
        </w:r>
      </w:hyperlink>
    </w:p>
    <w:p w14:paraId="08997938" w14:textId="77777777" w:rsidR="00B949E1" w:rsidRDefault="00A42F85" w:rsidP="00B949E1">
      <w:pPr>
        <w:pStyle w:val="TOC2"/>
        <w:rPr>
          <w:rFonts w:asciiTheme="minorHAnsi" w:eastAsiaTheme="minorEastAsia" w:hAnsiTheme="minorHAnsi"/>
          <w:b w:val="0"/>
          <w:color w:val="auto"/>
          <w:sz w:val="22"/>
          <w:lang w:eastAsia="en-AU"/>
        </w:rPr>
      </w:pPr>
      <w:hyperlink w:anchor="_Toc136872616" w:history="1">
        <w:r w:rsidR="00B949E1" w:rsidRPr="000F2E75">
          <w:rPr>
            <w:rStyle w:val="Hyperlink"/>
          </w:rPr>
          <w:t>3</w:t>
        </w:r>
        <w:r w:rsidR="00B949E1">
          <w:rPr>
            <w:rFonts w:asciiTheme="minorHAnsi" w:eastAsiaTheme="minorEastAsia" w:hAnsiTheme="minorHAnsi"/>
            <w:b w:val="0"/>
            <w:color w:val="auto"/>
            <w:sz w:val="22"/>
            <w:lang w:eastAsia="en-AU"/>
          </w:rPr>
          <w:tab/>
        </w:r>
        <w:r w:rsidR="00B949E1" w:rsidRPr="000F2E75">
          <w:rPr>
            <w:rStyle w:val="Hyperlink"/>
          </w:rPr>
          <w:t>Statement of the problem</w:t>
        </w:r>
        <w:r w:rsidR="00B949E1">
          <w:rPr>
            <w:webHidden/>
          </w:rPr>
          <w:tab/>
        </w:r>
        <w:r w:rsidR="00B949E1">
          <w:rPr>
            <w:webHidden/>
          </w:rPr>
          <w:fldChar w:fldCharType="begin"/>
        </w:r>
        <w:r w:rsidR="00B949E1">
          <w:rPr>
            <w:webHidden/>
          </w:rPr>
          <w:instrText xml:space="preserve"> PAGEREF _Toc136872616 \h </w:instrText>
        </w:r>
        <w:r w:rsidR="00B949E1">
          <w:rPr>
            <w:webHidden/>
          </w:rPr>
        </w:r>
        <w:r w:rsidR="00B949E1">
          <w:rPr>
            <w:webHidden/>
          </w:rPr>
          <w:fldChar w:fldCharType="separate"/>
        </w:r>
        <w:r w:rsidR="00B949E1">
          <w:rPr>
            <w:webHidden/>
          </w:rPr>
          <w:t>1</w:t>
        </w:r>
        <w:r w:rsidR="00B949E1">
          <w:rPr>
            <w:webHidden/>
          </w:rPr>
          <w:fldChar w:fldCharType="end"/>
        </w:r>
      </w:hyperlink>
    </w:p>
    <w:p w14:paraId="02CC1358"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7" w:history="1">
        <w:r w:rsidR="00B949E1" w:rsidRPr="000F2E75">
          <w:rPr>
            <w:rStyle w:val="Hyperlink"/>
          </w:rPr>
          <w:t>3.1</w:t>
        </w:r>
        <w:r w:rsidR="00B949E1">
          <w:rPr>
            <w:rFonts w:asciiTheme="minorHAnsi" w:eastAsiaTheme="minorEastAsia" w:hAnsiTheme="minorHAnsi"/>
            <w:color w:val="auto"/>
            <w:position w:val="0"/>
            <w:lang w:eastAsia="en-AU"/>
          </w:rPr>
          <w:tab/>
        </w:r>
        <w:r w:rsidR="00B949E1" w:rsidRPr="000F2E75">
          <w:rPr>
            <w:rStyle w:val="Hyperlink"/>
          </w:rPr>
          <w:t>Identifying the problem</w:t>
        </w:r>
        <w:r w:rsidR="00B949E1">
          <w:rPr>
            <w:webHidden/>
          </w:rPr>
          <w:tab/>
        </w:r>
        <w:r w:rsidR="00B949E1">
          <w:rPr>
            <w:webHidden/>
          </w:rPr>
          <w:fldChar w:fldCharType="begin"/>
        </w:r>
        <w:r w:rsidR="00B949E1">
          <w:rPr>
            <w:webHidden/>
          </w:rPr>
          <w:instrText xml:space="preserve"> PAGEREF _Toc136872617 \h </w:instrText>
        </w:r>
        <w:r w:rsidR="00B949E1">
          <w:rPr>
            <w:webHidden/>
          </w:rPr>
        </w:r>
        <w:r w:rsidR="00B949E1">
          <w:rPr>
            <w:webHidden/>
          </w:rPr>
          <w:fldChar w:fldCharType="separate"/>
        </w:r>
        <w:r w:rsidR="00B949E1">
          <w:rPr>
            <w:webHidden/>
          </w:rPr>
          <w:t>1</w:t>
        </w:r>
        <w:r w:rsidR="00B949E1">
          <w:rPr>
            <w:webHidden/>
          </w:rPr>
          <w:fldChar w:fldCharType="end"/>
        </w:r>
      </w:hyperlink>
    </w:p>
    <w:p w14:paraId="6A0EBAB5"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8" w:history="1">
        <w:r w:rsidR="00B949E1" w:rsidRPr="000F2E75">
          <w:rPr>
            <w:rStyle w:val="Hyperlink"/>
          </w:rPr>
          <w:t>3.2</w:t>
        </w:r>
        <w:r w:rsidR="00B949E1">
          <w:rPr>
            <w:rFonts w:asciiTheme="minorHAnsi" w:eastAsiaTheme="minorEastAsia" w:hAnsiTheme="minorHAnsi"/>
            <w:color w:val="auto"/>
            <w:position w:val="0"/>
            <w:lang w:eastAsia="en-AU"/>
          </w:rPr>
          <w:tab/>
        </w:r>
        <w:r w:rsidR="00B949E1" w:rsidRPr="000F2E75">
          <w:rPr>
            <w:rStyle w:val="Hyperlink"/>
          </w:rPr>
          <w:t>Impacts of SUP</w:t>
        </w:r>
        <w:r w:rsidR="00B949E1">
          <w:rPr>
            <w:webHidden/>
          </w:rPr>
          <w:tab/>
        </w:r>
        <w:r w:rsidR="00B949E1">
          <w:rPr>
            <w:webHidden/>
          </w:rPr>
          <w:fldChar w:fldCharType="begin"/>
        </w:r>
        <w:r w:rsidR="00B949E1">
          <w:rPr>
            <w:webHidden/>
          </w:rPr>
          <w:instrText xml:space="preserve"> PAGEREF _Toc136872618 \h </w:instrText>
        </w:r>
        <w:r w:rsidR="00B949E1">
          <w:rPr>
            <w:webHidden/>
          </w:rPr>
        </w:r>
        <w:r w:rsidR="00B949E1">
          <w:rPr>
            <w:webHidden/>
          </w:rPr>
          <w:fldChar w:fldCharType="separate"/>
        </w:r>
        <w:r w:rsidR="00B949E1">
          <w:rPr>
            <w:webHidden/>
          </w:rPr>
          <w:t>2</w:t>
        </w:r>
        <w:r w:rsidR="00B949E1">
          <w:rPr>
            <w:webHidden/>
          </w:rPr>
          <w:fldChar w:fldCharType="end"/>
        </w:r>
      </w:hyperlink>
    </w:p>
    <w:p w14:paraId="521DA43F"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19" w:history="1">
        <w:r w:rsidR="00B949E1" w:rsidRPr="000F2E75">
          <w:rPr>
            <w:rStyle w:val="Hyperlink"/>
          </w:rPr>
          <w:t>3.3</w:t>
        </w:r>
        <w:r w:rsidR="00B949E1">
          <w:rPr>
            <w:rFonts w:asciiTheme="minorHAnsi" w:eastAsiaTheme="minorEastAsia" w:hAnsiTheme="minorHAnsi"/>
            <w:color w:val="auto"/>
            <w:position w:val="0"/>
            <w:lang w:eastAsia="en-AU"/>
          </w:rPr>
          <w:tab/>
        </w:r>
        <w:r w:rsidR="00B949E1" w:rsidRPr="000F2E75">
          <w:rPr>
            <w:rStyle w:val="Hyperlink"/>
          </w:rPr>
          <w:t>Summing up</w:t>
        </w:r>
        <w:r w:rsidR="00B949E1">
          <w:rPr>
            <w:webHidden/>
          </w:rPr>
          <w:tab/>
        </w:r>
        <w:r w:rsidR="00B949E1">
          <w:rPr>
            <w:webHidden/>
          </w:rPr>
          <w:fldChar w:fldCharType="begin"/>
        </w:r>
        <w:r w:rsidR="00B949E1">
          <w:rPr>
            <w:webHidden/>
          </w:rPr>
          <w:instrText xml:space="preserve"> PAGEREF _Toc136872619 \h </w:instrText>
        </w:r>
        <w:r w:rsidR="00B949E1">
          <w:rPr>
            <w:webHidden/>
          </w:rPr>
        </w:r>
        <w:r w:rsidR="00B949E1">
          <w:rPr>
            <w:webHidden/>
          </w:rPr>
          <w:fldChar w:fldCharType="separate"/>
        </w:r>
        <w:r w:rsidR="00B949E1">
          <w:rPr>
            <w:webHidden/>
          </w:rPr>
          <w:t>6</w:t>
        </w:r>
        <w:r w:rsidR="00B949E1">
          <w:rPr>
            <w:webHidden/>
          </w:rPr>
          <w:fldChar w:fldCharType="end"/>
        </w:r>
      </w:hyperlink>
    </w:p>
    <w:p w14:paraId="5632E458" w14:textId="77777777" w:rsidR="00B949E1" w:rsidRDefault="00A42F85" w:rsidP="00B949E1">
      <w:pPr>
        <w:pStyle w:val="TOC2"/>
        <w:rPr>
          <w:rFonts w:asciiTheme="minorHAnsi" w:eastAsiaTheme="minorEastAsia" w:hAnsiTheme="minorHAnsi"/>
          <w:b w:val="0"/>
          <w:color w:val="auto"/>
          <w:sz w:val="22"/>
          <w:lang w:eastAsia="en-AU"/>
        </w:rPr>
      </w:pPr>
      <w:hyperlink w:anchor="_Toc136872620" w:history="1">
        <w:r w:rsidR="00B949E1" w:rsidRPr="000F2E75">
          <w:rPr>
            <w:rStyle w:val="Hyperlink"/>
          </w:rPr>
          <w:t>4</w:t>
        </w:r>
        <w:r w:rsidR="00B949E1">
          <w:rPr>
            <w:rFonts w:asciiTheme="minorHAnsi" w:eastAsiaTheme="minorEastAsia" w:hAnsiTheme="minorHAnsi"/>
            <w:b w:val="0"/>
            <w:color w:val="auto"/>
            <w:sz w:val="22"/>
            <w:lang w:eastAsia="en-AU"/>
          </w:rPr>
          <w:tab/>
        </w:r>
        <w:r w:rsidR="00B949E1" w:rsidRPr="000F2E75">
          <w:rPr>
            <w:rStyle w:val="Hyperlink"/>
          </w:rPr>
          <w:t>Rationale for government intervention</w:t>
        </w:r>
        <w:r w:rsidR="00B949E1">
          <w:rPr>
            <w:webHidden/>
          </w:rPr>
          <w:tab/>
        </w:r>
        <w:r w:rsidR="00B949E1">
          <w:rPr>
            <w:webHidden/>
          </w:rPr>
          <w:fldChar w:fldCharType="begin"/>
        </w:r>
        <w:r w:rsidR="00B949E1">
          <w:rPr>
            <w:webHidden/>
          </w:rPr>
          <w:instrText xml:space="preserve"> PAGEREF _Toc136872620 \h </w:instrText>
        </w:r>
        <w:r w:rsidR="00B949E1">
          <w:rPr>
            <w:webHidden/>
          </w:rPr>
        </w:r>
        <w:r w:rsidR="00B949E1">
          <w:rPr>
            <w:webHidden/>
          </w:rPr>
          <w:fldChar w:fldCharType="separate"/>
        </w:r>
        <w:r w:rsidR="00B949E1">
          <w:rPr>
            <w:webHidden/>
          </w:rPr>
          <w:t>7</w:t>
        </w:r>
        <w:r w:rsidR="00B949E1">
          <w:rPr>
            <w:webHidden/>
          </w:rPr>
          <w:fldChar w:fldCharType="end"/>
        </w:r>
      </w:hyperlink>
    </w:p>
    <w:p w14:paraId="796EED8A"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1" w:history="1">
        <w:r w:rsidR="00B949E1" w:rsidRPr="000F2E75">
          <w:rPr>
            <w:rStyle w:val="Hyperlink"/>
          </w:rPr>
          <w:t>4.1</w:t>
        </w:r>
        <w:r w:rsidR="00B949E1">
          <w:rPr>
            <w:rFonts w:asciiTheme="minorHAnsi" w:eastAsiaTheme="minorEastAsia" w:hAnsiTheme="minorHAnsi"/>
            <w:color w:val="auto"/>
            <w:position w:val="0"/>
            <w:lang w:eastAsia="en-AU"/>
          </w:rPr>
          <w:tab/>
        </w:r>
        <w:r w:rsidR="00B949E1" w:rsidRPr="000F2E75">
          <w:rPr>
            <w:rStyle w:val="Hyperlink"/>
          </w:rPr>
          <w:t>The need for further intervention</w:t>
        </w:r>
        <w:r w:rsidR="00B949E1">
          <w:rPr>
            <w:webHidden/>
          </w:rPr>
          <w:tab/>
        </w:r>
        <w:r w:rsidR="00B949E1">
          <w:rPr>
            <w:webHidden/>
          </w:rPr>
          <w:fldChar w:fldCharType="begin"/>
        </w:r>
        <w:r w:rsidR="00B949E1">
          <w:rPr>
            <w:webHidden/>
          </w:rPr>
          <w:instrText xml:space="preserve"> PAGEREF _Toc136872621 \h </w:instrText>
        </w:r>
        <w:r w:rsidR="00B949E1">
          <w:rPr>
            <w:webHidden/>
          </w:rPr>
        </w:r>
        <w:r w:rsidR="00B949E1">
          <w:rPr>
            <w:webHidden/>
          </w:rPr>
          <w:fldChar w:fldCharType="separate"/>
        </w:r>
        <w:r w:rsidR="00B949E1">
          <w:rPr>
            <w:webHidden/>
          </w:rPr>
          <w:t>7</w:t>
        </w:r>
        <w:r w:rsidR="00B949E1">
          <w:rPr>
            <w:webHidden/>
          </w:rPr>
          <w:fldChar w:fldCharType="end"/>
        </w:r>
      </w:hyperlink>
    </w:p>
    <w:p w14:paraId="2F9BC4B7"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2" w:history="1">
        <w:r w:rsidR="00B949E1" w:rsidRPr="000F2E75">
          <w:rPr>
            <w:rStyle w:val="Hyperlink"/>
          </w:rPr>
          <w:t>4.2</w:t>
        </w:r>
        <w:r w:rsidR="00B949E1">
          <w:rPr>
            <w:rFonts w:asciiTheme="minorHAnsi" w:eastAsiaTheme="minorEastAsia" w:hAnsiTheme="minorHAnsi"/>
            <w:color w:val="auto"/>
            <w:position w:val="0"/>
            <w:lang w:eastAsia="en-AU"/>
          </w:rPr>
          <w:tab/>
        </w:r>
        <w:r w:rsidR="00B949E1" w:rsidRPr="000F2E75">
          <w:rPr>
            <w:rStyle w:val="Hyperlink"/>
          </w:rPr>
          <w:t>Potential interventions that address the problem</w:t>
        </w:r>
        <w:r w:rsidR="00B949E1">
          <w:rPr>
            <w:webHidden/>
          </w:rPr>
          <w:tab/>
        </w:r>
        <w:r w:rsidR="00B949E1">
          <w:rPr>
            <w:webHidden/>
          </w:rPr>
          <w:fldChar w:fldCharType="begin"/>
        </w:r>
        <w:r w:rsidR="00B949E1">
          <w:rPr>
            <w:webHidden/>
          </w:rPr>
          <w:instrText xml:space="preserve"> PAGEREF _Toc136872622 \h </w:instrText>
        </w:r>
        <w:r w:rsidR="00B949E1">
          <w:rPr>
            <w:webHidden/>
          </w:rPr>
        </w:r>
        <w:r w:rsidR="00B949E1">
          <w:rPr>
            <w:webHidden/>
          </w:rPr>
          <w:fldChar w:fldCharType="separate"/>
        </w:r>
        <w:r w:rsidR="00B949E1">
          <w:rPr>
            <w:webHidden/>
          </w:rPr>
          <w:t>8</w:t>
        </w:r>
        <w:r w:rsidR="00B949E1">
          <w:rPr>
            <w:webHidden/>
          </w:rPr>
          <w:fldChar w:fldCharType="end"/>
        </w:r>
      </w:hyperlink>
    </w:p>
    <w:p w14:paraId="05D66472"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3" w:history="1">
        <w:r w:rsidR="00B949E1" w:rsidRPr="000F2E75">
          <w:rPr>
            <w:rStyle w:val="Hyperlink"/>
          </w:rPr>
          <w:t>4.3</w:t>
        </w:r>
        <w:r w:rsidR="00B949E1">
          <w:rPr>
            <w:rFonts w:asciiTheme="minorHAnsi" w:eastAsiaTheme="minorEastAsia" w:hAnsiTheme="minorHAnsi"/>
            <w:color w:val="auto"/>
            <w:position w:val="0"/>
            <w:lang w:eastAsia="en-AU"/>
          </w:rPr>
          <w:tab/>
        </w:r>
        <w:r w:rsidR="00B949E1" w:rsidRPr="000F2E75">
          <w:rPr>
            <w:rStyle w:val="Hyperlink"/>
          </w:rPr>
          <w:t>Summing up</w:t>
        </w:r>
        <w:r w:rsidR="00B949E1">
          <w:rPr>
            <w:webHidden/>
          </w:rPr>
          <w:tab/>
        </w:r>
        <w:r w:rsidR="00B949E1">
          <w:rPr>
            <w:webHidden/>
          </w:rPr>
          <w:fldChar w:fldCharType="begin"/>
        </w:r>
        <w:r w:rsidR="00B949E1">
          <w:rPr>
            <w:webHidden/>
          </w:rPr>
          <w:instrText xml:space="preserve"> PAGEREF _Toc136872623 \h </w:instrText>
        </w:r>
        <w:r w:rsidR="00B949E1">
          <w:rPr>
            <w:webHidden/>
          </w:rPr>
        </w:r>
        <w:r w:rsidR="00B949E1">
          <w:rPr>
            <w:webHidden/>
          </w:rPr>
          <w:fldChar w:fldCharType="separate"/>
        </w:r>
        <w:r w:rsidR="00B949E1">
          <w:rPr>
            <w:webHidden/>
          </w:rPr>
          <w:t>13</w:t>
        </w:r>
        <w:r w:rsidR="00B949E1">
          <w:rPr>
            <w:webHidden/>
          </w:rPr>
          <w:fldChar w:fldCharType="end"/>
        </w:r>
      </w:hyperlink>
    </w:p>
    <w:p w14:paraId="0CD8133A" w14:textId="77777777" w:rsidR="00B949E1" w:rsidRDefault="00A42F85" w:rsidP="00B949E1">
      <w:pPr>
        <w:pStyle w:val="TOC2"/>
        <w:rPr>
          <w:rFonts w:asciiTheme="minorHAnsi" w:eastAsiaTheme="minorEastAsia" w:hAnsiTheme="minorHAnsi"/>
          <w:b w:val="0"/>
          <w:color w:val="auto"/>
          <w:sz w:val="22"/>
          <w:lang w:eastAsia="en-AU"/>
        </w:rPr>
      </w:pPr>
      <w:hyperlink w:anchor="_Toc136872624" w:history="1">
        <w:r w:rsidR="00B949E1" w:rsidRPr="000F2E75">
          <w:rPr>
            <w:rStyle w:val="Hyperlink"/>
          </w:rPr>
          <w:t>5</w:t>
        </w:r>
        <w:r w:rsidR="00B949E1">
          <w:rPr>
            <w:rFonts w:asciiTheme="minorHAnsi" w:eastAsiaTheme="minorEastAsia" w:hAnsiTheme="minorHAnsi"/>
            <w:b w:val="0"/>
            <w:color w:val="auto"/>
            <w:sz w:val="22"/>
            <w:lang w:eastAsia="en-AU"/>
          </w:rPr>
          <w:tab/>
        </w:r>
        <w:r w:rsidR="00B949E1" w:rsidRPr="000F2E75">
          <w:rPr>
            <w:rStyle w:val="Hyperlink"/>
          </w:rPr>
          <w:t>Objectives and options</w:t>
        </w:r>
        <w:r w:rsidR="00B949E1">
          <w:rPr>
            <w:webHidden/>
          </w:rPr>
          <w:tab/>
        </w:r>
        <w:r w:rsidR="00B949E1">
          <w:rPr>
            <w:webHidden/>
          </w:rPr>
          <w:fldChar w:fldCharType="begin"/>
        </w:r>
        <w:r w:rsidR="00B949E1">
          <w:rPr>
            <w:webHidden/>
          </w:rPr>
          <w:instrText xml:space="preserve"> PAGEREF _Toc136872624 \h </w:instrText>
        </w:r>
        <w:r w:rsidR="00B949E1">
          <w:rPr>
            <w:webHidden/>
          </w:rPr>
        </w:r>
        <w:r w:rsidR="00B949E1">
          <w:rPr>
            <w:webHidden/>
          </w:rPr>
          <w:fldChar w:fldCharType="separate"/>
        </w:r>
        <w:r w:rsidR="00B949E1">
          <w:rPr>
            <w:webHidden/>
          </w:rPr>
          <w:t>14</w:t>
        </w:r>
        <w:r w:rsidR="00B949E1">
          <w:rPr>
            <w:webHidden/>
          </w:rPr>
          <w:fldChar w:fldCharType="end"/>
        </w:r>
      </w:hyperlink>
    </w:p>
    <w:p w14:paraId="5866592F"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5" w:history="1">
        <w:r w:rsidR="00B949E1" w:rsidRPr="000F2E75">
          <w:rPr>
            <w:rStyle w:val="Hyperlink"/>
          </w:rPr>
          <w:t>5.1</w:t>
        </w:r>
        <w:r w:rsidR="00B949E1">
          <w:rPr>
            <w:rFonts w:asciiTheme="minorHAnsi" w:eastAsiaTheme="minorEastAsia" w:hAnsiTheme="minorHAnsi"/>
            <w:color w:val="auto"/>
            <w:position w:val="0"/>
            <w:lang w:eastAsia="en-AU"/>
          </w:rPr>
          <w:tab/>
        </w:r>
        <w:r w:rsidR="00B949E1" w:rsidRPr="000F2E75">
          <w:rPr>
            <w:rStyle w:val="Hyperlink"/>
          </w:rPr>
          <w:t>Objectives of government action</w:t>
        </w:r>
        <w:r w:rsidR="00B949E1">
          <w:rPr>
            <w:webHidden/>
          </w:rPr>
          <w:tab/>
        </w:r>
        <w:r w:rsidR="00B949E1">
          <w:rPr>
            <w:webHidden/>
          </w:rPr>
          <w:fldChar w:fldCharType="begin"/>
        </w:r>
        <w:r w:rsidR="00B949E1">
          <w:rPr>
            <w:webHidden/>
          </w:rPr>
          <w:instrText xml:space="preserve"> PAGEREF _Toc136872625 \h </w:instrText>
        </w:r>
        <w:r w:rsidR="00B949E1">
          <w:rPr>
            <w:webHidden/>
          </w:rPr>
        </w:r>
        <w:r w:rsidR="00B949E1">
          <w:rPr>
            <w:webHidden/>
          </w:rPr>
          <w:fldChar w:fldCharType="separate"/>
        </w:r>
        <w:r w:rsidR="00B949E1">
          <w:rPr>
            <w:webHidden/>
          </w:rPr>
          <w:t>14</w:t>
        </w:r>
        <w:r w:rsidR="00B949E1">
          <w:rPr>
            <w:webHidden/>
          </w:rPr>
          <w:fldChar w:fldCharType="end"/>
        </w:r>
      </w:hyperlink>
    </w:p>
    <w:p w14:paraId="697833FE"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6" w:history="1">
        <w:r w:rsidR="00B949E1" w:rsidRPr="000F2E75">
          <w:rPr>
            <w:rStyle w:val="Hyperlink"/>
          </w:rPr>
          <w:t>5.2</w:t>
        </w:r>
        <w:r w:rsidR="00B949E1">
          <w:rPr>
            <w:rFonts w:asciiTheme="minorHAnsi" w:eastAsiaTheme="minorEastAsia" w:hAnsiTheme="minorHAnsi"/>
            <w:color w:val="auto"/>
            <w:position w:val="0"/>
            <w:lang w:eastAsia="en-AU"/>
          </w:rPr>
          <w:tab/>
        </w:r>
        <w:r w:rsidR="00B949E1" w:rsidRPr="000F2E75">
          <w:rPr>
            <w:rStyle w:val="Hyperlink"/>
          </w:rPr>
          <w:t>Policy options</w:t>
        </w:r>
        <w:r w:rsidR="00B949E1">
          <w:rPr>
            <w:webHidden/>
          </w:rPr>
          <w:tab/>
        </w:r>
        <w:r w:rsidR="00B949E1">
          <w:rPr>
            <w:webHidden/>
          </w:rPr>
          <w:fldChar w:fldCharType="begin"/>
        </w:r>
        <w:r w:rsidR="00B949E1">
          <w:rPr>
            <w:webHidden/>
          </w:rPr>
          <w:instrText xml:space="preserve"> PAGEREF _Toc136872626 \h </w:instrText>
        </w:r>
        <w:r w:rsidR="00B949E1">
          <w:rPr>
            <w:webHidden/>
          </w:rPr>
        </w:r>
        <w:r w:rsidR="00B949E1">
          <w:rPr>
            <w:webHidden/>
          </w:rPr>
          <w:fldChar w:fldCharType="separate"/>
        </w:r>
        <w:r w:rsidR="00B949E1">
          <w:rPr>
            <w:webHidden/>
          </w:rPr>
          <w:t>14</w:t>
        </w:r>
        <w:r w:rsidR="00B949E1">
          <w:rPr>
            <w:webHidden/>
          </w:rPr>
          <w:fldChar w:fldCharType="end"/>
        </w:r>
      </w:hyperlink>
    </w:p>
    <w:p w14:paraId="436F81E6"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7" w:history="1">
        <w:r w:rsidR="00B949E1" w:rsidRPr="000F2E75">
          <w:rPr>
            <w:rStyle w:val="Hyperlink"/>
          </w:rPr>
          <w:t>5.3</w:t>
        </w:r>
        <w:r w:rsidR="00B949E1">
          <w:rPr>
            <w:rFonts w:asciiTheme="minorHAnsi" w:eastAsiaTheme="minorEastAsia" w:hAnsiTheme="minorHAnsi"/>
            <w:color w:val="auto"/>
            <w:position w:val="0"/>
            <w:lang w:eastAsia="en-AU"/>
          </w:rPr>
          <w:tab/>
        </w:r>
        <w:r w:rsidR="00B949E1" w:rsidRPr="000F2E75">
          <w:rPr>
            <w:rStyle w:val="Hyperlink"/>
          </w:rPr>
          <w:t>Other options</w:t>
        </w:r>
        <w:r w:rsidR="00B949E1">
          <w:rPr>
            <w:webHidden/>
          </w:rPr>
          <w:tab/>
        </w:r>
        <w:r w:rsidR="00B949E1">
          <w:rPr>
            <w:webHidden/>
          </w:rPr>
          <w:fldChar w:fldCharType="begin"/>
        </w:r>
        <w:r w:rsidR="00B949E1">
          <w:rPr>
            <w:webHidden/>
          </w:rPr>
          <w:instrText xml:space="preserve"> PAGEREF _Toc136872627 \h </w:instrText>
        </w:r>
        <w:r w:rsidR="00B949E1">
          <w:rPr>
            <w:webHidden/>
          </w:rPr>
        </w:r>
        <w:r w:rsidR="00B949E1">
          <w:rPr>
            <w:webHidden/>
          </w:rPr>
          <w:fldChar w:fldCharType="separate"/>
        </w:r>
        <w:r w:rsidR="00B949E1">
          <w:rPr>
            <w:webHidden/>
          </w:rPr>
          <w:t>15</w:t>
        </w:r>
        <w:r w:rsidR="00B949E1">
          <w:rPr>
            <w:webHidden/>
          </w:rPr>
          <w:fldChar w:fldCharType="end"/>
        </w:r>
      </w:hyperlink>
    </w:p>
    <w:p w14:paraId="27D71A3D" w14:textId="77777777" w:rsidR="00B949E1" w:rsidRDefault="00A42F85" w:rsidP="00B949E1">
      <w:pPr>
        <w:pStyle w:val="TOC2"/>
        <w:rPr>
          <w:rFonts w:asciiTheme="minorHAnsi" w:eastAsiaTheme="minorEastAsia" w:hAnsiTheme="minorHAnsi"/>
          <w:b w:val="0"/>
          <w:color w:val="auto"/>
          <w:sz w:val="22"/>
          <w:lang w:eastAsia="en-AU"/>
        </w:rPr>
      </w:pPr>
      <w:hyperlink w:anchor="_Toc136872628" w:history="1">
        <w:r w:rsidR="00B949E1" w:rsidRPr="000F2E75">
          <w:rPr>
            <w:rStyle w:val="Hyperlink"/>
          </w:rPr>
          <w:t>6</w:t>
        </w:r>
        <w:r w:rsidR="00B949E1">
          <w:rPr>
            <w:rFonts w:asciiTheme="minorHAnsi" w:eastAsiaTheme="minorEastAsia" w:hAnsiTheme="minorHAnsi"/>
            <w:b w:val="0"/>
            <w:color w:val="auto"/>
            <w:sz w:val="22"/>
            <w:lang w:eastAsia="en-AU"/>
          </w:rPr>
          <w:tab/>
        </w:r>
        <w:r w:rsidR="00B949E1" w:rsidRPr="000F2E75">
          <w:rPr>
            <w:rStyle w:val="Hyperlink"/>
          </w:rPr>
          <w:t>Framework for impact assessment</w:t>
        </w:r>
        <w:r w:rsidR="00B949E1">
          <w:rPr>
            <w:webHidden/>
          </w:rPr>
          <w:tab/>
        </w:r>
        <w:r w:rsidR="00B949E1">
          <w:rPr>
            <w:webHidden/>
          </w:rPr>
          <w:fldChar w:fldCharType="begin"/>
        </w:r>
        <w:r w:rsidR="00B949E1">
          <w:rPr>
            <w:webHidden/>
          </w:rPr>
          <w:instrText xml:space="preserve"> PAGEREF _Toc136872628 \h </w:instrText>
        </w:r>
        <w:r w:rsidR="00B949E1">
          <w:rPr>
            <w:webHidden/>
          </w:rPr>
        </w:r>
        <w:r w:rsidR="00B949E1">
          <w:rPr>
            <w:webHidden/>
          </w:rPr>
          <w:fldChar w:fldCharType="separate"/>
        </w:r>
        <w:r w:rsidR="00B949E1">
          <w:rPr>
            <w:webHidden/>
          </w:rPr>
          <w:t>16</w:t>
        </w:r>
        <w:r w:rsidR="00B949E1">
          <w:rPr>
            <w:webHidden/>
          </w:rPr>
          <w:fldChar w:fldCharType="end"/>
        </w:r>
      </w:hyperlink>
    </w:p>
    <w:p w14:paraId="02166D28"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29" w:history="1">
        <w:r w:rsidR="00B949E1" w:rsidRPr="000F2E75">
          <w:rPr>
            <w:rStyle w:val="Hyperlink"/>
          </w:rPr>
          <w:t>6.1</w:t>
        </w:r>
        <w:r w:rsidR="00B949E1">
          <w:rPr>
            <w:rFonts w:asciiTheme="minorHAnsi" w:eastAsiaTheme="minorEastAsia" w:hAnsiTheme="minorHAnsi"/>
            <w:color w:val="auto"/>
            <w:position w:val="0"/>
            <w:lang w:eastAsia="en-AU"/>
          </w:rPr>
          <w:tab/>
        </w:r>
        <w:r w:rsidR="00B949E1" w:rsidRPr="000F2E75">
          <w:rPr>
            <w:rStyle w:val="Hyperlink"/>
          </w:rPr>
          <w:t>General framework</w:t>
        </w:r>
        <w:r w:rsidR="00B949E1">
          <w:rPr>
            <w:webHidden/>
          </w:rPr>
          <w:tab/>
        </w:r>
        <w:r w:rsidR="00B949E1">
          <w:rPr>
            <w:webHidden/>
          </w:rPr>
          <w:fldChar w:fldCharType="begin"/>
        </w:r>
        <w:r w:rsidR="00B949E1">
          <w:rPr>
            <w:webHidden/>
          </w:rPr>
          <w:instrText xml:space="preserve"> PAGEREF _Toc136872629 \h </w:instrText>
        </w:r>
        <w:r w:rsidR="00B949E1">
          <w:rPr>
            <w:webHidden/>
          </w:rPr>
        </w:r>
        <w:r w:rsidR="00B949E1">
          <w:rPr>
            <w:webHidden/>
          </w:rPr>
          <w:fldChar w:fldCharType="separate"/>
        </w:r>
        <w:r w:rsidR="00B949E1">
          <w:rPr>
            <w:webHidden/>
          </w:rPr>
          <w:t>16</w:t>
        </w:r>
        <w:r w:rsidR="00B949E1">
          <w:rPr>
            <w:webHidden/>
          </w:rPr>
          <w:fldChar w:fldCharType="end"/>
        </w:r>
      </w:hyperlink>
    </w:p>
    <w:p w14:paraId="31664696"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0" w:history="1">
        <w:r w:rsidR="00B949E1" w:rsidRPr="000F2E75">
          <w:rPr>
            <w:rStyle w:val="Hyperlink"/>
          </w:rPr>
          <w:t>6.2</w:t>
        </w:r>
        <w:r w:rsidR="00B949E1">
          <w:rPr>
            <w:rFonts w:asciiTheme="minorHAnsi" w:eastAsiaTheme="minorEastAsia" w:hAnsiTheme="minorHAnsi"/>
            <w:color w:val="auto"/>
            <w:position w:val="0"/>
            <w:lang w:eastAsia="en-AU"/>
          </w:rPr>
          <w:tab/>
        </w:r>
        <w:r w:rsidR="00B949E1" w:rsidRPr="000F2E75">
          <w:rPr>
            <w:rStyle w:val="Hyperlink"/>
          </w:rPr>
          <w:t>Impact assessment</w:t>
        </w:r>
        <w:r w:rsidR="00B949E1">
          <w:rPr>
            <w:webHidden/>
          </w:rPr>
          <w:tab/>
        </w:r>
        <w:r w:rsidR="00B949E1">
          <w:rPr>
            <w:webHidden/>
          </w:rPr>
          <w:fldChar w:fldCharType="begin"/>
        </w:r>
        <w:r w:rsidR="00B949E1">
          <w:rPr>
            <w:webHidden/>
          </w:rPr>
          <w:instrText xml:space="preserve"> PAGEREF _Toc136872630 \h </w:instrText>
        </w:r>
        <w:r w:rsidR="00B949E1">
          <w:rPr>
            <w:webHidden/>
          </w:rPr>
        </w:r>
        <w:r w:rsidR="00B949E1">
          <w:rPr>
            <w:webHidden/>
          </w:rPr>
          <w:fldChar w:fldCharType="separate"/>
        </w:r>
        <w:r w:rsidR="00B949E1">
          <w:rPr>
            <w:webHidden/>
          </w:rPr>
          <w:t>21</w:t>
        </w:r>
        <w:r w:rsidR="00B949E1">
          <w:rPr>
            <w:webHidden/>
          </w:rPr>
          <w:fldChar w:fldCharType="end"/>
        </w:r>
      </w:hyperlink>
    </w:p>
    <w:p w14:paraId="3BAEC508"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1" w:history="1">
        <w:r w:rsidR="00B949E1" w:rsidRPr="000F2E75">
          <w:rPr>
            <w:rStyle w:val="Hyperlink"/>
          </w:rPr>
          <w:t>6.3</w:t>
        </w:r>
        <w:r w:rsidR="00B949E1">
          <w:rPr>
            <w:rFonts w:asciiTheme="minorHAnsi" w:eastAsiaTheme="minorEastAsia" w:hAnsiTheme="minorHAnsi"/>
            <w:color w:val="auto"/>
            <w:position w:val="0"/>
            <w:lang w:eastAsia="en-AU"/>
          </w:rPr>
          <w:tab/>
        </w:r>
        <w:r w:rsidR="00B949E1" w:rsidRPr="000F2E75">
          <w:rPr>
            <w:rStyle w:val="Hyperlink"/>
          </w:rPr>
          <w:t>Cost assessment</w:t>
        </w:r>
        <w:r w:rsidR="00B949E1">
          <w:rPr>
            <w:webHidden/>
          </w:rPr>
          <w:tab/>
        </w:r>
        <w:r w:rsidR="00B949E1">
          <w:rPr>
            <w:webHidden/>
          </w:rPr>
          <w:fldChar w:fldCharType="begin"/>
        </w:r>
        <w:r w:rsidR="00B949E1">
          <w:rPr>
            <w:webHidden/>
          </w:rPr>
          <w:instrText xml:space="preserve"> PAGEREF _Toc136872631 \h </w:instrText>
        </w:r>
        <w:r w:rsidR="00B949E1">
          <w:rPr>
            <w:webHidden/>
          </w:rPr>
        </w:r>
        <w:r w:rsidR="00B949E1">
          <w:rPr>
            <w:webHidden/>
          </w:rPr>
          <w:fldChar w:fldCharType="separate"/>
        </w:r>
        <w:r w:rsidR="00B949E1">
          <w:rPr>
            <w:webHidden/>
          </w:rPr>
          <w:t>25</w:t>
        </w:r>
        <w:r w:rsidR="00B949E1">
          <w:rPr>
            <w:webHidden/>
          </w:rPr>
          <w:fldChar w:fldCharType="end"/>
        </w:r>
      </w:hyperlink>
    </w:p>
    <w:p w14:paraId="3AC99AE6"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2" w:history="1">
        <w:r w:rsidR="00B949E1" w:rsidRPr="000F2E75">
          <w:rPr>
            <w:rStyle w:val="Hyperlink"/>
          </w:rPr>
          <w:t>6.4</w:t>
        </w:r>
        <w:r w:rsidR="00B949E1">
          <w:rPr>
            <w:rFonts w:asciiTheme="minorHAnsi" w:eastAsiaTheme="minorEastAsia" w:hAnsiTheme="minorHAnsi"/>
            <w:color w:val="auto"/>
            <w:position w:val="0"/>
            <w:lang w:eastAsia="en-AU"/>
          </w:rPr>
          <w:tab/>
        </w:r>
        <w:r w:rsidR="00B949E1" w:rsidRPr="000F2E75">
          <w:rPr>
            <w:rStyle w:val="Hyperlink"/>
          </w:rPr>
          <w:t>Benefit assessment</w:t>
        </w:r>
        <w:r w:rsidR="00B949E1">
          <w:rPr>
            <w:webHidden/>
          </w:rPr>
          <w:tab/>
        </w:r>
        <w:r w:rsidR="00B949E1">
          <w:rPr>
            <w:webHidden/>
          </w:rPr>
          <w:fldChar w:fldCharType="begin"/>
        </w:r>
        <w:r w:rsidR="00B949E1">
          <w:rPr>
            <w:webHidden/>
          </w:rPr>
          <w:instrText xml:space="preserve"> PAGEREF _Toc136872632 \h </w:instrText>
        </w:r>
        <w:r w:rsidR="00B949E1">
          <w:rPr>
            <w:webHidden/>
          </w:rPr>
        </w:r>
        <w:r w:rsidR="00B949E1">
          <w:rPr>
            <w:webHidden/>
          </w:rPr>
          <w:fldChar w:fldCharType="separate"/>
        </w:r>
        <w:r w:rsidR="00B949E1">
          <w:rPr>
            <w:webHidden/>
          </w:rPr>
          <w:t>26</w:t>
        </w:r>
        <w:r w:rsidR="00B949E1">
          <w:rPr>
            <w:webHidden/>
          </w:rPr>
          <w:fldChar w:fldCharType="end"/>
        </w:r>
      </w:hyperlink>
    </w:p>
    <w:p w14:paraId="63483EF9" w14:textId="77777777" w:rsidR="00B949E1" w:rsidRDefault="00A42F85" w:rsidP="00B949E1">
      <w:pPr>
        <w:pStyle w:val="TOC2"/>
        <w:rPr>
          <w:rFonts w:asciiTheme="minorHAnsi" w:eastAsiaTheme="minorEastAsia" w:hAnsiTheme="minorHAnsi"/>
          <w:b w:val="0"/>
          <w:color w:val="auto"/>
          <w:sz w:val="22"/>
          <w:lang w:eastAsia="en-AU"/>
        </w:rPr>
      </w:pPr>
      <w:hyperlink w:anchor="_Toc136872633" w:history="1">
        <w:r w:rsidR="00B949E1" w:rsidRPr="000F2E75">
          <w:rPr>
            <w:rStyle w:val="Hyperlink"/>
          </w:rPr>
          <w:t>7</w:t>
        </w:r>
        <w:r w:rsidR="00B949E1">
          <w:rPr>
            <w:rFonts w:asciiTheme="minorHAnsi" w:eastAsiaTheme="minorEastAsia" w:hAnsiTheme="minorHAnsi"/>
            <w:b w:val="0"/>
            <w:color w:val="auto"/>
            <w:sz w:val="22"/>
            <w:lang w:eastAsia="en-AU"/>
          </w:rPr>
          <w:tab/>
        </w:r>
        <w:r w:rsidR="00B949E1" w:rsidRPr="000F2E75">
          <w:rPr>
            <w:rStyle w:val="Hyperlink"/>
          </w:rPr>
          <w:t>Impact analysis</w:t>
        </w:r>
        <w:r w:rsidR="00B949E1">
          <w:rPr>
            <w:webHidden/>
          </w:rPr>
          <w:tab/>
        </w:r>
        <w:r w:rsidR="00B949E1">
          <w:rPr>
            <w:webHidden/>
          </w:rPr>
          <w:fldChar w:fldCharType="begin"/>
        </w:r>
        <w:r w:rsidR="00B949E1">
          <w:rPr>
            <w:webHidden/>
          </w:rPr>
          <w:instrText xml:space="preserve"> PAGEREF _Toc136872633 \h </w:instrText>
        </w:r>
        <w:r w:rsidR="00B949E1">
          <w:rPr>
            <w:webHidden/>
          </w:rPr>
        </w:r>
        <w:r w:rsidR="00B949E1">
          <w:rPr>
            <w:webHidden/>
          </w:rPr>
          <w:fldChar w:fldCharType="separate"/>
        </w:r>
        <w:r w:rsidR="00B949E1">
          <w:rPr>
            <w:webHidden/>
          </w:rPr>
          <w:t>32</w:t>
        </w:r>
        <w:r w:rsidR="00B949E1">
          <w:rPr>
            <w:webHidden/>
          </w:rPr>
          <w:fldChar w:fldCharType="end"/>
        </w:r>
      </w:hyperlink>
    </w:p>
    <w:p w14:paraId="65A4B2FE"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4" w:history="1">
        <w:r w:rsidR="00B949E1" w:rsidRPr="000F2E75">
          <w:rPr>
            <w:rStyle w:val="Hyperlink"/>
          </w:rPr>
          <w:t>7.1</w:t>
        </w:r>
        <w:r w:rsidR="00B949E1">
          <w:rPr>
            <w:rFonts w:asciiTheme="minorHAnsi" w:eastAsiaTheme="minorEastAsia" w:hAnsiTheme="minorHAnsi"/>
            <w:color w:val="auto"/>
            <w:position w:val="0"/>
            <w:lang w:eastAsia="en-AU"/>
          </w:rPr>
          <w:tab/>
        </w:r>
        <w:r w:rsidR="00B949E1" w:rsidRPr="000F2E75">
          <w:rPr>
            <w:rStyle w:val="Hyperlink"/>
          </w:rPr>
          <w:t>Quantified impact</w:t>
        </w:r>
        <w:r w:rsidR="00B949E1">
          <w:rPr>
            <w:webHidden/>
          </w:rPr>
          <w:tab/>
        </w:r>
        <w:r w:rsidR="00B949E1">
          <w:rPr>
            <w:webHidden/>
          </w:rPr>
          <w:fldChar w:fldCharType="begin"/>
        </w:r>
        <w:r w:rsidR="00B949E1">
          <w:rPr>
            <w:webHidden/>
          </w:rPr>
          <w:instrText xml:space="preserve"> PAGEREF _Toc136872634 \h </w:instrText>
        </w:r>
        <w:r w:rsidR="00B949E1">
          <w:rPr>
            <w:webHidden/>
          </w:rPr>
        </w:r>
        <w:r w:rsidR="00B949E1">
          <w:rPr>
            <w:webHidden/>
          </w:rPr>
          <w:fldChar w:fldCharType="separate"/>
        </w:r>
        <w:r w:rsidR="00B949E1">
          <w:rPr>
            <w:webHidden/>
          </w:rPr>
          <w:t>32</w:t>
        </w:r>
        <w:r w:rsidR="00B949E1">
          <w:rPr>
            <w:webHidden/>
          </w:rPr>
          <w:fldChar w:fldCharType="end"/>
        </w:r>
      </w:hyperlink>
    </w:p>
    <w:p w14:paraId="7A73A09F"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5" w:history="1">
        <w:r w:rsidR="00B949E1" w:rsidRPr="000F2E75">
          <w:rPr>
            <w:rStyle w:val="Hyperlink"/>
          </w:rPr>
          <w:t>7.2</w:t>
        </w:r>
        <w:r w:rsidR="00B949E1">
          <w:rPr>
            <w:rFonts w:asciiTheme="minorHAnsi" w:eastAsiaTheme="minorEastAsia" w:hAnsiTheme="minorHAnsi"/>
            <w:color w:val="auto"/>
            <w:position w:val="0"/>
            <w:lang w:eastAsia="en-AU"/>
          </w:rPr>
          <w:tab/>
        </w:r>
        <w:r w:rsidR="00B949E1" w:rsidRPr="000F2E75">
          <w:rPr>
            <w:rStyle w:val="Hyperlink"/>
          </w:rPr>
          <w:t>Non-quantified costs</w:t>
        </w:r>
        <w:r w:rsidR="00B949E1">
          <w:rPr>
            <w:webHidden/>
          </w:rPr>
          <w:tab/>
        </w:r>
        <w:r w:rsidR="00B949E1">
          <w:rPr>
            <w:webHidden/>
          </w:rPr>
          <w:fldChar w:fldCharType="begin"/>
        </w:r>
        <w:r w:rsidR="00B949E1">
          <w:rPr>
            <w:webHidden/>
          </w:rPr>
          <w:instrText xml:space="preserve"> PAGEREF _Toc136872635 \h </w:instrText>
        </w:r>
        <w:r w:rsidR="00B949E1">
          <w:rPr>
            <w:webHidden/>
          </w:rPr>
        </w:r>
        <w:r w:rsidR="00B949E1">
          <w:rPr>
            <w:webHidden/>
          </w:rPr>
          <w:fldChar w:fldCharType="separate"/>
        </w:r>
        <w:r w:rsidR="00B949E1">
          <w:rPr>
            <w:webHidden/>
          </w:rPr>
          <w:t>36</w:t>
        </w:r>
        <w:r w:rsidR="00B949E1">
          <w:rPr>
            <w:webHidden/>
          </w:rPr>
          <w:fldChar w:fldCharType="end"/>
        </w:r>
      </w:hyperlink>
    </w:p>
    <w:p w14:paraId="40E5F89C"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6" w:history="1">
        <w:r w:rsidR="00B949E1" w:rsidRPr="000F2E75">
          <w:rPr>
            <w:rStyle w:val="Hyperlink"/>
          </w:rPr>
          <w:t>7.3</w:t>
        </w:r>
        <w:r w:rsidR="00B949E1">
          <w:rPr>
            <w:rFonts w:asciiTheme="minorHAnsi" w:eastAsiaTheme="minorEastAsia" w:hAnsiTheme="minorHAnsi"/>
            <w:color w:val="auto"/>
            <w:position w:val="0"/>
            <w:lang w:eastAsia="en-AU"/>
          </w:rPr>
          <w:tab/>
        </w:r>
        <w:r w:rsidR="00B949E1" w:rsidRPr="000F2E75">
          <w:rPr>
            <w:rStyle w:val="Hyperlink"/>
          </w:rPr>
          <w:t>Non-quantified benefits</w:t>
        </w:r>
        <w:r w:rsidR="00B949E1">
          <w:rPr>
            <w:webHidden/>
          </w:rPr>
          <w:tab/>
        </w:r>
        <w:r w:rsidR="00B949E1">
          <w:rPr>
            <w:webHidden/>
          </w:rPr>
          <w:fldChar w:fldCharType="begin"/>
        </w:r>
        <w:r w:rsidR="00B949E1">
          <w:rPr>
            <w:webHidden/>
          </w:rPr>
          <w:instrText xml:space="preserve"> PAGEREF _Toc136872636 \h </w:instrText>
        </w:r>
        <w:r w:rsidR="00B949E1">
          <w:rPr>
            <w:webHidden/>
          </w:rPr>
        </w:r>
        <w:r w:rsidR="00B949E1">
          <w:rPr>
            <w:webHidden/>
          </w:rPr>
          <w:fldChar w:fldCharType="separate"/>
        </w:r>
        <w:r w:rsidR="00B949E1">
          <w:rPr>
            <w:webHidden/>
          </w:rPr>
          <w:t>38</w:t>
        </w:r>
        <w:r w:rsidR="00B949E1">
          <w:rPr>
            <w:webHidden/>
          </w:rPr>
          <w:fldChar w:fldCharType="end"/>
        </w:r>
      </w:hyperlink>
    </w:p>
    <w:p w14:paraId="517F5475"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7" w:history="1">
        <w:r w:rsidR="00B949E1" w:rsidRPr="000F2E75">
          <w:rPr>
            <w:rStyle w:val="Hyperlink"/>
          </w:rPr>
          <w:t>7.4</w:t>
        </w:r>
        <w:r w:rsidR="00B949E1">
          <w:rPr>
            <w:rFonts w:asciiTheme="minorHAnsi" w:eastAsiaTheme="minorEastAsia" w:hAnsiTheme="minorHAnsi"/>
            <w:color w:val="auto"/>
            <w:position w:val="0"/>
            <w:lang w:eastAsia="en-AU"/>
          </w:rPr>
          <w:tab/>
        </w:r>
        <w:r w:rsidR="00B949E1" w:rsidRPr="000F2E75">
          <w:rPr>
            <w:rStyle w:val="Hyperlink"/>
          </w:rPr>
          <w:t>Transboundary impacts</w:t>
        </w:r>
        <w:r w:rsidR="00B949E1">
          <w:rPr>
            <w:webHidden/>
          </w:rPr>
          <w:tab/>
        </w:r>
        <w:r w:rsidR="00B949E1">
          <w:rPr>
            <w:webHidden/>
          </w:rPr>
          <w:fldChar w:fldCharType="begin"/>
        </w:r>
        <w:r w:rsidR="00B949E1">
          <w:rPr>
            <w:webHidden/>
          </w:rPr>
          <w:instrText xml:space="preserve"> PAGEREF _Toc136872637 \h </w:instrText>
        </w:r>
        <w:r w:rsidR="00B949E1">
          <w:rPr>
            <w:webHidden/>
          </w:rPr>
        </w:r>
        <w:r w:rsidR="00B949E1">
          <w:rPr>
            <w:webHidden/>
          </w:rPr>
          <w:fldChar w:fldCharType="separate"/>
        </w:r>
        <w:r w:rsidR="00B949E1">
          <w:rPr>
            <w:webHidden/>
          </w:rPr>
          <w:t>41</w:t>
        </w:r>
        <w:r w:rsidR="00B949E1">
          <w:rPr>
            <w:webHidden/>
          </w:rPr>
          <w:fldChar w:fldCharType="end"/>
        </w:r>
      </w:hyperlink>
    </w:p>
    <w:p w14:paraId="1CD7F9E7"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38" w:history="1">
        <w:r w:rsidR="00B949E1" w:rsidRPr="000F2E75">
          <w:rPr>
            <w:rStyle w:val="Hyperlink"/>
          </w:rPr>
          <w:t>7.5</w:t>
        </w:r>
        <w:r w:rsidR="00B949E1">
          <w:rPr>
            <w:rFonts w:asciiTheme="minorHAnsi" w:eastAsiaTheme="minorEastAsia" w:hAnsiTheme="minorHAnsi"/>
            <w:color w:val="auto"/>
            <w:position w:val="0"/>
            <w:lang w:eastAsia="en-AU"/>
          </w:rPr>
          <w:tab/>
        </w:r>
        <w:r w:rsidR="00B949E1" w:rsidRPr="000F2E75">
          <w:rPr>
            <w:rStyle w:val="Hyperlink"/>
          </w:rPr>
          <w:t>Human Rights Analysis</w:t>
        </w:r>
        <w:r w:rsidR="00B949E1">
          <w:rPr>
            <w:webHidden/>
          </w:rPr>
          <w:tab/>
        </w:r>
        <w:r w:rsidR="00B949E1">
          <w:rPr>
            <w:webHidden/>
          </w:rPr>
          <w:fldChar w:fldCharType="begin"/>
        </w:r>
        <w:r w:rsidR="00B949E1">
          <w:rPr>
            <w:webHidden/>
          </w:rPr>
          <w:instrText xml:space="preserve"> PAGEREF _Toc136872638 \h </w:instrText>
        </w:r>
        <w:r w:rsidR="00B949E1">
          <w:rPr>
            <w:webHidden/>
          </w:rPr>
        </w:r>
        <w:r w:rsidR="00B949E1">
          <w:rPr>
            <w:webHidden/>
          </w:rPr>
          <w:fldChar w:fldCharType="separate"/>
        </w:r>
        <w:r w:rsidR="00B949E1">
          <w:rPr>
            <w:webHidden/>
          </w:rPr>
          <w:t>43</w:t>
        </w:r>
        <w:r w:rsidR="00B949E1">
          <w:rPr>
            <w:webHidden/>
          </w:rPr>
          <w:fldChar w:fldCharType="end"/>
        </w:r>
      </w:hyperlink>
    </w:p>
    <w:p w14:paraId="249ACDE3" w14:textId="77777777" w:rsidR="00B949E1" w:rsidRDefault="00A42F85" w:rsidP="00B949E1">
      <w:pPr>
        <w:pStyle w:val="TOC2"/>
        <w:rPr>
          <w:rFonts w:asciiTheme="minorHAnsi" w:eastAsiaTheme="minorEastAsia" w:hAnsiTheme="minorHAnsi"/>
          <w:b w:val="0"/>
          <w:color w:val="auto"/>
          <w:sz w:val="22"/>
          <w:lang w:eastAsia="en-AU"/>
        </w:rPr>
      </w:pPr>
      <w:hyperlink w:anchor="_Toc136872639" w:history="1">
        <w:r w:rsidR="00B949E1" w:rsidRPr="000F2E75">
          <w:rPr>
            <w:rStyle w:val="Hyperlink"/>
          </w:rPr>
          <w:t>8</w:t>
        </w:r>
        <w:r w:rsidR="00B949E1">
          <w:rPr>
            <w:rFonts w:asciiTheme="minorHAnsi" w:eastAsiaTheme="minorEastAsia" w:hAnsiTheme="minorHAnsi"/>
            <w:b w:val="0"/>
            <w:color w:val="auto"/>
            <w:sz w:val="22"/>
            <w:lang w:eastAsia="en-AU"/>
          </w:rPr>
          <w:tab/>
        </w:r>
        <w:r w:rsidR="00B949E1" w:rsidRPr="000F2E75">
          <w:rPr>
            <w:rStyle w:val="Hyperlink"/>
          </w:rPr>
          <w:t>Recommended option</w:t>
        </w:r>
        <w:r w:rsidR="00B949E1">
          <w:rPr>
            <w:webHidden/>
          </w:rPr>
          <w:tab/>
        </w:r>
        <w:r w:rsidR="00B949E1">
          <w:rPr>
            <w:webHidden/>
          </w:rPr>
          <w:fldChar w:fldCharType="begin"/>
        </w:r>
        <w:r w:rsidR="00B949E1">
          <w:rPr>
            <w:webHidden/>
          </w:rPr>
          <w:instrText xml:space="preserve"> PAGEREF _Toc136872639 \h </w:instrText>
        </w:r>
        <w:r w:rsidR="00B949E1">
          <w:rPr>
            <w:webHidden/>
          </w:rPr>
        </w:r>
        <w:r w:rsidR="00B949E1">
          <w:rPr>
            <w:webHidden/>
          </w:rPr>
          <w:fldChar w:fldCharType="separate"/>
        </w:r>
        <w:r w:rsidR="00B949E1">
          <w:rPr>
            <w:webHidden/>
          </w:rPr>
          <w:t>46</w:t>
        </w:r>
        <w:r w:rsidR="00B949E1">
          <w:rPr>
            <w:webHidden/>
          </w:rPr>
          <w:fldChar w:fldCharType="end"/>
        </w:r>
      </w:hyperlink>
    </w:p>
    <w:p w14:paraId="61D9556E"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40" w:history="1">
        <w:r w:rsidR="00B949E1" w:rsidRPr="000F2E75">
          <w:rPr>
            <w:rStyle w:val="Hyperlink"/>
          </w:rPr>
          <w:t>8.1</w:t>
        </w:r>
        <w:r w:rsidR="00B949E1">
          <w:rPr>
            <w:rFonts w:asciiTheme="minorHAnsi" w:eastAsiaTheme="minorEastAsia" w:hAnsiTheme="minorHAnsi"/>
            <w:color w:val="auto"/>
            <w:position w:val="0"/>
            <w:lang w:eastAsia="en-AU"/>
          </w:rPr>
          <w:tab/>
        </w:r>
        <w:r w:rsidR="00B949E1" w:rsidRPr="000F2E75">
          <w:rPr>
            <w:rStyle w:val="Hyperlink"/>
          </w:rPr>
          <w:t>Recommended option</w:t>
        </w:r>
        <w:r w:rsidR="00B949E1">
          <w:rPr>
            <w:webHidden/>
          </w:rPr>
          <w:tab/>
        </w:r>
        <w:r w:rsidR="00B949E1">
          <w:rPr>
            <w:webHidden/>
          </w:rPr>
          <w:fldChar w:fldCharType="begin"/>
        </w:r>
        <w:r w:rsidR="00B949E1">
          <w:rPr>
            <w:webHidden/>
          </w:rPr>
          <w:instrText xml:space="preserve"> PAGEREF _Toc136872640 \h </w:instrText>
        </w:r>
        <w:r w:rsidR="00B949E1">
          <w:rPr>
            <w:webHidden/>
          </w:rPr>
        </w:r>
        <w:r w:rsidR="00B949E1">
          <w:rPr>
            <w:webHidden/>
          </w:rPr>
          <w:fldChar w:fldCharType="separate"/>
        </w:r>
        <w:r w:rsidR="00B949E1">
          <w:rPr>
            <w:webHidden/>
          </w:rPr>
          <w:t>46</w:t>
        </w:r>
        <w:r w:rsidR="00B949E1">
          <w:rPr>
            <w:webHidden/>
          </w:rPr>
          <w:fldChar w:fldCharType="end"/>
        </w:r>
      </w:hyperlink>
    </w:p>
    <w:p w14:paraId="69AF403D" w14:textId="77777777" w:rsidR="00B949E1" w:rsidRDefault="00A42F85" w:rsidP="00B949E1">
      <w:pPr>
        <w:pStyle w:val="TOC2"/>
        <w:rPr>
          <w:rFonts w:asciiTheme="minorHAnsi" w:eastAsiaTheme="minorEastAsia" w:hAnsiTheme="minorHAnsi"/>
          <w:b w:val="0"/>
          <w:color w:val="auto"/>
          <w:sz w:val="22"/>
          <w:lang w:eastAsia="en-AU"/>
        </w:rPr>
      </w:pPr>
      <w:hyperlink w:anchor="_Toc136872641" w:history="1">
        <w:r w:rsidR="00B949E1" w:rsidRPr="000F2E75">
          <w:rPr>
            <w:rStyle w:val="Hyperlink"/>
          </w:rPr>
          <w:t>9</w:t>
        </w:r>
        <w:r w:rsidR="00B949E1">
          <w:rPr>
            <w:rFonts w:asciiTheme="minorHAnsi" w:eastAsiaTheme="minorEastAsia" w:hAnsiTheme="minorHAnsi"/>
            <w:b w:val="0"/>
            <w:color w:val="auto"/>
            <w:sz w:val="22"/>
            <w:lang w:eastAsia="en-AU"/>
          </w:rPr>
          <w:tab/>
        </w:r>
        <w:r w:rsidR="00B949E1" w:rsidRPr="000F2E75">
          <w:rPr>
            <w:rStyle w:val="Hyperlink"/>
          </w:rPr>
          <w:t>Implementation and evaluation</w:t>
        </w:r>
        <w:r w:rsidR="00B949E1">
          <w:rPr>
            <w:webHidden/>
          </w:rPr>
          <w:tab/>
        </w:r>
        <w:r w:rsidR="00B949E1">
          <w:rPr>
            <w:webHidden/>
          </w:rPr>
          <w:fldChar w:fldCharType="begin"/>
        </w:r>
        <w:r w:rsidR="00B949E1">
          <w:rPr>
            <w:webHidden/>
          </w:rPr>
          <w:instrText xml:space="preserve"> PAGEREF _Toc136872641 \h </w:instrText>
        </w:r>
        <w:r w:rsidR="00B949E1">
          <w:rPr>
            <w:webHidden/>
          </w:rPr>
        </w:r>
        <w:r w:rsidR="00B949E1">
          <w:rPr>
            <w:webHidden/>
          </w:rPr>
          <w:fldChar w:fldCharType="separate"/>
        </w:r>
        <w:r w:rsidR="00B949E1">
          <w:rPr>
            <w:webHidden/>
          </w:rPr>
          <w:t>48</w:t>
        </w:r>
        <w:r w:rsidR="00B949E1">
          <w:rPr>
            <w:webHidden/>
          </w:rPr>
          <w:fldChar w:fldCharType="end"/>
        </w:r>
      </w:hyperlink>
    </w:p>
    <w:p w14:paraId="034057DA"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42" w:history="1">
        <w:r w:rsidR="00B949E1" w:rsidRPr="000F2E75">
          <w:rPr>
            <w:rStyle w:val="Hyperlink"/>
          </w:rPr>
          <w:t>9.1</w:t>
        </w:r>
        <w:r w:rsidR="00B949E1">
          <w:rPr>
            <w:rFonts w:asciiTheme="minorHAnsi" w:eastAsiaTheme="minorEastAsia" w:hAnsiTheme="minorHAnsi"/>
            <w:color w:val="auto"/>
            <w:position w:val="0"/>
            <w:lang w:eastAsia="en-AU"/>
          </w:rPr>
          <w:tab/>
        </w:r>
        <w:r w:rsidR="00B949E1" w:rsidRPr="000F2E75">
          <w:rPr>
            <w:rStyle w:val="Hyperlink"/>
          </w:rPr>
          <w:t>Implementation</w:t>
        </w:r>
        <w:r w:rsidR="00B949E1">
          <w:rPr>
            <w:webHidden/>
          </w:rPr>
          <w:tab/>
        </w:r>
        <w:r w:rsidR="00B949E1">
          <w:rPr>
            <w:webHidden/>
          </w:rPr>
          <w:fldChar w:fldCharType="begin"/>
        </w:r>
        <w:r w:rsidR="00B949E1">
          <w:rPr>
            <w:webHidden/>
          </w:rPr>
          <w:instrText xml:space="preserve"> PAGEREF _Toc136872642 \h </w:instrText>
        </w:r>
        <w:r w:rsidR="00B949E1">
          <w:rPr>
            <w:webHidden/>
          </w:rPr>
        </w:r>
        <w:r w:rsidR="00B949E1">
          <w:rPr>
            <w:webHidden/>
          </w:rPr>
          <w:fldChar w:fldCharType="separate"/>
        </w:r>
        <w:r w:rsidR="00B949E1">
          <w:rPr>
            <w:webHidden/>
          </w:rPr>
          <w:t>48</w:t>
        </w:r>
        <w:r w:rsidR="00B949E1">
          <w:rPr>
            <w:webHidden/>
          </w:rPr>
          <w:fldChar w:fldCharType="end"/>
        </w:r>
      </w:hyperlink>
    </w:p>
    <w:p w14:paraId="56770B0E" w14:textId="77777777" w:rsidR="00B949E1" w:rsidRDefault="00A42F85" w:rsidP="00B949E1">
      <w:pPr>
        <w:pStyle w:val="TOC3"/>
        <w:tabs>
          <w:tab w:val="left" w:pos="1122"/>
        </w:tabs>
        <w:rPr>
          <w:rFonts w:asciiTheme="minorHAnsi" w:eastAsiaTheme="minorEastAsia" w:hAnsiTheme="minorHAnsi"/>
          <w:color w:val="auto"/>
          <w:position w:val="0"/>
          <w:lang w:eastAsia="en-AU"/>
        </w:rPr>
      </w:pPr>
      <w:hyperlink w:anchor="_Toc136872643" w:history="1">
        <w:r w:rsidR="00B949E1" w:rsidRPr="000F2E75">
          <w:rPr>
            <w:rStyle w:val="Hyperlink"/>
          </w:rPr>
          <w:t>9.2</w:t>
        </w:r>
        <w:r w:rsidR="00B949E1">
          <w:rPr>
            <w:rFonts w:asciiTheme="minorHAnsi" w:eastAsiaTheme="minorEastAsia" w:hAnsiTheme="minorHAnsi"/>
            <w:color w:val="auto"/>
            <w:position w:val="0"/>
            <w:lang w:eastAsia="en-AU"/>
          </w:rPr>
          <w:tab/>
        </w:r>
        <w:r w:rsidR="00B949E1" w:rsidRPr="000F2E75">
          <w:rPr>
            <w:rStyle w:val="Hyperlink"/>
          </w:rPr>
          <w:t>Evaluation</w:t>
        </w:r>
        <w:r w:rsidR="00B949E1">
          <w:rPr>
            <w:webHidden/>
          </w:rPr>
          <w:tab/>
        </w:r>
        <w:r w:rsidR="00B949E1">
          <w:rPr>
            <w:webHidden/>
          </w:rPr>
          <w:fldChar w:fldCharType="begin"/>
        </w:r>
        <w:r w:rsidR="00B949E1">
          <w:rPr>
            <w:webHidden/>
          </w:rPr>
          <w:instrText xml:space="preserve"> PAGEREF _Toc136872643 \h </w:instrText>
        </w:r>
        <w:r w:rsidR="00B949E1">
          <w:rPr>
            <w:webHidden/>
          </w:rPr>
        </w:r>
        <w:r w:rsidR="00B949E1">
          <w:rPr>
            <w:webHidden/>
          </w:rPr>
          <w:fldChar w:fldCharType="separate"/>
        </w:r>
        <w:r w:rsidR="00B949E1">
          <w:rPr>
            <w:webHidden/>
          </w:rPr>
          <w:t>50</w:t>
        </w:r>
        <w:r w:rsidR="00B949E1">
          <w:rPr>
            <w:webHidden/>
          </w:rPr>
          <w:fldChar w:fldCharType="end"/>
        </w:r>
      </w:hyperlink>
    </w:p>
    <w:p w14:paraId="2FEFEF28" w14:textId="77777777" w:rsidR="00B949E1" w:rsidRDefault="00B949E1" w:rsidP="00B949E1">
      <w:pPr>
        <w:pStyle w:val="BodyText"/>
        <w:rPr>
          <w:rFonts w:ascii="Yu Gothic Medium" w:eastAsia="Yu Gothic Medium" w:hAnsi="Yu Gothic Medium" w:cstheme="minorBidi"/>
          <w:b/>
          <w:noProof/>
          <w:color w:val="000100"/>
          <w:sz w:val="24"/>
        </w:rPr>
      </w:pPr>
      <w:r>
        <w:rPr>
          <w:rFonts w:ascii="Yu Gothic Medium" w:eastAsia="Yu Gothic Medium" w:hAnsi="Yu Gothic Medium" w:cstheme="minorBidi"/>
          <w:b/>
          <w:noProof/>
          <w:color w:val="000100"/>
          <w:sz w:val="24"/>
        </w:rPr>
        <w:fldChar w:fldCharType="end"/>
      </w:r>
    </w:p>
    <w:p w14:paraId="22B69E8F" w14:textId="77777777" w:rsidR="00B949E1" w:rsidRPr="00E04522" w:rsidRDefault="00B949E1" w:rsidP="00B949E1">
      <w:pPr>
        <w:pStyle w:val="BodyText"/>
        <w:spacing w:before="0" w:after="0"/>
        <w:rPr>
          <w:rFonts w:cstheme="minorBidi"/>
          <w:color w:val="000100"/>
        </w:rPr>
      </w:pPr>
      <w:bookmarkStart w:id="4" w:name="_Hlk135235809"/>
      <w:r w:rsidRPr="00E04522">
        <w:rPr>
          <w:rFonts w:cstheme="minorBidi"/>
          <w:color w:val="000100"/>
        </w:rPr>
        <w:t>Figures</w:t>
      </w:r>
    </w:p>
    <w:p w14:paraId="52EDA34C"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3.1</w:t>
      </w:r>
      <w:r w:rsidRPr="00E04522">
        <w:rPr>
          <w:rFonts w:cstheme="minorBidi"/>
          <w:color w:val="000100"/>
        </w:rPr>
        <w:tab/>
        <w:t>Top 10 countries generating SUP waste, ranked by per capita consumption (2019)</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w:t>
      </w:r>
    </w:p>
    <w:p w14:paraId="019E822A"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3.2</w:t>
      </w:r>
      <w:r w:rsidRPr="00E04522">
        <w:rPr>
          <w:rFonts w:cstheme="minorBidi"/>
          <w:color w:val="000100"/>
        </w:rPr>
        <w:tab/>
        <w:t>Waste sent to landfill in the ACT by material, 2020-21 (tonnes)</w:t>
      </w:r>
      <w:r w:rsidRPr="00E04522">
        <w:rPr>
          <w:rFonts w:cstheme="minorBidi"/>
          <w:color w:val="000100"/>
        </w:rPr>
        <w:tab/>
      </w:r>
      <w:r>
        <w:rPr>
          <w:rFonts w:cstheme="minorBidi"/>
          <w:color w:val="000100"/>
        </w:rPr>
        <w:tab/>
      </w:r>
      <w:r w:rsidRPr="00E04522">
        <w:rPr>
          <w:rFonts w:cstheme="minorBidi"/>
          <w:color w:val="000100"/>
        </w:rPr>
        <w:t>2</w:t>
      </w:r>
    </w:p>
    <w:p w14:paraId="38F439C9"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6.1</w:t>
      </w:r>
      <w:r w:rsidRPr="00E04522">
        <w:rPr>
          <w:rFonts w:cstheme="minorBidi"/>
          <w:color w:val="000100"/>
        </w:rPr>
        <w:tab/>
        <w:t>Consumption of SUPs in the ACT over time</w:t>
      </w:r>
      <w:r>
        <w:rPr>
          <w:rFonts w:cstheme="minorBidi"/>
          <w:color w:val="000100"/>
        </w:rPr>
        <w:tab/>
      </w:r>
      <w:r>
        <w:rPr>
          <w:rFonts w:cstheme="minorBidi"/>
          <w:color w:val="000100"/>
        </w:rPr>
        <w:tab/>
      </w:r>
      <w:r>
        <w:rPr>
          <w:rFonts w:cstheme="minorBidi"/>
          <w:color w:val="000100"/>
        </w:rPr>
        <w:tab/>
      </w:r>
      <w:r w:rsidRPr="00E04522">
        <w:rPr>
          <w:rFonts w:cstheme="minorBidi"/>
          <w:color w:val="000100"/>
        </w:rPr>
        <w:tab/>
        <w:t>21</w:t>
      </w:r>
    </w:p>
    <w:p w14:paraId="0C59942A"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6.2</w:t>
      </w:r>
      <w:r w:rsidRPr="00E04522">
        <w:rPr>
          <w:rFonts w:cstheme="minorBidi"/>
          <w:color w:val="000100"/>
        </w:rPr>
        <w:tab/>
        <w:t>Plastic flows in Australia, 2018-19</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27</w:t>
      </w:r>
    </w:p>
    <w:p w14:paraId="6395BA6A"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6.3</w:t>
      </w:r>
      <w:r w:rsidRPr="00E04522">
        <w:rPr>
          <w:rFonts w:cstheme="minorBidi"/>
          <w:color w:val="000100"/>
        </w:rPr>
        <w:tab/>
        <w:t>Assumed SUP waste flow in the ACT under the BAU</w:t>
      </w:r>
      <w:r w:rsidRPr="00E04522">
        <w:rPr>
          <w:rFonts w:cstheme="minorBidi"/>
          <w:color w:val="000100"/>
        </w:rPr>
        <w:tab/>
      </w:r>
      <w:r>
        <w:rPr>
          <w:rFonts w:cstheme="minorBidi"/>
          <w:color w:val="000100"/>
        </w:rPr>
        <w:tab/>
      </w:r>
      <w:r>
        <w:rPr>
          <w:rFonts w:cstheme="minorBidi"/>
          <w:color w:val="000100"/>
        </w:rPr>
        <w:tab/>
      </w:r>
      <w:r w:rsidRPr="00E04522">
        <w:rPr>
          <w:rFonts w:cstheme="minorBidi"/>
          <w:color w:val="000100"/>
        </w:rPr>
        <w:t>27</w:t>
      </w:r>
    </w:p>
    <w:p w14:paraId="021D6654"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6.4</w:t>
      </w:r>
      <w:r w:rsidRPr="00E04522">
        <w:rPr>
          <w:rFonts w:cstheme="minorBidi"/>
          <w:color w:val="000100"/>
        </w:rPr>
        <w:tab/>
        <w:t>Total willingness to pay for zero litter by type of litter</w:t>
      </w:r>
      <w:r w:rsidRPr="00E04522">
        <w:rPr>
          <w:rFonts w:cstheme="minorBidi"/>
          <w:color w:val="000100"/>
        </w:rPr>
        <w:tab/>
      </w:r>
      <w:r>
        <w:rPr>
          <w:rFonts w:cstheme="minorBidi"/>
          <w:color w:val="000100"/>
        </w:rPr>
        <w:tab/>
      </w:r>
      <w:r>
        <w:rPr>
          <w:rFonts w:cstheme="minorBidi"/>
          <w:color w:val="000100"/>
        </w:rPr>
        <w:tab/>
      </w:r>
      <w:r w:rsidRPr="00E04522">
        <w:rPr>
          <w:rFonts w:cstheme="minorBidi"/>
          <w:color w:val="000100"/>
        </w:rPr>
        <w:t>31</w:t>
      </w:r>
    </w:p>
    <w:p w14:paraId="3CEB549F" w14:textId="77777777" w:rsidR="00B949E1" w:rsidRPr="00E04522" w:rsidRDefault="00B949E1" w:rsidP="00B949E1">
      <w:pPr>
        <w:pStyle w:val="BodyText"/>
        <w:spacing w:before="0" w:after="0"/>
        <w:rPr>
          <w:rFonts w:cstheme="minorBidi"/>
          <w:color w:val="000100"/>
        </w:rPr>
      </w:pPr>
      <w:r w:rsidRPr="00E04522">
        <w:rPr>
          <w:rFonts w:cstheme="minorBidi"/>
          <w:color w:val="000100"/>
        </w:rPr>
        <w:t>Figure 7.1</w:t>
      </w:r>
      <w:r w:rsidRPr="00E04522">
        <w:rPr>
          <w:rFonts w:cstheme="minorBidi"/>
          <w:color w:val="000100"/>
        </w:rPr>
        <w:tab/>
        <w:t>Concentration of Plastic Pipe and Plastic Packaging Material manufacturers and Plastic Bag and Film manufacturers in Australia</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36</w:t>
      </w:r>
    </w:p>
    <w:p w14:paraId="2B1A22C5" w14:textId="77777777" w:rsidR="00B949E1" w:rsidRPr="00E04522" w:rsidRDefault="00B949E1" w:rsidP="00B949E1">
      <w:pPr>
        <w:pStyle w:val="BodyText"/>
        <w:spacing w:before="0" w:after="0"/>
        <w:rPr>
          <w:rFonts w:cstheme="minorBidi"/>
          <w:color w:val="000100"/>
        </w:rPr>
      </w:pPr>
      <w:r w:rsidRPr="00E04522">
        <w:rPr>
          <w:rFonts w:cstheme="minorBidi"/>
          <w:color w:val="000100"/>
        </w:rPr>
        <w:t xml:space="preserve"> Figure A.1</w:t>
      </w:r>
      <w:r w:rsidRPr="00E04522">
        <w:rPr>
          <w:rFonts w:cstheme="minorBidi"/>
          <w:color w:val="000100"/>
        </w:rPr>
        <w:tab/>
        <w:t>Economic impacts measured</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A-2</w:t>
      </w:r>
    </w:p>
    <w:p w14:paraId="24B4A33B" w14:textId="77777777" w:rsidR="00B949E1" w:rsidRPr="00E04522" w:rsidRDefault="00B949E1" w:rsidP="00B949E1">
      <w:pPr>
        <w:pStyle w:val="BodyText"/>
        <w:spacing w:before="0" w:after="0"/>
        <w:rPr>
          <w:rFonts w:cstheme="minorBidi"/>
          <w:color w:val="000100"/>
        </w:rPr>
      </w:pPr>
    </w:p>
    <w:p w14:paraId="40E6C2BC"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2.1</w:t>
      </w:r>
      <w:r w:rsidRPr="00E04522">
        <w:rPr>
          <w:rFonts w:cstheme="minorBidi"/>
          <w:color w:val="000100"/>
        </w:rPr>
        <w:tab/>
        <w:t>Stakeholder engagement</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14</w:t>
      </w:r>
    </w:p>
    <w:p w14:paraId="6FC977E4"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4.1</w:t>
      </w:r>
      <w:r w:rsidRPr="00E04522">
        <w:rPr>
          <w:rFonts w:cstheme="minorBidi"/>
          <w:color w:val="000100"/>
        </w:rPr>
        <w:tab/>
        <w:t>Summary of other jurisdictions’ legislation on phasing out proposed SUP items</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12</w:t>
      </w:r>
    </w:p>
    <w:p w14:paraId="1F095E9D"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5.1</w:t>
      </w:r>
      <w:r w:rsidRPr="00E04522">
        <w:rPr>
          <w:rFonts w:cstheme="minorBidi"/>
          <w:color w:val="000100"/>
        </w:rPr>
        <w:tab/>
        <w:t>Stakeholders’ product-specific approach to government action</w:t>
      </w:r>
      <w:r w:rsidRPr="00E04522">
        <w:rPr>
          <w:rFonts w:cstheme="minorBidi"/>
          <w:color w:val="000100"/>
        </w:rPr>
        <w:tab/>
      </w:r>
      <w:r>
        <w:rPr>
          <w:rFonts w:cstheme="minorBidi"/>
          <w:color w:val="000100"/>
        </w:rPr>
        <w:tab/>
      </w:r>
      <w:r w:rsidRPr="00E04522">
        <w:rPr>
          <w:rFonts w:cstheme="minorBidi"/>
          <w:color w:val="000100"/>
        </w:rPr>
        <w:t>15</w:t>
      </w:r>
    </w:p>
    <w:p w14:paraId="457F7F62"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6.1</w:t>
      </w:r>
      <w:r w:rsidRPr="00E04522">
        <w:rPr>
          <w:rFonts w:cstheme="minorBidi"/>
          <w:color w:val="000100"/>
        </w:rPr>
        <w:tab/>
        <w:t>Summary of measures to be included in the CBA</w:t>
      </w:r>
      <w:r w:rsidRPr="00E04522">
        <w:rPr>
          <w:rFonts w:cstheme="minorBidi"/>
          <w:color w:val="000100"/>
        </w:rPr>
        <w:tab/>
      </w:r>
      <w:r>
        <w:rPr>
          <w:rFonts w:cstheme="minorBidi"/>
          <w:color w:val="000100"/>
        </w:rPr>
        <w:tab/>
      </w:r>
      <w:r>
        <w:rPr>
          <w:rFonts w:cstheme="minorBidi"/>
          <w:color w:val="000100"/>
        </w:rPr>
        <w:tab/>
      </w:r>
      <w:r w:rsidRPr="00E04522">
        <w:rPr>
          <w:rFonts w:cstheme="minorBidi"/>
          <w:color w:val="000100"/>
        </w:rPr>
        <w:t>17</w:t>
      </w:r>
    </w:p>
    <w:p w14:paraId="47469DFB"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6.2</w:t>
      </w:r>
      <w:r w:rsidRPr="00E04522">
        <w:rPr>
          <w:rFonts w:cstheme="minorBidi"/>
          <w:color w:val="000100"/>
        </w:rPr>
        <w:tab/>
        <w:t>Estimated annual consumption of SUP items in the Australian Capital Territory, 2023</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20</w:t>
      </w:r>
    </w:p>
    <w:p w14:paraId="7B2775AE"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6.3</w:t>
      </w:r>
      <w:r w:rsidRPr="00E04522">
        <w:rPr>
          <w:rFonts w:cstheme="minorBidi"/>
          <w:color w:val="000100"/>
        </w:rPr>
        <w:tab/>
        <w:t>Summary table of costs and benefits that have been considered in the RIS</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22</w:t>
      </w:r>
    </w:p>
    <w:p w14:paraId="33DA89B3"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6.4</w:t>
      </w:r>
      <w:r w:rsidRPr="00E04522">
        <w:rPr>
          <w:rFonts w:cstheme="minorBidi"/>
          <w:color w:val="000100"/>
        </w:rPr>
        <w:tab/>
        <w:t>Assumed response to the proposed SUP phase-out</w:t>
      </w:r>
      <w:r w:rsidRPr="00E04522">
        <w:rPr>
          <w:rFonts w:cstheme="minorBidi"/>
          <w:color w:val="000100"/>
        </w:rPr>
        <w:tab/>
      </w:r>
      <w:r>
        <w:rPr>
          <w:rFonts w:cstheme="minorBidi"/>
          <w:color w:val="000100"/>
        </w:rPr>
        <w:tab/>
      </w:r>
      <w:r>
        <w:rPr>
          <w:rFonts w:cstheme="minorBidi"/>
          <w:color w:val="000100"/>
        </w:rPr>
        <w:tab/>
      </w:r>
      <w:r w:rsidRPr="00E04522">
        <w:rPr>
          <w:rFonts w:cstheme="minorBidi"/>
          <w:color w:val="000100"/>
        </w:rPr>
        <w:t>24</w:t>
      </w:r>
    </w:p>
    <w:p w14:paraId="61E16AAC"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6.5</w:t>
      </w:r>
      <w:r w:rsidRPr="00E04522">
        <w:rPr>
          <w:rFonts w:cstheme="minorBidi"/>
          <w:color w:val="000100"/>
        </w:rPr>
        <w:tab/>
        <w:t>Willingness to pay to avoid litter, $ per tonne</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30</w:t>
      </w:r>
    </w:p>
    <w:p w14:paraId="1FC62FBD"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7.1</w:t>
      </w:r>
      <w:r w:rsidRPr="00E04522">
        <w:rPr>
          <w:rFonts w:cstheme="minorBidi"/>
          <w:color w:val="000100"/>
        </w:rPr>
        <w:tab/>
        <w:t>Estimated economy-wide costs and benefits of Option 2, present value (in 2023 at $2022)</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32</w:t>
      </w:r>
    </w:p>
    <w:p w14:paraId="112224AE"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7.2</w:t>
      </w:r>
      <w:r w:rsidRPr="00E04522">
        <w:rPr>
          <w:rFonts w:cstheme="minorBidi"/>
          <w:color w:val="000100"/>
        </w:rPr>
        <w:tab/>
        <w:t>Distributional assessment for Option 2, present value (in 2023 at $2022)</w:t>
      </w:r>
      <w:r w:rsidRPr="00E04522">
        <w:rPr>
          <w:rFonts w:cstheme="minorBidi"/>
          <w:color w:val="000100"/>
        </w:rPr>
        <w:tab/>
        <w:t>33</w:t>
      </w:r>
    </w:p>
    <w:p w14:paraId="65E5D178"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7.3</w:t>
      </w:r>
      <w:r w:rsidRPr="00E04522">
        <w:rPr>
          <w:rFonts w:cstheme="minorBidi"/>
          <w:color w:val="000100"/>
        </w:rPr>
        <w:tab/>
        <w:t>Summary of the impact of Option 2 by product</w:t>
      </w:r>
      <w:r>
        <w:rPr>
          <w:rFonts w:cstheme="minorBidi"/>
          <w:color w:val="000100"/>
        </w:rPr>
        <w:tab/>
      </w:r>
      <w:r>
        <w:rPr>
          <w:rFonts w:cstheme="minorBidi"/>
          <w:color w:val="000100"/>
        </w:rPr>
        <w:tab/>
      </w:r>
      <w:r w:rsidRPr="00E04522">
        <w:rPr>
          <w:rFonts w:cstheme="minorBidi"/>
          <w:color w:val="000100"/>
        </w:rPr>
        <w:tab/>
        <w:t>34</w:t>
      </w:r>
    </w:p>
    <w:p w14:paraId="3CA1D384"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7.4</w:t>
      </w:r>
      <w:r w:rsidRPr="00E04522">
        <w:rPr>
          <w:rFonts w:cstheme="minorBidi"/>
          <w:color w:val="000100"/>
        </w:rPr>
        <w:tab/>
        <w:t>Sensitivity analysis — the impact of sensitivity tests on the NPV under each policy option ($M 2022)</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35</w:t>
      </w:r>
    </w:p>
    <w:p w14:paraId="273C5083"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9.1</w:t>
      </w:r>
      <w:r w:rsidRPr="00E04522">
        <w:rPr>
          <w:rFonts w:cstheme="minorBidi"/>
          <w:color w:val="000100"/>
        </w:rPr>
        <w:tab/>
        <w:t>Summary of stakeholders’ suggested timeframes for regulation</w:t>
      </w:r>
      <w:r w:rsidRPr="00E04522">
        <w:rPr>
          <w:rFonts w:cstheme="minorBidi"/>
          <w:color w:val="000100"/>
        </w:rPr>
        <w:tab/>
      </w:r>
      <w:r>
        <w:rPr>
          <w:rFonts w:cstheme="minorBidi"/>
          <w:color w:val="000100"/>
        </w:rPr>
        <w:tab/>
      </w:r>
      <w:r w:rsidRPr="00E04522">
        <w:rPr>
          <w:rFonts w:cstheme="minorBidi"/>
          <w:color w:val="000100"/>
        </w:rPr>
        <w:t>45</w:t>
      </w:r>
    </w:p>
    <w:p w14:paraId="4FE97819" w14:textId="77777777" w:rsidR="00B949E1" w:rsidRPr="00E04522" w:rsidRDefault="00B949E1" w:rsidP="00B949E1">
      <w:pPr>
        <w:pStyle w:val="BodyText"/>
        <w:spacing w:before="0" w:after="0"/>
        <w:rPr>
          <w:rFonts w:cstheme="minorBidi"/>
          <w:color w:val="000100"/>
        </w:rPr>
      </w:pPr>
      <w:r w:rsidRPr="00E04522">
        <w:rPr>
          <w:rFonts w:cstheme="minorBidi"/>
          <w:color w:val="000100"/>
        </w:rPr>
        <w:t>Table 9.2</w:t>
      </w:r>
      <w:r w:rsidRPr="00E04522">
        <w:rPr>
          <w:rFonts w:cstheme="minorBidi"/>
          <w:color w:val="000100"/>
        </w:rPr>
        <w:tab/>
        <w:t>Summary of stakeholders’ suggested exemptions</w:t>
      </w:r>
      <w:r w:rsidRPr="00E04522">
        <w:rPr>
          <w:rFonts w:cstheme="minorBidi"/>
          <w:color w:val="000100"/>
        </w:rPr>
        <w:tab/>
      </w:r>
      <w:r>
        <w:rPr>
          <w:rFonts w:cstheme="minorBidi"/>
          <w:color w:val="000100"/>
        </w:rPr>
        <w:tab/>
      </w:r>
      <w:r>
        <w:rPr>
          <w:rFonts w:cstheme="minorBidi"/>
          <w:color w:val="000100"/>
        </w:rPr>
        <w:tab/>
      </w:r>
      <w:r w:rsidRPr="00E04522">
        <w:rPr>
          <w:rFonts w:cstheme="minorBidi"/>
          <w:color w:val="000100"/>
        </w:rPr>
        <w:t>46</w:t>
      </w:r>
    </w:p>
    <w:p w14:paraId="4AB12E00" w14:textId="77777777" w:rsidR="00B949E1" w:rsidRPr="00E04522" w:rsidRDefault="00B949E1" w:rsidP="00B949E1">
      <w:pPr>
        <w:pStyle w:val="BodyText"/>
        <w:spacing w:before="0" w:after="0"/>
        <w:rPr>
          <w:rFonts w:cstheme="minorBidi"/>
          <w:color w:val="000100"/>
        </w:rPr>
      </w:pPr>
    </w:p>
    <w:p w14:paraId="0A3E8474" w14:textId="77777777" w:rsidR="00B949E1" w:rsidRPr="00E04522" w:rsidRDefault="00B949E1" w:rsidP="00B949E1">
      <w:pPr>
        <w:pStyle w:val="BodyText"/>
        <w:spacing w:before="0" w:after="0"/>
        <w:rPr>
          <w:rFonts w:cstheme="minorBidi"/>
          <w:color w:val="000100"/>
        </w:rPr>
      </w:pPr>
      <w:r w:rsidRPr="00E04522">
        <w:rPr>
          <w:rFonts w:cstheme="minorBidi"/>
          <w:color w:val="000100"/>
        </w:rPr>
        <w:t>Boxes</w:t>
      </w:r>
    </w:p>
    <w:p w14:paraId="1B6C1070" w14:textId="77777777" w:rsidR="00B949E1" w:rsidRPr="00E04522" w:rsidRDefault="00B949E1" w:rsidP="00B949E1">
      <w:pPr>
        <w:pStyle w:val="BodyText"/>
        <w:spacing w:before="0" w:after="0"/>
        <w:rPr>
          <w:rFonts w:cstheme="minorBidi"/>
          <w:color w:val="000100"/>
        </w:rPr>
      </w:pPr>
      <w:r w:rsidRPr="00E04522">
        <w:rPr>
          <w:rFonts w:cstheme="minorBidi"/>
          <w:color w:val="000100"/>
        </w:rPr>
        <w:t>Box 2.1</w:t>
      </w:r>
      <w:r w:rsidRPr="00E04522">
        <w:rPr>
          <w:rFonts w:cstheme="minorBidi"/>
          <w:color w:val="000100"/>
        </w:rPr>
        <w:tab/>
        <w:t>What is the best option from those considered?</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13</w:t>
      </w:r>
    </w:p>
    <w:p w14:paraId="1BBF584E" w14:textId="77777777" w:rsidR="00B949E1" w:rsidRPr="00E04522" w:rsidRDefault="00B949E1" w:rsidP="00B949E1">
      <w:pPr>
        <w:pStyle w:val="BodyText"/>
        <w:spacing w:before="0" w:after="0"/>
        <w:rPr>
          <w:rFonts w:cstheme="minorBidi"/>
          <w:color w:val="000100"/>
        </w:rPr>
      </w:pPr>
      <w:r w:rsidRPr="00E04522">
        <w:rPr>
          <w:rFonts w:cstheme="minorBidi"/>
          <w:color w:val="000100"/>
        </w:rPr>
        <w:t>Box 4.1</w:t>
      </w:r>
      <w:r w:rsidRPr="00E04522">
        <w:rPr>
          <w:rFonts w:cstheme="minorBidi"/>
          <w:color w:val="000100"/>
        </w:rPr>
        <w:tab/>
        <w:t>Checklists for assessment of self-regulation</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9</w:t>
      </w:r>
    </w:p>
    <w:p w14:paraId="16AB63FB" w14:textId="77777777" w:rsidR="00B949E1" w:rsidRPr="00E04522" w:rsidRDefault="00B949E1" w:rsidP="00B949E1">
      <w:pPr>
        <w:pStyle w:val="BodyText"/>
        <w:spacing w:before="0" w:after="0"/>
        <w:rPr>
          <w:rFonts w:cstheme="minorBidi"/>
          <w:color w:val="000100"/>
        </w:rPr>
      </w:pPr>
      <w:r w:rsidRPr="00E04522">
        <w:rPr>
          <w:rFonts w:cstheme="minorBidi"/>
          <w:color w:val="000100"/>
        </w:rPr>
        <w:t>Box 4.2</w:t>
      </w:r>
      <w:r w:rsidRPr="00E04522">
        <w:rPr>
          <w:rFonts w:cstheme="minorBidi"/>
          <w:color w:val="000100"/>
        </w:rPr>
        <w:tab/>
        <w:t>Checklists for assessment of quasi-regulation</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11</w:t>
      </w:r>
    </w:p>
    <w:p w14:paraId="48275E23" w14:textId="77777777" w:rsidR="00B949E1" w:rsidRPr="00E04522" w:rsidRDefault="00B949E1" w:rsidP="00B949E1">
      <w:pPr>
        <w:pStyle w:val="BodyText"/>
        <w:spacing w:before="0" w:after="0"/>
        <w:rPr>
          <w:rFonts w:cstheme="minorBidi"/>
          <w:color w:val="000100"/>
        </w:rPr>
      </w:pPr>
      <w:r w:rsidRPr="00E04522">
        <w:rPr>
          <w:rFonts w:cstheme="minorBidi"/>
          <w:color w:val="000100"/>
        </w:rPr>
        <w:t>Box 6.1</w:t>
      </w:r>
      <w:r w:rsidRPr="00E04522">
        <w:rPr>
          <w:rFonts w:cstheme="minorBidi"/>
          <w:color w:val="000100"/>
        </w:rPr>
        <w:tab/>
        <w:t>What is the best option from those considered?</w:t>
      </w:r>
      <w:r w:rsidRPr="00E04522">
        <w:rPr>
          <w:rFonts w:cstheme="minorBidi"/>
          <w:color w:val="000100"/>
        </w:rPr>
        <w:tab/>
      </w:r>
      <w:r>
        <w:rPr>
          <w:rFonts w:cstheme="minorBidi"/>
          <w:color w:val="000100"/>
        </w:rPr>
        <w:tab/>
      </w:r>
      <w:r>
        <w:rPr>
          <w:rFonts w:cstheme="minorBidi"/>
          <w:color w:val="000100"/>
        </w:rPr>
        <w:tab/>
      </w:r>
      <w:r>
        <w:rPr>
          <w:rFonts w:cstheme="minorBidi"/>
          <w:color w:val="000100"/>
        </w:rPr>
        <w:tab/>
      </w:r>
      <w:r w:rsidRPr="00E04522">
        <w:rPr>
          <w:rFonts w:cstheme="minorBidi"/>
          <w:color w:val="000100"/>
        </w:rPr>
        <w:t>18</w:t>
      </w:r>
    </w:p>
    <w:bookmarkEnd w:id="4"/>
    <w:p w14:paraId="29534945" w14:textId="77777777" w:rsidR="00B949E1" w:rsidRPr="00E04522" w:rsidRDefault="00B949E1" w:rsidP="00B949E1">
      <w:pPr>
        <w:pStyle w:val="TOCGeneral"/>
        <w:rPr>
          <w:sz w:val="22"/>
        </w:rPr>
      </w:pPr>
    </w:p>
    <w:p w14:paraId="7B2EACC3" w14:textId="77777777" w:rsidR="00B949E1" w:rsidRPr="002F2D68" w:rsidRDefault="00B949E1" w:rsidP="00B949E1">
      <w:pPr>
        <w:pStyle w:val="TOCTOFSubHeading"/>
        <w:spacing w:before="0" w:after="0"/>
      </w:pPr>
    </w:p>
    <w:p w14:paraId="48A6A6BB" w14:textId="77777777" w:rsidR="00B949E1" w:rsidRPr="002F2D68" w:rsidRDefault="00B949E1" w:rsidP="00B949E1">
      <w:pPr>
        <w:pStyle w:val="BodyText"/>
        <w:spacing w:before="0" w:after="0"/>
      </w:pPr>
    </w:p>
    <w:p w14:paraId="3C57315F" w14:textId="77777777" w:rsidR="00B949E1" w:rsidRPr="002F2D68" w:rsidRDefault="00B949E1" w:rsidP="00B949E1">
      <w:pPr>
        <w:pStyle w:val="BodyText"/>
        <w:spacing w:before="0" w:after="0"/>
        <w:sectPr w:rsidR="00B949E1" w:rsidRPr="002F2D68" w:rsidSect="00B949E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3119" w:header="454" w:footer="454"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1800"/>
        <w:gridCol w:w="3770"/>
        <w:gridCol w:w="2366"/>
      </w:tblGrid>
      <w:tr w:rsidR="00B949E1" w14:paraId="4024DA46" w14:textId="77777777" w:rsidTr="00B9362B">
        <w:trPr>
          <w:trHeight w:hRule="exact" w:val="382"/>
        </w:trPr>
        <w:tc>
          <w:tcPr>
            <w:tcW w:w="5570" w:type="dxa"/>
            <w:gridSpan w:val="2"/>
          </w:tcPr>
          <w:p w14:paraId="780DD064" w14:textId="77777777" w:rsidR="00B949E1" w:rsidRDefault="00B949E1" w:rsidP="00B9362B">
            <w:pPr>
              <w:pStyle w:val="tagglossaryChpt"/>
              <w:pageBreakBefore/>
            </w:pPr>
            <w:r>
              <w:rPr>
                <w:noProof/>
              </w:rPr>
              <w:lastRenderedPageBreak/>
              <w:drawing>
                <wp:anchor distT="0" distB="0" distL="114300" distR="114300" simplePos="0" relativeHeight="251660800" behindDoc="1" locked="1" layoutInCell="1" allowOverlap="1" wp14:anchorId="19352881" wp14:editId="275F973C">
                  <wp:simplePos x="0" y="0"/>
                  <wp:positionH relativeFrom="page">
                    <wp:posOffset>0</wp:posOffset>
                  </wp:positionH>
                  <wp:positionV relativeFrom="page">
                    <wp:posOffset>0</wp:posOffset>
                  </wp:positionV>
                  <wp:extent cx="5039360" cy="1995170"/>
                  <wp:effectExtent l="0" t="0" r="8890" b="5080"/>
                  <wp:wrapNone/>
                  <wp:docPr id="63" name="Picture 63"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45008616" w14:textId="77777777" w:rsidR="00B949E1" w:rsidRDefault="00B949E1" w:rsidP="00B9362B">
            <w:pPr>
              <w:pStyle w:val="spacer"/>
            </w:pPr>
          </w:p>
        </w:tc>
      </w:tr>
      <w:tr w:rsidR="00B949E1" w14:paraId="0C95B834" w14:textId="77777777" w:rsidTr="00B9362B">
        <w:trPr>
          <w:trHeight w:hRule="exact" w:val="2760"/>
        </w:trPr>
        <w:tc>
          <w:tcPr>
            <w:tcW w:w="5570" w:type="dxa"/>
            <w:gridSpan w:val="2"/>
            <w:vAlign w:val="bottom"/>
          </w:tcPr>
          <w:p w14:paraId="60D698ED" w14:textId="77777777" w:rsidR="00B949E1" w:rsidRDefault="00B949E1" w:rsidP="00B9362B">
            <w:pPr>
              <w:pStyle w:val="Headingglossary"/>
            </w:pPr>
            <w:bookmarkStart w:id="5" w:name="_Toc136872608"/>
            <w:r>
              <w:t>Glossary</w:t>
            </w:r>
            <w:bookmarkEnd w:id="5"/>
          </w:p>
        </w:tc>
        <w:tc>
          <w:tcPr>
            <w:tcW w:w="2366" w:type="dxa"/>
            <w:tcMar>
              <w:right w:w="224" w:type="dxa"/>
            </w:tcMar>
            <w:vAlign w:val="bottom"/>
          </w:tcPr>
          <w:p w14:paraId="23B5B2B6" w14:textId="77777777" w:rsidR="00B949E1" w:rsidRDefault="00B949E1" w:rsidP="00B9362B">
            <w:pPr>
              <w:pStyle w:val="spacer"/>
            </w:pPr>
          </w:p>
        </w:tc>
      </w:tr>
      <w:tr w:rsidR="00B949E1" w14:paraId="7E2A5554" w14:textId="77777777" w:rsidTr="00B9362B">
        <w:trPr>
          <w:trHeight w:hRule="exact" w:val="228"/>
        </w:trPr>
        <w:tc>
          <w:tcPr>
            <w:tcW w:w="5570" w:type="dxa"/>
            <w:gridSpan w:val="2"/>
          </w:tcPr>
          <w:p w14:paraId="66C84C53" w14:textId="77777777" w:rsidR="00B949E1" w:rsidRDefault="00B949E1" w:rsidP="00B9362B">
            <w:pPr>
              <w:pStyle w:val="spacer"/>
            </w:pPr>
          </w:p>
        </w:tc>
        <w:tc>
          <w:tcPr>
            <w:tcW w:w="2366" w:type="dxa"/>
          </w:tcPr>
          <w:p w14:paraId="2D24F727" w14:textId="77777777" w:rsidR="00B949E1" w:rsidRDefault="00B949E1" w:rsidP="00B9362B">
            <w:pPr>
              <w:pStyle w:val="spacer"/>
            </w:pPr>
          </w:p>
        </w:tc>
      </w:tr>
      <w:tr w:rsidR="00B949E1" w14:paraId="50A3AC4E" w14:textId="77777777" w:rsidTr="00B9362B">
        <w:tc>
          <w:tcPr>
            <w:tcW w:w="1800" w:type="dxa"/>
            <w:shd w:val="clear" w:color="auto" w:fill="auto"/>
            <w:vAlign w:val="center"/>
          </w:tcPr>
          <w:p w14:paraId="39186044" w14:textId="77777777" w:rsidR="00B949E1" w:rsidRDefault="00B949E1" w:rsidP="00B9362B">
            <w:pPr>
              <w:pStyle w:val="BodyText"/>
            </w:pPr>
            <w:r>
              <w:rPr>
                <w:color w:val="000000"/>
              </w:rPr>
              <w:t>ACT</w:t>
            </w:r>
          </w:p>
        </w:tc>
        <w:tc>
          <w:tcPr>
            <w:tcW w:w="6136" w:type="dxa"/>
            <w:gridSpan w:val="2"/>
            <w:shd w:val="clear" w:color="auto" w:fill="auto"/>
            <w:vAlign w:val="center"/>
          </w:tcPr>
          <w:p w14:paraId="7731E824" w14:textId="77777777" w:rsidR="00B949E1" w:rsidRDefault="00B949E1" w:rsidP="00B9362B">
            <w:pPr>
              <w:pStyle w:val="BodyText"/>
            </w:pPr>
            <w:r>
              <w:rPr>
                <w:color w:val="000000"/>
              </w:rPr>
              <w:t>Australian Capital Territory</w:t>
            </w:r>
          </w:p>
        </w:tc>
      </w:tr>
      <w:tr w:rsidR="00B949E1" w14:paraId="2CC49F27" w14:textId="77777777" w:rsidTr="00B9362B">
        <w:tc>
          <w:tcPr>
            <w:tcW w:w="1800" w:type="dxa"/>
            <w:shd w:val="clear" w:color="auto" w:fill="auto"/>
            <w:vAlign w:val="center"/>
          </w:tcPr>
          <w:p w14:paraId="321616A9" w14:textId="77777777" w:rsidR="00B949E1" w:rsidRDefault="00B949E1" w:rsidP="00B9362B">
            <w:pPr>
              <w:pStyle w:val="BodyText"/>
            </w:pPr>
            <w:r>
              <w:rPr>
                <w:color w:val="000000"/>
              </w:rPr>
              <w:t>BCR</w:t>
            </w:r>
          </w:p>
        </w:tc>
        <w:tc>
          <w:tcPr>
            <w:tcW w:w="6136" w:type="dxa"/>
            <w:gridSpan w:val="2"/>
            <w:shd w:val="clear" w:color="auto" w:fill="auto"/>
            <w:vAlign w:val="center"/>
          </w:tcPr>
          <w:p w14:paraId="14702192" w14:textId="77777777" w:rsidR="00B949E1" w:rsidRDefault="00B949E1" w:rsidP="00B9362B">
            <w:pPr>
              <w:pStyle w:val="BodyText"/>
            </w:pPr>
            <w:r>
              <w:rPr>
                <w:color w:val="000000"/>
              </w:rPr>
              <w:t>Benefit-cost ratio</w:t>
            </w:r>
          </w:p>
        </w:tc>
      </w:tr>
      <w:tr w:rsidR="00B949E1" w14:paraId="3FC03815" w14:textId="77777777" w:rsidTr="00B9362B">
        <w:tc>
          <w:tcPr>
            <w:tcW w:w="1800" w:type="dxa"/>
            <w:shd w:val="clear" w:color="auto" w:fill="auto"/>
            <w:vAlign w:val="center"/>
          </w:tcPr>
          <w:p w14:paraId="0E1A6F17" w14:textId="77777777" w:rsidR="00B949E1" w:rsidRDefault="00B949E1" w:rsidP="00B9362B">
            <w:pPr>
              <w:pStyle w:val="BodyText"/>
              <w:rPr>
                <w:color w:val="000000"/>
              </w:rPr>
            </w:pPr>
            <w:r>
              <w:rPr>
                <w:color w:val="000000"/>
              </w:rPr>
              <w:t>BRS</w:t>
            </w:r>
          </w:p>
        </w:tc>
        <w:tc>
          <w:tcPr>
            <w:tcW w:w="6136" w:type="dxa"/>
            <w:gridSpan w:val="2"/>
            <w:shd w:val="clear" w:color="auto" w:fill="auto"/>
            <w:vAlign w:val="center"/>
          </w:tcPr>
          <w:p w14:paraId="2724899E" w14:textId="77777777" w:rsidR="00B949E1" w:rsidRDefault="00B949E1" w:rsidP="00B9362B">
            <w:pPr>
              <w:pStyle w:val="BodyText"/>
              <w:rPr>
                <w:color w:val="000000"/>
              </w:rPr>
            </w:pPr>
            <w:r>
              <w:t>NSW Better Regulation Statement</w:t>
            </w:r>
          </w:p>
        </w:tc>
      </w:tr>
      <w:tr w:rsidR="00B949E1" w14:paraId="0B951A40" w14:textId="77777777" w:rsidTr="00B9362B">
        <w:tc>
          <w:tcPr>
            <w:tcW w:w="1800" w:type="dxa"/>
            <w:shd w:val="clear" w:color="auto" w:fill="auto"/>
            <w:vAlign w:val="center"/>
          </w:tcPr>
          <w:p w14:paraId="4C34549F" w14:textId="77777777" w:rsidR="00B949E1" w:rsidRDefault="00B949E1" w:rsidP="00B9362B">
            <w:pPr>
              <w:pStyle w:val="BodyText"/>
            </w:pPr>
            <w:r>
              <w:rPr>
                <w:color w:val="000000"/>
              </w:rPr>
              <w:t>CBA</w:t>
            </w:r>
          </w:p>
        </w:tc>
        <w:tc>
          <w:tcPr>
            <w:tcW w:w="6136" w:type="dxa"/>
            <w:gridSpan w:val="2"/>
            <w:shd w:val="clear" w:color="auto" w:fill="auto"/>
            <w:vAlign w:val="center"/>
          </w:tcPr>
          <w:p w14:paraId="0E9F2D2F" w14:textId="77777777" w:rsidR="00B949E1" w:rsidRDefault="00B949E1" w:rsidP="00B9362B">
            <w:pPr>
              <w:pStyle w:val="BodyText"/>
            </w:pPr>
            <w:r>
              <w:rPr>
                <w:color w:val="000000"/>
              </w:rPr>
              <w:t>Cost-benefit analysis</w:t>
            </w:r>
          </w:p>
        </w:tc>
      </w:tr>
      <w:tr w:rsidR="00B949E1" w14:paraId="066F20BB" w14:textId="77777777" w:rsidTr="00B9362B">
        <w:tc>
          <w:tcPr>
            <w:tcW w:w="1800" w:type="dxa"/>
            <w:shd w:val="clear" w:color="auto" w:fill="auto"/>
            <w:vAlign w:val="center"/>
          </w:tcPr>
          <w:p w14:paraId="721CC93C" w14:textId="77777777" w:rsidR="00B949E1" w:rsidRDefault="00B949E1" w:rsidP="00B9362B">
            <w:pPr>
              <w:pStyle w:val="BodyText"/>
            </w:pPr>
            <w:r>
              <w:rPr>
                <w:color w:val="000000"/>
              </w:rPr>
              <w:t>CIEL</w:t>
            </w:r>
          </w:p>
        </w:tc>
        <w:tc>
          <w:tcPr>
            <w:tcW w:w="6136" w:type="dxa"/>
            <w:gridSpan w:val="2"/>
            <w:shd w:val="clear" w:color="auto" w:fill="auto"/>
            <w:vAlign w:val="bottom"/>
          </w:tcPr>
          <w:p w14:paraId="556107A5" w14:textId="77777777" w:rsidR="00B949E1" w:rsidRDefault="00B949E1" w:rsidP="00B9362B">
            <w:pPr>
              <w:pStyle w:val="BodyText"/>
            </w:pPr>
            <w:r>
              <w:rPr>
                <w:color w:val="000000"/>
              </w:rPr>
              <w:t>Center for International Environmental Law</w:t>
            </w:r>
          </w:p>
        </w:tc>
      </w:tr>
      <w:tr w:rsidR="00B949E1" w14:paraId="5AFD3ADA" w14:textId="77777777" w:rsidTr="00B9362B">
        <w:tc>
          <w:tcPr>
            <w:tcW w:w="1800" w:type="dxa"/>
            <w:shd w:val="clear" w:color="auto" w:fill="auto"/>
            <w:vAlign w:val="center"/>
          </w:tcPr>
          <w:p w14:paraId="70476CF7" w14:textId="77777777" w:rsidR="00B949E1" w:rsidRDefault="00B949E1" w:rsidP="00B9362B">
            <w:pPr>
              <w:pStyle w:val="BodyText"/>
            </w:pPr>
            <w:r>
              <w:rPr>
                <w:color w:val="000000"/>
              </w:rPr>
              <w:t>CO2e</w:t>
            </w:r>
          </w:p>
        </w:tc>
        <w:tc>
          <w:tcPr>
            <w:tcW w:w="6136" w:type="dxa"/>
            <w:gridSpan w:val="2"/>
            <w:shd w:val="clear" w:color="auto" w:fill="auto"/>
            <w:vAlign w:val="center"/>
          </w:tcPr>
          <w:p w14:paraId="7F2C210F" w14:textId="77777777" w:rsidR="00B949E1" w:rsidRDefault="00B949E1" w:rsidP="00B9362B">
            <w:pPr>
              <w:pStyle w:val="BodyText"/>
            </w:pPr>
            <w:r>
              <w:rPr>
                <w:color w:val="000000"/>
              </w:rPr>
              <w:t>Carbon dioxide equivalent</w:t>
            </w:r>
          </w:p>
        </w:tc>
      </w:tr>
      <w:tr w:rsidR="00B949E1" w14:paraId="6545C7E2" w14:textId="77777777" w:rsidTr="00B9362B">
        <w:tc>
          <w:tcPr>
            <w:tcW w:w="1800" w:type="dxa"/>
            <w:shd w:val="clear" w:color="auto" w:fill="auto"/>
            <w:vAlign w:val="center"/>
          </w:tcPr>
          <w:p w14:paraId="3FC7A785" w14:textId="77777777" w:rsidR="00B949E1" w:rsidRDefault="00B949E1" w:rsidP="00B9362B">
            <w:pPr>
              <w:pStyle w:val="BodyText"/>
            </w:pPr>
            <w:r>
              <w:rPr>
                <w:color w:val="000000"/>
              </w:rPr>
              <w:t>EPS</w:t>
            </w:r>
          </w:p>
        </w:tc>
        <w:tc>
          <w:tcPr>
            <w:tcW w:w="6136" w:type="dxa"/>
            <w:gridSpan w:val="2"/>
            <w:shd w:val="clear" w:color="auto" w:fill="auto"/>
            <w:vAlign w:val="center"/>
          </w:tcPr>
          <w:p w14:paraId="6972697D" w14:textId="77777777" w:rsidR="00B949E1" w:rsidRDefault="00B949E1" w:rsidP="00B9362B">
            <w:pPr>
              <w:pStyle w:val="BodyText"/>
            </w:pPr>
            <w:r>
              <w:rPr>
                <w:color w:val="000000"/>
              </w:rPr>
              <w:t>Expanded polystyrene</w:t>
            </w:r>
          </w:p>
        </w:tc>
      </w:tr>
      <w:tr w:rsidR="00B949E1" w14:paraId="250CE3C1" w14:textId="77777777" w:rsidTr="00B9362B">
        <w:tc>
          <w:tcPr>
            <w:tcW w:w="1800" w:type="dxa"/>
            <w:shd w:val="clear" w:color="auto" w:fill="auto"/>
            <w:vAlign w:val="center"/>
          </w:tcPr>
          <w:p w14:paraId="41122363" w14:textId="77777777" w:rsidR="00B949E1" w:rsidRDefault="00B949E1" w:rsidP="00B9362B">
            <w:pPr>
              <w:pStyle w:val="BodyText"/>
            </w:pPr>
            <w:r>
              <w:rPr>
                <w:color w:val="000000"/>
              </w:rPr>
              <w:t>GHG</w:t>
            </w:r>
          </w:p>
        </w:tc>
        <w:tc>
          <w:tcPr>
            <w:tcW w:w="6136" w:type="dxa"/>
            <w:gridSpan w:val="2"/>
            <w:shd w:val="clear" w:color="auto" w:fill="auto"/>
            <w:vAlign w:val="center"/>
          </w:tcPr>
          <w:p w14:paraId="6FE45139" w14:textId="77777777" w:rsidR="00B949E1" w:rsidRDefault="00B949E1" w:rsidP="00B9362B">
            <w:pPr>
              <w:pStyle w:val="BodyText"/>
            </w:pPr>
            <w:r>
              <w:rPr>
                <w:color w:val="000000"/>
              </w:rPr>
              <w:t>Greenhouse Gas</w:t>
            </w:r>
          </w:p>
        </w:tc>
      </w:tr>
      <w:tr w:rsidR="00B949E1" w14:paraId="5783A889" w14:textId="77777777" w:rsidTr="00B9362B">
        <w:tc>
          <w:tcPr>
            <w:tcW w:w="1800" w:type="dxa"/>
            <w:shd w:val="clear" w:color="auto" w:fill="auto"/>
            <w:vAlign w:val="center"/>
          </w:tcPr>
          <w:p w14:paraId="7A8A3A40" w14:textId="77777777" w:rsidR="00B949E1" w:rsidRDefault="00B949E1" w:rsidP="00B9362B">
            <w:pPr>
              <w:pStyle w:val="BodyText"/>
            </w:pPr>
            <w:r>
              <w:rPr>
                <w:color w:val="000000"/>
              </w:rPr>
              <w:t>N/A</w:t>
            </w:r>
          </w:p>
        </w:tc>
        <w:tc>
          <w:tcPr>
            <w:tcW w:w="6136" w:type="dxa"/>
            <w:gridSpan w:val="2"/>
            <w:shd w:val="clear" w:color="auto" w:fill="auto"/>
            <w:vAlign w:val="center"/>
          </w:tcPr>
          <w:p w14:paraId="23E9B2F8" w14:textId="77777777" w:rsidR="00B949E1" w:rsidRDefault="00B949E1" w:rsidP="00B9362B">
            <w:pPr>
              <w:pStyle w:val="BodyText"/>
            </w:pPr>
            <w:r>
              <w:rPr>
                <w:color w:val="000000"/>
              </w:rPr>
              <w:t>Non-applicable</w:t>
            </w:r>
          </w:p>
        </w:tc>
      </w:tr>
      <w:tr w:rsidR="00B949E1" w14:paraId="0E28CABF" w14:textId="77777777" w:rsidTr="00B9362B">
        <w:tc>
          <w:tcPr>
            <w:tcW w:w="1800" w:type="dxa"/>
            <w:shd w:val="clear" w:color="auto" w:fill="auto"/>
            <w:vAlign w:val="center"/>
          </w:tcPr>
          <w:p w14:paraId="70E584CE" w14:textId="77777777" w:rsidR="00B949E1" w:rsidRDefault="00B949E1" w:rsidP="00B9362B">
            <w:pPr>
              <w:pStyle w:val="BodyText"/>
            </w:pPr>
            <w:r>
              <w:rPr>
                <w:color w:val="000000"/>
              </w:rPr>
              <w:t>NPV</w:t>
            </w:r>
          </w:p>
        </w:tc>
        <w:tc>
          <w:tcPr>
            <w:tcW w:w="6136" w:type="dxa"/>
            <w:gridSpan w:val="2"/>
            <w:shd w:val="clear" w:color="auto" w:fill="auto"/>
            <w:vAlign w:val="center"/>
          </w:tcPr>
          <w:p w14:paraId="3024C866" w14:textId="77777777" w:rsidR="00B949E1" w:rsidRDefault="00B949E1" w:rsidP="00B9362B">
            <w:pPr>
              <w:pStyle w:val="BodyText"/>
            </w:pPr>
            <w:r>
              <w:rPr>
                <w:color w:val="000000"/>
              </w:rPr>
              <w:t>Net Present Value</w:t>
            </w:r>
          </w:p>
        </w:tc>
      </w:tr>
      <w:tr w:rsidR="00B949E1" w14:paraId="6BA279AA" w14:textId="77777777" w:rsidTr="00B9362B">
        <w:tc>
          <w:tcPr>
            <w:tcW w:w="1800" w:type="dxa"/>
            <w:shd w:val="clear" w:color="auto" w:fill="auto"/>
            <w:vAlign w:val="center"/>
          </w:tcPr>
          <w:p w14:paraId="4DF6C51F" w14:textId="77777777" w:rsidR="00B949E1" w:rsidRDefault="00B949E1" w:rsidP="00B9362B">
            <w:pPr>
              <w:pStyle w:val="BodyText"/>
            </w:pPr>
            <w:r>
              <w:rPr>
                <w:color w:val="000000"/>
              </w:rPr>
              <w:t>NSW</w:t>
            </w:r>
          </w:p>
        </w:tc>
        <w:tc>
          <w:tcPr>
            <w:tcW w:w="6136" w:type="dxa"/>
            <w:gridSpan w:val="2"/>
            <w:shd w:val="clear" w:color="auto" w:fill="auto"/>
            <w:vAlign w:val="center"/>
          </w:tcPr>
          <w:p w14:paraId="0EF517E6" w14:textId="77777777" w:rsidR="00B949E1" w:rsidRDefault="00B949E1" w:rsidP="00B9362B">
            <w:pPr>
              <w:pStyle w:val="BodyText"/>
            </w:pPr>
            <w:r>
              <w:rPr>
                <w:color w:val="000000"/>
              </w:rPr>
              <w:t>New South Wales</w:t>
            </w:r>
          </w:p>
        </w:tc>
      </w:tr>
      <w:tr w:rsidR="00B949E1" w14:paraId="217B482C" w14:textId="77777777" w:rsidTr="00B9362B">
        <w:tc>
          <w:tcPr>
            <w:tcW w:w="1800" w:type="dxa"/>
            <w:shd w:val="clear" w:color="auto" w:fill="auto"/>
            <w:vAlign w:val="center"/>
          </w:tcPr>
          <w:p w14:paraId="532267EB" w14:textId="77777777" w:rsidR="00B949E1" w:rsidRDefault="00B949E1" w:rsidP="00B9362B">
            <w:pPr>
              <w:pStyle w:val="BodyText"/>
            </w:pPr>
            <w:r>
              <w:rPr>
                <w:color w:val="000000"/>
              </w:rPr>
              <w:t>NT</w:t>
            </w:r>
          </w:p>
        </w:tc>
        <w:tc>
          <w:tcPr>
            <w:tcW w:w="6136" w:type="dxa"/>
            <w:gridSpan w:val="2"/>
            <w:shd w:val="clear" w:color="auto" w:fill="auto"/>
            <w:vAlign w:val="center"/>
          </w:tcPr>
          <w:p w14:paraId="69F97145" w14:textId="77777777" w:rsidR="00B949E1" w:rsidRDefault="00B949E1" w:rsidP="00B9362B">
            <w:pPr>
              <w:pStyle w:val="BodyText"/>
            </w:pPr>
            <w:r>
              <w:rPr>
                <w:color w:val="000000"/>
              </w:rPr>
              <w:t>Northern Territory</w:t>
            </w:r>
          </w:p>
        </w:tc>
      </w:tr>
      <w:tr w:rsidR="00B949E1" w14:paraId="70019CE8" w14:textId="77777777" w:rsidTr="00B9362B">
        <w:tc>
          <w:tcPr>
            <w:tcW w:w="1800" w:type="dxa"/>
            <w:shd w:val="clear" w:color="auto" w:fill="auto"/>
            <w:vAlign w:val="center"/>
          </w:tcPr>
          <w:p w14:paraId="118C8D3D" w14:textId="77777777" w:rsidR="00B949E1" w:rsidRDefault="00B949E1" w:rsidP="00B9362B">
            <w:pPr>
              <w:pStyle w:val="BodyText"/>
              <w:rPr>
                <w:color w:val="000000"/>
              </w:rPr>
            </w:pPr>
            <w:r>
              <w:rPr>
                <w:color w:val="000000"/>
              </w:rPr>
              <w:t>NZ</w:t>
            </w:r>
          </w:p>
        </w:tc>
        <w:tc>
          <w:tcPr>
            <w:tcW w:w="6136" w:type="dxa"/>
            <w:gridSpan w:val="2"/>
            <w:shd w:val="clear" w:color="auto" w:fill="auto"/>
            <w:vAlign w:val="center"/>
          </w:tcPr>
          <w:p w14:paraId="58131B0D" w14:textId="77777777" w:rsidR="00B949E1" w:rsidRDefault="00B949E1" w:rsidP="00B9362B">
            <w:pPr>
              <w:pStyle w:val="BodyText"/>
              <w:rPr>
                <w:color w:val="000000"/>
              </w:rPr>
            </w:pPr>
            <w:r>
              <w:rPr>
                <w:color w:val="000000"/>
              </w:rPr>
              <w:t>New Zealand</w:t>
            </w:r>
          </w:p>
        </w:tc>
      </w:tr>
      <w:tr w:rsidR="00B949E1" w14:paraId="7ACB690F" w14:textId="77777777" w:rsidTr="00B9362B">
        <w:tc>
          <w:tcPr>
            <w:tcW w:w="1800" w:type="dxa"/>
            <w:shd w:val="clear" w:color="auto" w:fill="auto"/>
            <w:vAlign w:val="center"/>
          </w:tcPr>
          <w:p w14:paraId="08ED72A9" w14:textId="77777777" w:rsidR="00B949E1" w:rsidRDefault="00B949E1" w:rsidP="00B9362B">
            <w:pPr>
              <w:pStyle w:val="BodyText"/>
            </w:pPr>
            <w:r>
              <w:rPr>
                <w:color w:val="000000"/>
              </w:rPr>
              <w:t>OECD</w:t>
            </w:r>
          </w:p>
        </w:tc>
        <w:tc>
          <w:tcPr>
            <w:tcW w:w="6136" w:type="dxa"/>
            <w:gridSpan w:val="2"/>
            <w:shd w:val="clear" w:color="auto" w:fill="auto"/>
            <w:vAlign w:val="center"/>
          </w:tcPr>
          <w:p w14:paraId="185472F9" w14:textId="77777777" w:rsidR="00B949E1" w:rsidRDefault="00B949E1" w:rsidP="00B9362B">
            <w:pPr>
              <w:pStyle w:val="BodyText"/>
            </w:pPr>
            <w:r>
              <w:rPr>
                <w:color w:val="000000"/>
              </w:rPr>
              <w:t>Organisation for Economic Co-operation and Development</w:t>
            </w:r>
          </w:p>
        </w:tc>
      </w:tr>
      <w:tr w:rsidR="00B949E1" w14:paraId="23A89BF6" w14:textId="77777777" w:rsidTr="00B9362B">
        <w:tc>
          <w:tcPr>
            <w:tcW w:w="1800" w:type="dxa"/>
            <w:shd w:val="clear" w:color="auto" w:fill="auto"/>
            <w:vAlign w:val="center"/>
          </w:tcPr>
          <w:p w14:paraId="688A63E6" w14:textId="77777777" w:rsidR="00B949E1" w:rsidRDefault="00B949E1" w:rsidP="00B9362B">
            <w:pPr>
              <w:pStyle w:val="BodyText"/>
            </w:pPr>
            <w:r>
              <w:rPr>
                <w:color w:val="000000"/>
              </w:rPr>
              <w:t>OIA</w:t>
            </w:r>
          </w:p>
        </w:tc>
        <w:tc>
          <w:tcPr>
            <w:tcW w:w="6136" w:type="dxa"/>
            <w:gridSpan w:val="2"/>
            <w:shd w:val="clear" w:color="auto" w:fill="auto"/>
            <w:vAlign w:val="center"/>
          </w:tcPr>
          <w:p w14:paraId="20276DB6" w14:textId="77777777" w:rsidR="00B949E1" w:rsidRDefault="00B949E1" w:rsidP="00B9362B">
            <w:pPr>
              <w:pStyle w:val="BodyText"/>
            </w:pPr>
            <w:r>
              <w:rPr>
                <w:color w:val="000000"/>
              </w:rPr>
              <w:t>The Office of Impact Analysis</w:t>
            </w:r>
          </w:p>
        </w:tc>
      </w:tr>
      <w:tr w:rsidR="00B949E1" w14:paraId="4A8A01EA" w14:textId="77777777" w:rsidTr="00B9362B">
        <w:tc>
          <w:tcPr>
            <w:tcW w:w="1800" w:type="dxa"/>
            <w:shd w:val="clear" w:color="auto" w:fill="auto"/>
            <w:vAlign w:val="center"/>
          </w:tcPr>
          <w:p w14:paraId="1673F2BA" w14:textId="77777777" w:rsidR="00B949E1" w:rsidRDefault="00B949E1" w:rsidP="00B9362B">
            <w:pPr>
              <w:pStyle w:val="BodyText"/>
            </w:pPr>
            <w:r>
              <w:rPr>
                <w:color w:val="000000"/>
              </w:rPr>
              <w:t>QLD</w:t>
            </w:r>
          </w:p>
        </w:tc>
        <w:tc>
          <w:tcPr>
            <w:tcW w:w="6136" w:type="dxa"/>
            <w:gridSpan w:val="2"/>
            <w:shd w:val="clear" w:color="auto" w:fill="auto"/>
            <w:vAlign w:val="center"/>
          </w:tcPr>
          <w:p w14:paraId="7933928C" w14:textId="77777777" w:rsidR="00B949E1" w:rsidRDefault="00B949E1" w:rsidP="00B9362B">
            <w:pPr>
              <w:pStyle w:val="BodyText"/>
            </w:pPr>
            <w:r>
              <w:rPr>
                <w:color w:val="000000"/>
              </w:rPr>
              <w:t>Queensland</w:t>
            </w:r>
          </w:p>
        </w:tc>
      </w:tr>
      <w:tr w:rsidR="00B949E1" w14:paraId="6EC51649" w14:textId="77777777" w:rsidTr="00B9362B">
        <w:tc>
          <w:tcPr>
            <w:tcW w:w="1800" w:type="dxa"/>
            <w:shd w:val="clear" w:color="auto" w:fill="auto"/>
            <w:vAlign w:val="center"/>
          </w:tcPr>
          <w:p w14:paraId="2B784DFE" w14:textId="77777777" w:rsidR="00B949E1" w:rsidRDefault="00B949E1" w:rsidP="00B9362B">
            <w:pPr>
              <w:pStyle w:val="BodyText"/>
            </w:pPr>
            <w:r>
              <w:rPr>
                <w:color w:val="000000"/>
              </w:rPr>
              <w:t>RIA</w:t>
            </w:r>
          </w:p>
        </w:tc>
        <w:tc>
          <w:tcPr>
            <w:tcW w:w="6136" w:type="dxa"/>
            <w:gridSpan w:val="2"/>
            <w:shd w:val="clear" w:color="auto" w:fill="auto"/>
            <w:vAlign w:val="center"/>
          </w:tcPr>
          <w:p w14:paraId="4154D6E6" w14:textId="77777777" w:rsidR="00B949E1" w:rsidRDefault="00B949E1" w:rsidP="00B9362B">
            <w:pPr>
              <w:pStyle w:val="BodyText"/>
            </w:pPr>
            <w:r>
              <w:rPr>
                <w:color w:val="000000"/>
              </w:rPr>
              <w:t>Regulatory Impact Analysis</w:t>
            </w:r>
          </w:p>
        </w:tc>
      </w:tr>
      <w:tr w:rsidR="00B949E1" w14:paraId="0FBF02F9" w14:textId="77777777" w:rsidTr="00B9362B">
        <w:tc>
          <w:tcPr>
            <w:tcW w:w="1800" w:type="dxa"/>
            <w:shd w:val="clear" w:color="auto" w:fill="auto"/>
            <w:vAlign w:val="center"/>
          </w:tcPr>
          <w:p w14:paraId="19F4DB78" w14:textId="77777777" w:rsidR="00B949E1" w:rsidRDefault="00B949E1" w:rsidP="00B9362B">
            <w:pPr>
              <w:pStyle w:val="BodyText"/>
            </w:pPr>
            <w:r>
              <w:rPr>
                <w:color w:val="000000"/>
              </w:rPr>
              <w:t>RIS</w:t>
            </w:r>
          </w:p>
        </w:tc>
        <w:tc>
          <w:tcPr>
            <w:tcW w:w="6136" w:type="dxa"/>
            <w:gridSpan w:val="2"/>
            <w:shd w:val="clear" w:color="auto" w:fill="auto"/>
            <w:vAlign w:val="center"/>
          </w:tcPr>
          <w:p w14:paraId="61944244" w14:textId="77777777" w:rsidR="00B949E1" w:rsidRDefault="00B949E1" w:rsidP="00B9362B">
            <w:pPr>
              <w:pStyle w:val="BodyText"/>
            </w:pPr>
            <w:r>
              <w:rPr>
                <w:color w:val="000000"/>
              </w:rPr>
              <w:t>Regulatory Impact Statement</w:t>
            </w:r>
          </w:p>
        </w:tc>
      </w:tr>
      <w:tr w:rsidR="00B949E1" w14:paraId="5DC3560E" w14:textId="77777777" w:rsidTr="00B9362B">
        <w:tc>
          <w:tcPr>
            <w:tcW w:w="1800" w:type="dxa"/>
            <w:shd w:val="clear" w:color="auto" w:fill="auto"/>
            <w:vAlign w:val="center"/>
          </w:tcPr>
          <w:p w14:paraId="2DE1BCE3" w14:textId="77777777" w:rsidR="00B949E1" w:rsidRDefault="00B949E1" w:rsidP="00B9362B">
            <w:pPr>
              <w:pStyle w:val="BodyText"/>
            </w:pPr>
            <w:r>
              <w:rPr>
                <w:color w:val="000000"/>
              </w:rPr>
              <w:t>SA</w:t>
            </w:r>
          </w:p>
        </w:tc>
        <w:tc>
          <w:tcPr>
            <w:tcW w:w="6136" w:type="dxa"/>
            <w:gridSpan w:val="2"/>
            <w:shd w:val="clear" w:color="auto" w:fill="auto"/>
            <w:vAlign w:val="center"/>
          </w:tcPr>
          <w:p w14:paraId="48180D4E" w14:textId="77777777" w:rsidR="00B949E1" w:rsidRDefault="00B949E1" w:rsidP="00B9362B">
            <w:pPr>
              <w:pStyle w:val="BodyText"/>
            </w:pPr>
            <w:r>
              <w:rPr>
                <w:color w:val="000000"/>
              </w:rPr>
              <w:t>South Australia</w:t>
            </w:r>
          </w:p>
        </w:tc>
      </w:tr>
      <w:tr w:rsidR="00B949E1" w14:paraId="70AEA693" w14:textId="77777777" w:rsidTr="00B9362B">
        <w:tc>
          <w:tcPr>
            <w:tcW w:w="1800" w:type="dxa"/>
            <w:shd w:val="clear" w:color="auto" w:fill="auto"/>
            <w:vAlign w:val="center"/>
          </w:tcPr>
          <w:p w14:paraId="29C9466E" w14:textId="77777777" w:rsidR="00B949E1" w:rsidRDefault="00B949E1" w:rsidP="00B9362B">
            <w:pPr>
              <w:pStyle w:val="BodyText"/>
            </w:pPr>
            <w:r>
              <w:rPr>
                <w:color w:val="000000"/>
              </w:rPr>
              <w:t>SUP</w:t>
            </w:r>
          </w:p>
        </w:tc>
        <w:tc>
          <w:tcPr>
            <w:tcW w:w="6136" w:type="dxa"/>
            <w:gridSpan w:val="2"/>
            <w:shd w:val="clear" w:color="auto" w:fill="auto"/>
            <w:vAlign w:val="center"/>
          </w:tcPr>
          <w:p w14:paraId="299FC0A8" w14:textId="77777777" w:rsidR="00B949E1" w:rsidRDefault="00B949E1" w:rsidP="00B9362B">
            <w:pPr>
              <w:pStyle w:val="BodyText"/>
            </w:pPr>
            <w:r>
              <w:rPr>
                <w:color w:val="000000"/>
              </w:rPr>
              <w:t>Single-use plastic</w:t>
            </w:r>
          </w:p>
        </w:tc>
      </w:tr>
      <w:tr w:rsidR="00B949E1" w14:paraId="654A2E82" w14:textId="77777777" w:rsidTr="00B9362B">
        <w:tc>
          <w:tcPr>
            <w:tcW w:w="1800" w:type="dxa"/>
            <w:shd w:val="clear" w:color="auto" w:fill="auto"/>
            <w:vAlign w:val="center"/>
          </w:tcPr>
          <w:p w14:paraId="7739426C" w14:textId="77777777" w:rsidR="00B949E1" w:rsidRDefault="00B949E1" w:rsidP="00B9362B">
            <w:pPr>
              <w:pStyle w:val="BodyText"/>
            </w:pPr>
            <w:r>
              <w:rPr>
                <w:color w:val="000000"/>
              </w:rPr>
              <w:t>TAS</w:t>
            </w:r>
          </w:p>
        </w:tc>
        <w:tc>
          <w:tcPr>
            <w:tcW w:w="6136" w:type="dxa"/>
            <w:gridSpan w:val="2"/>
            <w:shd w:val="clear" w:color="auto" w:fill="auto"/>
            <w:vAlign w:val="center"/>
          </w:tcPr>
          <w:p w14:paraId="6AB60E29" w14:textId="77777777" w:rsidR="00B949E1" w:rsidRDefault="00B949E1" w:rsidP="00B9362B">
            <w:pPr>
              <w:pStyle w:val="BodyText"/>
            </w:pPr>
            <w:r>
              <w:rPr>
                <w:color w:val="000000"/>
              </w:rPr>
              <w:t>Tasmania</w:t>
            </w:r>
          </w:p>
        </w:tc>
      </w:tr>
      <w:tr w:rsidR="00B949E1" w14:paraId="06524907" w14:textId="77777777" w:rsidTr="00B9362B">
        <w:tc>
          <w:tcPr>
            <w:tcW w:w="1800" w:type="dxa"/>
            <w:shd w:val="clear" w:color="auto" w:fill="auto"/>
          </w:tcPr>
          <w:p w14:paraId="69E7157A" w14:textId="77777777" w:rsidR="00B949E1" w:rsidRDefault="00B949E1" w:rsidP="00B9362B">
            <w:pPr>
              <w:pStyle w:val="BodyText"/>
              <w:rPr>
                <w:color w:val="000000"/>
              </w:rPr>
            </w:pPr>
            <w:r w:rsidRPr="001B4621">
              <w:t>UNEP</w:t>
            </w:r>
          </w:p>
        </w:tc>
        <w:tc>
          <w:tcPr>
            <w:tcW w:w="6136" w:type="dxa"/>
            <w:gridSpan w:val="2"/>
            <w:shd w:val="clear" w:color="auto" w:fill="auto"/>
          </w:tcPr>
          <w:p w14:paraId="612FEADF" w14:textId="77777777" w:rsidR="00B949E1" w:rsidRDefault="00B949E1" w:rsidP="00B9362B">
            <w:pPr>
              <w:pStyle w:val="BodyText"/>
              <w:rPr>
                <w:color w:val="000000"/>
              </w:rPr>
            </w:pPr>
            <w:r w:rsidRPr="001B4621">
              <w:t>United Nations Environment Programme</w:t>
            </w:r>
          </w:p>
        </w:tc>
      </w:tr>
      <w:tr w:rsidR="00B949E1" w14:paraId="3A7603BD" w14:textId="77777777" w:rsidTr="00B9362B">
        <w:tc>
          <w:tcPr>
            <w:tcW w:w="1800" w:type="dxa"/>
            <w:shd w:val="clear" w:color="auto" w:fill="auto"/>
          </w:tcPr>
          <w:p w14:paraId="1DC8471E" w14:textId="77777777" w:rsidR="00B949E1" w:rsidRDefault="00B949E1" w:rsidP="00B9362B">
            <w:pPr>
              <w:pStyle w:val="BodyText"/>
              <w:rPr>
                <w:color w:val="000000"/>
              </w:rPr>
            </w:pPr>
            <w:r w:rsidRPr="001B4621">
              <w:lastRenderedPageBreak/>
              <w:t>UNESCO</w:t>
            </w:r>
          </w:p>
        </w:tc>
        <w:tc>
          <w:tcPr>
            <w:tcW w:w="6136" w:type="dxa"/>
            <w:gridSpan w:val="2"/>
            <w:shd w:val="clear" w:color="auto" w:fill="auto"/>
          </w:tcPr>
          <w:p w14:paraId="275D1EDE" w14:textId="77777777" w:rsidR="00B949E1" w:rsidRDefault="00B949E1" w:rsidP="00B9362B">
            <w:pPr>
              <w:pStyle w:val="BodyText"/>
              <w:rPr>
                <w:color w:val="000000"/>
              </w:rPr>
            </w:pPr>
            <w:r w:rsidRPr="001B4621">
              <w:t>The United Nations Educational, Scientific and Cultural Organization</w:t>
            </w:r>
          </w:p>
        </w:tc>
      </w:tr>
      <w:tr w:rsidR="00B949E1" w14:paraId="1C08D804" w14:textId="77777777" w:rsidTr="00B9362B">
        <w:tc>
          <w:tcPr>
            <w:tcW w:w="1800" w:type="dxa"/>
            <w:shd w:val="clear" w:color="auto" w:fill="auto"/>
          </w:tcPr>
          <w:p w14:paraId="5C7A4260" w14:textId="77777777" w:rsidR="00B949E1" w:rsidRDefault="00B949E1" w:rsidP="00B9362B">
            <w:pPr>
              <w:pStyle w:val="BodyText"/>
              <w:rPr>
                <w:color w:val="000000"/>
              </w:rPr>
            </w:pPr>
            <w:r w:rsidRPr="001B4621">
              <w:t>VIC</w:t>
            </w:r>
          </w:p>
        </w:tc>
        <w:tc>
          <w:tcPr>
            <w:tcW w:w="6136" w:type="dxa"/>
            <w:gridSpan w:val="2"/>
            <w:shd w:val="clear" w:color="auto" w:fill="auto"/>
          </w:tcPr>
          <w:p w14:paraId="5951391C" w14:textId="77777777" w:rsidR="00B949E1" w:rsidRDefault="00B949E1" w:rsidP="00B9362B">
            <w:pPr>
              <w:pStyle w:val="BodyText"/>
              <w:rPr>
                <w:color w:val="000000"/>
              </w:rPr>
            </w:pPr>
            <w:r w:rsidRPr="001B4621">
              <w:t>Victoria</w:t>
            </w:r>
          </w:p>
        </w:tc>
      </w:tr>
      <w:tr w:rsidR="00B949E1" w14:paraId="672086E8" w14:textId="77777777" w:rsidTr="00B9362B">
        <w:tc>
          <w:tcPr>
            <w:tcW w:w="1800" w:type="dxa"/>
            <w:shd w:val="clear" w:color="auto" w:fill="auto"/>
          </w:tcPr>
          <w:p w14:paraId="1A53DA10" w14:textId="77777777" w:rsidR="00B949E1" w:rsidRDefault="00B949E1" w:rsidP="00B9362B">
            <w:pPr>
              <w:pStyle w:val="BodyText"/>
              <w:rPr>
                <w:color w:val="000000"/>
              </w:rPr>
            </w:pPr>
            <w:r w:rsidRPr="001B4621">
              <w:t>WA</w:t>
            </w:r>
          </w:p>
        </w:tc>
        <w:tc>
          <w:tcPr>
            <w:tcW w:w="6136" w:type="dxa"/>
            <w:gridSpan w:val="2"/>
            <w:shd w:val="clear" w:color="auto" w:fill="auto"/>
          </w:tcPr>
          <w:p w14:paraId="1DE14BAA" w14:textId="77777777" w:rsidR="00B949E1" w:rsidRDefault="00B949E1" w:rsidP="00B9362B">
            <w:pPr>
              <w:pStyle w:val="BodyText"/>
              <w:rPr>
                <w:color w:val="000000"/>
              </w:rPr>
            </w:pPr>
            <w:r w:rsidRPr="001B4621">
              <w:t>Western Australia</w:t>
            </w:r>
          </w:p>
        </w:tc>
      </w:tr>
      <w:tr w:rsidR="00B949E1" w14:paraId="49F1C0F5" w14:textId="77777777" w:rsidTr="00B9362B">
        <w:tc>
          <w:tcPr>
            <w:tcW w:w="1800" w:type="dxa"/>
            <w:shd w:val="clear" w:color="auto" w:fill="auto"/>
          </w:tcPr>
          <w:p w14:paraId="65E45D6D" w14:textId="77777777" w:rsidR="00B949E1" w:rsidRPr="001B4621" w:rsidRDefault="00B949E1" w:rsidP="00B9362B">
            <w:pPr>
              <w:pStyle w:val="BodyText"/>
            </w:pPr>
            <w:r>
              <w:t>WTP</w:t>
            </w:r>
          </w:p>
        </w:tc>
        <w:tc>
          <w:tcPr>
            <w:tcW w:w="6136" w:type="dxa"/>
            <w:gridSpan w:val="2"/>
            <w:shd w:val="clear" w:color="auto" w:fill="auto"/>
          </w:tcPr>
          <w:p w14:paraId="04E11510" w14:textId="77777777" w:rsidR="00B949E1" w:rsidRPr="001B4621" w:rsidRDefault="00B949E1" w:rsidP="00B9362B">
            <w:pPr>
              <w:pStyle w:val="BodyText"/>
            </w:pPr>
            <w:r>
              <w:t>Willingness to Pay</w:t>
            </w:r>
          </w:p>
        </w:tc>
      </w:tr>
      <w:tr w:rsidR="00B949E1" w14:paraId="49F59117" w14:textId="77777777" w:rsidTr="00B9362B">
        <w:tc>
          <w:tcPr>
            <w:tcW w:w="1800" w:type="dxa"/>
            <w:shd w:val="clear" w:color="auto" w:fill="auto"/>
          </w:tcPr>
          <w:p w14:paraId="5A844F0B" w14:textId="77777777" w:rsidR="00B949E1" w:rsidRDefault="00B949E1" w:rsidP="00B9362B">
            <w:pPr>
              <w:pStyle w:val="BodyText"/>
              <w:rPr>
                <w:color w:val="000000"/>
              </w:rPr>
            </w:pPr>
            <w:r w:rsidRPr="006C529F">
              <w:t>WWF</w:t>
            </w:r>
          </w:p>
        </w:tc>
        <w:tc>
          <w:tcPr>
            <w:tcW w:w="6136" w:type="dxa"/>
            <w:gridSpan w:val="2"/>
            <w:shd w:val="clear" w:color="auto" w:fill="auto"/>
          </w:tcPr>
          <w:p w14:paraId="20D9433F" w14:textId="77777777" w:rsidR="00B949E1" w:rsidRDefault="00B949E1" w:rsidP="00B9362B">
            <w:pPr>
              <w:pStyle w:val="BodyText"/>
              <w:rPr>
                <w:color w:val="000000"/>
              </w:rPr>
            </w:pPr>
            <w:proofErr w:type="gramStart"/>
            <w:r w:rsidRPr="006C529F">
              <w:t>World Wide</w:t>
            </w:r>
            <w:proofErr w:type="gramEnd"/>
            <w:r w:rsidRPr="006C529F">
              <w:t xml:space="preserve"> Fund for Nature</w:t>
            </w:r>
          </w:p>
        </w:tc>
      </w:tr>
    </w:tbl>
    <w:p w14:paraId="6CCC0AF3" w14:textId="77777777" w:rsidR="00B949E1" w:rsidRDefault="00B949E1" w:rsidP="00B949E1">
      <w:pPr>
        <w:pStyle w:val="BodyText"/>
      </w:pPr>
    </w:p>
    <w:p w14:paraId="6ACD062F" w14:textId="77777777" w:rsidR="00B949E1" w:rsidRDefault="00B949E1" w:rsidP="00B949E1">
      <w:pPr>
        <w:pStyle w:val="BodyText"/>
      </w:pPr>
    </w:p>
    <w:p w14:paraId="5673274B" w14:textId="77777777" w:rsidR="00B949E1" w:rsidRDefault="00B949E1" w:rsidP="00B949E1">
      <w:pPr>
        <w:pStyle w:val="BodyText"/>
      </w:pPr>
    </w:p>
    <w:p w14:paraId="1AB74995" w14:textId="77777777" w:rsidR="00B949E1" w:rsidRDefault="00B949E1" w:rsidP="00B949E1">
      <w:pPr>
        <w:pStyle w:val="BodyText"/>
        <w:sectPr w:rsidR="00B949E1" w:rsidSect="00003C6B">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3119" w:header="454" w:footer="454" w:gutter="0"/>
          <w:pgNumType w:fmt="lowerRoman" w:start="1"/>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51540A4E" w14:textId="77777777" w:rsidTr="00B9362B">
        <w:trPr>
          <w:trHeight w:hRule="exact" w:val="382"/>
        </w:trPr>
        <w:tc>
          <w:tcPr>
            <w:tcW w:w="5570" w:type="dxa"/>
          </w:tcPr>
          <w:p w14:paraId="048E8ABC" w14:textId="77777777" w:rsidR="00B949E1" w:rsidRDefault="00B949E1" w:rsidP="00B9362B">
            <w:pPr>
              <w:pStyle w:val="tagexecBanner"/>
            </w:pPr>
            <w:r>
              <w:rPr>
                <w:noProof/>
              </w:rPr>
              <w:lastRenderedPageBreak/>
              <w:drawing>
                <wp:anchor distT="0" distB="0" distL="114300" distR="114300" simplePos="0" relativeHeight="251644416" behindDoc="1" locked="1" layoutInCell="1" allowOverlap="1" wp14:anchorId="19399F62" wp14:editId="52A42A1F">
                  <wp:simplePos x="0" y="0"/>
                  <wp:positionH relativeFrom="page">
                    <wp:posOffset>0</wp:posOffset>
                  </wp:positionH>
                  <wp:positionV relativeFrom="page">
                    <wp:posOffset>0</wp:posOffset>
                  </wp:positionV>
                  <wp:extent cx="5039360" cy="1995170"/>
                  <wp:effectExtent l="0" t="0" r="8890" b="5080"/>
                  <wp:wrapNone/>
                  <wp:docPr id="572"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6B6D0B36" w14:textId="77777777" w:rsidR="00B949E1" w:rsidRDefault="00B949E1" w:rsidP="00B9362B">
            <w:pPr>
              <w:pStyle w:val="spacer"/>
            </w:pPr>
          </w:p>
        </w:tc>
      </w:tr>
      <w:tr w:rsidR="00B949E1" w14:paraId="1EF36BD8" w14:textId="77777777" w:rsidTr="00B9362B">
        <w:trPr>
          <w:trHeight w:hRule="exact" w:val="2760"/>
        </w:trPr>
        <w:tc>
          <w:tcPr>
            <w:tcW w:w="5570" w:type="dxa"/>
            <w:vAlign w:val="bottom"/>
          </w:tcPr>
          <w:p w14:paraId="201C3D90" w14:textId="77777777" w:rsidR="00B949E1" w:rsidRDefault="00B949E1" w:rsidP="00B9362B">
            <w:pPr>
              <w:pStyle w:val="Heading1ES"/>
            </w:pPr>
            <w:bookmarkStart w:id="6" w:name="_Toc136872609"/>
            <w:r>
              <w:t>Executive summary</w:t>
            </w:r>
            <w:bookmarkEnd w:id="6"/>
          </w:p>
        </w:tc>
        <w:tc>
          <w:tcPr>
            <w:tcW w:w="2366" w:type="dxa"/>
            <w:tcMar>
              <w:right w:w="224" w:type="dxa"/>
            </w:tcMar>
            <w:vAlign w:val="bottom"/>
          </w:tcPr>
          <w:p w14:paraId="76726E03" w14:textId="77777777" w:rsidR="00B949E1" w:rsidRDefault="00B949E1" w:rsidP="00B9362B">
            <w:pPr>
              <w:pStyle w:val="spacer"/>
            </w:pPr>
          </w:p>
        </w:tc>
      </w:tr>
      <w:tr w:rsidR="00B949E1" w14:paraId="466AF2DA" w14:textId="77777777" w:rsidTr="00B9362B">
        <w:trPr>
          <w:trHeight w:hRule="exact" w:val="228"/>
        </w:trPr>
        <w:tc>
          <w:tcPr>
            <w:tcW w:w="5570" w:type="dxa"/>
          </w:tcPr>
          <w:p w14:paraId="7B7CEF98" w14:textId="77777777" w:rsidR="00B949E1" w:rsidRDefault="00B949E1" w:rsidP="00B9362B">
            <w:pPr>
              <w:pStyle w:val="spacer"/>
            </w:pPr>
          </w:p>
        </w:tc>
        <w:tc>
          <w:tcPr>
            <w:tcW w:w="2366" w:type="dxa"/>
          </w:tcPr>
          <w:p w14:paraId="030087EB" w14:textId="77777777" w:rsidR="00B949E1" w:rsidRDefault="00B949E1" w:rsidP="00B9362B">
            <w:pPr>
              <w:pStyle w:val="spacer"/>
            </w:pPr>
          </w:p>
        </w:tc>
      </w:tr>
    </w:tbl>
    <w:p w14:paraId="0FF35CAF" w14:textId="77777777" w:rsidR="00B949E1" w:rsidRDefault="00B949E1" w:rsidP="00B949E1">
      <w:pPr>
        <w:pStyle w:val="BodyText"/>
      </w:pPr>
      <w:r>
        <w:t xml:space="preserve">In 2021, the ACT government introduced and passed the </w:t>
      </w:r>
      <w:r w:rsidRPr="002C0447">
        <w:t>Plastic Reduction Bill 2021</w:t>
      </w:r>
      <w:r>
        <w:t xml:space="preserve">. </w:t>
      </w:r>
      <w:r w:rsidRPr="002C0447">
        <w:t xml:space="preserve">The legislation allowed </w:t>
      </w:r>
      <w:r>
        <w:t xml:space="preserve">restriction and prohibition of the sale, supply or distribution </w:t>
      </w:r>
      <w:r w:rsidRPr="002C0447">
        <w:t xml:space="preserve">of the first tranche of </w:t>
      </w:r>
      <w:r>
        <w:t xml:space="preserve">single-use </w:t>
      </w:r>
      <w:r w:rsidRPr="002C0447">
        <w:t>plastic</w:t>
      </w:r>
      <w:r>
        <w:t xml:space="preserve"> (SUP)</w:t>
      </w:r>
      <w:r w:rsidRPr="002C0447">
        <w:t xml:space="preserve"> products commencing 1 July 2021. </w:t>
      </w:r>
      <w:r>
        <w:t xml:space="preserve">The first trance restrictions </w:t>
      </w:r>
      <w:r w:rsidRPr="002C0447">
        <w:t>included a preliminary ban on SUP cutlery, drink stirrers and expanded polystyrene (EPS) containers for take-away food and/or beverages.</w:t>
      </w:r>
      <w:r>
        <w:t xml:space="preserve"> The second tranche of restrictions took place in 2022, banning SUP drinking straws (with an exemption for those who need them), oxo-degradable plastic products, and cotton buds with plastic sticks.</w:t>
      </w:r>
    </w:p>
    <w:p w14:paraId="063754A2" w14:textId="77777777" w:rsidR="00B949E1" w:rsidRDefault="00B949E1" w:rsidP="00B949E1">
      <w:pPr>
        <w:pStyle w:val="BodyText"/>
      </w:pPr>
      <w:r>
        <w:t>ACT NoWaste (of the Transport Canberra and City Services Directorate) has commissioned ACIL Allen to conduct a Regulatory Impact Statement (RIS)</w:t>
      </w:r>
      <w:r w:rsidRPr="002C0447">
        <w:t xml:space="preserve"> to assess the net impacts of </w:t>
      </w:r>
      <w:r>
        <w:t xml:space="preserve">2 </w:t>
      </w:r>
      <w:r w:rsidRPr="002C0447">
        <w:t>identified policy options for phasing out single-use and other plastic products via cost benefit analysis</w:t>
      </w:r>
      <w:r>
        <w:t xml:space="preserve"> (CBA). The items included in this RIS are plastic microbeads, expanded polystyrene loose-fill packaging, SUP takeaway containers, SUP plates and bowls, and heavyweight and boutique plastic bags.</w:t>
      </w:r>
    </w:p>
    <w:p w14:paraId="13B68107" w14:textId="77777777" w:rsidR="00B949E1" w:rsidRDefault="00B949E1" w:rsidP="00EB2F2A">
      <w:pPr>
        <w:pStyle w:val="Heading4"/>
        <w:numPr>
          <w:ilvl w:val="0"/>
          <w:numId w:val="0"/>
        </w:numPr>
      </w:pPr>
      <w:r>
        <w:t>Statement of the problem</w:t>
      </w:r>
    </w:p>
    <w:p w14:paraId="5B80A988" w14:textId="77777777" w:rsidR="00B949E1" w:rsidRDefault="00B949E1" w:rsidP="00B949E1">
      <w:pPr>
        <w:pStyle w:val="BodyText"/>
      </w:pPr>
      <w:r>
        <w:t>Australia generated approximately 400 million tonnes of net SUP waste in 2019.</w:t>
      </w:r>
      <w:r>
        <w:rPr>
          <w:rStyle w:val="FootnoteReference"/>
        </w:rPr>
        <w:footnoteReference w:id="1"/>
      </w:r>
      <w:r>
        <w:t xml:space="preserve"> This equates to an average of 59kg of SUP waste per person per year in Australia. This is nearly 4 times the global average (currently at 15kg of SUP per capita per year).</w:t>
      </w:r>
      <w:r>
        <w:rPr>
          <w:rStyle w:val="FootnoteReference"/>
        </w:rPr>
        <w:footnoteReference w:id="2"/>
      </w:r>
    </w:p>
    <w:p w14:paraId="71F4A4E3" w14:textId="77777777" w:rsidR="00B949E1" w:rsidRDefault="00B949E1" w:rsidP="00B949E1">
      <w:pPr>
        <w:pStyle w:val="BodyText"/>
      </w:pPr>
      <w:r>
        <w:t xml:space="preserve">Despite a </w:t>
      </w:r>
      <w:r w:rsidRPr="0018740B">
        <w:t>growing</w:t>
      </w:r>
      <w:r>
        <w:t xml:space="preserve"> </w:t>
      </w:r>
      <w:r w:rsidRPr="0018740B">
        <w:t>awareness</w:t>
      </w:r>
      <w:r>
        <w:t xml:space="preserve"> </w:t>
      </w:r>
      <w:r w:rsidRPr="0018740B">
        <w:t>of</w:t>
      </w:r>
      <w:r>
        <w:t xml:space="preserve"> </w:t>
      </w:r>
      <w:r w:rsidRPr="0018740B">
        <w:t>plastic</w:t>
      </w:r>
      <w:r>
        <w:t xml:space="preserve"> </w:t>
      </w:r>
      <w:r w:rsidRPr="0018740B">
        <w:t>pollution</w:t>
      </w:r>
      <w:r>
        <w:t xml:space="preserve"> and its negative environmental impacts, plastic production and subsequent consumption continue to rise. The Organisation for Economic Co-operation and Development’s (OECD) recent global plastics outlook</w:t>
      </w:r>
      <w:r>
        <w:rPr>
          <w:rStyle w:val="FootnoteReference"/>
        </w:rPr>
        <w:footnoteReference w:id="3"/>
      </w:r>
      <w:r>
        <w:t xml:space="preserve"> projects that, under current policies, t</w:t>
      </w:r>
      <w:r w:rsidRPr="00A17335">
        <w:t>he</w:t>
      </w:r>
      <w:r>
        <w:t xml:space="preserve"> </w:t>
      </w:r>
      <w:r w:rsidRPr="00A17335">
        <w:t>production,</w:t>
      </w:r>
      <w:r>
        <w:t xml:space="preserve"> </w:t>
      </w:r>
      <w:r w:rsidRPr="00A17335">
        <w:t>and</w:t>
      </w:r>
      <w:r>
        <w:t xml:space="preserve"> </w:t>
      </w:r>
      <w:r w:rsidRPr="00A17335">
        <w:t>corresponding</w:t>
      </w:r>
      <w:r>
        <w:t xml:space="preserve"> </w:t>
      </w:r>
      <w:r w:rsidRPr="00A17335">
        <w:t>consumption,</w:t>
      </w:r>
      <w:r>
        <w:t xml:space="preserve"> </w:t>
      </w:r>
      <w:r w:rsidRPr="00A17335">
        <w:t>of</w:t>
      </w:r>
      <w:r>
        <w:t xml:space="preserve"> </w:t>
      </w:r>
      <w:r w:rsidRPr="00A17335">
        <w:t>plastic</w:t>
      </w:r>
      <w:r>
        <w:t xml:space="preserve"> </w:t>
      </w:r>
      <w:r w:rsidRPr="00A17335">
        <w:t>is</w:t>
      </w:r>
      <w:r>
        <w:t xml:space="preserve"> </w:t>
      </w:r>
      <w:r w:rsidRPr="00A17335">
        <w:t>projected</w:t>
      </w:r>
      <w:r>
        <w:t xml:space="preserve"> </w:t>
      </w:r>
      <w:r w:rsidRPr="00A17335">
        <w:t>to</w:t>
      </w:r>
      <w:r>
        <w:t xml:space="preserve"> </w:t>
      </w:r>
      <w:r w:rsidRPr="00A17335">
        <w:t>almost</w:t>
      </w:r>
      <w:r>
        <w:t xml:space="preserve"> </w:t>
      </w:r>
      <w:r w:rsidRPr="00A17335">
        <w:t>triple</w:t>
      </w:r>
      <w:r>
        <w:t xml:space="preserve"> </w:t>
      </w:r>
      <w:r w:rsidRPr="00A17335">
        <w:t>by</w:t>
      </w:r>
      <w:r>
        <w:t xml:space="preserve"> </w:t>
      </w:r>
      <w:r w:rsidRPr="00A17335">
        <w:t>2060</w:t>
      </w:r>
      <w:r>
        <w:t xml:space="preserve"> </w:t>
      </w:r>
      <w:r w:rsidRPr="00A17335">
        <w:t>due</w:t>
      </w:r>
      <w:r>
        <w:t xml:space="preserve"> </w:t>
      </w:r>
      <w:r w:rsidRPr="00A17335">
        <w:t>to</w:t>
      </w:r>
      <w:r>
        <w:t xml:space="preserve"> </w:t>
      </w:r>
      <w:r w:rsidRPr="00A17335">
        <w:t>economic</w:t>
      </w:r>
      <w:r>
        <w:t xml:space="preserve"> </w:t>
      </w:r>
      <w:r w:rsidRPr="00A17335">
        <w:t>and</w:t>
      </w:r>
      <w:r>
        <w:t xml:space="preserve"> </w:t>
      </w:r>
      <w:r w:rsidRPr="00A17335">
        <w:t>population</w:t>
      </w:r>
      <w:r>
        <w:t xml:space="preserve"> </w:t>
      </w:r>
      <w:r w:rsidRPr="00A17335">
        <w:t>growth.</w:t>
      </w:r>
      <w:r>
        <w:t xml:space="preserve"> </w:t>
      </w:r>
      <w:r w:rsidRPr="00A17335">
        <w:t>It</w:t>
      </w:r>
      <w:r>
        <w:t xml:space="preserve"> </w:t>
      </w:r>
      <w:r w:rsidRPr="00A17335">
        <w:t>is</w:t>
      </w:r>
      <w:r>
        <w:t xml:space="preserve"> </w:t>
      </w:r>
      <w:r w:rsidRPr="00A17335">
        <w:t>anticipated</w:t>
      </w:r>
      <w:r>
        <w:t xml:space="preserve"> </w:t>
      </w:r>
      <w:r w:rsidRPr="00A17335">
        <w:t>that</w:t>
      </w:r>
      <w:r>
        <w:t xml:space="preserve"> </w:t>
      </w:r>
      <w:r w:rsidRPr="00A17335">
        <w:t>half</w:t>
      </w:r>
      <w:r>
        <w:t xml:space="preserve"> </w:t>
      </w:r>
      <w:r w:rsidRPr="00A17335">
        <w:t>of</w:t>
      </w:r>
      <w:r>
        <w:t xml:space="preserve"> this </w:t>
      </w:r>
      <w:r w:rsidRPr="00A17335">
        <w:t>plastic</w:t>
      </w:r>
      <w:r>
        <w:t xml:space="preserve"> </w:t>
      </w:r>
      <w:r w:rsidRPr="00A17335">
        <w:t>will</w:t>
      </w:r>
      <w:r>
        <w:t xml:space="preserve"> </w:t>
      </w:r>
      <w:r w:rsidRPr="00A17335">
        <w:t>end</w:t>
      </w:r>
      <w:r>
        <w:t xml:space="preserve"> </w:t>
      </w:r>
      <w:r w:rsidRPr="00A17335">
        <w:t>up</w:t>
      </w:r>
      <w:r>
        <w:t xml:space="preserve"> </w:t>
      </w:r>
      <w:r w:rsidRPr="00A17335">
        <w:t>in</w:t>
      </w:r>
      <w:r>
        <w:t xml:space="preserve"> </w:t>
      </w:r>
      <w:r w:rsidRPr="00A17335">
        <w:t>landfill</w:t>
      </w:r>
      <w:r>
        <w:t xml:space="preserve"> </w:t>
      </w:r>
      <w:r w:rsidRPr="00A17335">
        <w:t>and</w:t>
      </w:r>
      <w:r>
        <w:t xml:space="preserve"> </w:t>
      </w:r>
      <w:r w:rsidRPr="00A17335">
        <w:t>less</w:t>
      </w:r>
      <w:r>
        <w:t xml:space="preserve"> </w:t>
      </w:r>
      <w:r w:rsidRPr="00A17335">
        <w:t>than</w:t>
      </w:r>
      <w:r>
        <w:t xml:space="preserve"> </w:t>
      </w:r>
      <w:r w:rsidRPr="00A17335">
        <w:t>a</w:t>
      </w:r>
      <w:r>
        <w:t xml:space="preserve"> </w:t>
      </w:r>
      <w:r w:rsidRPr="00A17335">
        <w:t>fifth</w:t>
      </w:r>
      <w:r>
        <w:t xml:space="preserve"> </w:t>
      </w:r>
      <w:r w:rsidRPr="00A17335">
        <w:t>will</w:t>
      </w:r>
      <w:r>
        <w:t xml:space="preserve"> </w:t>
      </w:r>
      <w:r w:rsidRPr="00A17335">
        <w:t>be</w:t>
      </w:r>
      <w:r>
        <w:t xml:space="preserve"> </w:t>
      </w:r>
      <w:r w:rsidRPr="00A17335">
        <w:t>recycled.</w:t>
      </w:r>
    </w:p>
    <w:p w14:paraId="51669A8A" w14:textId="77777777" w:rsidR="00B949E1" w:rsidRDefault="00B949E1" w:rsidP="00B949E1">
      <w:pPr>
        <w:pStyle w:val="BodyText"/>
      </w:pPr>
      <w:r>
        <w:t xml:space="preserve">Plastic is flexible, durable, mouldable, and lightweight, with low production, distribution, and disposal costs. These characteristics make them the preferred material for various applications in a wide range of products. These same strengths also present a problem: plastic does not break down </w:t>
      </w:r>
      <w:r>
        <w:lastRenderedPageBreak/>
        <w:t xml:space="preserve">naturally. It is suggested </w:t>
      </w:r>
      <w:r w:rsidRPr="00590F2C">
        <w:t>that</w:t>
      </w:r>
      <w:r>
        <w:t xml:space="preserve"> plastics generally take 500-1000 year</w:t>
      </w:r>
      <w:r w:rsidRPr="00590F2C">
        <w:t>s</w:t>
      </w:r>
      <w:r>
        <w:t xml:space="preserve"> </w:t>
      </w:r>
      <w:r w:rsidRPr="00590F2C">
        <w:t>to</w:t>
      </w:r>
      <w:r>
        <w:t xml:space="preserve"> </w:t>
      </w:r>
      <w:r w:rsidRPr="00590F2C">
        <w:t>break</w:t>
      </w:r>
      <w:r>
        <w:t xml:space="preserve"> </w:t>
      </w:r>
      <w:r w:rsidRPr="00590F2C">
        <w:t>down</w:t>
      </w:r>
      <w:r>
        <w:t>; even so, they become microplastic instead of fully degrading</w:t>
      </w:r>
      <w:r w:rsidRPr="00590F2C">
        <w:t>.</w:t>
      </w:r>
      <w:r>
        <w:rPr>
          <w:rStyle w:val="FootnoteReference"/>
        </w:rPr>
        <w:footnoteReference w:id="4"/>
      </w:r>
      <w:r>
        <w:t xml:space="preserve"> </w:t>
      </w:r>
    </w:p>
    <w:p w14:paraId="6843868F" w14:textId="77777777" w:rsidR="00B949E1" w:rsidRDefault="00B949E1" w:rsidP="00B949E1">
      <w:pPr>
        <w:pStyle w:val="BodyText"/>
      </w:pPr>
      <w:r>
        <w:t xml:space="preserve">Plastics can have environmental, economic, and social impacts when not captured and disposed of correctly. These impacts include: </w:t>
      </w:r>
    </w:p>
    <w:p w14:paraId="018E0168" w14:textId="77777777" w:rsidR="00B949E1" w:rsidRDefault="00B949E1" w:rsidP="00B949E1">
      <w:pPr>
        <w:pStyle w:val="ListBullet"/>
        <w:numPr>
          <w:ilvl w:val="0"/>
          <w:numId w:val="9"/>
        </w:numPr>
      </w:pPr>
      <w:r w:rsidRPr="00693793">
        <w:rPr>
          <w:b/>
          <w:bCs/>
        </w:rPr>
        <w:t>Environmental impacts:</w:t>
      </w:r>
      <w:r>
        <w:t xml:space="preserve"> SUPs</w:t>
      </w:r>
      <w:r w:rsidRPr="002F2300">
        <w:t xml:space="preserve"> </w:t>
      </w:r>
      <w:r>
        <w:t>constitute a significant</w:t>
      </w:r>
      <w:r w:rsidRPr="002F2300">
        <w:t xml:space="preserve"> source of pollution and harm to wildlife. Plastic waste is often disposed of improperly, either through littering or improper waste disposal, and can end up in the natural environment, such as oceans, rivers, and forests</w:t>
      </w:r>
      <w:r>
        <w:t xml:space="preserve">, causing impacts both on marine and terrestrial ecosystems. </w:t>
      </w:r>
    </w:p>
    <w:p w14:paraId="3FD8A402" w14:textId="77777777" w:rsidR="00B949E1" w:rsidRDefault="00B949E1" w:rsidP="00B949E1">
      <w:pPr>
        <w:pStyle w:val="ListBullet"/>
        <w:numPr>
          <w:ilvl w:val="0"/>
          <w:numId w:val="0"/>
        </w:numPr>
        <w:ind w:left="420"/>
      </w:pPr>
      <w:r>
        <w:t xml:space="preserve">Furthermore, </w:t>
      </w:r>
      <w:r w:rsidRPr="00435A8F">
        <w:t xml:space="preserve">manufacturing </w:t>
      </w:r>
      <w:r>
        <w:t xml:space="preserve">SUP </w:t>
      </w:r>
      <w:r w:rsidRPr="00435A8F">
        <w:t>requires significant energy and resources, contributing to greenhouse gas emissions</w:t>
      </w:r>
      <w:r>
        <w:t>, climate change</w:t>
      </w:r>
      <w:r w:rsidRPr="00435A8F">
        <w:t xml:space="preserve"> and resource depletion.</w:t>
      </w:r>
    </w:p>
    <w:p w14:paraId="7518C787" w14:textId="77777777" w:rsidR="00B949E1" w:rsidRDefault="00B949E1" w:rsidP="00B949E1">
      <w:pPr>
        <w:pStyle w:val="ListBullet"/>
        <w:numPr>
          <w:ilvl w:val="0"/>
          <w:numId w:val="9"/>
        </w:numPr>
      </w:pPr>
      <w:r w:rsidRPr="00B3603D">
        <w:rPr>
          <w:b/>
          <w:bCs/>
        </w:rPr>
        <w:t>Economic impacts:</w:t>
      </w:r>
      <w:r>
        <w:t xml:space="preserve"> </w:t>
      </w:r>
      <w:r w:rsidRPr="00435A8F">
        <w:t xml:space="preserve">The production, use, and disposal of </w:t>
      </w:r>
      <w:r>
        <w:t xml:space="preserve">SUPs </w:t>
      </w:r>
      <w:r w:rsidRPr="00435A8F">
        <w:t>have significant economic impacts</w:t>
      </w:r>
      <w:r>
        <w:t>, including i</w:t>
      </w:r>
      <w:r w:rsidRPr="008B7DAD">
        <w:t>ncreased costs of waste management</w:t>
      </w:r>
      <w:r>
        <w:t xml:space="preserve">, clean-up costs borne by governments, NGOs, and volunteers, and damage to </w:t>
      </w:r>
      <w:r w:rsidRPr="00AB50CA">
        <w:t>fisheries, aquaculture, marine transport, shipbuilding, and marine tourism industries</w:t>
      </w:r>
      <w:r>
        <w:t xml:space="preserve"> caused by marine plastic pollution.</w:t>
      </w:r>
    </w:p>
    <w:p w14:paraId="52AB7370" w14:textId="77777777" w:rsidR="00B949E1" w:rsidRPr="00893C2D" w:rsidRDefault="00B949E1" w:rsidP="00B949E1">
      <w:pPr>
        <w:pStyle w:val="BodyText"/>
        <w:ind w:left="420"/>
      </w:pPr>
      <w:r>
        <w:t>SUPs</w:t>
      </w:r>
      <w:r w:rsidRPr="0008482D">
        <w:t xml:space="preserve"> </w:t>
      </w:r>
      <w:r>
        <w:t>are also an inefficient use of</w:t>
      </w:r>
      <w:r w:rsidRPr="0008482D">
        <w:t xml:space="preserve"> resources because they </w:t>
      </w:r>
      <w:r>
        <w:t>often have a short lifespan</w:t>
      </w:r>
      <w:r w:rsidRPr="0008482D">
        <w:t xml:space="preserve"> and few options for reuse or recycling, so most </w:t>
      </w:r>
      <w:r>
        <w:t>end up in landfills or as litter</w:t>
      </w:r>
      <w:r w:rsidRPr="0008482D">
        <w:t>. Moreover, when the world’s population is growing</w:t>
      </w:r>
      <w:r>
        <w:t>,</w:t>
      </w:r>
      <w:r w:rsidRPr="0008482D">
        <w:t xml:space="preserve"> and natural resources are dwindling, </w:t>
      </w:r>
      <w:r>
        <w:t xml:space="preserve">producing SUP </w:t>
      </w:r>
      <w:r w:rsidRPr="0008482D">
        <w:t>products</w:t>
      </w:r>
      <w:r>
        <w:t xml:space="preserve">, especially </w:t>
      </w:r>
      <w:r w:rsidRPr="0008482D">
        <w:t xml:space="preserve">unnecessary or problematic </w:t>
      </w:r>
      <w:r>
        <w:t xml:space="preserve">ones, </w:t>
      </w:r>
      <w:r w:rsidRPr="0008482D">
        <w:t>goes against the idea of the circular economy where resources keep circulating within the economy and thus reduce the use of natural capital.</w:t>
      </w:r>
    </w:p>
    <w:p w14:paraId="16787106" w14:textId="77777777" w:rsidR="00B949E1" w:rsidRPr="00B3603D" w:rsidRDefault="00B949E1" w:rsidP="00B949E1">
      <w:pPr>
        <w:pStyle w:val="ListBullet"/>
        <w:numPr>
          <w:ilvl w:val="0"/>
          <w:numId w:val="9"/>
        </w:numPr>
        <w:rPr>
          <w:b/>
          <w:bCs/>
        </w:rPr>
      </w:pPr>
      <w:r w:rsidRPr="00693793">
        <w:rPr>
          <w:b/>
          <w:bCs/>
        </w:rPr>
        <w:t>Social impacts:</w:t>
      </w:r>
      <w:r>
        <w:rPr>
          <w:b/>
          <w:bCs/>
        </w:rPr>
        <w:t xml:space="preserve"> </w:t>
      </w:r>
      <w:r w:rsidRPr="00C664E3">
        <w:t xml:space="preserve">The production and disposal of </w:t>
      </w:r>
      <w:r>
        <w:t xml:space="preserve">SUPs </w:t>
      </w:r>
      <w:r w:rsidRPr="00C664E3">
        <w:t xml:space="preserve">can have social impacts, such as harm to human health and safety. Plastic waste can also lead to increased litter and debris in public spaces, impacting </w:t>
      </w:r>
      <w:r>
        <w:t>communities' aesthetic appeal and safety</w:t>
      </w:r>
      <w:r w:rsidRPr="00C664E3">
        <w:t>.</w:t>
      </w:r>
    </w:p>
    <w:p w14:paraId="2594A4C9" w14:textId="77777777" w:rsidR="00B949E1" w:rsidRPr="00B3603D" w:rsidRDefault="00B949E1" w:rsidP="00B949E1">
      <w:pPr>
        <w:pStyle w:val="ListBullet"/>
        <w:numPr>
          <w:ilvl w:val="0"/>
          <w:numId w:val="0"/>
        </w:numPr>
        <w:ind w:left="420"/>
        <w:rPr>
          <w:b/>
          <w:bCs/>
        </w:rPr>
      </w:pPr>
      <w:r>
        <w:t xml:space="preserve">Multiple studies have demonstrated the presence of plastic in the human body, suggesting adverse effects on human health, including </w:t>
      </w:r>
      <w:r w:rsidRPr="00B3603D">
        <w:t>cell death, immune response, oxidative stress, barrier attributes, and genotoxicity</w:t>
      </w:r>
      <w:r>
        <w:t xml:space="preserve">, and more. While the extent of these impacts is still unclear, a </w:t>
      </w:r>
      <w:r w:rsidRPr="00B3603D">
        <w:t>precautionary approach is desirable</w:t>
      </w:r>
      <w:r>
        <w:t>.</w:t>
      </w:r>
    </w:p>
    <w:p w14:paraId="52826FEF" w14:textId="77777777" w:rsidR="00B949E1" w:rsidRDefault="00B949E1" w:rsidP="00B949E1">
      <w:pPr>
        <w:pStyle w:val="ListBullet"/>
        <w:numPr>
          <w:ilvl w:val="0"/>
          <w:numId w:val="0"/>
        </w:numPr>
        <w:ind w:left="420"/>
      </w:pPr>
      <w:r>
        <w:t xml:space="preserve">Plastic litters </w:t>
      </w:r>
      <w:r w:rsidRPr="0005399C">
        <w:t>are visually displeasing</w:t>
      </w:r>
      <w:r>
        <w:t xml:space="preserve"> and</w:t>
      </w:r>
      <w:r w:rsidRPr="0005399C">
        <w:t xml:space="preserve"> depreciate the aesthetic and real value of the surrounding environments. </w:t>
      </w:r>
      <w:r w:rsidRPr="00884C61">
        <w:t>Littering can affect human health and well-being by creating safety hazards</w:t>
      </w:r>
      <w:r>
        <w:t xml:space="preserve"> </w:t>
      </w:r>
      <w:r w:rsidRPr="00884C61">
        <w:t>and disease vectors</w:t>
      </w:r>
      <w:r>
        <w:t xml:space="preserve">, </w:t>
      </w:r>
      <w:r w:rsidRPr="00884C61">
        <w:t>cause injuries or infections from sharp objects or contaminated materials.</w:t>
      </w:r>
      <w:r>
        <w:t xml:space="preserve"> </w:t>
      </w:r>
      <w:r w:rsidRPr="00884C61">
        <w:t xml:space="preserve">Littering can </w:t>
      </w:r>
      <w:r>
        <w:t xml:space="preserve">also </w:t>
      </w:r>
      <w:r w:rsidRPr="00884C61">
        <w:t>influence human behaviour and perception by creating social norms</w:t>
      </w:r>
      <w:r>
        <w:t xml:space="preserve"> and</w:t>
      </w:r>
      <w:r w:rsidRPr="00884C61">
        <w:t xml:space="preserve"> increasing crime rates. Similarly, when people see littered places, they may perceive them as unsafe or undesirable, leading to more crime or vandalism. </w:t>
      </w:r>
    </w:p>
    <w:p w14:paraId="710D1783" w14:textId="77777777" w:rsidR="00B949E1" w:rsidRDefault="00B949E1" w:rsidP="00B949E1">
      <w:pPr>
        <w:pStyle w:val="BodyText"/>
      </w:pPr>
      <w:r>
        <w:t xml:space="preserve">There are several reasons why the current market is not addressing these impacts, and a socially optimal level of SUP production and consumption is not taking place (which include negative externalities, information failures and arguments relating to public goods). These reasons are important justifications for introducing the Tranche 3 bans (see Section </w:t>
      </w:r>
      <w:r>
        <w:fldChar w:fldCharType="begin"/>
      </w:r>
      <w:r>
        <w:instrText xml:space="preserve"> REF _Ref133411835 \r \h </w:instrText>
      </w:r>
      <w:r>
        <w:fldChar w:fldCharType="separate"/>
      </w:r>
      <w:r>
        <w:t>4.1</w:t>
      </w:r>
      <w:r>
        <w:fldChar w:fldCharType="end"/>
      </w:r>
      <w:r>
        <w:t>). They also explain why market self-correction, quasi-regulation, co-regulation or self-regulation (other non-regulatory approaches) will not adequately address the longer-term problems associated with SUPs in the Territory.</w:t>
      </w:r>
    </w:p>
    <w:p w14:paraId="1E4BE7D1" w14:textId="77777777" w:rsidR="00B949E1" w:rsidRDefault="00B949E1" w:rsidP="00EB2F2A">
      <w:pPr>
        <w:pStyle w:val="Heading4"/>
        <w:numPr>
          <w:ilvl w:val="0"/>
          <w:numId w:val="0"/>
        </w:numPr>
      </w:pPr>
      <w:r>
        <w:t xml:space="preserve">Policy options explored in the </w:t>
      </w:r>
      <w:proofErr w:type="gramStart"/>
      <w:r>
        <w:t>RIS</w:t>
      </w:r>
      <w:proofErr w:type="gramEnd"/>
    </w:p>
    <w:p w14:paraId="6108EDB4" w14:textId="77777777" w:rsidR="00B949E1" w:rsidRDefault="00B949E1" w:rsidP="00B949E1">
      <w:pPr>
        <w:pStyle w:val="BodyText"/>
      </w:pPr>
      <w:r>
        <w:t xml:space="preserve">The RIS considers 2 policy options; the base case and the policy case, where each SUP item considered is banned. Self-regulation, quasi-regulation and co-regulation have been explored and </w:t>
      </w:r>
      <w:r>
        <w:lastRenderedPageBreak/>
        <w:t>are found to be unlikely to address the problem sufficiently. These options were discussed with ACT NoWaste and given approval for use in this RIS. They also align with the 2022 RIS approved by the Territory and the overwhelming support by the community and other stakeholders to introduce a third tranche of bans.</w:t>
      </w:r>
    </w:p>
    <w:p w14:paraId="2E93F5BF" w14:textId="77777777" w:rsidR="00B949E1" w:rsidRDefault="00B949E1" w:rsidP="00B949E1">
      <w:pPr>
        <w:pStyle w:val="ListBullet"/>
        <w:numPr>
          <w:ilvl w:val="0"/>
          <w:numId w:val="9"/>
        </w:numPr>
      </w:pPr>
      <w:r w:rsidRPr="001A6775">
        <w:rPr>
          <w:b/>
          <w:bCs/>
        </w:rPr>
        <w:t>Option 1</w:t>
      </w:r>
      <w:r>
        <w:t xml:space="preserve"> (base case): Do not introduce the regulation. Under this option, there will be no new regulation to prohibit the sale and distribution of each of the SUP items considered in this RIS in the ACT. Instead, the government could introduce voluntary and intermediate approaches to influence the reduction in the consumption of SUP, such as through education campaigns, voluntary industry commitments and procurement processes.</w:t>
      </w:r>
    </w:p>
    <w:p w14:paraId="7D4774AD" w14:textId="77777777" w:rsidR="00B949E1" w:rsidRPr="00B3603D" w:rsidRDefault="00B949E1" w:rsidP="00B949E1">
      <w:pPr>
        <w:pStyle w:val="ListBullet"/>
        <w:numPr>
          <w:ilvl w:val="0"/>
          <w:numId w:val="9"/>
        </w:numPr>
      </w:pPr>
      <w:r w:rsidRPr="001A6775">
        <w:rPr>
          <w:b/>
          <w:bCs/>
        </w:rPr>
        <w:t>Option 2</w:t>
      </w:r>
      <w:r>
        <w:t xml:space="preserve">: Introduce the regulation. </w:t>
      </w:r>
      <w:r w:rsidRPr="00B23349">
        <w:t xml:space="preserve">If option 2 is pursued, a new </w:t>
      </w:r>
      <w:r>
        <w:t>r</w:t>
      </w:r>
      <w:r w:rsidRPr="00B23349">
        <w:t xml:space="preserve">egulation will be created to introduce an immediate regulatory ban on the sale and distribution </w:t>
      </w:r>
      <w:r>
        <w:t xml:space="preserve">of each SUP item </w:t>
      </w:r>
      <w:r w:rsidRPr="00B23349">
        <w:t>in the ACT.</w:t>
      </w:r>
    </w:p>
    <w:p w14:paraId="39541E50" w14:textId="77777777" w:rsidR="00B949E1" w:rsidRDefault="00B949E1" w:rsidP="00EB2F2A">
      <w:pPr>
        <w:pStyle w:val="Heading4"/>
        <w:numPr>
          <w:ilvl w:val="0"/>
          <w:numId w:val="0"/>
        </w:numPr>
      </w:pPr>
      <w:r>
        <w:t>Impact analysis</w:t>
      </w:r>
    </w:p>
    <w:p w14:paraId="6B1BBA80" w14:textId="77777777" w:rsidR="00B949E1" w:rsidRPr="00551F7F" w:rsidRDefault="00B949E1" w:rsidP="00B949E1">
      <w:pPr>
        <w:pStyle w:val="BodyText"/>
      </w:pPr>
      <w:r>
        <w:t>Based on best practice guidance from the ACT and elsewhere, the impacts of each policy option (and each SUP item) have been analysed in this RIS. Owning to the difficulties of quantifying some of the impacts associated with Option 2, it is important to note that the assessment is conservative, and the benefits of progressing Option 2 will likely increase as better data and more complete evidence emerges over time.</w:t>
      </w:r>
    </w:p>
    <w:p w14:paraId="21CEBFBB" w14:textId="77777777" w:rsidR="00B949E1" w:rsidRPr="00F008F9" w:rsidRDefault="00B949E1" w:rsidP="00F008F9">
      <w:pPr>
        <w:pStyle w:val="Heading6"/>
        <w:numPr>
          <w:ilvl w:val="5"/>
          <w:numId w:val="12"/>
        </w:numPr>
        <w:rPr>
          <w:color w:val="959595"/>
        </w:rPr>
      </w:pPr>
      <w:r w:rsidRPr="00F008F9">
        <w:rPr>
          <w:color w:val="959595"/>
        </w:rPr>
        <w:t xml:space="preserve">Quantified impact </w:t>
      </w:r>
    </w:p>
    <w:p w14:paraId="139E2CE6" w14:textId="77777777" w:rsidR="00B949E1" w:rsidRPr="00113FA1" w:rsidRDefault="00B949E1" w:rsidP="00B949E1">
      <w:pPr>
        <w:pStyle w:val="BodyText"/>
      </w:pPr>
      <w:r>
        <w:t xml:space="preserve">The quantified costs and benefits associated with Option 2 is shown in </w:t>
      </w:r>
      <w:r w:rsidRPr="00DB735D">
        <w:rPr>
          <w:b/>
          <w:bCs/>
        </w:rPr>
        <w:fldChar w:fldCharType="begin"/>
      </w:r>
      <w:r w:rsidRPr="00DB735D">
        <w:rPr>
          <w:b/>
          <w:bCs/>
        </w:rPr>
        <w:instrText xml:space="preserve"> REF _Ref133570209 \h </w:instrText>
      </w:r>
      <w:r>
        <w:rPr>
          <w:b/>
          <w:bCs/>
        </w:rPr>
        <w:instrText xml:space="preserve"> \* MERGEFORMAT </w:instrText>
      </w:r>
      <w:r w:rsidRPr="00DB735D">
        <w:rPr>
          <w:b/>
          <w:bCs/>
        </w:rPr>
      </w:r>
      <w:r w:rsidRPr="00DB735D">
        <w:rPr>
          <w:b/>
          <w:bCs/>
        </w:rPr>
        <w:fldChar w:fldCharType="separate"/>
      </w:r>
      <w:r w:rsidRPr="00790266">
        <w:rPr>
          <w:rStyle w:val="CaptionLabel"/>
          <w:b w:val="0"/>
          <w:bCs/>
        </w:rPr>
        <w:t>Table ES 1</w:t>
      </w:r>
      <w:r w:rsidRPr="00DB735D">
        <w:rPr>
          <w:b/>
          <w:bCs/>
        </w:rPr>
        <w:fldChar w:fldCharType="end"/>
      </w:r>
      <w:r>
        <w:t>. They are provided in 2 forms: Net Present Value (NPV) and Benefit-cost Ratio (BCR), calculated using 7% real discount rate.</w:t>
      </w:r>
    </w:p>
    <w:p w14:paraId="362D1D5E" w14:textId="77777777" w:rsidR="00B949E1" w:rsidRDefault="00B949E1" w:rsidP="00B949E1">
      <w:pPr>
        <w:pStyle w:val="Caption"/>
      </w:pPr>
      <w:bookmarkStart w:id="7" w:name="_Ref133570209"/>
      <w:bookmarkStart w:id="8" w:name="_Ref133570202"/>
      <w:r w:rsidRPr="001A6775">
        <w:rPr>
          <w:rStyle w:val="CaptionLabel"/>
        </w:rPr>
        <w:t>Table ES </w:t>
      </w:r>
      <w:r w:rsidRPr="001A6775">
        <w:rPr>
          <w:rStyle w:val="CaptionLabel"/>
        </w:rPr>
        <w:fldChar w:fldCharType="begin"/>
      </w:r>
      <w:r w:rsidRPr="001A6775">
        <w:rPr>
          <w:rStyle w:val="CaptionLabel"/>
        </w:rPr>
        <w:instrText xml:space="preserve"> SEQ Table_ES \* ARABIC  \* MERGEFORMAT </w:instrText>
      </w:r>
      <w:r w:rsidRPr="001A6775">
        <w:rPr>
          <w:rStyle w:val="CaptionLabel"/>
        </w:rPr>
        <w:fldChar w:fldCharType="separate"/>
      </w:r>
      <w:r>
        <w:rPr>
          <w:rStyle w:val="CaptionLabel"/>
          <w:noProof/>
        </w:rPr>
        <w:t>1</w:t>
      </w:r>
      <w:r w:rsidRPr="001A6775">
        <w:rPr>
          <w:rStyle w:val="CaptionLabel"/>
        </w:rPr>
        <w:fldChar w:fldCharType="end"/>
      </w:r>
      <w:bookmarkEnd w:id="7"/>
      <w:r>
        <w:tab/>
      </w:r>
      <w:bookmarkEnd w:id="8"/>
      <w:r w:rsidRPr="00C53784">
        <w:t>Estimated</w:t>
      </w:r>
      <w:r>
        <w:t xml:space="preserve"> </w:t>
      </w:r>
      <w:r w:rsidRPr="00C53784">
        <w:t>economy-wide</w:t>
      </w:r>
      <w:r>
        <w:t xml:space="preserve"> </w:t>
      </w:r>
      <w:r w:rsidRPr="00C53784">
        <w:t>costs</w:t>
      </w:r>
      <w:r>
        <w:t xml:space="preserve"> </w:t>
      </w:r>
      <w:r w:rsidRPr="00C53784">
        <w:t>and</w:t>
      </w:r>
      <w:r>
        <w:t xml:space="preserve"> </w:t>
      </w:r>
      <w:r w:rsidRPr="00C53784">
        <w:t>benefits</w:t>
      </w:r>
      <w:r>
        <w:t xml:space="preserve"> </w:t>
      </w:r>
      <w:r w:rsidRPr="00C53784">
        <w:t>of</w:t>
      </w:r>
      <w:r>
        <w:t xml:space="preserve"> Option 2</w:t>
      </w:r>
      <w:r w:rsidRPr="00C53784">
        <w:t>,</w:t>
      </w:r>
      <w:r>
        <w:t xml:space="preserve"> </w:t>
      </w:r>
      <w:r w:rsidRPr="00C53784">
        <w:t>present</w:t>
      </w:r>
      <w:r>
        <w:t xml:space="preserve"> </w:t>
      </w:r>
      <w:r w:rsidRPr="00C53784">
        <w:t>value</w:t>
      </w:r>
      <w:r>
        <w:t xml:space="preserve"> </w:t>
      </w:r>
      <w:r w:rsidRPr="00C53784">
        <w:t>(</w:t>
      </w:r>
      <w:r>
        <w:t xml:space="preserve">in 2023 at </w:t>
      </w:r>
      <w:r w:rsidRPr="00C53784">
        <w:t>$202</w:t>
      </w:r>
      <w:r>
        <w:t>2</w:t>
      </w:r>
      <w:r w:rsidRPr="00C53784">
        <w:t>)</w:t>
      </w:r>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5103"/>
        <w:gridCol w:w="2833"/>
      </w:tblGrid>
      <w:tr w:rsidR="00B949E1" w14:paraId="0DB0D49A" w14:textId="77777777" w:rsidTr="00B9362B">
        <w:trPr>
          <w:tblHeader/>
        </w:trPr>
        <w:tc>
          <w:tcPr>
            <w:tcW w:w="5557" w:type="dxa"/>
            <w:gridSpan w:val="2"/>
            <w:tcBorders>
              <w:top w:val="nil"/>
              <w:bottom w:val="nil"/>
            </w:tcBorders>
            <w:shd w:val="clear" w:color="auto" w:fill="140034"/>
            <w:tcMar>
              <w:left w:w="454" w:type="dxa"/>
            </w:tcMar>
          </w:tcPr>
          <w:p w14:paraId="7BCC6042" w14:textId="77777777" w:rsidR="00B949E1" w:rsidRDefault="00B949E1" w:rsidP="00B9362B">
            <w:pPr>
              <w:pStyle w:val="Tablecolumnheadings"/>
            </w:pPr>
          </w:p>
        </w:tc>
        <w:tc>
          <w:tcPr>
            <w:tcW w:w="2833" w:type="dxa"/>
            <w:tcBorders>
              <w:top w:val="nil"/>
              <w:bottom w:val="nil"/>
              <w:right w:val="single" w:sz="6" w:space="0" w:color="140034"/>
            </w:tcBorders>
            <w:shd w:val="clear" w:color="auto" w:fill="140034"/>
          </w:tcPr>
          <w:p w14:paraId="6A95BE42" w14:textId="77777777" w:rsidR="00B949E1" w:rsidRDefault="00B949E1" w:rsidP="00B9362B">
            <w:pPr>
              <w:pStyle w:val="Tablecolumnheadings"/>
            </w:pPr>
          </w:p>
        </w:tc>
      </w:tr>
      <w:tr w:rsidR="00B949E1" w14:paraId="47A5841A" w14:textId="77777777" w:rsidTr="00B9362B">
        <w:trPr>
          <w:gridBefore w:val="1"/>
          <w:wBefore w:w="454" w:type="dxa"/>
        </w:trPr>
        <w:tc>
          <w:tcPr>
            <w:tcW w:w="5103" w:type="dxa"/>
            <w:tcBorders>
              <w:top w:val="nil"/>
            </w:tcBorders>
            <w:shd w:val="clear" w:color="auto" w:fill="D9D9D9" w:themeFill="background1" w:themeFillShade="D9"/>
          </w:tcPr>
          <w:p w14:paraId="53D8DDA1" w14:textId="77777777" w:rsidR="00B949E1" w:rsidRDefault="00B949E1" w:rsidP="00B9362B">
            <w:pPr>
              <w:pStyle w:val="Tabletext"/>
            </w:pPr>
            <w:r w:rsidRPr="00BD366F">
              <w:rPr>
                <w:b/>
                <w:bCs/>
              </w:rPr>
              <w:t>COSTS ($)</w:t>
            </w:r>
          </w:p>
        </w:tc>
        <w:tc>
          <w:tcPr>
            <w:tcW w:w="2833" w:type="dxa"/>
            <w:tcBorders>
              <w:top w:val="nil"/>
            </w:tcBorders>
            <w:shd w:val="clear" w:color="auto" w:fill="D9D9D9" w:themeFill="background1" w:themeFillShade="D9"/>
          </w:tcPr>
          <w:p w14:paraId="41BB407B" w14:textId="77777777" w:rsidR="00B949E1" w:rsidRDefault="00B949E1" w:rsidP="00B9362B">
            <w:pPr>
              <w:pStyle w:val="Tabletext"/>
            </w:pPr>
          </w:p>
        </w:tc>
      </w:tr>
      <w:tr w:rsidR="00B949E1" w14:paraId="1AED1A42" w14:textId="77777777" w:rsidTr="00B9362B">
        <w:trPr>
          <w:gridBefore w:val="1"/>
          <w:wBefore w:w="454" w:type="dxa"/>
        </w:trPr>
        <w:tc>
          <w:tcPr>
            <w:tcW w:w="5103" w:type="dxa"/>
            <w:shd w:val="clear" w:color="auto" w:fill="auto"/>
          </w:tcPr>
          <w:p w14:paraId="33C9B5FC" w14:textId="77777777" w:rsidR="00B949E1" w:rsidRDefault="00B949E1" w:rsidP="00B9362B">
            <w:pPr>
              <w:pStyle w:val="Tabletext"/>
            </w:pPr>
            <w:r w:rsidRPr="003A1871">
              <w:t>Consumers</w:t>
            </w:r>
          </w:p>
        </w:tc>
        <w:tc>
          <w:tcPr>
            <w:tcW w:w="2833" w:type="dxa"/>
            <w:shd w:val="clear" w:color="auto" w:fill="auto"/>
          </w:tcPr>
          <w:p w14:paraId="5C574489" w14:textId="77777777" w:rsidR="00B949E1" w:rsidRDefault="00B949E1" w:rsidP="00B9362B">
            <w:pPr>
              <w:pStyle w:val="Tabletext"/>
            </w:pPr>
            <w:r w:rsidRPr="00DB735D">
              <w:rPr>
                <w:color w:val="FF0000"/>
              </w:rPr>
              <w:t xml:space="preserve">-1,724,103 </w:t>
            </w:r>
          </w:p>
        </w:tc>
      </w:tr>
      <w:tr w:rsidR="00B949E1" w14:paraId="01BFF439" w14:textId="77777777" w:rsidTr="00B9362B">
        <w:trPr>
          <w:gridBefore w:val="1"/>
          <w:wBefore w:w="454" w:type="dxa"/>
        </w:trPr>
        <w:tc>
          <w:tcPr>
            <w:tcW w:w="5103" w:type="dxa"/>
            <w:shd w:val="clear" w:color="auto" w:fill="auto"/>
          </w:tcPr>
          <w:p w14:paraId="15150B54" w14:textId="77777777" w:rsidR="00B949E1" w:rsidRDefault="00B949E1" w:rsidP="00B9362B">
            <w:pPr>
              <w:pStyle w:val="Tabletext"/>
            </w:pPr>
            <w:r w:rsidRPr="003A1871">
              <w:t>Industry</w:t>
            </w:r>
          </w:p>
        </w:tc>
        <w:tc>
          <w:tcPr>
            <w:tcW w:w="2833" w:type="dxa"/>
            <w:shd w:val="clear" w:color="auto" w:fill="auto"/>
          </w:tcPr>
          <w:p w14:paraId="63605594" w14:textId="77777777" w:rsidR="00B949E1" w:rsidRDefault="00B949E1" w:rsidP="00B9362B">
            <w:pPr>
              <w:pStyle w:val="Tabletext"/>
            </w:pPr>
          </w:p>
        </w:tc>
      </w:tr>
      <w:tr w:rsidR="00B949E1" w14:paraId="479B850F" w14:textId="77777777" w:rsidTr="00B9362B">
        <w:trPr>
          <w:gridBefore w:val="1"/>
          <w:wBefore w:w="454" w:type="dxa"/>
        </w:trPr>
        <w:tc>
          <w:tcPr>
            <w:tcW w:w="5103" w:type="dxa"/>
            <w:shd w:val="clear" w:color="auto" w:fill="auto"/>
          </w:tcPr>
          <w:p w14:paraId="3C08DFEF" w14:textId="77777777" w:rsidR="00B949E1" w:rsidRDefault="00B949E1" w:rsidP="00B9362B">
            <w:pPr>
              <w:pStyle w:val="Tabletext"/>
              <w:ind w:left="720"/>
            </w:pPr>
            <w:r w:rsidRPr="003A1871">
              <w:t xml:space="preserve">Food and hospitality outlets </w:t>
            </w:r>
          </w:p>
        </w:tc>
        <w:tc>
          <w:tcPr>
            <w:tcW w:w="2833" w:type="dxa"/>
            <w:shd w:val="clear" w:color="auto" w:fill="auto"/>
          </w:tcPr>
          <w:p w14:paraId="3B83BAA1" w14:textId="77777777" w:rsidR="00B949E1" w:rsidRDefault="00B949E1" w:rsidP="00B9362B">
            <w:pPr>
              <w:pStyle w:val="Tabletext"/>
            </w:pPr>
            <w:r w:rsidRPr="00885A0E">
              <w:t xml:space="preserve">18,421,601 </w:t>
            </w:r>
          </w:p>
        </w:tc>
      </w:tr>
      <w:tr w:rsidR="00B949E1" w14:paraId="1B2A3593" w14:textId="77777777" w:rsidTr="00B9362B">
        <w:trPr>
          <w:gridBefore w:val="1"/>
          <w:wBefore w:w="454" w:type="dxa"/>
        </w:trPr>
        <w:tc>
          <w:tcPr>
            <w:tcW w:w="5103" w:type="dxa"/>
            <w:shd w:val="clear" w:color="auto" w:fill="auto"/>
          </w:tcPr>
          <w:p w14:paraId="344C70BC" w14:textId="77777777" w:rsidR="00B949E1" w:rsidRDefault="00B949E1" w:rsidP="00B9362B">
            <w:pPr>
              <w:pStyle w:val="Tabletext"/>
              <w:ind w:left="720"/>
            </w:pPr>
            <w:r w:rsidRPr="003A1871">
              <w:t>Medical and other exempted sectors</w:t>
            </w:r>
          </w:p>
        </w:tc>
        <w:tc>
          <w:tcPr>
            <w:tcW w:w="2833" w:type="dxa"/>
            <w:shd w:val="clear" w:color="auto" w:fill="auto"/>
          </w:tcPr>
          <w:p w14:paraId="738D9F6E" w14:textId="77777777" w:rsidR="00B949E1" w:rsidRDefault="00B949E1" w:rsidP="00B9362B">
            <w:pPr>
              <w:pStyle w:val="Tabletext"/>
            </w:pPr>
            <w:r w:rsidRPr="00DB735D">
              <w:rPr>
                <w:color w:val="FF0000"/>
              </w:rPr>
              <w:t xml:space="preserve">-23,648 </w:t>
            </w:r>
          </w:p>
        </w:tc>
      </w:tr>
      <w:tr w:rsidR="00B949E1" w14:paraId="2F15975C" w14:textId="77777777" w:rsidTr="00B9362B">
        <w:trPr>
          <w:gridBefore w:val="1"/>
          <w:wBefore w:w="454" w:type="dxa"/>
        </w:trPr>
        <w:tc>
          <w:tcPr>
            <w:tcW w:w="5103" w:type="dxa"/>
            <w:shd w:val="clear" w:color="auto" w:fill="auto"/>
          </w:tcPr>
          <w:p w14:paraId="3D56108F" w14:textId="77777777" w:rsidR="00B949E1" w:rsidRDefault="00B949E1" w:rsidP="00B9362B">
            <w:pPr>
              <w:pStyle w:val="Tabletext"/>
            </w:pPr>
            <w:r w:rsidRPr="003A1871">
              <w:t>ACT Government</w:t>
            </w:r>
          </w:p>
        </w:tc>
        <w:tc>
          <w:tcPr>
            <w:tcW w:w="2833" w:type="dxa"/>
            <w:shd w:val="clear" w:color="auto" w:fill="auto"/>
          </w:tcPr>
          <w:p w14:paraId="29C614B8" w14:textId="77777777" w:rsidR="00B949E1" w:rsidRDefault="00B949E1" w:rsidP="00B9362B">
            <w:pPr>
              <w:pStyle w:val="Tabletext"/>
            </w:pPr>
            <w:r w:rsidRPr="00885A0E">
              <w:t xml:space="preserve">450,000 </w:t>
            </w:r>
          </w:p>
        </w:tc>
      </w:tr>
      <w:tr w:rsidR="00B949E1" w14:paraId="2D1D827C" w14:textId="77777777" w:rsidTr="00B9362B">
        <w:trPr>
          <w:gridBefore w:val="1"/>
          <w:wBefore w:w="454" w:type="dxa"/>
        </w:trPr>
        <w:tc>
          <w:tcPr>
            <w:tcW w:w="5103" w:type="dxa"/>
            <w:shd w:val="clear" w:color="auto" w:fill="auto"/>
          </w:tcPr>
          <w:p w14:paraId="6A5C66F5" w14:textId="77777777" w:rsidR="00B949E1" w:rsidRDefault="00B949E1" w:rsidP="00B9362B">
            <w:pPr>
              <w:pStyle w:val="Tabletext"/>
            </w:pPr>
            <w:r w:rsidRPr="003A1871">
              <w:t>TOTAL</w:t>
            </w:r>
          </w:p>
        </w:tc>
        <w:tc>
          <w:tcPr>
            <w:tcW w:w="2833" w:type="dxa"/>
            <w:shd w:val="clear" w:color="auto" w:fill="auto"/>
          </w:tcPr>
          <w:p w14:paraId="75E6AA3B" w14:textId="77777777" w:rsidR="00B949E1" w:rsidRDefault="00B949E1" w:rsidP="00B9362B">
            <w:pPr>
              <w:pStyle w:val="Tabletext"/>
            </w:pPr>
            <w:r w:rsidRPr="00885A0E">
              <w:t xml:space="preserve">17,123,850 </w:t>
            </w:r>
          </w:p>
        </w:tc>
      </w:tr>
      <w:tr w:rsidR="00B949E1" w14:paraId="7E9198E8" w14:textId="77777777" w:rsidTr="00B9362B">
        <w:trPr>
          <w:gridBefore w:val="1"/>
          <w:wBefore w:w="454" w:type="dxa"/>
        </w:trPr>
        <w:tc>
          <w:tcPr>
            <w:tcW w:w="5103" w:type="dxa"/>
            <w:shd w:val="clear" w:color="auto" w:fill="D9D9D9" w:themeFill="background1" w:themeFillShade="D9"/>
          </w:tcPr>
          <w:p w14:paraId="60239BFF" w14:textId="77777777" w:rsidR="00B949E1" w:rsidRDefault="00B949E1" w:rsidP="00B9362B">
            <w:pPr>
              <w:pStyle w:val="Tabletext"/>
            </w:pPr>
            <w:r w:rsidRPr="00BD366F">
              <w:rPr>
                <w:b/>
                <w:bCs/>
              </w:rPr>
              <w:t>BENEFITS ($)</w:t>
            </w:r>
          </w:p>
        </w:tc>
        <w:tc>
          <w:tcPr>
            <w:tcW w:w="2833" w:type="dxa"/>
            <w:shd w:val="clear" w:color="auto" w:fill="D9D9D9" w:themeFill="background1" w:themeFillShade="D9"/>
          </w:tcPr>
          <w:p w14:paraId="51247461" w14:textId="77777777" w:rsidR="00B949E1" w:rsidRDefault="00B949E1" w:rsidP="00B9362B">
            <w:pPr>
              <w:pStyle w:val="Tabletext"/>
            </w:pPr>
          </w:p>
        </w:tc>
      </w:tr>
      <w:tr w:rsidR="00B949E1" w14:paraId="56FB0F40" w14:textId="77777777" w:rsidTr="00B9362B">
        <w:trPr>
          <w:gridBefore w:val="1"/>
          <w:wBefore w:w="454" w:type="dxa"/>
        </w:trPr>
        <w:tc>
          <w:tcPr>
            <w:tcW w:w="5103" w:type="dxa"/>
            <w:shd w:val="clear" w:color="auto" w:fill="auto"/>
          </w:tcPr>
          <w:p w14:paraId="32A3FD29" w14:textId="77777777" w:rsidR="00B949E1" w:rsidRDefault="00B949E1" w:rsidP="00B9362B">
            <w:pPr>
              <w:pStyle w:val="Tabletext"/>
            </w:pPr>
            <w:r w:rsidRPr="003A1871">
              <w:t>Landfill operating costs</w:t>
            </w:r>
          </w:p>
        </w:tc>
        <w:tc>
          <w:tcPr>
            <w:tcW w:w="2833" w:type="dxa"/>
            <w:shd w:val="clear" w:color="auto" w:fill="auto"/>
          </w:tcPr>
          <w:p w14:paraId="5833D18E" w14:textId="77777777" w:rsidR="00B949E1" w:rsidRDefault="00B949E1" w:rsidP="00B9362B">
            <w:pPr>
              <w:pStyle w:val="Tabletext"/>
            </w:pPr>
            <w:r w:rsidRPr="00885A0E">
              <w:t xml:space="preserve">609,482 </w:t>
            </w:r>
          </w:p>
        </w:tc>
      </w:tr>
      <w:tr w:rsidR="00B949E1" w14:paraId="50781DF5" w14:textId="77777777" w:rsidTr="00B9362B">
        <w:trPr>
          <w:gridBefore w:val="1"/>
          <w:wBefore w:w="454" w:type="dxa"/>
        </w:trPr>
        <w:tc>
          <w:tcPr>
            <w:tcW w:w="5103" w:type="dxa"/>
            <w:shd w:val="clear" w:color="auto" w:fill="auto"/>
          </w:tcPr>
          <w:p w14:paraId="7884DBD8" w14:textId="77777777" w:rsidR="00B949E1" w:rsidRDefault="00B949E1" w:rsidP="00B9362B">
            <w:pPr>
              <w:pStyle w:val="Tabletext"/>
            </w:pPr>
            <w:r w:rsidRPr="003A1871">
              <w:t xml:space="preserve">Society </w:t>
            </w:r>
          </w:p>
        </w:tc>
        <w:tc>
          <w:tcPr>
            <w:tcW w:w="2833" w:type="dxa"/>
            <w:shd w:val="clear" w:color="auto" w:fill="auto"/>
          </w:tcPr>
          <w:p w14:paraId="1BF2E641" w14:textId="77777777" w:rsidR="00B949E1" w:rsidRDefault="00B949E1" w:rsidP="00B9362B">
            <w:pPr>
              <w:pStyle w:val="Tabletext"/>
            </w:pPr>
          </w:p>
        </w:tc>
      </w:tr>
      <w:tr w:rsidR="00B949E1" w14:paraId="4A954297" w14:textId="77777777" w:rsidTr="00B9362B">
        <w:trPr>
          <w:gridBefore w:val="1"/>
          <w:wBefore w:w="454" w:type="dxa"/>
        </w:trPr>
        <w:tc>
          <w:tcPr>
            <w:tcW w:w="5103" w:type="dxa"/>
            <w:shd w:val="clear" w:color="auto" w:fill="auto"/>
          </w:tcPr>
          <w:p w14:paraId="2B2231BF" w14:textId="77777777" w:rsidR="00B949E1" w:rsidRDefault="00B949E1" w:rsidP="00B9362B">
            <w:pPr>
              <w:pStyle w:val="Tabletext"/>
              <w:ind w:left="720"/>
            </w:pPr>
            <w:r w:rsidRPr="003A1871">
              <w:t>Avoided &amp; substituted litter</w:t>
            </w:r>
          </w:p>
        </w:tc>
        <w:tc>
          <w:tcPr>
            <w:tcW w:w="2833" w:type="dxa"/>
            <w:shd w:val="clear" w:color="auto" w:fill="auto"/>
          </w:tcPr>
          <w:p w14:paraId="59DB3BE2" w14:textId="77777777" w:rsidR="00B949E1" w:rsidRDefault="00B949E1" w:rsidP="00B9362B">
            <w:pPr>
              <w:pStyle w:val="Tabletext"/>
            </w:pPr>
            <w:r w:rsidRPr="00885A0E">
              <w:t xml:space="preserve">4,209,552 </w:t>
            </w:r>
          </w:p>
        </w:tc>
      </w:tr>
      <w:tr w:rsidR="00B949E1" w14:paraId="7725E120" w14:textId="77777777" w:rsidTr="00B9362B">
        <w:trPr>
          <w:gridBefore w:val="1"/>
          <w:wBefore w:w="454" w:type="dxa"/>
        </w:trPr>
        <w:tc>
          <w:tcPr>
            <w:tcW w:w="5103" w:type="dxa"/>
            <w:shd w:val="clear" w:color="auto" w:fill="auto"/>
          </w:tcPr>
          <w:p w14:paraId="5B286D80" w14:textId="77777777" w:rsidR="00B949E1" w:rsidRDefault="00B949E1" w:rsidP="00B9362B">
            <w:pPr>
              <w:pStyle w:val="Tabletext"/>
              <w:ind w:left="720"/>
            </w:pPr>
            <w:r w:rsidRPr="003A1871">
              <w:t>Marine environment benefits</w:t>
            </w:r>
          </w:p>
        </w:tc>
        <w:tc>
          <w:tcPr>
            <w:tcW w:w="2833" w:type="dxa"/>
            <w:shd w:val="clear" w:color="auto" w:fill="auto"/>
          </w:tcPr>
          <w:p w14:paraId="38FDAEC0" w14:textId="77777777" w:rsidR="00B949E1" w:rsidRDefault="00B949E1" w:rsidP="00B9362B">
            <w:pPr>
              <w:pStyle w:val="Tabletext"/>
            </w:pPr>
            <w:r w:rsidRPr="00885A0E">
              <w:t xml:space="preserve">0 </w:t>
            </w:r>
          </w:p>
        </w:tc>
      </w:tr>
      <w:tr w:rsidR="00B949E1" w14:paraId="54259EC7" w14:textId="77777777" w:rsidTr="00B9362B">
        <w:trPr>
          <w:gridBefore w:val="1"/>
          <w:wBefore w:w="454" w:type="dxa"/>
        </w:trPr>
        <w:tc>
          <w:tcPr>
            <w:tcW w:w="5103" w:type="dxa"/>
            <w:shd w:val="clear" w:color="auto" w:fill="auto"/>
          </w:tcPr>
          <w:p w14:paraId="033A7F9D" w14:textId="77777777" w:rsidR="00B949E1" w:rsidRDefault="00B949E1" w:rsidP="00B9362B">
            <w:pPr>
              <w:pStyle w:val="Tabletext"/>
            </w:pPr>
            <w:r w:rsidRPr="003A1871">
              <w:t>TOTAL</w:t>
            </w:r>
          </w:p>
        </w:tc>
        <w:tc>
          <w:tcPr>
            <w:tcW w:w="2833" w:type="dxa"/>
            <w:shd w:val="clear" w:color="auto" w:fill="auto"/>
          </w:tcPr>
          <w:p w14:paraId="763E6E97" w14:textId="77777777" w:rsidR="00B949E1" w:rsidRDefault="00B949E1" w:rsidP="00B9362B">
            <w:pPr>
              <w:pStyle w:val="Tabletext"/>
            </w:pPr>
            <w:r w:rsidRPr="00885A0E">
              <w:t xml:space="preserve">4,819,034 </w:t>
            </w:r>
          </w:p>
        </w:tc>
      </w:tr>
      <w:tr w:rsidR="00B949E1" w14:paraId="0EB5921B" w14:textId="77777777" w:rsidTr="00B9362B">
        <w:trPr>
          <w:gridBefore w:val="1"/>
          <w:wBefore w:w="454" w:type="dxa"/>
        </w:trPr>
        <w:tc>
          <w:tcPr>
            <w:tcW w:w="5103" w:type="dxa"/>
            <w:shd w:val="clear" w:color="auto" w:fill="D9D9D9" w:themeFill="background1" w:themeFillShade="D9"/>
          </w:tcPr>
          <w:p w14:paraId="424915E1" w14:textId="77777777" w:rsidR="00B949E1" w:rsidRDefault="00B949E1" w:rsidP="00B9362B">
            <w:pPr>
              <w:pStyle w:val="Tabletext"/>
            </w:pPr>
            <w:r w:rsidRPr="00BD366F">
              <w:rPr>
                <w:b/>
                <w:bCs/>
              </w:rPr>
              <w:t>BENEFITS MINUS COSTS ($)</w:t>
            </w:r>
          </w:p>
        </w:tc>
        <w:tc>
          <w:tcPr>
            <w:tcW w:w="2833" w:type="dxa"/>
            <w:shd w:val="clear" w:color="auto" w:fill="D9D9D9" w:themeFill="background1" w:themeFillShade="D9"/>
          </w:tcPr>
          <w:p w14:paraId="08D92D90" w14:textId="77777777" w:rsidR="00B949E1" w:rsidRDefault="00B949E1" w:rsidP="00B9362B">
            <w:pPr>
              <w:pStyle w:val="Tabletext"/>
            </w:pPr>
            <w:r w:rsidRPr="00DB735D">
              <w:rPr>
                <w:b/>
                <w:bCs/>
                <w:color w:val="FF0000"/>
              </w:rPr>
              <w:t xml:space="preserve">-12,304,816 </w:t>
            </w:r>
          </w:p>
        </w:tc>
      </w:tr>
      <w:tr w:rsidR="00B949E1" w14:paraId="7D67C7CD" w14:textId="77777777" w:rsidTr="00B9362B">
        <w:trPr>
          <w:gridBefore w:val="1"/>
          <w:wBefore w:w="454" w:type="dxa"/>
        </w:trPr>
        <w:tc>
          <w:tcPr>
            <w:tcW w:w="5103" w:type="dxa"/>
            <w:shd w:val="clear" w:color="auto" w:fill="D9D9D9" w:themeFill="background1" w:themeFillShade="D9"/>
          </w:tcPr>
          <w:p w14:paraId="66B2D067" w14:textId="77777777" w:rsidR="00B949E1" w:rsidRDefault="00B949E1" w:rsidP="00B9362B">
            <w:pPr>
              <w:pStyle w:val="Tabletext"/>
            </w:pPr>
            <w:r w:rsidRPr="00BD366F">
              <w:rPr>
                <w:b/>
                <w:bCs/>
              </w:rPr>
              <w:t>BCR (RATIO)</w:t>
            </w:r>
          </w:p>
        </w:tc>
        <w:tc>
          <w:tcPr>
            <w:tcW w:w="2833" w:type="dxa"/>
            <w:shd w:val="clear" w:color="auto" w:fill="D9D9D9" w:themeFill="background1" w:themeFillShade="D9"/>
          </w:tcPr>
          <w:p w14:paraId="74F1DAE7" w14:textId="77777777" w:rsidR="00B949E1" w:rsidRDefault="00B949E1" w:rsidP="00B9362B">
            <w:pPr>
              <w:pStyle w:val="Tabletext"/>
            </w:pPr>
            <w:r w:rsidRPr="00DB735D">
              <w:rPr>
                <w:b/>
                <w:bCs/>
              </w:rPr>
              <w:t xml:space="preserve"> 0.3 </w:t>
            </w:r>
          </w:p>
        </w:tc>
      </w:tr>
      <w:tr w:rsidR="00B949E1" w14:paraId="0296EE6E" w14:textId="77777777" w:rsidTr="00B9362B">
        <w:trPr>
          <w:gridBefore w:val="1"/>
          <w:wBefore w:w="454" w:type="dxa"/>
        </w:trPr>
        <w:tc>
          <w:tcPr>
            <w:tcW w:w="7936" w:type="dxa"/>
            <w:gridSpan w:val="2"/>
            <w:tcBorders>
              <w:bottom w:val="single" w:sz="4" w:space="0" w:color="646464"/>
            </w:tcBorders>
            <w:shd w:val="clear" w:color="auto" w:fill="auto"/>
          </w:tcPr>
          <w:p w14:paraId="1168F54B" w14:textId="77777777" w:rsidR="00B949E1" w:rsidRDefault="00B949E1" w:rsidP="00B9362B">
            <w:pPr>
              <w:pStyle w:val="Source"/>
            </w:pPr>
            <w:r>
              <w:t>Source: ACIL Allen</w:t>
            </w:r>
          </w:p>
        </w:tc>
      </w:tr>
      <w:tr w:rsidR="00B949E1" w14:paraId="50BAB8F1" w14:textId="77777777" w:rsidTr="00B9362B">
        <w:trPr>
          <w:gridBefore w:val="1"/>
          <w:wBefore w:w="454" w:type="dxa"/>
          <w:trHeight w:hRule="exact" w:val="160"/>
        </w:trPr>
        <w:tc>
          <w:tcPr>
            <w:tcW w:w="7936" w:type="dxa"/>
            <w:gridSpan w:val="2"/>
            <w:tcBorders>
              <w:top w:val="single" w:sz="4" w:space="0" w:color="646464"/>
              <w:bottom w:val="nil"/>
            </w:tcBorders>
            <w:shd w:val="clear" w:color="auto" w:fill="auto"/>
          </w:tcPr>
          <w:p w14:paraId="73459D91" w14:textId="77777777" w:rsidR="00B949E1" w:rsidRDefault="00B949E1" w:rsidP="00B9362B">
            <w:pPr>
              <w:pStyle w:val="spacer"/>
            </w:pPr>
          </w:p>
        </w:tc>
      </w:tr>
    </w:tbl>
    <w:p w14:paraId="2655CA4C" w14:textId="77777777" w:rsidR="00B949E1" w:rsidRDefault="00B949E1" w:rsidP="00B949E1">
      <w:pPr>
        <w:pStyle w:val="BodyText"/>
      </w:pPr>
      <w:r w:rsidRPr="00DB735D">
        <w:rPr>
          <w:b/>
          <w:bCs/>
          <w:highlight w:val="yellow"/>
        </w:rPr>
        <w:fldChar w:fldCharType="begin"/>
      </w:r>
      <w:r w:rsidRPr="00DB735D">
        <w:rPr>
          <w:b/>
          <w:bCs/>
        </w:rPr>
        <w:instrText xml:space="preserve"> REF _Ref133925665 \h </w:instrText>
      </w:r>
      <w:r>
        <w:rPr>
          <w:b/>
          <w:bCs/>
          <w:highlight w:val="yellow"/>
        </w:rPr>
        <w:instrText xml:space="preserve"> \* MERGEFORMAT </w:instrText>
      </w:r>
      <w:r w:rsidRPr="00DB735D">
        <w:rPr>
          <w:b/>
          <w:bCs/>
          <w:highlight w:val="yellow"/>
        </w:rPr>
      </w:r>
      <w:r w:rsidRPr="00DB735D">
        <w:rPr>
          <w:b/>
          <w:bCs/>
          <w:highlight w:val="yellow"/>
        </w:rPr>
        <w:fldChar w:fldCharType="separate"/>
      </w:r>
      <w:r w:rsidRPr="00790266">
        <w:rPr>
          <w:rStyle w:val="CaptionLabel"/>
          <w:b w:val="0"/>
          <w:bCs/>
        </w:rPr>
        <w:t>Table ES 2</w:t>
      </w:r>
      <w:r w:rsidRPr="00DB735D">
        <w:rPr>
          <w:b/>
          <w:bCs/>
          <w:highlight w:val="yellow"/>
        </w:rPr>
        <w:fldChar w:fldCharType="end"/>
      </w:r>
      <w:r>
        <w:t xml:space="preserve"> shows the distributional analysis results. </w:t>
      </w:r>
    </w:p>
    <w:p w14:paraId="443E89CB" w14:textId="77777777" w:rsidR="00B949E1" w:rsidRDefault="00B949E1" w:rsidP="00B949E1">
      <w:pPr>
        <w:pStyle w:val="Caption"/>
      </w:pPr>
      <w:bookmarkStart w:id="9" w:name="_Ref133925665"/>
      <w:r w:rsidRPr="00DB735D">
        <w:rPr>
          <w:rStyle w:val="CaptionLabel"/>
        </w:rPr>
        <w:lastRenderedPageBreak/>
        <w:t>Table ES </w:t>
      </w:r>
      <w:r w:rsidRPr="00DB735D">
        <w:rPr>
          <w:rStyle w:val="CaptionLabel"/>
        </w:rPr>
        <w:fldChar w:fldCharType="begin"/>
      </w:r>
      <w:r w:rsidRPr="00DB735D">
        <w:rPr>
          <w:rStyle w:val="CaptionLabel"/>
        </w:rPr>
        <w:instrText xml:space="preserve"> SEQ Table_ES \* ARABIC  \* MERGEFORMAT </w:instrText>
      </w:r>
      <w:r w:rsidRPr="00DB735D">
        <w:rPr>
          <w:rStyle w:val="CaptionLabel"/>
        </w:rPr>
        <w:fldChar w:fldCharType="separate"/>
      </w:r>
      <w:r>
        <w:rPr>
          <w:rStyle w:val="CaptionLabel"/>
          <w:noProof/>
        </w:rPr>
        <w:t>2</w:t>
      </w:r>
      <w:r w:rsidRPr="00DB735D">
        <w:rPr>
          <w:rStyle w:val="CaptionLabel"/>
        </w:rPr>
        <w:fldChar w:fldCharType="end"/>
      </w:r>
      <w:bookmarkEnd w:id="9"/>
      <w:r>
        <w:tab/>
        <w:t>Distributional assessment for Option 2</w:t>
      </w:r>
      <w:r w:rsidRPr="00C53784">
        <w:t>,</w:t>
      </w:r>
      <w:r>
        <w:t xml:space="preserve"> </w:t>
      </w:r>
      <w:r w:rsidRPr="00C53784">
        <w:t>present</w:t>
      </w:r>
      <w:r>
        <w:t xml:space="preserve"> </w:t>
      </w:r>
      <w:r w:rsidRPr="00C53784">
        <w:t>value</w:t>
      </w:r>
      <w:r>
        <w:t xml:space="preserve"> </w:t>
      </w:r>
      <w:r w:rsidRPr="00C53784">
        <w:t>(</w:t>
      </w:r>
      <w:r>
        <w:t xml:space="preserve">in 2023 at </w:t>
      </w:r>
      <w:r w:rsidRPr="00C53784">
        <w:t>$202</w:t>
      </w:r>
      <w:r>
        <w:t>2</w:t>
      </w:r>
      <w:r w:rsidRPr="00C53784">
        <w:t>)</w:t>
      </w:r>
    </w:p>
    <w:tbl>
      <w:tblPr>
        <w:tblW w:w="10342" w:type="dxa"/>
        <w:tblInd w:w="-2410"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283"/>
        <w:gridCol w:w="3545"/>
        <w:gridCol w:w="3260"/>
        <w:gridCol w:w="3254"/>
      </w:tblGrid>
      <w:tr w:rsidR="00B949E1" w14:paraId="2E9AA640" w14:textId="77777777" w:rsidTr="00B9362B">
        <w:trPr>
          <w:tblHeader/>
        </w:trPr>
        <w:tc>
          <w:tcPr>
            <w:tcW w:w="3828" w:type="dxa"/>
            <w:gridSpan w:val="2"/>
            <w:tcBorders>
              <w:top w:val="nil"/>
              <w:bottom w:val="nil"/>
            </w:tcBorders>
            <w:shd w:val="clear" w:color="auto" w:fill="140034"/>
            <w:tcMar>
              <w:left w:w="454" w:type="dxa"/>
            </w:tcMar>
          </w:tcPr>
          <w:p w14:paraId="2E3915D3" w14:textId="77777777" w:rsidR="00B949E1" w:rsidRDefault="00B949E1" w:rsidP="00B9362B">
            <w:pPr>
              <w:pStyle w:val="Tablecolumnheadings"/>
            </w:pPr>
            <w:r w:rsidRPr="00902B4D">
              <w:rPr>
                <w:lang w:eastAsia="en-AU"/>
              </w:rPr>
              <w:t>Stakeholder</w:t>
            </w:r>
          </w:p>
        </w:tc>
        <w:tc>
          <w:tcPr>
            <w:tcW w:w="6514" w:type="dxa"/>
            <w:gridSpan w:val="2"/>
            <w:tcBorders>
              <w:top w:val="nil"/>
              <w:bottom w:val="nil"/>
              <w:right w:val="single" w:sz="6" w:space="0" w:color="140034"/>
            </w:tcBorders>
            <w:shd w:val="clear" w:color="auto" w:fill="140034"/>
          </w:tcPr>
          <w:p w14:paraId="5F071AC3" w14:textId="77777777" w:rsidR="00B949E1" w:rsidRDefault="00B949E1" w:rsidP="00B9362B">
            <w:pPr>
              <w:pStyle w:val="Tablecolumnheadings"/>
              <w:jc w:val="center"/>
            </w:pPr>
            <w:r>
              <w:rPr>
                <w:lang w:eastAsia="en-AU"/>
              </w:rPr>
              <w:t>Estimated i</w:t>
            </w:r>
            <w:r w:rsidRPr="00902B4D">
              <w:rPr>
                <w:lang w:eastAsia="en-AU"/>
              </w:rPr>
              <w:t>mpact</w:t>
            </w:r>
            <w:r>
              <w:rPr>
                <w:lang w:eastAsia="en-AU"/>
              </w:rPr>
              <w:t xml:space="preserve"> (NPV7)</w:t>
            </w:r>
          </w:p>
        </w:tc>
      </w:tr>
      <w:tr w:rsidR="00B949E1" w14:paraId="2E1867EF" w14:textId="77777777" w:rsidTr="00B9362B">
        <w:trPr>
          <w:tblHeader/>
        </w:trPr>
        <w:tc>
          <w:tcPr>
            <w:tcW w:w="3828" w:type="dxa"/>
            <w:gridSpan w:val="2"/>
            <w:tcBorders>
              <w:top w:val="nil"/>
              <w:bottom w:val="nil"/>
            </w:tcBorders>
            <w:shd w:val="clear" w:color="auto" w:fill="140034"/>
            <w:tcMar>
              <w:left w:w="454" w:type="dxa"/>
            </w:tcMar>
          </w:tcPr>
          <w:p w14:paraId="7DE89EF1" w14:textId="77777777" w:rsidR="00B949E1" w:rsidRPr="00902B4D" w:rsidRDefault="00B949E1" w:rsidP="00B9362B">
            <w:pPr>
              <w:pStyle w:val="Tablecolumnheadings"/>
              <w:rPr>
                <w:lang w:eastAsia="en-AU"/>
              </w:rPr>
            </w:pPr>
          </w:p>
        </w:tc>
        <w:tc>
          <w:tcPr>
            <w:tcW w:w="3260" w:type="dxa"/>
            <w:tcBorders>
              <w:top w:val="nil"/>
              <w:bottom w:val="nil"/>
            </w:tcBorders>
            <w:shd w:val="clear" w:color="auto" w:fill="140034"/>
          </w:tcPr>
          <w:p w14:paraId="60267E82" w14:textId="77777777" w:rsidR="00B949E1" w:rsidRDefault="00B949E1" w:rsidP="00B9362B">
            <w:pPr>
              <w:pStyle w:val="Tablecolumnheadings"/>
              <w:jc w:val="center"/>
            </w:pPr>
            <w:r>
              <w:rPr>
                <w:lang w:eastAsia="en-AU"/>
              </w:rPr>
              <w:t>Total</w:t>
            </w:r>
          </w:p>
        </w:tc>
        <w:tc>
          <w:tcPr>
            <w:tcW w:w="3254" w:type="dxa"/>
            <w:tcBorders>
              <w:top w:val="nil"/>
              <w:bottom w:val="nil"/>
              <w:right w:val="single" w:sz="6" w:space="0" w:color="140034"/>
            </w:tcBorders>
            <w:shd w:val="clear" w:color="auto" w:fill="140034"/>
          </w:tcPr>
          <w:p w14:paraId="3FD01DEA" w14:textId="77777777" w:rsidR="00B949E1" w:rsidRDefault="00B949E1" w:rsidP="00B9362B">
            <w:pPr>
              <w:pStyle w:val="Tablecolumnheadings"/>
              <w:jc w:val="center"/>
            </w:pPr>
            <w:r>
              <w:rPr>
                <w:lang w:eastAsia="en-AU"/>
              </w:rPr>
              <w:t>Per capita (blue) / per business (green</w:t>
            </w:r>
          </w:p>
        </w:tc>
      </w:tr>
      <w:tr w:rsidR="00B949E1" w14:paraId="3AA72DEE" w14:textId="77777777" w:rsidTr="00B9362B">
        <w:trPr>
          <w:gridBefore w:val="1"/>
          <w:wBefore w:w="283" w:type="dxa"/>
        </w:trPr>
        <w:tc>
          <w:tcPr>
            <w:tcW w:w="3545" w:type="dxa"/>
            <w:tcBorders>
              <w:top w:val="nil"/>
            </w:tcBorders>
            <w:shd w:val="clear" w:color="auto" w:fill="auto"/>
          </w:tcPr>
          <w:p w14:paraId="79581210" w14:textId="77777777" w:rsidR="00B949E1" w:rsidRDefault="00B949E1" w:rsidP="00B9362B">
            <w:pPr>
              <w:pStyle w:val="Tabletext"/>
            </w:pPr>
            <w:r w:rsidRPr="006136E3">
              <w:t>ACT Government</w:t>
            </w:r>
          </w:p>
        </w:tc>
        <w:tc>
          <w:tcPr>
            <w:tcW w:w="3260" w:type="dxa"/>
            <w:tcBorders>
              <w:top w:val="nil"/>
            </w:tcBorders>
            <w:shd w:val="clear" w:color="auto" w:fill="auto"/>
          </w:tcPr>
          <w:p w14:paraId="42B9F2A3" w14:textId="77777777" w:rsidR="00B949E1" w:rsidRDefault="00B949E1" w:rsidP="00B9362B">
            <w:pPr>
              <w:pStyle w:val="Tabletext"/>
            </w:pPr>
            <w:r w:rsidRPr="00DB735D">
              <w:rPr>
                <w:color w:val="FF0000"/>
              </w:rPr>
              <w:t xml:space="preserve">-450,000 </w:t>
            </w:r>
          </w:p>
        </w:tc>
        <w:tc>
          <w:tcPr>
            <w:tcW w:w="3254" w:type="dxa"/>
            <w:tcBorders>
              <w:top w:val="nil"/>
            </w:tcBorders>
            <w:shd w:val="clear" w:color="auto" w:fill="DAEEF3" w:themeFill="accent5" w:themeFillTint="33"/>
          </w:tcPr>
          <w:p w14:paraId="729E36BF" w14:textId="77777777" w:rsidR="00B949E1" w:rsidRDefault="00B949E1" w:rsidP="00B9362B">
            <w:pPr>
              <w:pStyle w:val="Tabletext"/>
            </w:pPr>
            <w:r w:rsidRPr="00DB735D">
              <w:rPr>
                <w:color w:val="FF0000"/>
              </w:rPr>
              <w:t xml:space="preserve">-0.98 </w:t>
            </w:r>
          </w:p>
        </w:tc>
      </w:tr>
      <w:tr w:rsidR="00B949E1" w14:paraId="104E2444" w14:textId="77777777" w:rsidTr="003E2764">
        <w:trPr>
          <w:gridBefore w:val="1"/>
          <w:wBefore w:w="283" w:type="dxa"/>
        </w:trPr>
        <w:tc>
          <w:tcPr>
            <w:tcW w:w="3545" w:type="dxa"/>
            <w:shd w:val="clear" w:color="auto" w:fill="auto"/>
          </w:tcPr>
          <w:p w14:paraId="3A99D6B5" w14:textId="77777777" w:rsidR="00B949E1" w:rsidRDefault="00B949E1" w:rsidP="00B9362B">
            <w:pPr>
              <w:pStyle w:val="Tabletext"/>
            </w:pPr>
            <w:r w:rsidRPr="006136E3">
              <w:t>Local Government (waste disposal costs)</w:t>
            </w:r>
          </w:p>
        </w:tc>
        <w:tc>
          <w:tcPr>
            <w:tcW w:w="3260" w:type="dxa"/>
            <w:shd w:val="clear" w:color="auto" w:fill="auto"/>
          </w:tcPr>
          <w:p w14:paraId="3ACEB007" w14:textId="77777777" w:rsidR="00B949E1" w:rsidRDefault="00B949E1" w:rsidP="00B9362B">
            <w:pPr>
              <w:pStyle w:val="Tabletext"/>
            </w:pPr>
            <w:r w:rsidRPr="00627691">
              <w:t xml:space="preserve">609,482 </w:t>
            </w:r>
          </w:p>
        </w:tc>
        <w:tc>
          <w:tcPr>
            <w:tcW w:w="3254" w:type="dxa"/>
            <w:tcBorders>
              <w:bottom w:val="single" w:sz="4" w:space="0" w:color="646464"/>
            </w:tcBorders>
            <w:shd w:val="clear" w:color="auto" w:fill="DAEEF3" w:themeFill="accent5" w:themeFillTint="33"/>
          </w:tcPr>
          <w:p w14:paraId="2643C0F4" w14:textId="77777777" w:rsidR="00B949E1" w:rsidRDefault="00B949E1" w:rsidP="00B9362B">
            <w:pPr>
              <w:pStyle w:val="Tabletext"/>
            </w:pPr>
            <w:r w:rsidRPr="00627691">
              <w:t xml:space="preserve">1.33 </w:t>
            </w:r>
          </w:p>
        </w:tc>
      </w:tr>
      <w:tr w:rsidR="00B949E1" w14:paraId="51F6A67D" w14:textId="77777777" w:rsidTr="003E2764">
        <w:trPr>
          <w:gridBefore w:val="1"/>
          <w:wBefore w:w="283" w:type="dxa"/>
        </w:trPr>
        <w:tc>
          <w:tcPr>
            <w:tcW w:w="3545" w:type="dxa"/>
            <w:shd w:val="clear" w:color="auto" w:fill="auto"/>
          </w:tcPr>
          <w:p w14:paraId="20D1ED17" w14:textId="77777777" w:rsidR="00B949E1" w:rsidRDefault="00B949E1" w:rsidP="00B9362B">
            <w:pPr>
              <w:pStyle w:val="Tabletext"/>
            </w:pPr>
            <w:r w:rsidRPr="006136E3">
              <w:t xml:space="preserve">Food and hospitality outlets </w:t>
            </w:r>
          </w:p>
        </w:tc>
        <w:tc>
          <w:tcPr>
            <w:tcW w:w="3260" w:type="dxa"/>
            <w:shd w:val="clear" w:color="auto" w:fill="auto"/>
          </w:tcPr>
          <w:p w14:paraId="30816186" w14:textId="77777777" w:rsidR="00B949E1" w:rsidRDefault="00B949E1" w:rsidP="00B9362B">
            <w:pPr>
              <w:pStyle w:val="Tabletext"/>
            </w:pPr>
            <w:r w:rsidRPr="00DB735D">
              <w:rPr>
                <w:color w:val="FF0000"/>
              </w:rPr>
              <w:t xml:space="preserve">-18,421,601 </w:t>
            </w:r>
          </w:p>
        </w:tc>
        <w:tc>
          <w:tcPr>
            <w:tcW w:w="3254" w:type="dxa"/>
            <w:tcBorders>
              <w:top w:val="single" w:sz="4" w:space="0" w:color="646464"/>
            </w:tcBorders>
            <w:shd w:val="clear" w:color="auto" w:fill="D5EBDA"/>
          </w:tcPr>
          <w:p w14:paraId="6E87272C" w14:textId="77777777" w:rsidR="00B949E1" w:rsidRDefault="00B949E1" w:rsidP="00B9362B">
            <w:pPr>
              <w:pStyle w:val="Tabletext"/>
            </w:pPr>
            <w:r w:rsidRPr="00DB735D">
              <w:rPr>
                <w:color w:val="FF0000"/>
              </w:rPr>
              <w:t xml:space="preserve">-10,466.82 </w:t>
            </w:r>
          </w:p>
        </w:tc>
      </w:tr>
      <w:tr w:rsidR="00B949E1" w14:paraId="66B58260" w14:textId="77777777" w:rsidTr="003E2764">
        <w:trPr>
          <w:gridBefore w:val="1"/>
          <w:wBefore w:w="283" w:type="dxa"/>
        </w:trPr>
        <w:tc>
          <w:tcPr>
            <w:tcW w:w="3545" w:type="dxa"/>
            <w:shd w:val="clear" w:color="auto" w:fill="auto"/>
          </w:tcPr>
          <w:p w14:paraId="7E5DEBA3" w14:textId="77777777" w:rsidR="00B949E1" w:rsidRDefault="00B949E1" w:rsidP="00B9362B">
            <w:pPr>
              <w:pStyle w:val="Tabletext"/>
            </w:pPr>
            <w:r w:rsidRPr="006136E3">
              <w:t>Medical and other exempted sectors</w:t>
            </w:r>
          </w:p>
        </w:tc>
        <w:tc>
          <w:tcPr>
            <w:tcW w:w="3260" w:type="dxa"/>
            <w:shd w:val="clear" w:color="auto" w:fill="auto"/>
          </w:tcPr>
          <w:p w14:paraId="7425D16F" w14:textId="77777777" w:rsidR="00B949E1" w:rsidRDefault="00B949E1" w:rsidP="00B9362B">
            <w:pPr>
              <w:pStyle w:val="Tabletext"/>
            </w:pPr>
            <w:r w:rsidRPr="00627691">
              <w:t xml:space="preserve">23,648 </w:t>
            </w:r>
          </w:p>
        </w:tc>
        <w:tc>
          <w:tcPr>
            <w:tcW w:w="3254" w:type="dxa"/>
            <w:tcBorders>
              <w:top w:val="single" w:sz="4" w:space="0" w:color="646464"/>
            </w:tcBorders>
            <w:shd w:val="clear" w:color="auto" w:fill="D5EBDA"/>
          </w:tcPr>
          <w:p w14:paraId="69E08E07" w14:textId="77777777" w:rsidR="00B949E1" w:rsidRDefault="00B949E1" w:rsidP="00B9362B">
            <w:pPr>
              <w:pStyle w:val="Tabletext"/>
            </w:pPr>
            <w:r w:rsidRPr="00627691">
              <w:t xml:space="preserve">8.20 </w:t>
            </w:r>
          </w:p>
        </w:tc>
      </w:tr>
      <w:tr w:rsidR="00B949E1" w14:paraId="7F0D9639" w14:textId="77777777" w:rsidTr="00B9362B">
        <w:trPr>
          <w:gridBefore w:val="1"/>
          <w:wBefore w:w="283" w:type="dxa"/>
        </w:trPr>
        <w:tc>
          <w:tcPr>
            <w:tcW w:w="3545" w:type="dxa"/>
            <w:shd w:val="clear" w:color="auto" w:fill="auto"/>
          </w:tcPr>
          <w:p w14:paraId="5C5782ED" w14:textId="77777777" w:rsidR="00B949E1" w:rsidRDefault="00B949E1" w:rsidP="00B9362B">
            <w:pPr>
              <w:pStyle w:val="Tabletext"/>
            </w:pPr>
            <w:r w:rsidRPr="006136E3">
              <w:t>Consumers (retail)</w:t>
            </w:r>
          </w:p>
        </w:tc>
        <w:tc>
          <w:tcPr>
            <w:tcW w:w="3260" w:type="dxa"/>
            <w:shd w:val="clear" w:color="auto" w:fill="auto"/>
          </w:tcPr>
          <w:p w14:paraId="2446A713" w14:textId="77777777" w:rsidR="00B949E1" w:rsidRDefault="00B949E1" w:rsidP="00B9362B">
            <w:pPr>
              <w:pStyle w:val="Tabletext"/>
            </w:pPr>
            <w:r w:rsidRPr="00627691">
              <w:t xml:space="preserve">1,724,103 </w:t>
            </w:r>
          </w:p>
        </w:tc>
        <w:tc>
          <w:tcPr>
            <w:tcW w:w="3254" w:type="dxa"/>
            <w:shd w:val="clear" w:color="auto" w:fill="DAEEF3" w:themeFill="accent5" w:themeFillTint="33"/>
          </w:tcPr>
          <w:p w14:paraId="458449BC" w14:textId="77777777" w:rsidR="00B949E1" w:rsidRDefault="00B949E1" w:rsidP="00B9362B">
            <w:pPr>
              <w:pStyle w:val="Tabletext"/>
            </w:pPr>
            <w:r w:rsidRPr="00627691">
              <w:t xml:space="preserve">3.77 </w:t>
            </w:r>
          </w:p>
        </w:tc>
      </w:tr>
      <w:tr w:rsidR="00B949E1" w14:paraId="3CC751AA" w14:textId="77777777" w:rsidTr="00B9362B">
        <w:trPr>
          <w:gridBefore w:val="1"/>
          <w:wBefore w:w="283" w:type="dxa"/>
        </w:trPr>
        <w:tc>
          <w:tcPr>
            <w:tcW w:w="3545" w:type="dxa"/>
            <w:shd w:val="clear" w:color="auto" w:fill="auto"/>
          </w:tcPr>
          <w:p w14:paraId="4748FC3F" w14:textId="77777777" w:rsidR="00B949E1" w:rsidRDefault="00B949E1" w:rsidP="00B9362B">
            <w:pPr>
              <w:pStyle w:val="Tabletext"/>
            </w:pPr>
            <w:r w:rsidRPr="006136E3">
              <w:t>Environment (society)</w:t>
            </w:r>
          </w:p>
        </w:tc>
        <w:tc>
          <w:tcPr>
            <w:tcW w:w="3260" w:type="dxa"/>
            <w:shd w:val="clear" w:color="auto" w:fill="auto"/>
          </w:tcPr>
          <w:p w14:paraId="5601DA52" w14:textId="77777777" w:rsidR="00B949E1" w:rsidRDefault="00B949E1" w:rsidP="00B9362B">
            <w:pPr>
              <w:pStyle w:val="Tabletext"/>
            </w:pPr>
            <w:r w:rsidRPr="00DB735D">
              <w:rPr>
                <w:color w:val="FF0000"/>
              </w:rPr>
              <w:t xml:space="preserve">-450,000 </w:t>
            </w:r>
          </w:p>
        </w:tc>
        <w:tc>
          <w:tcPr>
            <w:tcW w:w="3254" w:type="dxa"/>
            <w:shd w:val="clear" w:color="auto" w:fill="DAEEF3" w:themeFill="accent5" w:themeFillTint="33"/>
          </w:tcPr>
          <w:p w14:paraId="20216909" w14:textId="77777777" w:rsidR="00B949E1" w:rsidRDefault="00B949E1" w:rsidP="00B9362B">
            <w:pPr>
              <w:pStyle w:val="Tabletext"/>
            </w:pPr>
            <w:r w:rsidRPr="00DB735D">
              <w:rPr>
                <w:color w:val="FF0000"/>
              </w:rPr>
              <w:t xml:space="preserve">-0.98 </w:t>
            </w:r>
          </w:p>
        </w:tc>
      </w:tr>
      <w:tr w:rsidR="00B949E1" w14:paraId="1658E2B6" w14:textId="77777777" w:rsidTr="00B9362B">
        <w:trPr>
          <w:gridBefore w:val="1"/>
          <w:wBefore w:w="283" w:type="dxa"/>
        </w:trPr>
        <w:tc>
          <w:tcPr>
            <w:tcW w:w="10059" w:type="dxa"/>
            <w:gridSpan w:val="3"/>
            <w:tcBorders>
              <w:bottom w:val="single" w:sz="4" w:space="0" w:color="646464"/>
            </w:tcBorders>
            <w:shd w:val="clear" w:color="auto" w:fill="auto"/>
          </w:tcPr>
          <w:p w14:paraId="4594C6F7" w14:textId="77777777" w:rsidR="00B949E1" w:rsidRDefault="00B949E1" w:rsidP="00B9362B">
            <w:pPr>
              <w:pStyle w:val="Note"/>
              <w:rPr>
                <w:lang w:eastAsia="en-AU"/>
              </w:rPr>
            </w:pPr>
            <w:r>
              <w:rPr>
                <w:lang w:eastAsia="en-AU"/>
              </w:rPr>
              <w:t xml:space="preserve">Note: Negative values are costs, and positive figures represent benefits. NPV7 stands for net present value at 7% discount rate Negative figures represent costs. Per capita figures are based on the ACT population in 2021 and highlighted in blue. Per business figures are highlighted in green and have been calculated based on counts of ACT businesses by the ABS (ABS </w:t>
            </w:r>
            <w:r w:rsidRPr="006E309C">
              <w:rPr>
                <w:lang w:eastAsia="en-AU"/>
              </w:rPr>
              <w:t>8165.0</w:t>
            </w:r>
            <w:r>
              <w:rPr>
                <w:lang w:eastAsia="en-AU"/>
              </w:rPr>
              <w:t xml:space="preserve"> </w:t>
            </w:r>
            <w:r w:rsidRPr="006E309C">
              <w:rPr>
                <w:lang w:eastAsia="en-AU"/>
              </w:rPr>
              <w:t>Counts</w:t>
            </w:r>
            <w:r>
              <w:rPr>
                <w:lang w:eastAsia="en-AU"/>
              </w:rPr>
              <w:t xml:space="preserve"> </w:t>
            </w:r>
            <w:r w:rsidRPr="006E309C">
              <w:rPr>
                <w:lang w:eastAsia="en-AU"/>
              </w:rPr>
              <w:t>of</w:t>
            </w:r>
            <w:r>
              <w:rPr>
                <w:lang w:eastAsia="en-AU"/>
              </w:rPr>
              <w:t xml:space="preserve"> </w:t>
            </w:r>
            <w:r w:rsidRPr="006E309C">
              <w:rPr>
                <w:lang w:eastAsia="en-AU"/>
              </w:rPr>
              <w:t>Australian</w:t>
            </w:r>
            <w:r>
              <w:rPr>
                <w:lang w:eastAsia="en-AU"/>
              </w:rPr>
              <w:t xml:space="preserve"> </w:t>
            </w:r>
            <w:r w:rsidRPr="006E309C">
              <w:rPr>
                <w:lang w:eastAsia="en-AU"/>
              </w:rPr>
              <w:t>Businesses</w:t>
            </w:r>
            <w:r>
              <w:rPr>
                <w:lang w:eastAsia="en-AU"/>
              </w:rPr>
              <w:t xml:space="preserve">). </w:t>
            </w:r>
            <w:r w:rsidRPr="00902B4D">
              <w:rPr>
                <w:lang w:eastAsia="en-AU"/>
              </w:rPr>
              <w:t>Food</w:t>
            </w:r>
            <w:r>
              <w:rPr>
                <w:lang w:eastAsia="en-AU"/>
              </w:rPr>
              <w:t xml:space="preserve"> </w:t>
            </w:r>
            <w:r w:rsidRPr="00902B4D">
              <w:rPr>
                <w:lang w:eastAsia="en-AU"/>
              </w:rPr>
              <w:t>and</w:t>
            </w:r>
            <w:r>
              <w:rPr>
                <w:lang w:eastAsia="en-AU"/>
              </w:rPr>
              <w:t xml:space="preserve"> </w:t>
            </w:r>
            <w:r w:rsidRPr="00902B4D">
              <w:rPr>
                <w:lang w:eastAsia="en-AU"/>
              </w:rPr>
              <w:t>hospitality</w:t>
            </w:r>
            <w:r>
              <w:rPr>
                <w:lang w:eastAsia="en-AU"/>
              </w:rPr>
              <w:t xml:space="preserve"> </w:t>
            </w:r>
            <w:r w:rsidRPr="00902B4D">
              <w:rPr>
                <w:lang w:eastAsia="en-AU"/>
              </w:rPr>
              <w:t>outlets</w:t>
            </w:r>
            <w:r>
              <w:rPr>
                <w:lang w:eastAsia="en-AU"/>
              </w:rPr>
              <w:t xml:space="preserve"> are counted using ABS’ ANZSIC codes 44 and 45, while m</w:t>
            </w:r>
            <w:r w:rsidRPr="006E309C">
              <w:rPr>
                <w:lang w:eastAsia="en-AU"/>
              </w:rPr>
              <w:t>edical</w:t>
            </w:r>
            <w:r>
              <w:rPr>
                <w:lang w:eastAsia="en-AU"/>
              </w:rPr>
              <w:t xml:space="preserve"> </w:t>
            </w:r>
            <w:r w:rsidRPr="006E309C">
              <w:rPr>
                <w:lang w:eastAsia="en-AU"/>
              </w:rPr>
              <w:t>and</w:t>
            </w:r>
            <w:r>
              <w:rPr>
                <w:lang w:eastAsia="en-AU"/>
              </w:rPr>
              <w:t xml:space="preserve"> </w:t>
            </w:r>
            <w:r w:rsidRPr="006E309C">
              <w:rPr>
                <w:lang w:eastAsia="en-AU"/>
              </w:rPr>
              <w:t>other</w:t>
            </w:r>
            <w:r>
              <w:rPr>
                <w:lang w:eastAsia="en-AU"/>
              </w:rPr>
              <w:t xml:space="preserve"> </w:t>
            </w:r>
            <w:r w:rsidRPr="006E309C">
              <w:rPr>
                <w:lang w:eastAsia="en-AU"/>
              </w:rPr>
              <w:t>exempted</w:t>
            </w:r>
            <w:r>
              <w:rPr>
                <w:lang w:eastAsia="en-AU"/>
              </w:rPr>
              <w:t xml:space="preserve"> </w:t>
            </w:r>
            <w:r w:rsidRPr="006E309C">
              <w:rPr>
                <w:lang w:eastAsia="en-AU"/>
              </w:rPr>
              <w:t>sectors</w:t>
            </w:r>
            <w:r>
              <w:rPr>
                <w:lang w:eastAsia="en-AU"/>
              </w:rPr>
              <w:t xml:space="preserve"> are drawn from the same source, using ANZSIC codes 84, 85, 86 and 87.</w:t>
            </w:r>
          </w:p>
          <w:p w14:paraId="77A1D442" w14:textId="77777777" w:rsidR="00B949E1" w:rsidRDefault="00B949E1" w:rsidP="00B9362B">
            <w:pPr>
              <w:pStyle w:val="Source"/>
            </w:pPr>
            <w:r>
              <w:rPr>
                <w:lang w:eastAsia="en-AU"/>
              </w:rPr>
              <w:t>Source: ACIL Allen</w:t>
            </w:r>
          </w:p>
        </w:tc>
      </w:tr>
      <w:tr w:rsidR="00B949E1" w14:paraId="33505CB7" w14:textId="77777777" w:rsidTr="00B9362B">
        <w:trPr>
          <w:gridBefore w:val="1"/>
          <w:wBefore w:w="283" w:type="dxa"/>
          <w:trHeight w:hRule="exact" w:val="160"/>
        </w:trPr>
        <w:tc>
          <w:tcPr>
            <w:tcW w:w="10059" w:type="dxa"/>
            <w:gridSpan w:val="3"/>
            <w:tcBorders>
              <w:top w:val="single" w:sz="4" w:space="0" w:color="646464"/>
              <w:bottom w:val="nil"/>
            </w:tcBorders>
            <w:shd w:val="clear" w:color="auto" w:fill="auto"/>
          </w:tcPr>
          <w:p w14:paraId="6AFE27F9" w14:textId="77777777" w:rsidR="00B949E1" w:rsidRDefault="00B949E1" w:rsidP="00B9362B">
            <w:pPr>
              <w:pStyle w:val="spacer"/>
            </w:pPr>
          </w:p>
        </w:tc>
      </w:tr>
    </w:tbl>
    <w:p w14:paraId="2D01A9A1" w14:textId="77777777" w:rsidR="00B949E1" w:rsidRDefault="00B949E1" w:rsidP="00B949E1">
      <w:pPr>
        <w:pStyle w:val="BodyText"/>
      </w:pPr>
      <w:r w:rsidRPr="00DB735D">
        <w:rPr>
          <w:b/>
          <w:bCs/>
          <w:highlight w:val="yellow"/>
        </w:rPr>
        <w:fldChar w:fldCharType="begin"/>
      </w:r>
      <w:r w:rsidRPr="00DB735D">
        <w:rPr>
          <w:b/>
          <w:bCs/>
        </w:rPr>
        <w:instrText xml:space="preserve"> REF _Ref133925673 \h </w:instrText>
      </w:r>
      <w:r>
        <w:rPr>
          <w:b/>
          <w:bCs/>
          <w:highlight w:val="yellow"/>
        </w:rPr>
        <w:instrText xml:space="preserve"> \* MERGEFORMAT </w:instrText>
      </w:r>
      <w:r w:rsidRPr="00DB735D">
        <w:rPr>
          <w:b/>
          <w:bCs/>
          <w:highlight w:val="yellow"/>
        </w:rPr>
      </w:r>
      <w:r w:rsidRPr="00DB735D">
        <w:rPr>
          <w:b/>
          <w:bCs/>
          <w:highlight w:val="yellow"/>
        </w:rPr>
        <w:fldChar w:fldCharType="separate"/>
      </w:r>
      <w:r w:rsidRPr="00790266">
        <w:rPr>
          <w:rStyle w:val="CaptionLabel"/>
          <w:b w:val="0"/>
          <w:bCs/>
        </w:rPr>
        <w:t>Table ES 3</w:t>
      </w:r>
      <w:r w:rsidRPr="00DB735D">
        <w:rPr>
          <w:b/>
          <w:bCs/>
          <w:highlight w:val="yellow"/>
        </w:rPr>
        <w:fldChar w:fldCharType="end"/>
      </w:r>
      <w:r>
        <w:t xml:space="preserve"> </w:t>
      </w:r>
      <w:r w:rsidRPr="002F639F">
        <w:t xml:space="preserve">outlines the net impacts of the proposed bans under Option </w:t>
      </w:r>
      <w:r>
        <w:t xml:space="preserve">2 </w:t>
      </w:r>
      <w:r w:rsidRPr="002F639F">
        <w:t>by item (excluding government costs</w:t>
      </w:r>
      <w:r w:rsidRPr="002F639F">
        <w:rPr>
          <w:rStyle w:val="FootnoteReference"/>
        </w:rPr>
        <w:footnoteReference w:id="5"/>
      </w:r>
      <w:r w:rsidRPr="002F639F">
        <w:t xml:space="preserve">) and provides some commentary about what </w:t>
      </w:r>
      <w:r>
        <w:t>drives each product's resul</w:t>
      </w:r>
      <w:r w:rsidRPr="002F639F">
        <w:t>t.</w:t>
      </w:r>
    </w:p>
    <w:p w14:paraId="33D55477" w14:textId="77777777" w:rsidR="00B949E1" w:rsidRDefault="00B949E1" w:rsidP="00B949E1">
      <w:pPr>
        <w:pStyle w:val="Caption"/>
        <w:ind w:left="-784"/>
      </w:pPr>
      <w:bookmarkStart w:id="10" w:name="_Ref133925673"/>
      <w:r w:rsidRPr="00DB735D">
        <w:rPr>
          <w:rStyle w:val="CaptionLabel"/>
        </w:rPr>
        <w:t>Table ES </w:t>
      </w:r>
      <w:r w:rsidRPr="00DB735D">
        <w:rPr>
          <w:rStyle w:val="CaptionLabel"/>
        </w:rPr>
        <w:fldChar w:fldCharType="begin"/>
      </w:r>
      <w:r w:rsidRPr="00DB735D">
        <w:rPr>
          <w:rStyle w:val="CaptionLabel"/>
        </w:rPr>
        <w:instrText xml:space="preserve"> SEQ Table_ES \* ARABIC  \* MERGEFORMAT </w:instrText>
      </w:r>
      <w:r w:rsidRPr="00DB735D">
        <w:rPr>
          <w:rStyle w:val="CaptionLabel"/>
        </w:rPr>
        <w:fldChar w:fldCharType="separate"/>
      </w:r>
      <w:r>
        <w:rPr>
          <w:rStyle w:val="CaptionLabel"/>
          <w:noProof/>
        </w:rPr>
        <w:t>3</w:t>
      </w:r>
      <w:r w:rsidRPr="00DB735D">
        <w:rPr>
          <w:rStyle w:val="CaptionLabel"/>
        </w:rPr>
        <w:fldChar w:fldCharType="end"/>
      </w:r>
      <w:bookmarkEnd w:id="10"/>
      <w:r>
        <w:tab/>
        <w:t>Summary of the i</w:t>
      </w:r>
      <w:r w:rsidRPr="000F21E2">
        <w:t xml:space="preserve">mpact of Option </w:t>
      </w:r>
      <w:r>
        <w:t>2</w:t>
      </w:r>
      <w:r w:rsidRPr="000F21E2">
        <w:t xml:space="preserve"> by product</w:t>
      </w:r>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290"/>
        <w:gridCol w:w="1134"/>
        <w:gridCol w:w="1135"/>
        <w:gridCol w:w="1134"/>
        <w:gridCol w:w="992"/>
        <w:gridCol w:w="993"/>
        <w:gridCol w:w="4674"/>
      </w:tblGrid>
      <w:tr w:rsidR="00B949E1" w14:paraId="0186D976" w14:textId="77777777" w:rsidTr="00B9362B">
        <w:trPr>
          <w:tblHeader/>
        </w:trPr>
        <w:tc>
          <w:tcPr>
            <w:tcW w:w="1424" w:type="dxa"/>
            <w:gridSpan w:val="2"/>
            <w:tcBorders>
              <w:top w:val="nil"/>
              <w:bottom w:val="nil"/>
            </w:tcBorders>
            <w:shd w:val="clear" w:color="auto" w:fill="140034"/>
            <w:tcMar>
              <w:left w:w="454" w:type="dxa"/>
            </w:tcMar>
          </w:tcPr>
          <w:p w14:paraId="1A161DF1" w14:textId="77777777" w:rsidR="00B949E1" w:rsidRDefault="00B949E1" w:rsidP="00B9362B">
            <w:pPr>
              <w:pStyle w:val="Tablecolumnheadings"/>
            </w:pPr>
          </w:p>
        </w:tc>
        <w:tc>
          <w:tcPr>
            <w:tcW w:w="1135" w:type="dxa"/>
            <w:tcBorders>
              <w:top w:val="nil"/>
              <w:bottom w:val="nil"/>
            </w:tcBorders>
            <w:shd w:val="clear" w:color="auto" w:fill="140034"/>
          </w:tcPr>
          <w:p w14:paraId="5D876FAE" w14:textId="77777777" w:rsidR="00B949E1" w:rsidRPr="00201796" w:rsidRDefault="00B949E1" w:rsidP="00B9362B">
            <w:pPr>
              <w:pStyle w:val="Tablecolumnheadings"/>
              <w:jc w:val="center"/>
              <w:rPr>
                <w:szCs w:val="20"/>
              </w:rPr>
            </w:pPr>
            <w:r w:rsidRPr="00201796">
              <w:rPr>
                <w:szCs w:val="20"/>
              </w:rPr>
              <w:t>NPV7</w:t>
            </w:r>
          </w:p>
          <w:p w14:paraId="2FD44AD7" w14:textId="77777777" w:rsidR="00B949E1" w:rsidRDefault="00B949E1" w:rsidP="00B9362B">
            <w:pPr>
              <w:pStyle w:val="Tablecolumnheadings"/>
            </w:pPr>
            <w:r w:rsidRPr="00201796">
              <w:rPr>
                <w:szCs w:val="20"/>
              </w:rPr>
              <w:t>($ in 202</w:t>
            </w:r>
            <w:r>
              <w:rPr>
                <w:szCs w:val="20"/>
              </w:rPr>
              <w:t>3</w:t>
            </w:r>
            <w:r w:rsidRPr="00201796">
              <w:rPr>
                <w:szCs w:val="20"/>
              </w:rPr>
              <w:t xml:space="preserve"> at $2022)</w:t>
            </w:r>
          </w:p>
        </w:tc>
        <w:tc>
          <w:tcPr>
            <w:tcW w:w="1134" w:type="dxa"/>
            <w:tcBorders>
              <w:top w:val="nil"/>
              <w:bottom w:val="nil"/>
            </w:tcBorders>
            <w:shd w:val="clear" w:color="auto" w:fill="140034"/>
          </w:tcPr>
          <w:p w14:paraId="7E47F1C5" w14:textId="77777777" w:rsidR="00B949E1" w:rsidRDefault="00B949E1" w:rsidP="00B9362B">
            <w:pPr>
              <w:pStyle w:val="Tablecolumnheadings"/>
            </w:pPr>
            <w:r w:rsidRPr="00201796">
              <w:rPr>
                <w:i/>
                <w:iCs/>
                <w:szCs w:val="20"/>
              </w:rPr>
              <w:t>Cost</w:t>
            </w:r>
          </w:p>
        </w:tc>
        <w:tc>
          <w:tcPr>
            <w:tcW w:w="992" w:type="dxa"/>
            <w:tcBorders>
              <w:top w:val="nil"/>
              <w:bottom w:val="nil"/>
            </w:tcBorders>
            <w:shd w:val="clear" w:color="auto" w:fill="140034"/>
          </w:tcPr>
          <w:p w14:paraId="29130057" w14:textId="77777777" w:rsidR="00B949E1" w:rsidRDefault="00B949E1" w:rsidP="00B9362B">
            <w:pPr>
              <w:pStyle w:val="Tablecolumnheadings"/>
            </w:pPr>
            <w:r w:rsidRPr="00201796">
              <w:rPr>
                <w:i/>
                <w:iCs/>
                <w:szCs w:val="20"/>
              </w:rPr>
              <w:t>Benefits</w:t>
            </w:r>
          </w:p>
        </w:tc>
        <w:tc>
          <w:tcPr>
            <w:tcW w:w="993" w:type="dxa"/>
            <w:tcBorders>
              <w:top w:val="nil"/>
              <w:bottom w:val="nil"/>
            </w:tcBorders>
            <w:shd w:val="clear" w:color="auto" w:fill="140034"/>
          </w:tcPr>
          <w:p w14:paraId="5900C120" w14:textId="77777777" w:rsidR="00B949E1" w:rsidRDefault="00B949E1" w:rsidP="00B9362B">
            <w:pPr>
              <w:pStyle w:val="Tablecolumnheadings"/>
            </w:pPr>
            <w:r w:rsidRPr="00201796">
              <w:rPr>
                <w:szCs w:val="20"/>
              </w:rPr>
              <w:t>BCR (ratio)</w:t>
            </w:r>
          </w:p>
        </w:tc>
        <w:tc>
          <w:tcPr>
            <w:tcW w:w="4674" w:type="dxa"/>
            <w:tcBorders>
              <w:top w:val="nil"/>
              <w:bottom w:val="nil"/>
              <w:right w:val="single" w:sz="6" w:space="0" w:color="140034"/>
            </w:tcBorders>
            <w:shd w:val="clear" w:color="auto" w:fill="140034"/>
          </w:tcPr>
          <w:p w14:paraId="0CFDD952" w14:textId="77777777" w:rsidR="00B949E1" w:rsidRDefault="00B949E1" w:rsidP="00B9362B">
            <w:pPr>
              <w:pStyle w:val="Tablecolumnheadings"/>
            </w:pPr>
            <w:r w:rsidRPr="00201796">
              <w:rPr>
                <w:szCs w:val="20"/>
              </w:rPr>
              <w:t xml:space="preserve">Main drivers of </w:t>
            </w:r>
            <w:r>
              <w:rPr>
                <w:szCs w:val="20"/>
              </w:rPr>
              <w:t xml:space="preserve">the </w:t>
            </w:r>
            <w:r w:rsidRPr="00201796">
              <w:rPr>
                <w:szCs w:val="20"/>
              </w:rPr>
              <w:t>result</w:t>
            </w:r>
          </w:p>
        </w:tc>
      </w:tr>
      <w:tr w:rsidR="00B949E1" w14:paraId="5F9E0394" w14:textId="77777777" w:rsidTr="00B9362B">
        <w:trPr>
          <w:gridBefore w:val="1"/>
          <w:wBefore w:w="290" w:type="dxa"/>
        </w:trPr>
        <w:tc>
          <w:tcPr>
            <w:tcW w:w="1134" w:type="dxa"/>
            <w:tcBorders>
              <w:top w:val="nil"/>
            </w:tcBorders>
            <w:shd w:val="clear" w:color="auto" w:fill="auto"/>
          </w:tcPr>
          <w:p w14:paraId="2D513FF6" w14:textId="77777777" w:rsidR="00B949E1" w:rsidRDefault="00B949E1" w:rsidP="00B9362B">
            <w:pPr>
              <w:pStyle w:val="Tabletext"/>
            </w:pPr>
            <w:r w:rsidRPr="00C42355">
              <w:rPr>
                <w:szCs w:val="20"/>
              </w:rPr>
              <w:t>Bowls</w:t>
            </w:r>
          </w:p>
        </w:tc>
        <w:tc>
          <w:tcPr>
            <w:tcW w:w="1135" w:type="dxa"/>
            <w:tcBorders>
              <w:top w:val="nil"/>
            </w:tcBorders>
            <w:shd w:val="clear" w:color="auto" w:fill="auto"/>
          </w:tcPr>
          <w:p w14:paraId="210F8DC6" w14:textId="77777777" w:rsidR="00B949E1" w:rsidRDefault="00B949E1" w:rsidP="00B9362B">
            <w:pPr>
              <w:pStyle w:val="Tabletext"/>
            </w:pPr>
            <w:r w:rsidRPr="00933DBD">
              <w:t xml:space="preserve">195,276 </w:t>
            </w:r>
          </w:p>
        </w:tc>
        <w:tc>
          <w:tcPr>
            <w:tcW w:w="1134" w:type="dxa"/>
            <w:tcBorders>
              <w:top w:val="nil"/>
            </w:tcBorders>
            <w:shd w:val="clear" w:color="auto" w:fill="auto"/>
          </w:tcPr>
          <w:p w14:paraId="6CBE95E5" w14:textId="77777777" w:rsidR="00B949E1" w:rsidRDefault="00B949E1" w:rsidP="00B9362B">
            <w:pPr>
              <w:pStyle w:val="Tabletext"/>
            </w:pPr>
            <w:r w:rsidRPr="00DB735D">
              <w:rPr>
                <w:color w:val="FF0000"/>
              </w:rPr>
              <w:t xml:space="preserve">-146,741 </w:t>
            </w:r>
          </w:p>
        </w:tc>
        <w:tc>
          <w:tcPr>
            <w:tcW w:w="992" w:type="dxa"/>
            <w:tcBorders>
              <w:top w:val="nil"/>
            </w:tcBorders>
            <w:shd w:val="clear" w:color="auto" w:fill="auto"/>
          </w:tcPr>
          <w:p w14:paraId="668953C9" w14:textId="77777777" w:rsidR="00B949E1" w:rsidRDefault="00B949E1" w:rsidP="00B9362B">
            <w:pPr>
              <w:pStyle w:val="Tabletext"/>
            </w:pPr>
            <w:r w:rsidRPr="00DB79B2">
              <w:t xml:space="preserve">48,535 </w:t>
            </w:r>
          </w:p>
        </w:tc>
        <w:tc>
          <w:tcPr>
            <w:tcW w:w="993" w:type="dxa"/>
            <w:tcBorders>
              <w:top w:val="nil"/>
            </w:tcBorders>
            <w:shd w:val="clear" w:color="auto" w:fill="auto"/>
          </w:tcPr>
          <w:p w14:paraId="3D60234E" w14:textId="77777777" w:rsidR="00B949E1" w:rsidRDefault="00B949E1" w:rsidP="00B9362B">
            <w:pPr>
              <w:pStyle w:val="Tabletext"/>
            </w:pPr>
            <w:r w:rsidRPr="00C42355">
              <w:rPr>
                <w:szCs w:val="20"/>
              </w:rPr>
              <w:t>N/A</w:t>
            </w:r>
            <w:r w:rsidRPr="00C42355">
              <w:rPr>
                <w:szCs w:val="20"/>
                <w:vertAlign w:val="superscript"/>
                <w:lang w:eastAsia="en-AU"/>
              </w:rPr>
              <w:t>a</w:t>
            </w:r>
          </w:p>
        </w:tc>
        <w:tc>
          <w:tcPr>
            <w:tcW w:w="4674" w:type="dxa"/>
            <w:tcBorders>
              <w:top w:val="nil"/>
            </w:tcBorders>
            <w:shd w:val="clear" w:color="auto" w:fill="auto"/>
          </w:tcPr>
          <w:p w14:paraId="2C3746A5" w14:textId="77777777" w:rsidR="00B949E1" w:rsidRDefault="00B949E1" w:rsidP="00B9362B">
            <w:pPr>
              <w:pStyle w:val="Tabletext"/>
            </w:pPr>
            <w:r w:rsidRPr="00201796">
              <w:rPr>
                <w:szCs w:val="20"/>
              </w:rPr>
              <w:t>Plastic bowls were predominantly replaced with Bagasse bowls. The price of these w</w:t>
            </w:r>
            <w:r>
              <w:rPr>
                <w:szCs w:val="20"/>
              </w:rPr>
              <w:t>as</w:t>
            </w:r>
            <w:r w:rsidRPr="00201796">
              <w:rPr>
                <w:szCs w:val="20"/>
              </w:rPr>
              <w:t xml:space="preserve"> lower than the price of SUP bowls. </w:t>
            </w:r>
          </w:p>
        </w:tc>
      </w:tr>
      <w:tr w:rsidR="00B949E1" w14:paraId="69EB40F7" w14:textId="77777777" w:rsidTr="00B9362B">
        <w:trPr>
          <w:gridBefore w:val="1"/>
          <w:wBefore w:w="290" w:type="dxa"/>
        </w:trPr>
        <w:tc>
          <w:tcPr>
            <w:tcW w:w="1134" w:type="dxa"/>
            <w:shd w:val="clear" w:color="auto" w:fill="auto"/>
          </w:tcPr>
          <w:p w14:paraId="4BFC2439" w14:textId="77777777" w:rsidR="00B949E1" w:rsidRDefault="00B949E1" w:rsidP="00B9362B">
            <w:pPr>
              <w:pStyle w:val="Tabletext"/>
            </w:pPr>
            <w:r w:rsidRPr="00C42355">
              <w:rPr>
                <w:szCs w:val="20"/>
              </w:rPr>
              <w:t>Bowl lids</w:t>
            </w:r>
          </w:p>
        </w:tc>
        <w:tc>
          <w:tcPr>
            <w:tcW w:w="1135" w:type="dxa"/>
            <w:shd w:val="clear" w:color="auto" w:fill="auto"/>
          </w:tcPr>
          <w:p w14:paraId="23068848" w14:textId="77777777" w:rsidR="00B949E1" w:rsidRDefault="00B949E1" w:rsidP="00B9362B">
            <w:pPr>
              <w:pStyle w:val="Tabletext"/>
            </w:pPr>
            <w:r w:rsidRPr="00933DBD">
              <w:t xml:space="preserve">322,066 </w:t>
            </w:r>
          </w:p>
        </w:tc>
        <w:tc>
          <w:tcPr>
            <w:tcW w:w="1134" w:type="dxa"/>
            <w:shd w:val="clear" w:color="auto" w:fill="auto"/>
          </w:tcPr>
          <w:p w14:paraId="4CA7095F" w14:textId="77777777" w:rsidR="00B949E1" w:rsidRDefault="00B949E1" w:rsidP="00B9362B">
            <w:pPr>
              <w:pStyle w:val="Tabletext"/>
            </w:pPr>
            <w:r w:rsidRPr="00DB735D">
              <w:rPr>
                <w:color w:val="FF0000"/>
              </w:rPr>
              <w:t xml:space="preserve">-295,761 </w:t>
            </w:r>
          </w:p>
        </w:tc>
        <w:tc>
          <w:tcPr>
            <w:tcW w:w="992" w:type="dxa"/>
            <w:shd w:val="clear" w:color="auto" w:fill="auto"/>
          </w:tcPr>
          <w:p w14:paraId="3F1F6BD6" w14:textId="77777777" w:rsidR="00B949E1" w:rsidRDefault="00B949E1" w:rsidP="00B9362B">
            <w:pPr>
              <w:pStyle w:val="Tabletext"/>
            </w:pPr>
            <w:r w:rsidRPr="00DB79B2">
              <w:t xml:space="preserve">26,305 </w:t>
            </w:r>
          </w:p>
        </w:tc>
        <w:tc>
          <w:tcPr>
            <w:tcW w:w="993" w:type="dxa"/>
            <w:shd w:val="clear" w:color="auto" w:fill="auto"/>
          </w:tcPr>
          <w:p w14:paraId="3378C0EB" w14:textId="77777777" w:rsidR="00B949E1" w:rsidRDefault="00B949E1" w:rsidP="00B9362B">
            <w:pPr>
              <w:pStyle w:val="Tabletext"/>
            </w:pPr>
            <w:r w:rsidRPr="00C42355">
              <w:rPr>
                <w:szCs w:val="20"/>
              </w:rPr>
              <w:t>N/A</w:t>
            </w:r>
            <w:r w:rsidRPr="00C42355">
              <w:rPr>
                <w:szCs w:val="20"/>
                <w:vertAlign w:val="superscript"/>
                <w:lang w:eastAsia="en-AU"/>
              </w:rPr>
              <w:t>a</w:t>
            </w:r>
          </w:p>
        </w:tc>
        <w:tc>
          <w:tcPr>
            <w:tcW w:w="4674" w:type="dxa"/>
            <w:shd w:val="clear" w:color="auto" w:fill="auto"/>
          </w:tcPr>
          <w:p w14:paraId="3A8DB87C" w14:textId="77777777" w:rsidR="00B949E1" w:rsidRDefault="00B949E1" w:rsidP="00B9362B">
            <w:pPr>
              <w:pStyle w:val="Tabletext"/>
            </w:pPr>
            <w:r w:rsidRPr="00201796">
              <w:rPr>
                <w:szCs w:val="20"/>
              </w:rPr>
              <w:t>Most bowl lid alternatives were also cheaper than the SUP product.</w:t>
            </w:r>
          </w:p>
        </w:tc>
      </w:tr>
      <w:tr w:rsidR="00B949E1" w14:paraId="46FB3D88" w14:textId="77777777" w:rsidTr="00B9362B">
        <w:trPr>
          <w:gridBefore w:val="1"/>
          <w:wBefore w:w="290" w:type="dxa"/>
        </w:trPr>
        <w:tc>
          <w:tcPr>
            <w:tcW w:w="1134" w:type="dxa"/>
            <w:shd w:val="clear" w:color="auto" w:fill="auto"/>
          </w:tcPr>
          <w:p w14:paraId="01282E5C" w14:textId="77777777" w:rsidR="00B949E1" w:rsidRDefault="00B949E1" w:rsidP="00B9362B">
            <w:pPr>
              <w:pStyle w:val="Tabletext"/>
            </w:pPr>
            <w:r w:rsidRPr="00C42355">
              <w:rPr>
                <w:szCs w:val="20"/>
              </w:rPr>
              <w:t>Plates</w:t>
            </w:r>
          </w:p>
        </w:tc>
        <w:tc>
          <w:tcPr>
            <w:tcW w:w="1135" w:type="dxa"/>
            <w:shd w:val="clear" w:color="auto" w:fill="auto"/>
          </w:tcPr>
          <w:p w14:paraId="7D871EBD" w14:textId="77777777" w:rsidR="00B949E1" w:rsidRDefault="00B949E1" w:rsidP="00B9362B">
            <w:pPr>
              <w:pStyle w:val="Tabletext"/>
            </w:pPr>
            <w:r w:rsidRPr="00933DBD">
              <w:t xml:space="preserve">231,917 </w:t>
            </w:r>
          </w:p>
        </w:tc>
        <w:tc>
          <w:tcPr>
            <w:tcW w:w="1134" w:type="dxa"/>
            <w:shd w:val="clear" w:color="auto" w:fill="auto"/>
          </w:tcPr>
          <w:p w14:paraId="43B33604" w14:textId="77777777" w:rsidR="00B949E1" w:rsidRDefault="00B949E1" w:rsidP="00B9362B">
            <w:pPr>
              <w:pStyle w:val="Tabletext"/>
            </w:pPr>
            <w:r w:rsidRPr="00DB735D">
              <w:rPr>
                <w:color w:val="FF0000"/>
              </w:rPr>
              <w:t xml:space="preserve">-163,893 </w:t>
            </w:r>
          </w:p>
        </w:tc>
        <w:tc>
          <w:tcPr>
            <w:tcW w:w="992" w:type="dxa"/>
            <w:shd w:val="clear" w:color="auto" w:fill="auto"/>
          </w:tcPr>
          <w:p w14:paraId="4D2C187C" w14:textId="77777777" w:rsidR="00B949E1" w:rsidRDefault="00B949E1" w:rsidP="00B9362B">
            <w:pPr>
              <w:pStyle w:val="Tabletext"/>
            </w:pPr>
            <w:r w:rsidRPr="00DB79B2">
              <w:t xml:space="preserve">68,025 </w:t>
            </w:r>
          </w:p>
        </w:tc>
        <w:tc>
          <w:tcPr>
            <w:tcW w:w="993" w:type="dxa"/>
            <w:shd w:val="clear" w:color="auto" w:fill="auto"/>
          </w:tcPr>
          <w:p w14:paraId="2FB42F81" w14:textId="77777777" w:rsidR="00B949E1" w:rsidRDefault="00B949E1" w:rsidP="00B9362B">
            <w:pPr>
              <w:pStyle w:val="Tabletext"/>
            </w:pPr>
            <w:r w:rsidRPr="00C42355">
              <w:rPr>
                <w:szCs w:val="20"/>
              </w:rPr>
              <w:t>N/A</w:t>
            </w:r>
            <w:r w:rsidRPr="00C42355">
              <w:rPr>
                <w:szCs w:val="20"/>
                <w:vertAlign w:val="superscript"/>
                <w:lang w:eastAsia="en-AU"/>
              </w:rPr>
              <w:t>a</w:t>
            </w:r>
          </w:p>
        </w:tc>
        <w:tc>
          <w:tcPr>
            <w:tcW w:w="4674" w:type="dxa"/>
            <w:shd w:val="clear" w:color="auto" w:fill="auto"/>
          </w:tcPr>
          <w:p w14:paraId="2E8F3544" w14:textId="77777777" w:rsidR="00B949E1" w:rsidRDefault="00B949E1" w:rsidP="00B9362B">
            <w:pPr>
              <w:pStyle w:val="Tabletext"/>
            </w:pPr>
            <w:r w:rsidRPr="00201796">
              <w:rPr>
                <w:szCs w:val="20"/>
              </w:rPr>
              <w:t>Most plate alternatives were also cheaper than the SUP product.</w:t>
            </w:r>
          </w:p>
        </w:tc>
      </w:tr>
      <w:tr w:rsidR="00B949E1" w14:paraId="6CE9F42F" w14:textId="77777777" w:rsidTr="00B9362B">
        <w:trPr>
          <w:gridBefore w:val="1"/>
          <w:wBefore w:w="290" w:type="dxa"/>
        </w:trPr>
        <w:tc>
          <w:tcPr>
            <w:tcW w:w="1134" w:type="dxa"/>
            <w:shd w:val="clear" w:color="auto" w:fill="auto"/>
          </w:tcPr>
          <w:p w14:paraId="2F745D5A" w14:textId="77777777" w:rsidR="00B949E1" w:rsidRDefault="00B949E1" w:rsidP="00B9362B">
            <w:pPr>
              <w:pStyle w:val="Tabletext"/>
            </w:pPr>
            <w:r>
              <w:rPr>
                <w:szCs w:val="20"/>
              </w:rPr>
              <w:t>Boutique and heavyweight plastic bags</w:t>
            </w:r>
          </w:p>
        </w:tc>
        <w:tc>
          <w:tcPr>
            <w:tcW w:w="1135" w:type="dxa"/>
            <w:shd w:val="clear" w:color="auto" w:fill="auto"/>
          </w:tcPr>
          <w:p w14:paraId="1E2E2275" w14:textId="77777777" w:rsidR="00B949E1" w:rsidRDefault="00B949E1" w:rsidP="00B9362B">
            <w:pPr>
              <w:pStyle w:val="Tabletext"/>
            </w:pPr>
            <w:r w:rsidRPr="00DB735D">
              <w:rPr>
                <w:color w:val="FF0000"/>
              </w:rPr>
              <w:t xml:space="preserve">-1,592,561 </w:t>
            </w:r>
          </w:p>
        </w:tc>
        <w:tc>
          <w:tcPr>
            <w:tcW w:w="1134" w:type="dxa"/>
            <w:shd w:val="clear" w:color="auto" w:fill="auto"/>
          </w:tcPr>
          <w:p w14:paraId="6AECB765" w14:textId="77777777" w:rsidR="00B949E1" w:rsidRDefault="00B949E1" w:rsidP="00B9362B">
            <w:pPr>
              <w:pStyle w:val="Tabletext"/>
            </w:pPr>
            <w:r w:rsidRPr="00D21572">
              <w:t xml:space="preserve">4,549,090 </w:t>
            </w:r>
          </w:p>
        </w:tc>
        <w:tc>
          <w:tcPr>
            <w:tcW w:w="992" w:type="dxa"/>
            <w:shd w:val="clear" w:color="auto" w:fill="auto"/>
          </w:tcPr>
          <w:p w14:paraId="1644962E" w14:textId="77777777" w:rsidR="00B949E1" w:rsidRDefault="00B949E1" w:rsidP="00B9362B">
            <w:pPr>
              <w:pStyle w:val="Tabletext"/>
            </w:pPr>
            <w:r w:rsidRPr="00DB79B2">
              <w:t xml:space="preserve">2,956,529 </w:t>
            </w:r>
          </w:p>
        </w:tc>
        <w:tc>
          <w:tcPr>
            <w:tcW w:w="993" w:type="dxa"/>
            <w:shd w:val="clear" w:color="auto" w:fill="auto"/>
          </w:tcPr>
          <w:p w14:paraId="6042192F" w14:textId="77777777" w:rsidR="00B949E1" w:rsidRDefault="00B949E1" w:rsidP="00B9362B">
            <w:pPr>
              <w:pStyle w:val="Tabletext"/>
            </w:pPr>
            <w:r w:rsidRPr="00644289">
              <w:t xml:space="preserve">0.65 </w:t>
            </w:r>
          </w:p>
        </w:tc>
        <w:tc>
          <w:tcPr>
            <w:tcW w:w="4674" w:type="dxa"/>
            <w:shd w:val="clear" w:color="auto" w:fill="auto"/>
          </w:tcPr>
          <w:p w14:paraId="62CCFBEF" w14:textId="77777777" w:rsidR="00B949E1" w:rsidRDefault="00B949E1" w:rsidP="00B9362B">
            <w:pPr>
              <w:pStyle w:val="Tabletext"/>
            </w:pPr>
            <w:r w:rsidRPr="00201796">
              <w:rPr>
                <w:szCs w:val="20"/>
              </w:rPr>
              <w:t xml:space="preserve">The relatively high </w:t>
            </w:r>
            <w:r>
              <w:rPr>
                <w:szCs w:val="20"/>
              </w:rPr>
              <w:t>benefit value</w:t>
            </w:r>
            <w:r w:rsidRPr="00201796">
              <w:rPr>
                <w:szCs w:val="20"/>
              </w:rPr>
              <w:t xml:space="preserve"> was due to the high level of items replaced by re-usable alternatives, which had a much lower per-use cost.</w:t>
            </w:r>
          </w:p>
        </w:tc>
      </w:tr>
      <w:tr w:rsidR="00B949E1" w14:paraId="4DF79D21" w14:textId="77777777" w:rsidTr="00B9362B">
        <w:trPr>
          <w:gridBefore w:val="1"/>
          <w:wBefore w:w="290" w:type="dxa"/>
        </w:trPr>
        <w:tc>
          <w:tcPr>
            <w:tcW w:w="1134" w:type="dxa"/>
            <w:shd w:val="clear" w:color="auto" w:fill="auto"/>
          </w:tcPr>
          <w:p w14:paraId="6649B2A5" w14:textId="77777777" w:rsidR="00B949E1" w:rsidRDefault="00B949E1" w:rsidP="00B9362B">
            <w:pPr>
              <w:pStyle w:val="Tabletext"/>
            </w:pPr>
            <w:r>
              <w:rPr>
                <w:szCs w:val="20"/>
              </w:rPr>
              <w:t>Take-away</w:t>
            </w:r>
            <w:r w:rsidRPr="00C42355">
              <w:rPr>
                <w:szCs w:val="20"/>
              </w:rPr>
              <w:t xml:space="preserve"> containers</w:t>
            </w:r>
          </w:p>
        </w:tc>
        <w:tc>
          <w:tcPr>
            <w:tcW w:w="1135" w:type="dxa"/>
            <w:shd w:val="clear" w:color="auto" w:fill="auto"/>
          </w:tcPr>
          <w:p w14:paraId="345762A5" w14:textId="77777777" w:rsidR="00B949E1" w:rsidRDefault="00B949E1" w:rsidP="00B9362B">
            <w:pPr>
              <w:pStyle w:val="Tabletext"/>
            </w:pPr>
            <w:r w:rsidRPr="00DB735D">
              <w:rPr>
                <w:color w:val="FF0000"/>
              </w:rPr>
              <w:t xml:space="preserve">-2,438,658 </w:t>
            </w:r>
          </w:p>
        </w:tc>
        <w:tc>
          <w:tcPr>
            <w:tcW w:w="1134" w:type="dxa"/>
            <w:shd w:val="clear" w:color="auto" w:fill="auto"/>
          </w:tcPr>
          <w:p w14:paraId="177033B4" w14:textId="77777777" w:rsidR="00B949E1" w:rsidRDefault="00B949E1" w:rsidP="00B9362B">
            <w:pPr>
              <w:pStyle w:val="Tabletext"/>
            </w:pPr>
            <w:r w:rsidRPr="00D21572">
              <w:t xml:space="preserve">3,574,270 </w:t>
            </w:r>
          </w:p>
        </w:tc>
        <w:tc>
          <w:tcPr>
            <w:tcW w:w="992" w:type="dxa"/>
            <w:shd w:val="clear" w:color="auto" w:fill="auto"/>
          </w:tcPr>
          <w:p w14:paraId="467C391C" w14:textId="77777777" w:rsidR="00B949E1" w:rsidRDefault="00B949E1" w:rsidP="00B9362B">
            <w:pPr>
              <w:pStyle w:val="Tabletext"/>
            </w:pPr>
            <w:r w:rsidRPr="00DB79B2">
              <w:t xml:space="preserve">1,135,612 </w:t>
            </w:r>
          </w:p>
        </w:tc>
        <w:tc>
          <w:tcPr>
            <w:tcW w:w="993" w:type="dxa"/>
            <w:shd w:val="clear" w:color="auto" w:fill="auto"/>
          </w:tcPr>
          <w:p w14:paraId="26A7D445" w14:textId="77777777" w:rsidR="00B949E1" w:rsidRDefault="00B949E1" w:rsidP="00B9362B">
            <w:pPr>
              <w:pStyle w:val="Tabletext"/>
            </w:pPr>
            <w:r w:rsidRPr="00644289">
              <w:t xml:space="preserve">0.32 </w:t>
            </w:r>
          </w:p>
        </w:tc>
        <w:tc>
          <w:tcPr>
            <w:tcW w:w="4674" w:type="dxa"/>
            <w:shd w:val="clear" w:color="auto" w:fill="auto"/>
          </w:tcPr>
          <w:p w14:paraId="0F872087" w14:textId="77777777" w:rsidR="00B949E1" w:rsidRDefault="00B949E1" w:rsidP="00B9362B">
            <w:pPr>
              <w:pStyle w:val="Tabletext"/>
            </w:pPr>
            <w:r w:rsidRPr="00201796">
              <w:rPr>
                <w:szCs w:val="20"/>
              </w:rPr>
              <w:t>Food containers had a relatively high level of re-usable alternatives</w:t>
            </w:r>
          </w:p>
        </w:tc>
      </w:tr>
      <w:tr w:rsidR="00B949E1" w14:paraId="3D3A54F9" w14:textId="77777777" w:rsidTr="00B9362B">
        <w:trPr>
          <w:gridBefore w:val="1"/>
          <w:wBefore w:w="290" w:type="dxa"/>
        </w:trPr>
        <w:tc>
          <w:tcPr>
            <w:tcW w:w="1134" w:type="dxa"/>
            <w:shd w:val="clear" w:color="auto" w:fill="auto"/>
          </w:tcPr>
          <w:p w14:paraId="2F53DCC5" w14:textId="77777777" w:rsidR="00B949E1" w:rsidRDefault="00B949E1" w:rsidP="00B9362B">
            <w:pPr>
              <w:pStyle w:val="Tabletext"/>
            </w:pPr>
            <w:r>
              <w:rPr>
                <w:szCs w:val="20"/>
              </w:rPr>
              <w:t>Take-away</w:t>
            </w:r>
            <w:r w:rsidRPr="00C42355">
              <w:rPr>
                <w:szCs w:val="20"/>
              </w:rPr>
              <w:t xml:space="preserve"> container lids</w:t>
            </w:r>
          </w:p>
        </w:tc>
        <w:tc>
          <w:tcPr>
            <w:tcW w:w="1135" w:type="dxa"/>
            <w:shd w:val="clear" w:color="auto" w:fill="auto"/>
          </w:tcPr>
          <w:p w14:paraId="3F494CFB" w14:textId="77777777" w:rsidR="00B949E1" w:rsidRDefault="00B949E1" w:rsidP="00B9362B">
            <w:pPr>
              <w:pStyle w:val="Tabletext"/>
            </w:pPr>
            <w:r w:rsidRPr="00DB735D">
              <w:rPr>
                <w:color w:val="FF0000"/>
              </w:rPr>
              <w:t xml:space="preserve">-5,844,730 </w:t>
            </w:r>
          </w:p>
        </w:tc>
        <w:tc>
          <w:tcPr>
            <w:tcW w:w="1134" w:type="dxa"/>
            <w:shd w:val="clear" w:color="auto" w:fill="auto"/>
          </w:tcPr>
          <w:p w14:paraId="7A1B03BC" w14:textId="77777777" w:rsidR="00B949E1" w:rsidRDefault="00B949E1" w:rsidP="00B9362B">
            <w:pPr>
              <w:pStyle w:val="Tabletext"/>
            </w:pPr>
            <w:r w:rsidRPr="00D21572">
              <w:t xml:space="preserve">5,994,437 </w:t>
            </w:r>
          </w:p>
        </w:tc>
        <w:tc>
          <w:tcPr>
            <w:tcW w:w="992" w:type="dxa"/>
            <w:shd w:val="clear" w:color="auto" w:fill="auto"/>
          </w:tcPr>
          <w:p w14:paraId="796B393B" w14:textId="77777777" w:rsidR="00B949E1" w:rsidRDefault="00B949E1" w:rsidP="00B9362B">
            <w:pPr>
              <w:pStyle w:val="Tabletext"/>
            </w:pPr>
            <w:r w:rsidRPr="00DB79B2">
              <w:t xml:space="preserve">149,707 </w:t>
            </w:r>
          </w:p>
        </w:tc>
        <w:tc>
          <w:tcPr>
            <w:tcW w:w="993" w:type="dxa"/>
            <w:shd w:val="clear" w:color="auto" w:fill="auto"/>
          </w:tcPr>
          <w:p w14:paraId="217F890B" w14:textId="77777777" w:rsidR="00B949E1" w:rsidRDefault="00B949E1" w:rsidP="00B9362B">
            <w:pPr>
              <w:pStyle w:val="Tabletext"/>
            </w:pPr>
            <w:r w:rsidRPr="00644289">
              <w:t xml:space="preserve">0.02 </w:t>
            </w:r>
          </w:p>
        </w:tc>
        <w:tc>
          <w:tcPr>
            <w:tcW w:w="4674" w:type="dxa"/>
            <w:shd w:val="clear" w:color="auto" w:fill="auto"/>
          </w:tcPr>
          <w:p w14:paraId="34B9212C" w14:textId="77777777" w:rsidR="00B949E1" w:rsidRDefault="00B949E1" w:rsidP="00B9362B">
            <w:pPr>
              <w:pStyle w:val="Tabletext"/>
            </w:pPr>
            <w:r w:rsidRPr="00201796">
              <w:rPr>
                <w:szCs w:val="20"/>
              </w:rPr>
              <w:t xml:space="preserve">Food container lids had </w:t>
            </w:r>
            <w:r>
              <w:rPr>
                <w:szCs w:val="20"/>
              </w:rPr>
              <w:t>low benefits relative to their cost due to their relatively higher mass of single-</w:t>
            </w:r>
            <w:r w:rsidRPr="00201796">
              <w:rPr>
                <w:szCs w:val="20"/>
              </w:rPr>
              <w:t>use alternatives. Food container lids made of substances like plant fibres weigh more proportionally than those of plastic due to their lower strength.</w:t>
            </w:r>
          </w:p>
        </w:tc>
      </w:tr>
      <w:tr w:rsidR="00B949E1" w14:paraId="5718EF62" w14:textId="77777777" w:rsidTr="00B9362B">
        <w:trPr>
          <w:gridBefore w:val="1"/>
          <w:wBefore w:w="290" w:type="dxa"/>
        </w:trPr>
        <w:tc>
          <w:tcPr>
            <w:tcW w:w="1134" w:type="dxa"/>
            <w:shd w:val="clear" w:color="auto" w:fill="auto"/>
          </w:tcPr>
          <w:p w14:paraId="01DAB2F2" w14:textId="77777777" w:rsidR="00B949E1" w:rsidRDefault="00B949E1" w:rsidP="00B9362B">
            <w:pPr>
              <w:pStyle w:val="Tabletext"/>
            </w:pPr>
            <w:r w:rsidRPr="00C42355">
              <w:rPr>
                <w:szCs w:val="20"/>
              </w:rPr>
              <w:t>EPS</w:t>
            </w:r>
            <w:r>
              <w:rPr>
                <w:szCs w:val="20"/>
              </w:rPr>
              <w:t xml:space="preserve"> loose-fill</w:t>
            </w:r>
            <w:r w:rsidRPr="00C42355">
              <w:rPr>
                <w:szCs w:val="20"/>
              </w:rPr>
              <w:t xml:space="preserve"> packaging</w:t>
            </w:r>
          </w:p>
        </w:tc>
        <w:tc>
          <w:tcPr>
            <w:tcW w:w="1135" w:type="dxa"/>
            <w:shd w:val="clear" w:color="auto" w:fill="auto"/>
          </w:tcPr>
          <w:p w14:paraId="3E0FA343" w14:textId="77777777" w:rsidR="00B949E1" w:rsidRDefault="00B949E1" w:rsidP="00B9362B">
            <w:pPr>
              <w:pStyle w:val="Tabletext"/>
            </w:pPr>
            <w:r w:rsidRPr="00DB735D">
              <w:rPr>
                <w:color w:val="FF0000"/>
              </w:rPr>
              <w:t xml:space="preserve">-2,776,088 </w:t>
            </w:r>
          </w:p>
        </w:tc>
        <w:tc>
          <w:tcPr>
            <w:tcW w:w="1134" w:type="dxa"/>
            <w:shd w:val="clear" w:color="auto" w:fill="auto"/>
          </w:tcPr>
          <w:p w14:paraId="78F727C4" w14:textId="77777777" w:rsidR="00B949E1" w:rsidRDefault="00B949E1" w:rsidP="00B9362B">
            <w:pPr>
              <w:pStyle w:val="Tabletext"/>
            </w:pPr>
            <w:r w:rsidRPr="00D21572">
              <w:t xml:space="preserve">3,175,595 </w:t>
            </w:r>
          </w:p>
        </w:tc>
        <w:tc>
          <w:tcPr>
            <w:tcW w:w="992" w:type="dxa"/>
            <w:shd w:val="clear" w:color="auto" w:fill="auto"/>
          </w:tcPr>
          <w:p w14:paraId="3CBD86A9" w14:textId="77777777" w:rsidR="00B949E1" w:rsidRDefault="00B949E1" w:rsidP="00B9362B">
            <w:pPr>
              <w:pStyle w:val="Tabletext"/>
            </w:pPr>
            <w:r w:rsidRPr="00DB79B2">
              <w:t xml:space="preserve">399,507 </w:t>
            </w:r>
          </w:p>
        </w:tc>
        <w:tc>
          <w:tcPr>
            <w:tcW w:w="993" w:type="dxa"/>
            <w:shd w:val="clear" w:color="auto" w:fill="auto"/>
          </w:tcPr>
          <w:p w14:paraId="4DE3CFFE" w14:textId="77777777" w:rsidR="00B949E1" w:rsidRDefault="00B949E1" w:rsidP="00B9362B">
            <w:pPr>
              <w:pStyle w:val="Tabletext"/>
            </w:pPr>
            <w:r w:rsidRPr="00644289">
              <w:t xml:space="preserve">0.13 </w:t>
            </w:r>
          </w:p>
        </w:tc>
        <w:tc>
          <w:tcPr>
            <w:tcW w:w="4674" w:type="dxa"/>
            <w:shd w:val="clear" w:color="auto" w:fill="auto"/>
          </w:tcPr>
          <w:p w14:paraId="37AF31DE" w14:textId="77777777" w:rsidR="00B949E1" w:rsidRDefault="00B949E1" w:rsidP="00B9362B">
            <w:pPr>
              <w:pStyle w:val="Tabletext"/>
            </w:pPr>
            <w:r w:rsidRPr="00201796">
              <w:rPr>
                <w:szCs w:val="20"/>
              </w:rPr>
              <w:t xml:space="preserve">The alternatives (cardboard, kraft paper, HDPE air bags) are higher in cost than the EPS packaging. This means </w:t>
            </w:r>
            <w:r>
              <w:rPr>
                <w:szCs w:val="20"/>
              </w:rPr>
              <w:t>the benefits of replacing than are smaller than the costs.</w:t>
            </w:r>
          </w:p>
        </w:tc>
      </w:tr>
      <w:tr w:rsidR="00B949E1" w14:paraId="38F7147F" w14:textId="77777777" w:rsidTr="00B9362B">
        <w:trPr>
          <w:gridBefore w:val="1"/>
          <w:wBefore w:w="290" w:type="dxa"/>
        </w:trPr>
        <w:tc>
          <w:tcPr>
            <w:tcW w:w="1134" w:type="dxa"/>
            <w:shd w:val="clear" w:color="auto" w:fill="auto"/>
          </w:tcPr>
          <w:p w14:paraId="72A4655B" w14:textId="77777777" w:rsidR="00B949E1" w:rsidRDefault="00B949E1" w:rsidP="00B9362B">
            <w:pPr>
              <w:pStyle w:val="Tabletext"/>
            </w:pPr>
            <w:r w:rsidRPr="00C42355">
              <w:rPr>
                <w:szCs w:val="20"/>
              </w:rPr>
              <w:t>EPS trays</w:t>
            </w:r>
          </w:p>
        </w:tc>
        <w:tc>
          <w:tcPr>
            <w:tcW w:w="1135" w:type="dxa"/>
            <w:shd w:val="clear" w:color="auto" w:fill="auto"/>
          </w:tcPr>
          <w:p w14:paraId="27D13D56" w14:textId="77777777" w:rsidR="00B949E1" w:rsidRDefault="00B949E1" w:rsidP="00B9362B">
            <w:pPr>
              <w:pStyle w:val="Tabletext"/>
            </w:pPr>
            <w:r w:rsidRPr="00933DBD">
              <w:t xml:space="preserve">47,961 </w:t>
            </w:r>
          </w:p>
        </w:tc>
        <w:tc>
          <w:tcPr>
            <w:tcW w:w="1134" w:type="dxa"/>
            <w:shd w:val="clear" w:color="auto" w:fill="auto"/>
          </w:tcPr>
          <w:p w14:paraId="212AC7AA" w14:textId="77777777" w:rsidR="00B949E1" w:rsidRDefault="00B949E1" w:rsidP="00B9362B">
            <w:pPr>
              <w:pStyle w:val="Tabletext"/>
            </w:pPr>
            <w:r w:rsidRPr="00DB735D">
              <w:rPr>
                <w:color w:val="FF0000"/>
              </w:rPr>
              <w:t xml:space="preserve">-13,147 </w:t>
            </w:r>
          </w:p>
        </w:tc>
        <w:tc>
          <w:tcPr>
            <w:tcW w:w="992" w:type="dxa"/>
            <w:shd w:val="clear" w:color="auto" w:fill="auto"/>
          </w:tcPr>
          <w:p w14:paraId="013A79D0" w14:textId="77777777" w:rsidR="00B949E1" w:rsidRDefault="00B949E1" w:rsidP="00B9362B">
            <w:pPr>
              <w:pStyle w:val="Tabletext"/>
            </w:pPr>
            <w:r w:rsidRPr="00DB79B2">
              <w:t xml:space="preserve">34,814 </w:t>
            </w:r>
          </w:p>
        </w:tc>
        <w:tc>
          <w:tcPr>
            <w:tcW w:w="993" w:type="dxa"/>
            <w:shd w:val="clear" w:color="auto" w:fill="auto"/>
          </w:tcPr>
          <w:p w14:paraId="3B5FC4C1" w14:textId="77777777" w:rsidR="00B949E1" w:rsidRDefault="00B949E1" w:rsidP="00B9362B">
            <w:pPr>
              <w:pStyle w:val="Tabletext"/>
            </w:pPr>
            <w:r w:rsidRPr="00C42355">
              <w:rPr>
                <w:szCs w:val="20"/>
              </w:rPr>
              <w:t>N/A</w:t>
            </w:r>
            <w:r w:rsidRPr="00C42355">
              <w:rPr>
                <w:szCs w:val="20"/>
                <w:vertAlign w:val="superscript"/>
                <w:lang w:eastAsia="en-AU"/>
              </w:rPr>
              <w:t>a</w:t>
            </w:r>
          </w:p>
        </w:tc>
        <w:tc>
          <w:tcPr>
            <w:tcW w:w="4674" w:type="dxa"/>
            <w:shd w:val="clear" w:color="auto" w:fill="auto"/>
          </w:tcPr>
          <w:p w14:paraId="640BEFB0" w14:textId="77777777" w:rsidR="00B949E1" w:rsidRDefault="00B949E1" w:rsidP="00B9362B">
            <w:pPr>
              <w:pStyle w:val="Tabletext"/>
            </w:pPr>
            <w:r w:rsidRPr="00201796">
              <w:rPr>
                <w:szCs w:val="20"/>
              </w:rPr>
              <w:t xml:space="preserve">The weighted alternative is cheaper than existing EPS products. </w:t>
            </w:r>
          </w:p>
        </w:tc>
      </w:tr>
      <w:tr w:rsidR="00B949E1" w14:paraId="5740752B" w14:textId="77777777" w:rsidTr="00B9362B">
        <w:trPr>
          <w:gridBefore w:val="1"/>
          <w:wBefore w:w="290" w:type="dxa"/>
        </w:trPr>
        <w:tc>
          <w:tcPr>
            <w:tcW w:w="10062" w:type="dxa"/>
            <w:gridSpan w:val="6"/>
            <w:tcBorders>
              <w:bottom w:val="single" w:sz="4" w:space="0" w:color="646464"/>
            </w:tcBorders>
            <w:shd w:val="clear" w:color="auto" w:fill="auto"/>
          </w:tcPr>
          <w:p w14:paraId="79DA12A4" w14:textId="77777777" w:rsidR="00B949E1" w:rsidRDefault="00B949E1" w:rsidP="00B9362B">
            <w:pPr>
              <w:pStyle w:val="Note"/>
              <w:rPr>
                <w:lang w:eastAsia="en-AU"/>
              </w:rPr>
            </w:pPr>
            <w:r w:rsidRPr="00900220">
              <w:rPr>
                <w:vertAlign w:val="superscript"/>
                <w:lang w:eastAsia="en-AU"/>
              </w:rPr>
              <w:t>a</w:t>
            </w:r>
            <w:r>
              <w:rPr>
                <w:vertAlign w:val="superscript"/>
                <w:lang w:eastAsia="en-AU"/>
              </w:rPr>
              <w:t xml:space="preserve"> </w:t>
            </w:r>
            <w:r>
              <w:rPr>
                <w:lang w:eastAsia="en-AU"/>
              </w:rPr>
              <w:t>No BCR can be calculated as there are only benefits, no costs.</w:t>
            </w:r>
          </w:p>
          <w:p w14:paraId="3E0A1ADC" w14:textId="77777777" w:rsidR="00B949E1" w:rsidRDefault="00B949E1" w:rsidP="00B9362B">
            <w:pPr>
              <w:pStyle w:val="Note"/>
              <w:rPr>
                <w:lang w:eastAsia="en-AU"/>
              </w:rPr>
            </w:pPr>
            <w:r>
              <w:rPr>
                <w:lang w:eastAsia="en-AU"/>
              </w:rPr>
              <w:t>Note: NPV7 stands for net present value at a 7% discount rate. Impact by product excludes government costs.</w:t>
            </w:r>
          </w:p>
          <w:p w14:paraId="24B53860" w14:textId="77777777" w:rsidR="00B949E1" w:rsidRDefault="00B949E1" w:rsidP="00B9362B">
            <w:pPr>
              <w:pStyle w:val="Source"/>
            </w:pPr>
            <w:r>
              <w:rPr>
                <w:lang w:eastAsia="en-AU"/>
              </w:rPr>
              <w:t>Source: ACIL Allen</w:t>
            </w:r>
          </w:p>
        </w:tc>
      </w:tr>
      <w:tr w:rsidR="00B949E1" w14:paraId="33114797" w14:textId="77777777" w:rsidTr="00B9362B">
        <w:trPr>
          <w:gridBefore w:val="1"/>
          <w:wBefore w:w="290" w:type="dxa"/>
          <w:trHeight w:hRule="exact" w:val="160"/>
        </w:trPr>
        <w:tc>
          <w:tcPr>
            <w:tcW w:w="10062" w:type="dxa"/>
            <w:gridSpan w:val="6"/>
            <w:tcBorders>
              <w:top w:val="single" w:sz="4" w:space="0" w:color="646464"/>
              <w:bottom w:val="nil"/>
            </w:tcBorders>
            <w:shd w:val="clear" w:color="auto" w:fill="auto"/>
          </w:tcPr>
          <w:p w14:paraId="5EDBD899" w14:textId="77777777" w:rsidR="00B949E1" w:rsidRDefault="00B949E1" w:rsidP="00B9362B">
            <w:pPr>
              <w:pStyle w:val="spacer"/>
            </w:pPr>
          </w:p>
        </w:tc>
      </w:tr>
    </w:tbl>
    <w:p w14:paraId="38F435CF" w14:textId="77777777" w:rsidR="00B949E1" w:rsidRDefault="00B949E1" w:rsidP="00B949E1">
      <w:pPr>
        <w:pStyle w:val="BodyText"/>
      </w:pPr>
      <w:r w:rsidRPr="00D23783">
        <w:lastRenderedPageBreak/>
        <w:t>A</w:t>
      </w:r>
      <w:r>
        <w:t xml:space="preserve"> </w:t>
      </w:r>
      <w:r w:rsidRPr="00D23783">
        <w:t>sensitivity</w:t>
      </w:r>
      <w:r>
        <w:t xml:space="preserve"> </w:t>
      </w:r>
      <w:r w:rsidRPr="00D23783">
        <w:t>analysis</w:t>
      </w:r>
      <w:r>
        <w:t xml:space="preserve"> </w:t>
      </w:r>
      <w:r w:rsidRPr="00D23783">
        <w:t>was</w:t>
      </w:r>
      <w:r>
        <w:t xml:space="preserve"> </w:t>
      </w:r>
      <w:r w:rsidRPr="00D23783">
        <w:t>conducted</w:t>
      </w:r>
      <w:r>
        <w:t xml:space="preserve"> </w:t>
      </w:r>
      <w:r w:rsidRPr="00D23783">
        <w:t>to</w:t>
      </w:r>
      <w:r>
        <w:t xml:space="preserve"> </w:t>
      </w:r>
      <w:r w:rsidRPr="00D23783">
        <w:t>address</w:t>
      </w:r>
      <w:r>
        <w:t xml:space="preserve"> 4 </w:t>
      </w:r>
      <w:r w:rsidRPr="00D23783">
        <w:t>areas</w:t>
      </w:r>
      <w:r>
        <w:t xml:space="preserve"> </w:t>
      </w:r>
      <w:r w:rsidRPr="00D23783">
        <w:t>of</w:t>
      </w:r>
      <w:r>
        <w:t xml:space="preserve"> </w:t>
      </w:r>
      <w:r w:rsidRPr="00D23783">
        <w:t>uncertainty</w:t>
      </w:r>
      <w:r>
        <w:t xml:space="preserve">: </w:t>
      </w:r>
      <w:r w:rsidRPr="00D259D1">
        <w:t>discount</w:t>
      </w:r>
      <w:r>
        <w:t xml:space="preserve"> </w:t>
      </w:r>
      <w:r w:rsidRPr="00D259D1">
        <w:t>rate</w:t>
      </w:r>
      <w:r>
        <w:t xml:space="preserve">, </w:t>
      </w:r>
      <w:r w:rsidRPr="006B6A7E">
        <w:t>WTP</w:t>
      </w:r>
      <w:r>
        <w:t xml:space="preserve"> for </w:t>
      </w:r>
      <w:r w:rsidRPr="006B6A7E">
        <w:t>avoided</w:t>
      </w:r>
      <w:r>
        <w:t xml:space="preserve"> </w:t>
      </w:r>
      <w:r w:rsidRPr="006B6A7E">
        <w:t>litter</w:t>
      </w:r>
      <w:r>
        <w:t xml:space="preserve">, </w:t>
      </w:r>
      <w:r w:rsidRPr="006B6A7E">
        <w:t>WTP</w:t>
      </w:r>
      <w:r>
        <w:t xml:space="preserve"> for substituted </w:t>
      </w:r>
      <w:r w:rsidRPr="006B6A7E">
        <w:t>litter</w:t>
      </w:r>
      <w:r>
        <w:t xml:space="preserve">, landfill operating </w:t>
      </w:r>
      <w:r w:rsidRPr="00BF4669">
        <w:t>costs</w:t>
      </w:r>
      <w:r>
        <w:t xml:space="preserve">, and response to regulation. The details of the assumptions tested are provided in Section </w:t>
      </w:r>
      <w:r>
        <w:fldChar w:fldCharType="begin"/>
      </w:r>
      <w:r>
        <w:instrText xml:space="preserve"> REF _Ref133570685 \r \h </w:instrText>
      </w:r>
      <w:r>
        <w:fldChar w:fldCharType="separate"/>
      </w:r>
      <w:r>
        <w:t>7.1.2</w:t>
      </w:r>
      <w:r>
        <w:fldChar w:fldCharType="end"/>
      </w:r>
      <w:r>
        <w:t>.</w:t>
      </w:r>
    </w:p>
    <w:p w14:paraId="0BC12AC2" w14:textId="77777777" w:rsidR="00B949E1" w:rsidRDefault="00B949E1" w:rsidP="00B949E1">
      <w:pPr>
        <w:pStyle w:val="BodyText"/>
      </w:pPr>
      <w:r>
        <w:t xml:space="preserve">These results are presented in </w:t>
      </w:r>
      <w:r w:rsidRPr="00DB735D">
        <w:rPr>
          <w:b/>
          <w:bCs/>
        </w:rPr>
        <w:fldChar w:fldCharType="begin"/>
      </w:r>
      <w:r w:rsidRPr="00DB735D">
        <w:rPr>
          <w:b/>
          <w:bCs/>
        </w:rPr>
        <w:instrText xml:space="preserve"> REF _Ref133925889 \h </w:instrText>
      </w:r>
      <w:r>
        <w:rPr>
          <w:b/>
          <w:bCs/>
        </w:rPr>
        <w:instrText xml:space="preserve"> \* MERGEFORMAT </w:instrText>
      </w:r>
      <w:r w:rsidRPr="00DB735D">
        <w:rPr>
          <w:b/>
          <w:bCs/>
        </w:rPr>
      </w:r>
      <w:r w:rsidRPr="00DB735D">
        <w:rPr>
          <w:b/>
          <w:bCs/>
        </w:rPr>
        <w:fldChar w:fldCharType="separate"/>
      </w:r>
      <w:r w:rsidRPr="00790266">
        <w:rPr>
          <w:rStyle w:val="CaptionLabel"/>
          <w:b w:val="0"/>
          <w:bCs/>
        </w:rPr>
        <w:t>Table ES 4</w:t>
      </w:r>
      <w:r w:rsidRPr="00DB735D">
        <w:rPr>
          <w:b/>
          <w:bCs/>
        </w:rPr>
        <w:fldChar w:fldCharType="end"/>
      </w:r>
      <w:r w:rsidRPr="00276F20">
        <w:t>.</w:t>
      </w:r>
      <w:r>
        <w:t xml:space="preserve"> It shows that under all tested assumptions, the NPV is below zero. Additionally, it shows that:</w:t>
      </w:r>
    </w:p>
    <w:p w14:paraId="0C91FED1" w14:textId="77777777" w:rsidR="00B949E1" w:rsidRDefault="00B949E1" w:rsidP="00B949E1">
      <w:pPr>
        <w:pStyle w:val="ListBullet"/>
        <w:numPr>
          <w:ilvl w:val="0"/>
          <w:numId w:val="9"/>
        </w:numPr>
      </w:pPr>
      <w:r>
        <w:t xml:space="preserve">a lower discount rate increases the cost in net present </w:t>
      </w:r>
      <w:proofErr w:type="gramStart"/>
      <w:r>
        <w:t>terms</w:t>
      </w:r>
      <w:proofErr w:type="gramEnd"/>
      <w:r>
        <w:t xml:space="preserve"> </w:t>
      </w:r>
    </w:p>
    <w:p w14:paraId="57E93D17" w14:textId="77777777" w:rsidR="00B949E1" w:rsidRDefault="00B949E1" w:rsidP="00B949E1">
      <w:pPr>
        <w:pStyle w:val="ListBullet"/>
        <w:numPr>
          <w:ilvl w:val="0"/>
          <w:numId w:val="9"/>
        </w:numPr>
      </w:pPr>
      <w:r>
        <w:t>a lower willingness to pay to avoid or substitute litter increases the</w:t>
      </w:r>
      <w:r w:rsidRPr="008533FD">
        <w:t xml:space="preserve"> </w:t>
      </w:r>
      <w:r>
        <w:t xml:space="preserve">cost in net present </w:t>
      </w:r>
      <w:proofErr w:type="gramStart"/>
      <w:r>
        <w:t>terms</w:t>
      </w:r>
      <w:proofErr w:type="gramEnd"/>
    </w:p>
    <w:p w14:paraId="29D978CB" w14:textId="77777777" w:rsidR="00B949E1" w:rsidRDefault="00B949E1" w:rsidP="00B949E1">
      <w:pPr>
        <w:pStyle w:val="ListBullet"/>
        <w:numPr>
          <w:ilvl w:val="0"/>
          <w:numId w:val="9"/>
        </w:numPr>
      </w:pPr>
      <w:r>
        <w:t xml:space="preserve">a change in landfill costs of +/- 50% had little impact on the </w:t>
      </w:r>
      <w:proofErr w:type="gramStart"/>
      <w:r>
        <w:t>NPV</w:t>
      </w:r>
      <w:proofErr w:type="gramEnd"/>
    </w:p>
    <w:p w14:paraId="16FBCAA2" w14:textId="77777777" w:rsidR="00B949E1" w:rsidRDefault="00B949E1" w:rsidP="00B949E1">
      <w:pPr>
        <w:pStyle w:val="ListBullet"/>
        <w:numPr>
          <w:ilvl w:val="0"/>
          <w:numId w:val="9"/>
        </w:numPr>
      </w:pPr>
      <w:r>
        <w:t>where fewer reusables are used, or fewer items are removed from the market, the cost in net present terms is higher.</w:t>
      </w:r>
    </w:p>
    <w:p w14:paraId="549955E2" w14:textId="77777777" w:rsidR="00B949E1" w:rsidRDefault="00B949E1" w:rsidP="00B949E1">
      <w:pPr>
        <w:pStyle w:val="BodyText"/>
      </w:pPr>
      <w:r w:rsidRPr="00340B1E">
        <w:t xml:space="preserve">Removed items contribute significantly to the NPV because, in the economic modelling, an item removed from the market only counts the saved costs to businesses, consumers and the environment and not the lost consumer or producer surplus resulting from the ban of a product. Reusable items contribute positively to the NPV because of their low cost per use. </w:t>
      </w:r>
    </w:p>
    <w:p w14:paraId="19809F50" w14:textId="77777777" w:rsidR="00B949E1" w:rsidRDefault="00B949E1" w:rsidP="00B949E1">
      <w:pPr>
        <w:pStyle w:val="Caption"/>
      </w:pPr>
      <w:bookmarkStart w:id="11" w:name="_Ref133925889"/>
      <w:r w:rsidRPr="00DB735D">
        <w:rPr>
          <w:rStyle w:val="CaptionLabel"/>
        </w:rPr>
        <w:t>Table ES </w:t>
      </w:r>
      <w:r w:rsidRPr="00DB735D">
        <w:rPr>
          <w:rStyle w:val="CaptionLabel"/>
        </w:rPr>
        <w:fldChar w:fldCharType="begin"/>
      </w:r>
      <w:r w:rsidRPr="00DB735D">
        <w:rPr>
          <w:rStyle w:val="CaptionLabel"/>
        </w:rPr>
        <w:instrText xml:space="preserve"> SEQ Table_ES \* ARABIC  \* MERGEFORMAT </w:instrText>
      </w:r>
      <w:r w:rsidRPr="00DB735D">
        <w:rPr>
          <w:rStyle w:val="CaptionLabel"/>
        </w:rPr>
        <w:fldChar w:fldCharType="separate"/>
      </w:r>
      <w:r>
        <w:rPr>
          <w:rStyle w:val="CaptionLabel"/>
          <w:noProof/>
        </w:rPr>
        <w:t>4</w:t>
      </w:r>
      <w:r w:rsidRPr="00DB735D">
        <w:rPr>
          <w:rStyle w:val="CaptionLabel"/>
        </w:rPr>
        <w:fldChar w:fldCharType="end"/>
      </w:r>
      <w:bookmarkEnd w:id="11"/>
      <w:r>
        <w:tab/>
      </w:r>
      <w:r w:rsidRPr="0030365A">
        <w:t xml:space="preserve">Sensitivity analysis — </w:t>
      </w:r>
      <w:r>
        <w:t xml:space="preserve">the </w:t>
      </w:r>
      <w:r w:rsidRPr="0030365A">
        <w:t>impact of sensitivity tests on the NPV under each policy option ($M 2022)</w:t>
      </w:r>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5670"/>
        <w:gridCol w:w="2266"/>
      </w:tblGrid>
      <w:tr w:rsidR="00B949E1" w14:paraId="402621B1" w14:textId="77777777" w:rsidTr="00B9362B">
        <w:trPr>
          <w:tblHeader/>
        </w:trPr>
        <w:tc>
          <w:tcPr>
            <w:tcW w:w="6124" w:type="dxa"/>
            <w:gridSpan w:val="2"/>
            <w:tcBorders>
              <w:top w:val="nil"/>
              <w:bottom w:val="nil"/>
            </w:tcBorders>
            <w:shd w:val="clear" w:color="auto" w:fill="140034"/>
            <w:tcMar>
              <w:left w:w="454" w:type="dxa"/>
            </w:tcMar>
          </w:tcPr>
          <w:p w14:paraId="766C7C3A" w14:textId="77777777" w:rsidR="00B949E1" w:rsidRDefault="00B949E1" w:rsidP="00B9362B">
            <w:pPr>
              <w:pStyle w:val="Tablecolumnheadings"/>
            </w:pPr>
          </w:p>
        </w:tc>
        <w:tc>
          <w:tcPr>
            <w:tcW w:w="2266" w:type="dxa"/>
            <w:tcBorders>
              <w:top w:val="nil"/>
              <w:bottom w:val="nil"/>
              <w:right w:val="single" w:sz="6" w:space="0" w:color="140034"/>
            </w:tcBorders>
            <w:shd w:val="clear" w:color="auto" w:fill="140034"/>
          </w:tcPr>
          <w:p w14:paraId="3AE6B7CE" w14:textId="77777777" w:rsidR="00B949E1" w:rsidRDefault="00B949E1" w:rsidP="00B9362B">
            <w:pPr>
              <w:pStyle w:val="Tablecolumnheadings"/>
            </w:pPr>
            <w:r>
              <w:t>NPV under scenarios</w:t>
            </w:r>
          </w:p>
        </w:tc>
      </w:tr>
      <w:tr w:rsidR="00B949E1" w14:paraId="0B573552" w14:textId="77777777" w:rsidTr="003E2764">
        <w:trPr>
          <w:gridBefore w:val="1"/>
          <w:wBefore w:w="454" w:type="dxa"/>
        </w:trPr>
        <w:tc>
          <w:tcPr>
            <w:tcW w:w="5670" w:type="dxa"/>
            <w:tcBorders>
              <w:top w:val="nil"/>
            </w:tcBorders>
            <w:shd w:val="clear" w:color="auto" w:fill="C4ABDC"/>
          </w:tcPr>
          <w:p w14:paraId="11E76490" w14:textId="77777777" w:rsidR="00B949E1" w:rsidRDefault="00B949E1" w:rsidP="00B9362B">
            <w:pPr>
              <w:pStyle w:val="Tabletext"/>
            </w:pPr>
            <w:r w:rsidRPr="00904E17">
              <w:rPr>
                <w:b/>
                <w:bCs/>
                <w:lang w:eastAsia="en-AU"/>
              </w:rPr>
              <w:t>NPV</w:t>
            </w:r>
            <w:r>
              <w:rPr>
                <w:b/>
                <w:bCs/>
                <w:lang w:eastAsia="en-AU"/>
              </w:rPr>
              <w:t xml:space="preserve"> </w:t>
            </w:r>
            <w:r w:rsidRPr="00904E17">
              <w:rPr>
                <w:b/>
                <w:bCs/>
                <w:lang w:eastAsia="en-AU"/>
              </w:rPr>
              <w:t>under</w:t>
            </w:r>
            <w:r>
              <w:rPr>
                <w:b/>
                <w:bCs/>
                <w:lang w:eastAsia="en-AU"/>
              </w:rPr>
              <w:t xml:space="preserve"> </w:t>
            </w:r>
            <w:r w:rsidRPr="00904E17">
              <w:rPr>
                <w:b/>
                <w:bCs/>
                <w:lang w:eastAsia="en-AU"/>
              </w:rPr>
              <w:t>standard</w:t>
            </w:r>
            <w:r>
              <w:rPr>
                <w:b/>
                <w:bCs/>
                <w:lang w:eastAsia="en-AU"/>
              </w:rPr>
              <w:t xml:space="preserve"> </w:t>
            </w:r>
            <w:r w:rsidRPr="00904E17">
              <w:rPr>
                <w:b/>
                <w:bCs/>
                <w:lang w:eastAsia="en-AU"/>
              </w:rPr>
              <w:t>assumptions</w:t>
            </w:r>
            <w:r>
              <w:rPr>
                <w:b/>
                <w:bCs/>
                <w:lang w:eastAsia="en-AU"/>
              </w:rPr>
              <w:t xml:space="preserve"> </w:t>
            </w:r>
          </w:p>
        </w:tc>
        <w:tc>
          <w:tcPr>
            <w:tcW w:w="2266" w:type="dxa"/>
            <w:tcBorders>
              <w:top w:val="nil"/>
            </w:tcBorders>
            <w:shd w:val="clear" w:color="auto" w:fill="C4ABDC"/>
          </w:tcPr>
          <w:p w14:paraId="750992F2" w14:textId="77777777" w:rsidR="00B949E1" w:rsidRDefault="00B949E1" w:rsidP="00B9362B">
            <w:pPr>
              <w:pStyle w:val="Tabletext"/>
            </w:pPr>
            <w:r w:rsidRPr="00DB735D">
              <w:rPr>
                <w:color w:val="FF0000"/>
              </w:rPr>
              <w:t xml:space="preserve">-12.30 </w:t>
            </w:r>
          </w:p>
        </w:tc>
      </w:tr>
      <w:tr w:rsidR="00B949E1" w14:paraId="4AF77F12" w14:textId="77777777" w:rsidTr="00B9362B">
        <w:trPr>
          <w:gridBefore w:val="1"/>
          <w:wBefore w:w="454" w:type="dxa"/>
        </w:trPr>
        <w:tc>
          <w:tcPr>
            <w:tcW w:w="5670" w:type="dxa"/>
            <w:shd w:val="clear" w:color="auto" w:fill="D9D9D9" w:themeFill="background1" w:themeFillShade="D9"/>
          </w:tcPr>
          <w:p w14:paraId="2BA53161" w14:textId="77777777" w:rsidR="00B949E1" w:rsidRDefault="00B949E1" w:rsidP="00B9362B">
            <w:pPr>
              <w:pStyle w:val="Tabletext"/>
            </w:pPr>
            <w:r w:rsidRPr="00904E17">
              <w:rPr>
                <w:b/>
                <w:bCs/>
                <w:lang w:eastAsia="en-AU"/>
              </w:rPr>
              <w:t>Discount</w:t>
            </w:r>
            <w:r>
              <w:rPr>
                <w:b/>
                <w:bCs/>
                <w:lang w:eastAsia="en-AU"/>
              </w:rPr>
              <w:t xml:space="preserve"> </w:t>
            </w:r>
            <w:r w:rsidRPr="00904E17">
              <w:rPr>
                <w:b/>
                <w:bCs/>
                <w:lang w:eastAsia="en-AU"/>
              </w:rPr>
              <w:t>rate</w:t>
            </w:r>
            <w:r>
              <w:rPr>
                <w:b/>
                <w:bCs/>
                <w:lang w:eastAsia="en-AU"/>
              </w:rPr>
              <w:t xml:space="preserve"> (base assumption 7%)</w:t>
            </w:r>
          </w:p>
        </w:tc>
        <w:tc>
          <w:tcPr>
            <w:tcW w:w="2266" w:type="dxa"/>
            <w:shd w:val="clear" w:color="auto" w:fill="D9D9D9" w:themeFill="background1" w:themeFillShade="D9"/>
          </w:tcPr>
          <w:p w14:paraId="7B641E9E" w14:textId="77777777" w:rsidR="00B949E1" w:rsidRDefault="00B949E1" w:rsidP="00B9362B">
            <w:pPr>
              <w:pStyle w:val="Tabletext"/>
            </w:pPr>
          </w:p>
        </w:tc>
      </w:tr>
      <w:tr w:rsidR="00B949E1" w14:paraId="7ED9FFF0" w14:textId="77777777" w:rsidTr="00B9362B">
        <w:trPr>
          <w:gridBefore w:val="1"/>
          <w:wBefore w:w="454" w:type="dxa"/>
        </w:trPr>
        <w:tc>
          <w:tcPr>
            <w:tcW w:w="5670" w:type="dxa"/>
            <w:shd w:val="clear" w:color="auto" w:fill="auto"/>
          </w:tcPr>
          <w:p w14:paraId="13D2B021" w14:textId="77777777" w:rsidR="00B949E1" w:rsidRDefault="00B949E1" w:rsidP="00B9362B">
            <w:pPr>
              <w:pStyle w:val="Tabletext"/>
            </w:pPr>
            <w:r>
              <w:rPr>
                <w:lang w:eastAsia="en-AU"/>
              </w:rPr>
              <w:t>Low estimate (</w:t>
            </w:r>
            <w:r w:rsidRPr="00904E17">
              <w:rPr>
                <w:lang w:eastAsia="en-AU"/>
              </w:rPr>
              <w:t>3%</w:t>
            </w:r>
            <w:r>
              <w:rPr>
                <w:lang w:eastAsia="en-AU"/>
              </w:rPr>
              <w:t>)</w:t>
            </w:r>
          </w:p>
        </w:tc>
        <w:tc>
          <w:tcPr>
            <w:tcW w:w="2266" w:type="dxa"/>
            <w:shd w:val="clear" w:color="auto" w:fill="auto"/>
          </w:tcPr>
          <w:p w14:paraId="14BBAC9F" w14:textId="77777777" w:rsidR="00B949E1" w:rsidRDefault="00B949E1" w:rsidP="00B9362B">
            <w:pPr>
              <w:pStyle w:val="Tabletext"/>
            </w:pPr>
            <w:r w:rsidRPr="00DB735D">
              <w:rPr>
                <w:color w:val="FF0000"/>
              </w:rPr>
              <w:t xml:space="preserve">-16.82 </w:t>
            </w:r>
          </w:p>
        </w:tc>
      </w:tr>
      <w:tr w:rsidR="00B949E1" w14:paraId="1925EA9D" w14:textId="77777777" w:rsidTr="00B9362B">
        <w:trPr>
          <w:gridBefore w:val="1"/>
          <w:wBefore w:w="454" w:type="dxa"/>
        </w:trPr>
        <w:tc>
          <w:tcPr>
            <w:tcW w:w="5670" w:type="dxa"/>
            <w:shd w:val="clear" w:color="auto" w:fill="auto"/>
          </w:tcPr>
          <w:p w14:paraId="0C3C9287" w14:textId="77777777" w:rsidR="00B949E1" w:rsidRDefault="00B949E1" w:rsidP="00B9362B">
            <w:pPr>
              <w:pStyle w:val="Tabletext"/>
            </w:pPr>
            <w:r>
              <w:rPr>
                <w:lang w:eastAsia="en-AU"/>
              </w:rPr>
              <w:t>High estimate (</w:t>
            </w:r>
            <w:r w:rsidRPr="00904E17">
              <w:rPr>
                <w:lang w:eastAsia="en-AU"/>
              </w:rPr>
              <w:t>10%</w:t>
            </w:r>
            <w:r>
              <w:rPr>
                <w:lang w:eastAsia="en-AU"/>
              </w:rPr>
              <w:t>)</w:t>
            </w:r>
          </w:p>
        </w:tc>
        <w:tc>
          <w:tcPr>
            <w:tcW w:w="2266" w:type="dxa"/>
            <w:shd w:val="clear" w:color="auto" w:fill="auto"/>
          </w:tcPr>
          <w:p w14:paraId="0ACDEDBC" w14:textId="77777777" w:rsidR="00B949E1" w:rsidRDefault="00B949E1" w:rsidP="00B9362B">
            <w:pPr>
              <w:pStyle w:val="Tabletext"/>
            </w:pPr>
            <w:r w:rsidRPr="00DB735D">
              <w:rPr>
                <w:color w:val="FF0000"/>
              </w:rPr>
              <w:t xml:space="preserve">-10.10 </w:t>
            </w:r>
          </w:p>
        </w:tc>
      </w:tr>
      <w:tr w:rsidR="00B949E1" w14:paraId="62209125" w14:textId="77777777" w:rsidTr="00B9362B">
        <w:trPr>
          <w:gridBefore w:val="1"/>
          <w:wBefore w:w="454" w:type="dxa"/>
        </w:trPr>
        <w:tc>
          <w:tcPr>
            <w:tcW w:w="5670" w:type="dxa"/>
            <w:shd w:val="clear" w:color="auto" w:fill="D9D9D9" w:themeFill="background1" w:themeFillShade="D9"/>
          </w:tcPr>
          <w:p w14:paraId="5EA64E0B" w14:textId="77777777" w:rsidR="00B949E1" w:rsidRDefault="00B949E1" w:rsidP="00B9362B">
            <w:pPr>
              <w:pStyle w:val="Tabletext"/>
            </w:pPr>
            <w:r w:rsidRPr="00904E17">
              <w:rPr>
                <w:b/>
                <w:bCs/>
                <w:lang w:eastAsia="en-AU"/>
              </w:rPr>
              <w:t>WTP</w:t>
            </w:r>
            <w:r>
              <w:rPr>
                <w:b/>
                <w:bCs/>
                <w:lang w:eastAsia="en-AU"/>
              </w:rPr>
              <w:t xml:space="preserve"> for </w:t>
            </w:r>
            <w:r w:rsidRPr="00904E17">
              <w:rPr>
                <w:b/>
                <w:bCs/>
                <w:lang w:eastAsia="en-AU"/>
              </w:rPr>
              <w:t>avoided</w:t>
            </w:r>
            <w:r>
              <w:rPr>
                <w:b/>
                <w:bCs/>
                <w:lang w:eastAsia="en-AU"/>
              </w:rPr>
              <w:t xml:space="preserve"> </w:t>
            </w:r>
            <w:r w:rsidRPr="00904E17">
              <w:rPr>
                <w:b/>
                <w:bCs/>
                <w:lang w:eastAsia="en-AU"/>
              </w:rPr>
              <w:t>litter</w:t>
            </w:r>
            <w:r>
              <w:rPr>
                <w:b/>
                <w:bCs/>
                <w:lang w:eastAsia="en-AU"/>
              </w:rPr>
              <w:t xml:space="preserve"> </w:t>
            </w:r>
          </w:p>
        </w:tc>
        <w:tc>
          <w:tcPr>
            <w:tcW w:w="2266" w:type="dxa"/>
            <w:shd w:val="clear" w:color="auto" w:fill="D9D9D9" w:themeFill="background1" w:themeFillShade="D9"/>
          </w:tcPr>
          <w:p w14:paraId="2D0CE100" w14:textId="77777777" w:rsidR="00B949E1" w:rsidRDefault="00B949E1" w:rsidP="00B9362B">
            <w:pPr>
              <w:pStyle w:val="Tabletext"/>
            </w:pPr>
          </w:p>
        </w:tc>
      </w:tr>
      <w:tr w:rsidR="00B949E1" w14:paraId="23355664" w14:textId="77777777" w:rsidTr="00B9362B">
        <w:trPr>
          <w:gridBefore w:val="1"/>
          <w:wBefore w:w="454" w:type="dxa"/>
        </w:trPr>
        <w:tc>
          <w:tcPr>
            <w:tcW w:w="5670" w:type="dxa"/>
            <w:shd w:val="clear" w:color="auto" w:fill="auto"/>
          </w:tcPr>
          <w:p w14:paraId="166D119C" w14:textId="77777777" w:rsidR="00B949E1" w:rsidRDefault="00B949E1" w:rsidP="00B9362B">
            <w:pPr>
              <w:pStyle w:val="Tabletext"/>
            </w:pPr>
            <w:r w:rsidRPr="00904E17">
              <w:rPr>
                <w:lang w:eastAsia="en-AU"/>
              </w:rPr>
              <w:t>Low</w:t>
            </w:r>
            <w:r>
              <w:rPr>
                <w:lang w:eastAsia="en-AU"/>
              </w:rPr>
              <w:t xml:space="preserve"> </w:t>
            </w:r>
            <w:r w:rsidRPr="00904E17">
              <w:rPr>
                <w:lang w:eastAsia="en-AU"/>
              </w:rPr>
              <w:t>estimate</w:t>
            </w:r>
          </w:p>
        </w:tc>
        <w:tc>
          <w:tcPr>
            <w:tcW w:w="2266" w:type="dxa"/>
            <w:shd w:val="clear" w:color="auto" w:fill="auto"/>
          </w:tcPr>
          <w:p w14:paraId="714946FD" w14:textId="77777777" w:rsidR="00B949E1" w:rsidRDefault="00B949E1" w:rsidP="00B9362B">
            <w:pPr>
              <w:pStyle w:val="Tabletext"/>
            </w:pPr>
            <w:r w:rsidRPr="00DB735D">
              <w:rPr>
                <w:color w:val="FF0000"/>
              </w:rPr>
              <w:t xml:space="preserve">-13.15 </w:t>
            </w:r>
          </w:p>
        </w:tc>
      </w:tr>
      <w:tr w:rsidR="00B949E1" w14:paraId="631A6780" w14:textId="77777777" w:rsidTr="00B9362B">
        <w:trPr>
          <w:gridBefore w:val="1"/>
          <w:wBefore w:w="454" w:type="dxa"/>
        </w:trPr>
        <w:tc>
          <w:tcPr>
            <w:tcW w:w="5670" w:type="dxa"/>
            <w:shd w:val="clear" w:color="auto" w:fill="auto"/>
          </w:tcPr>
          <w:p w14:paraId="5040052E" w14:textId="77777777" w:rsidR="00B949E1" w:rsidRDefault="00B949E1" w:rsidP="00B9362B">
            <w:pPr>
              <w:pStyle w:val="Tabletext"/>
            </w:pPr>
            <w:r w:rsidRPr="00904E17">
              <w:rPr>
                <w:lang w:eastAsia="en-AU"/>
              </w:rPr>
              <w:t>High</w:t>
            </w:r>
            <w:r>
              <w:rPr>
                <w:lang w:eastAsia="en-AU"/>
              </w:rPr>
              <w:t xml:space="preserve"> </w:t>
            </w:r>
            <w:r w:rsidRPr="00904E17">
              <w:rPr>
                <w:lang w:eastAsia="en-AU"/>
              </w:rPr>
              <w:t>estimate</w:t>
            </w:r>
          </w:p>
        </w:tc>
        <w:tc>
          <w:tcPr>
            <w:tcW w:w="2266" w:type="dxa"/>
            <w:shd w:val="clear" w:color="auto" w:fill="auto"/>
          </w:tcPr>
          <w:p w14:paraId="4313A129" w14:textId="77777777" w:rsidR="00B949E1" w:rsidRDefault="00B949E1" w:rsidP="00B9362B">
            <w:pPr>
              <w:pStyle w:val="Tabletext"/>
            </w:pPr>
            <w:r w:rsidRPr="00DB735D">
              <w:rPr>
                <w:color w:val="FF0000"/>
              </w:rPr>
              <w:t xml:space="preserve">-5.19 </w:t>
            </w:r>
          </w:p>
        </w:tc>
      </w:tr>
      <w:tr w:rsidR="00B949E1" w14:paraId="47D3EF86" w14:textId="77777777" w:rsidTr="00B9362B">
        <w:trPr>
          <w:gridBefore w:val="1"/>
          <w:wBefore w:w="454" w:type="dxa"/>
        </w:trPr>
        <w:tc>
          <w:tcPr>
            <w:tcW w:w="5670" w:type="dxa"/>
            <w:shd w:val="clear" w:color="auto" w:fill="D9D9D9" w:themeFill="background1" w:themeFillShade="D9"/>
          </w:tcPr>
          <w:p w14:paraId="07018FE4" w14:textId="77777777" w:rsidR="00B949E1" w:rsidRDefault="00B949E1" w:rsidP="00B9362B">
            <w:pPr>
              <w:pStyle w:val="Tabletext"/>
            </w:pPr>
            <w:r w:rsidRPr="00904E17">
              <w:rPr>
                <w:b/>
                <w:bCs/>
                <w:lang w:eastAsia="en-AU"/>
              </w:rPr>
              <w:t>WTP</w:t>
            </w:r>
            <w:r>
              <w:rPr>
                <w:b/>
                <w:bCs/>
                <w:lang w:eastAsia="en-AU"/>
              </w:rPr>
              <w:t xml:space="preserve"> for </w:t>
            </w:r>
            <w:r w:rsidRPr="00904E17">
              <w:rPr>
                <w:b/>
                <w:bCs/>
                <w:lang w:eastAsia="en-AU"/>
              </w:rPr>
              <w:t>substituted</w:t>
            </w:r>
            <w:r>
              <w:rPr>
                <w:b/>
                <w:bCs/>
                <w:lang w:eastAsia="en-AU"/>
              </w:rPr>
              <w:t xml:space="preserve"> </w:t>
            </w:r>
            <w:r w:rsidRPr="00904E17">
              <w:rPr>
                <w:b/>
                <w:bCs/>
                <w:lang w:eastAsia="en-AU"/>
              </w:rPr>
              <w:t>litter</w:t>
            </w:r>
            <w:r>
              <w:rPr>
                <w:b/>
                <w:bCs/>
                <w:lang w:eastAsia="en-AU"/>
              </w:rPr>
              <w:t xml:space="preserve"> </w:t>
            </w:r>
          </w:p>
        </w:tc>
        <w:tc>
          <w:tcPr>
            <w:tcW w:w="2266" w:type="dxa"/>
            <w:shd w:val="clear" w:color="auto" w:fill="D9D9D9" w:themeFill="background1" w:themeFillShade="D9"/>
          </w:tcPr>
          <w:p w14:paraId="61F9D101" w14:textId="77777777" w:rsidR="00B949E1" w:rsidRDefault="00B949E1" w:rsidP="00B9362B">
            <w:pPr>
              <w:pStyle w:val="Tabletext"/>
            </w:pPr>
          </w:p>
        </w:tc>
      </w:tr>
      <w:tr w:rsidR="00B949E1" w14:paraId="26BB33E7" w14:textId="77777777" w:rsidTr="00B9362B">
        <w:trPr>
          <w:gridBefore w:val="1"/>
          <w:wBefore w:w="454" w:type="dxa"/>
        </w:trPr>
        <w:tc>
          <w:tcPr>
            <w:tcW w:w="5670" w:type="dxa"/>
            <w:shd w:val="clear" w:color="auto" w:fill="auto"/>
          </w:tcPr>
          <w:p w14:paraId="2898D18E" w14:textId="77777777" w:rsidR="00B949E1" w:rsidRDefault="00B949E1" w:rsidP="00B9362B">
            <w:pPr>
              <w:pStyle w:val="Tabletext"/>
            </w:pPr>
            <w:r w:rsidRPr="00904E17">
              <w:rPr>
                <w:lang w:eastAsia="en-AU"/>
              </w:rPr>
              <w:t>Low</w:t>
            </w:r>
            <w:r>
              <w:rPr>
                <w:lang w:eastAsia="en-AU"/>
              </w:rPr>
              <w:t xml:space="preserve"> </w:t>
            </w:r>
            <w:r w:rsidRPr="00904E17">
              <w:rPr>
                <w:lang w:eastAsia="en-AU"/>
              </w:rPr>
              <w:t>estimate</w:t>
            </w:r>
          </w:p>
        </w:tc>
        <w:tc>
          <w:tcPr>
            <w:tcW w:w="2266" w:type="dxa"/>
            <w:shd w:val="clear" w:color="auto" w:fill="auto"/>
          </w:tcPr>
          <w:p w14:paraId="09AC0151" w14:textId="77777777" w:rsidR="00B949E1" w:rsidRDefault="00B949E1" w:rsidP="00B9362B">
            <w:pPr>
              <w:pStyle w:val="Tabletext"/>
            </w:pPr>
            <w:r w:rsidRPr="00DB735D">
              <w:rPr>
                <w:color w:val="FF0000"/>
              </w:rPr>
              <w:t xml:space="preserve">-13.15 </w:t>
            </w:r>
          </w:p>
        </w:tc>
      </w:tr>
      <w:tr w:rsidR="00B949E1" w14:paraId="73C6B72F" w14:textId="77777777" w:rsidTr="00B9362B">
        <w:trPr>
          <w:gridBefore w:val="1"/>
          <w:wBefore w:w="454" w:type="dxa"/>
        </w:trPr>
        <w:tc>
          <w:tcPr>
            <w:tcW w:w="5670" w:type="dxa"/>
            <w:shd w:val="clear" w:color="auto" w:fill="auto"/>
          </w:tcPr>
          <w:p w14:paraId="76C2F696" w14:textId="77777777" w:rsidR="00B949E1" w:rsidRDefault="00B949E1" w:rsidP="00B9362B">
            <w:pPr>
              <w:pStyle w:val="Tabletext"/>
            </w:pPr>
            <w:r w:rsidRPr="00904E17">
              <w:rPr>
                <w:lang w:eastAsia="en-AU"/>
              </w:rPr>
              <w:t>High</w:t>
            </w:r>
            <w:r>
              <w:rPr>
                <w:lang w:eastAsia="en-AU"/>
              </w:rPr>
              <w:t xml:space="preserve"> </w:t>
            </w:r>
            <w:r w:rsidRPr="00904E17">
              <w:rPr>
                <w:lang w:eastAsia="en-AU"/>
              </w:rPr>
              <w:t>estimate</w:t>
            </w:r>
          </w:p>
        </w:tc>
        <w:tc>
          <w:tcPr>
            <w:tcW w:w="2266" w:type="dxa"/>
            <w:shd w:val="clear" w:color="auto" w:fill="auto"/>
          </w:tcPr>
          <w:p w14:paraId="307AD83F" w14:textId="77777777" w:rsidR="00B949E1" w:rsidRDefault="00B949E1" w:rsidP="00B9362B">
            <w:pPr>
              <w:pStyle w:val="Tabletext"/>
            </w:pPr>
            <w:r w:rsidRPr="00DB735D">
              <w:rPr>
                <w:color w:val="FF0000"/>
              </w:rPr>
              <w:t xml:space="preserve">-5.25 </w:t>
            </w:r>
          </w:p>
        </w:tc>
      </w:tr>
      <w:tr w:rsidR="00B949E1" w14:paraId="1C961A02" w14:textId="77777777" w:rsidTr="00B9362B">
        <w:trPr>
          <w:gridBefore w:val="1"/>
          <w:wBefore w:w="454" w:type="dxa"/>
        </w:trPr>
        <w:tc>
          <w:tcPr>
            <w:tcW w:w="5670" w:type="dxa"/>
            <w:shd w:val="clear" w:color="auto" w:fill="D9D9D9" w:themeFill="background1" w:themeFillShade="D9"/>
          </w:tcPr>
          <w:p w14:paraId="296E7F29" w14:textId="77777777" w:rsidR="00B949E1" w:rsidRDefault="00B949E1" w:rsidP="00B9362B">
            <w:pPr>
              <w:pStyle w:val="Tabletext"/>
            </w:pPr>
            <w:r w:rsidRPr="00904E17">
              <w:rPr>
                <w:b/>
                <w:bCs/>
                <w:lang w:eastAsia="en-AU"/>
              </w:rPr>
              <w:t>Landfill</w:t>
            </w:r>
            <w:r>
              <w:rPr>
                <w:b/>
                <w:bCs/>
                <w:lang w:eastAsia="en-AU"/>
              </w:rPr>
              <w:t xml:space="preserve"> </w:t>
            </w:r>
            <w:r w:rsidRPr="00904E17">
              <w:rPr>
                <w:b/>
                <w:bCs/>
                <w:lang w:eastAsia="en-AU"/>
              </w:rPr>
              <w:t>operating</w:t>
            </w:r>
            <w:r>
              <w:rPr>
                <w:b/>
                <w:bCs/>
                <w:lang w:eastAsia="en-AU"/>
              </w:rPr>
              <w:t xml:space="preserve"> </w:t>
            </w:r>
            <w:r w:rsidRPr="00904E17">
              <w:rPr>
                <w:b/>
                <w:bCs/>
                <w:lang w:eastAsia="en-AU"/>
              </w:rPr>
              <w:t>costs</w:t>
            </w:r>
            <w:r>
              <w:rPr>
                <w:b/>
                <w:bCs/>
                <w:lang w:eastAsia="en-AU"/>
              </w:rPr>
              <w:t xml:space="preserve"> </w:t>
            </w:r>
          </w:p>
        </w:tc>
        <w:tc>
          <w:tcPr>
            <w:tcW w:w="2266" w:type="dxa"/>
            <w:shd w:val="clear" w:color="auto" w:fill="D9D9D9" w:themeFill="background1" w:themeFillShade="D9"/>
          </w:tcPr>
          <w:p w14:paraId="0F110FC1" w14:textId="77777777" w:rsidR="00B949E1" w:rsidRDefault="00B949E1" w:rsidP="00B9362B">
            <w:pPr>
              <w:pStyle w:val="Tabletext"/>
            </w:pPr>
          </w:p>
        </w:tc>
      </w:tr>
      <w:tr w:rsidR="00B949E1" w14:paraId="5099949F" w14:textId="77777777" w:rsidTr="00B9362B">
        <w:trPr>
          <w:gridBefore w:val="1"/>
          <w:wBefore w:w="454" w:type="dxa"/>
        </w:trPr>
        <w:tc>
          <w:tcPr>
            <w:tcW w:w="5670" w:type="dxa"/>
            <w:shd w:val="clear" w:color="auto" w:fill="auto"/>
          </w:tcPr>
          <w:p w14:paraId="45708FB9" w14:textId="77777777" w:rsidR="00B949E1" w:rsidRDefault="00B949E1" w:rsidP="00B9362B">
            <w:pPr>
              <w:pStyle w:val="Tabletext"/>
            </w:pPr>
            <w:r w:rsidRPr="00904E17">
              <w:rPr>
                <w:lang w:eastAsia="en-AU"/>
              </w:rPr>
              <w:t>Increase</w:t>
            </w:r>
            <w:r>
              <w:rPr>
                <w:lang w:eastAsia="en-AU"/>
              </w:rPr>
              <w:t xml:space="preserve"> </w:t>
            </w:r>
            <w:r w:rsidRPr="00904E17">
              <w:rPr>
                <w:lang w:eastAsia="en-AU"/>
              </w:rPr>
              <w:t>costs</w:t>
            </w:r>
            <w:r>
              <w:rPr>
                <w:lang w:eastAsia="en-AU"/>
              </w:rPr>
              <w:t xml:space="preserve"> </w:t>
            </w:r>
            <w:r w:rsidRPr="00904E17">
              <w:rPr>
                <w:lang w:eastAsia="en-AU"/>
              </w:rPr>
              <w:t>by</w:t>
            </w:r>
            <w:r>
              <w:rPr>
                <w:lang w:eastAsia="en-AU"/>
              </w:rPr>
              <w:t xml:space="preserve"> </w:t>
            </w:r>
            <w:r w:rsidRPr="00904E17">
              <w:rPr>
                <w:lang w:eastAsia="en-AU"/>
              </w:rPr>
              <w:t>50%</w:t>
            </w:r>
          </w:p>
        </w:tc>
        <w:tc>
          <w:tcPr>
            <w:tcW w:w="2266" w:type="dxa"/>
            <w:shd w:val="clear" w:color="auto" w:fill="auto"/>
          </w:tcPr>
          <w:p w14:paraId="0A46939D" w14:textId="77777777" w:rsidR="00B949E1" w:rsidRDefault="00B949E1" w:rsidP="00B9362B">
            <w:pPr>
              <w:pStyle w:val="Tabletext"/>
            </w:pPr>
            <w:r w:rsidRPr="00DB735D">
              <w:rPr>
                <w:color w:val="FF0000"/>
              </w:rPr>
              <w:t xml:space="preserve">-12.00 </w:t>
            </w:r>
          </w:p>
        </w:tc>
      </w:tr>
      <w:tr w:rsidR="00B949E1" w14:paraId="7B0ED848" w14:textId="77777777" w:rsidTr="00B9362B">
        <w:trPr>
          <w:gridBefore w:val="1"/>
          <w:wBefore w:w="454" w:type="dxa"/>
        </w:trPr>
        <w:tc>
          <w:tcPr>
            <w:tcW w:w="5670" w:type="dxa"/>
            <w:shd w:val="clear" w:color="auto" w:fill="auto"/>
          </w:tcPr>
          <w:p w14:paraId="2EE78682" w14:textId="77777777" w:rsidR="00B949E1" w:rsidRDefault="00B949E1" w:rsidP="00B9362B">
            <w:pPr>
              <w:pStyle w:val="Tabletext"/>
            </w:pPr>
            <w:r w:rsidRPr="00904E17">
              <w:rPr>
                <w:lang w:eastAsia="en-AU"/>
              </w:rPr>
              <w:t>Decrease</w:t>
            </w:r>
            <w:r>
              <w:rPr>
                <w:lang w:eastAsia="en-AU"/>
              </w:rPr>
              <w:t xml:space="preserve"> </w:t>
            </w:r>
            <w:r w:rsidRPr="00904E17">
              <w:rPr>
                <w:lang w:eastAsia="en-AU"/>
              </w:rPr>
              <w:t>costs</w:t>
            </w:r>
            <w:r>
              <w:rPr>
                <w:lang w:eastAsia="en-AU"/>
              </w:rPr>
              <w:t xml:space="preserve"> </w:t>
            </w:r>
            <w:r w:rsidRPr="00904E17">
              <w:rPr>
                <w:lang w:eastAsia="en-AU"/>
              </w:rPr>
              <w:t>by</w:t>
            </w:r>
            <w:r>
              <w:rPr>
                <w:lang w:eastAsia="en-AU"/>
              </w:rPr>
              <w:t xml:space="preserve"> </w:t>
            </w:r>
            <w:r w:rsidRPr="00904E17">
              <w:rPr>
                <w:lang w:eastAsia="en-AU"/>
              </w:rPr>
              <w:t>50%</w:t>
            </w:r>
          </w:p>
        </w:tc>
        <w:tc>
          <w:tcPr>
            <w:tcW w:w="2266" w:type="dxa"/>
            <w:shd w:val="clear" w:color="auto" w:fill="auto"/>
          </w:tcPr>
          <w:p w14:paraId="031FEE8A" w14:textId="77777777" w:rsidR="00B949E1" w:rsidRDefault="00B949E1" w:rsidP="00B9362B">
            <w:pPr>
              <w:pStyle w:val="Tabletext"/>
            </w:pPr>
            <w:r w:rsidRPr="00DB735D">
              <w:rPr>
                <w:color w:val="FF0000"/>
              </w:rPr>
              <w:t xml:space="preserve">-12.61 </w:t>
            </w:r>
          </w:p>
        </w:tc>
      </w:tr>
      <w:tr w:rsidR="00B949E1" w14:paraId="7C9E9BC4" w14:textId="77777777" w:rsidTr="00B9362B">
        <w:trPr>
          <w:gridBefore w:val="1"/>
          <w:wBefore w:w="454" w:type="dxa"/>
        </w:trPr>
        <w:tc>
          <w:tcPr>
            <w:tcW w:w="5670" w:type="dxa"/>
            <w:shd w:val="clear" w:color="auto" w:fill="D9D9D9" w:themeFill="background1" w:themeFillShade="D9"/>
          </w:tcPr>
          <w:p w14:paraId="038C2C30" w14:textId="77777777" w:rsidR="00B949E1" w:rsidRDefault="00B949E1" w:rsidP="00B9362B">
            <w:pPr>
              <w:pStyle w:val="Tabletext"/>
            </w:pPr>
            <w:r w:rsidRPr="00904E17">
              <w:rPr>
                <w:b/>
                <w:bCs/>
                <w:lang w:eastAsia="en-AU"/>
              </w:rPr>
              <w:t>Response</w:t>
            </w:r>
            <w:r>
              <w:rPr>
                <w:b/>
                <w:bCs/>
                <w:lang w:eastAsia="en-AU"/>
              </w:rPr>
              <w:t xml:space="preserve"> </w:t>
            </w:r>
            <w:r w:rsidRPr="00904E17">
              <w:rPr>
                <w:b/>
                <w:bCs/>
                <w:lang w:eastAsia="en-AU"/>
              </w:rPr>
              <w:t>to</w:t>
            </w:r>
            <w:r>
              <w:rPr>
                <w:b/>
                <w:bCs/>
                <w:lang w:eastAsia="en-AU"/>
              </w:rPr>
              <w:t xml:space="preserve"> </w:t>
            </w:r>
            <w:r w:rsidRPr="00904E17">
              <w:rPr>
                <w:b/>
                <w:bCs/>
                <w:lang w:eastAsia="en-AU"/>
              </w:rPr>
              <w:t>regulation</w:t>
            </w:r>
          </w:p>
        </w:tc>
        <w:tc>
          <w:tcPr>
            <w:tcW w:w="2266" w:type="dxa"/>
            <w:shd w:val="clear" w:color="auto" w:fill="D9D9D9" w:themeFill="background1" w:themeFillShade="D9"/>
          </w:tcPr>
          <w:p w14:paraId="3387D261" w14:textId="77777777" w:rsidR="00B949E1" w:rsidRDefault="00B949E1" w:rsidP="00B9362B">
            <w:pPr>
              <w:pStyle w:val="Tabletext"/>
            </w:pPr>
          </w:p>
        </w:tc>
      </w:tr>
      <w:tr w:rsidR="00B949E1" w14:paraId="5A20BE19" w14:textId="77777777" w:rsidTr="00B9362B">
        <w:trPr>
          <w:gridBefore w:val="1"/>
          <w:wBefore w:w="454" w:type="dxa"/>
        </w:trPr>
        <w:tc>
          <w:tcPr>
            <w:tcW w:w="5670" w:type="dxa"/>
            <w:shd w:val="clear" w:color="auto" w:fill="auto"/>
          </w:tcPr>
          <w:p w14:paraId="6BCAA7CF" w14:textId="77777777" w:rsidR="00B949E1" w:rsidRDefault="00B949E1" w:rsidP="00B9362B">
            <w:pPr>
              <w:pStyle w:val="Tabletext"/>
            </w:pPr>
            <w:r w:rsidRPr="00904E17">
              <w:rPr>
                <w:lang w:eastAsia="en-AU"/>
              </w:rPr>
              <w:t>No</w:t>
            </w:r>
            <w:r>
              <w:rPr>
                <w:lang w:eastAsia="en-AU"/>
              </w:rPr>
              <w:t xml:space="preserve"> SUP </w:t>
            </w:r>
            <w:r w:rsidRPr="00904E17">
              <w:rPr>
                <w:lang w:eastAsia="en-AU"/>
              </w:rPr>
              <w:t>items</w:t>
            </w:r>
            <w:r>
              <w:rPr>
                <w:lang w:eastAsia="en-AU"/>
              </w:rPr>
              <w:t xml:space="preserve"> </w:t>
            </w:r>
            <w:r w:rsidRPr="00904E17">
              <w:rPr>
                <w:lang w:eastAsia="en-AU"/>
              </w:rPr>
              <w:t>removed</w:t>
            </w:r>
            <w:r>
              <w:rPr>
                <w:lang w:eastAsia="en-AU"/>
              </w:rPr>
              <w:t xml:space="preserve"> </w:t>
            </w:r>
            <w:r w:rsidRPr="00904E17">
              <w:rPr>
                <w:lang w:eastAsia="en-AU"/>
              </w:rPr>
              <w:t>from</w:t>
            </w:r>
            <w:r>
              <w:rPr>
                <w:lang w:eastAsia="en-AU"/>
              </w:rPr>
              <w:t xml:space="preserve"> </w:t>
            </w:r>
            <w:r w:rsidRPr="00904E17">
              <w:rPr>
                <w:lang w:eastAsia="en-AU"/>
              </w:rPr>
              <w:t>market</w:t>
            </w:r>
            <w:r>
              <w:rPr>
                <w:lang w:eastAsia="en-AU"/>
              </w:rPr>
              <w:t xml:space="preserve"> </w:t>
            </w:r>
            <w:r w:rsidRPr="00904E17">
              <w:rPr>
                <w:lang w:eastAsia="en-AU"/>
              </w:rPr>
              <w:t>(substituted</w:t>
            </w:r>
            <w:r>
              <w:rPr>
                <w:lang w:eastAsia="en-AU"/>
              </w:rPr>
              <w:t xml:space="preserve"> </w:t>
            </w:r>
            <w:r w:rsidRPr="00904E17">
              <w:rPr>
                <w:lang w:eastAsia="en-AU"/>
              </w:rPr>
              <w:t>by</w:t>
            </w:r>
            <w:r>
              <w:rPr>
                <w:lang w:eastAsia="en-AU"/>
              </w:rPr>
              <w:t xml:space="preserve"> </w:t>
            </w:r>
            <w:r w:rsidRPr="00904E17">
              <w:rPr>
                <w:lang w:eastAsia="en-AU"/>
              </w:rPr>
              <w:t>single-use</w:t>
            </w:r>
            <w:r>
              <w:rPr>
                <w:lang w:eastAsia="en-AU"/>
              </w:rPr>
              <w:t xml:space="preserve"> </w:t>
            </w:r>
            <w:r w:rsidRPr="00904E17">
              <w:rPr>
                <w:lang w:eastAsia="en-AU"/>
              </w:rPr>
              <w:t>alternatives)</w:t>
            </w:r>
          </w:p>
        </w:tc>
        <w:tc>
          <w:tcPr>
            <w:tcW w:w="2266" w:type="dxa"/>
            <w:shd w:val="clear" w:color="auto" w:fill="auto"/>
          </w:tcPr>
          <w:p w14:paraId="5894A8E8" w14:textId="77777777" w:rsidR="00B949E1" w:rsidRDefault="00B949E1" w:rsidP="00B9362B">
            <w:pPr>
              <w:pStyle w:val="Tabletext"/>
            </w:pPr>
            <w:r w:rsidRPr="00DB735D">
              <w:rPr>
                <w:color w:val="FF0000"/>
              </w:rPr>
              <w:t xml:space="preserve">-16.95 </w:t>
            </w:r>
          </w:p>
        </w:tc>
      </w:tr>
      <w:tr w:rsidR="00B949E1" w14:paraId="1989F318" w14:textId="77777777" w:rsidTr="00B9362B">
        <w:trPr>
          <w:gridBefore w:val="1"/>
          <w:wBefore w:w="454" w:type="dxa"/>
        </w:trPr>
        <w:tc>
          <w:tcPr>
            <w:tcW w:w="5670" w:type="dxa"/>
            <w:shd w:val="clear" w:color="auto" w:fill="auto"/>
          </w:tcPr>
          <w:p w14:paraId="35299B8D" w14:textId="77777777" w:rsidR="00B949E1" w:rsidRDefault="00B949E1" w:rsidP="00B9362B">
            <w:pPr>
              <w:pStyle w:val="Tabletext"/>
            </w:pPr>
            <w:r>
              <w:rPr>
                <w:lang w:eastAsia="en-AU"/>
              </w:rPr>
              <w:t xml:space="preserve">No SUP items replaced by re-usable products </w:t>
            </w:r>
            <w:r w:rsidRPr="00904E17">
              <w:rPr>
                <w:lang w:eastAsia="en-AU"/>
              </w:rPr>
              <w:t>(substituted</w:t>
            </w:r>
            <w:r>
              <w:rPr>
                <w:lang w:eastAsia="en-AU"/>
              </w:rPr>
              <w:t xml:space="preserve"> </w:t>
            </w:r>
            <w:r w:rsidRPr="00904E17">
              <w:rPr>
                <w:lang w:eastAsia="en-AU"/>
              </w:rPr>
              <w:t>by</w:t>
            </w:r>
            <w:r>
              <w:rPr>
                <w:lang w:eastAsia="en-AU"/>
              </w:rPr>
              <w:t xml:space="preserve"> </w:t>
            </w:r>
            <w:r w:rsidRPr="00904E17">
              <w:rPr>
                <w:lang w:eastAsia="en-AU"/>
              </w:rPr>
              <w:t>single-use</w:t>
            </w:r>
            <w:r>
              <w:rPr>
                <w:lang w:eastAsia="en-AU"/>
              </w:rPr>
              <w:t xml:space="preserve"> </w:t>
            </w:r>
            <w:r w:rsidRPr="00904E17">
              <w:rPr>
                <w:lang w:eastAsia="en-AU"/>
              </w:rPr>
              <w:t>alternatives)</w:t>
            </w:r>
          </w:p>
        </w:tc>
        <w:tc>
          <w:tcPr>
            <w:tcW w:w="2266" w:type="dxa"/>
            <w:shd w:val="clear" w:color="auto" w:fill="auto"/>
          </w:tcPr>
          <w:p w14:paraId="18413B3B" w14:textId="77777777" w:rsidR="00B949E1" w:rsidRDefault="00B949E1" w:rsidP="00B9362B">
            <w:pPr>
              <w:pStyle w:val="Tabletext"/>
            </w:pPr>
            <w:r w:rsidRPr="00DB735D">
              <w:rPr>
                <w:color w:val="FF0000"/>
              </w:rPr>
              <w:t xml:space="preserve">-21.04 </w:t>
            </w:r>
          </w:p>
        </w:tc>
      </w:tr>
      <w:tr w:rsidR="00B949E1" w14:paraId="5C07A2B3" w14:textId="77777777" w:rsidTr="00B9362B">
        <w:trPr>
          <w:gridBefore w:val="1"/>
          <w:wBefore w:w="454" w:type="dxa"/>
        </w:trPr>
        <w:tc>
          <w:tcPr>
            <w:tcW w:w="5670" w:type="dxa"/>
            <w:shd w:val="clear" w:color="auto" w:fill="auto"/>
          </w:tcPr>
          <w:p w14:paraId="5C3F9D15" w14:textId="77777777" w:rsidR="00B949E1" w:rsidRDefault="00B949E1" w:rsidP="00B9362B">
            <w:pPr>
              <w:pStyle w:val="Tabletext"/>
            </w:pPr>
            <w:r w:rsidRPr="00904E17">
              <w:rPr>
                <w:lang w:eastAsia="en-AU"/>
              </w:rPr>
              <w:t>No</w:t>
            </w:r>
            <w:r>
              <w:rPr>
                <w:lang w:eastAsia="en-AU"/>
              </w:rPr>
              <w:t xml:space="preserve"> </w:t>
            </w:r>
            <w:r w:rsidRPr="00904E17">
              <w:rPr>
                <w:lang w:eastAsia="en-AU"/>
              </w:rPr>
              <w:t>items</w:t>
            </w:r>
            <w:r>
              <w:rPr>
                <w:lang w:eastAsia="en-AU"/>
              </w:rPr>
              <w:t xml:space="preserve"> </w:t>
            </w:r>
            <w:r w:rsidRPr="00904E17">
              <w:rPr>
                <w:lang w:eastAsia="en-AU"/>
              </w:rPr>
              <w:t>removed</w:t>
            </w:r>
            <w:r>
              <w:rPr>
                <w:lang w:eastAsia="en-AU"/>
              </w:rPr>
              <w:t xml:space="preserve"> </w:t>
            </w:r>
            <w:r w:rsidRPr="00904E17">
              <w:rPr>
                <w:lang w:eastAsia="en-AU"/>
              </w:rPr>
              <w:t>from</w:t>
            </w:r>
            <w:r>
              <w:rPr>
                <w:lang w:eastAsia="en-AU"/>
              </w:rPr>
              <w:t xml:space="preserve"> </w:t>
            </w:r>
            <w:r w:rsidRPr="00904E17">
              <w:rPr>
                <w:lang w:eastAsia="en-AU"/>
              </w:rPr>
              <w:t>market</w:t>
            </w:r>
            <w:r>
              <w:rPr>
                <w:lang w:eastAsia="en-AU"/>
              </w:rPr>
              <w:t xml:space="preserve"> </w:t>
            </w:r>
            <w:r w:rsidRPr="00904E17">
              <w:rPr>
                <w:lang w:eastAsia="en-AU"/>
              </w:rPr>
              <w:t>+ no</w:t>
            </w:r>
            <w:r>
              <w:rPr>
                <w:lang w:eastAsia="en-AU"/>
              </w:rPr>
              <w:t xml:space="preserve"> </w:t>
            </w:r>
            <w:r w:rsidRPr="00904E17">
              <w:rPr>
                <w:lang w:eastAsia="en-AU"/>
              </w:rPr>
              <w:t>reusables</w:t>
            </w:r>
            <w:r>
              <w:rPr>
                <w:lang w:eastAsia="en-AU"/>
              </w:rPr>
              <w:t xml:space="preserve"> </w:t>
            </w:r>
            <w:r>
              <w:t>(</w:t>
            </w:r>
            <w:r w:rsidRPr="002753D8">
              <w:rPr>
                <w:u w:val="single"/>
              </w:rPr>
              <w:t>all</w:t>
            </w:r>
            <w:r>
              <w:rPr>
                <w:u w:val="single"/>
              </w:rPr>
              <w:t xml:space="preserve"> </w:t>
            </w:r>
            <w:r>
              <w:t>SUPs are substituted by single-use alternatives)</w:t>
            </w:r>
          </w:p>
        </w:tc>
        <w:tc>
          <w:tcPr>
            <w:tcW w:w="2266" w:type="dxa"/>
            <w:shd w:val="clear" w:color="auto" w:fill="auto"/>
          </w:tcPr>
          <w:p w14:paraId="0F7A25C5" w14:textId="77777777" w:rsidR="00B949E1" w:rsidRDefault="00B949E1" w:rsidP="00B9362B">
            <w:pPr>
              <w:pStyle w:val="Tabletext"/>
            </w:pPr>
            <w:r w:rsidRPr="00DB735D">
              <w:rPr>
                <w:color w:val="FF0000"/>
              </w:rPr>
              <w:t xml:space="preserve">-25.68 </w:t>
            </w:r>
          </w:p>
        </w:tc>
      </w:tr>
      <w:tr w:rsidR="00B949E1" w14:paraId="1EA3A53A" w14:textId="77777777" w:rsidTr="00B9362B">
        <w:trPr>
          <w:gridBefore w:val="1"/>
          <w:wBefore w:w="454" w:type="dxa"/>
        </w:trPr>
        <w:tc>
          <w:tcPr>
            <w:tcW w:w="7936" w:type="dxa"/>
            <w:gridSpan w:val="2"/>
            <w:tcBorders>
              <w:bottom w:val="single" w:sz="4" w:space="0" w:color="646464"/>
            </w:tcBorders>
            <w:shd w:val="clear" w:color="auto" w:fill="auto"/>
          </w:tcPr>
          <w:p w14:paraId="2BF98658" w14:textId="77777777" w:rsidR="00B949E1" w:rsidRDefault="00B949E1" w:rsidP="00B9362B">
            <w:pPr>
              <w:pStyle w:val="Source"/>
            </w:pPr>
            <w:r>
              <w:t>Source: ACIL Allen</w:t>
            </w:r>
          </w:p>
        </w:tc>
      </w:tr>
      <w:tr w:rsidR="00B949E1" w14:paraId="1D4E1C85" w14:textId="77777777" w:rsidTr="00B9362B">
        <w:trPr>
          <w:gridBefore w:val="1"/>
          <w:wBefore w:w="454" w:type="dxa"/>
          <w:trHeight w:hRule="exact" w:val="160"/>
        </w:trPr>
        <w:tc>
          <w:tcPr>
            <w:tcW w:w="7936" w:type="dxa"/>
            <w:gridSpan w:val="2"/>
            <w:tcBorders>
              <w:top w:val="single" w:sz="4" w:space="0" w:color="646464"/>
              <w:bottom w:val="nil"/>
            </w:tcBorders>
            <w:shd w:val="clear" w:color="auto" w:fill="auto"/>
          </w:tcPr>
          <w:p w14:paraId="070671F3" w14:textId="77777777" w:rsidR="00B949E1" w:rsidRDefault="00B949E1" w:rsidP="00B9362B">
            <w:pPr>
              <w:pStyle w:val="spacer"/>
            </w:pPr>
          </w:p>
        </w:tc>
      </w:tr>
    </w:tbl>
    <w:p w14:paraId="58A8D85B" w14:textId="77777777" w:rsidR="00B949E1" w:rsidRPr="003E2764" w:rsidRDefault="00B949E1" w:rsidP="00EB2F2A">
      <w:pPr>
        <w:pStyle w:val="Heading6"/>
        <w:numPr>
          <w:ilvl w:val="0"/>
          <w:numId w:val="0"/>
        </w:numPr>
        <w:rPr>
          <w:color w:val="959595"/>
        </w:rPr>
      </w:pPr>
      <w:r w:rsidRPr="003E2764">
        <w:rPr>
          <w:color w:val="959595"/>
        </w:rPr>
        <w:t>Non-quantified impact</w:t>
      </w:r>
    </w:p>
    <w:p w14:paraId="6081042E" w14:textId="77777777" w:rsidR="00B949E1" w:rsidRDefault="00B949E1" w:rsidP="00B949E1">
      <w:pPr>
        <w:pStyle w:val="BodyText"/>
      </w:pPr>
      <w:r>
        <w:t xml:space="preserve">There are a range of costs of benefits that are either unquantifiable or unmonetisable associated with Option 2, due to limited data and information available. These impacts are discussed in detail in Section </w:t>
      </w:r>
      <w:r>
        <w:fldChar w:fldCharType="begin"/>
      </w:r>
      <w:r>
        <w:instrText xml:space="preserve"> REF _Ref133419889 \r \h </w:instrText>
      </w:r>
      <w:r>
        <w:fldChar w:fldCharType="separate"/>
      </w:r>
      <w:r>
        <w:t>7.2</w:t>
      </w:r>
      <w:r>
        <w:fldChar w:fldCharType="end"/>
      </w:r>
      <w:r>
        <w:t xml:space="preserve"> and Section </w:t>
      </w:r>
      <w:r>
        <w:fldChar w:fldCharType="begin"/>
      </w:r>
      <w:r>
        <w:instrText xml:space="preserve"> REF _Ref131162469 \r \h </w:instrText>
      </w:r>
      <w:r>
        <w:fldChar w:fldCharType="separate"/>
      </w:r>
      <w:r>
        <w:t>7.3</w:t>
      </w:r>
      <w:r>
        <w:fldChar w:fldCharType="end"/>
      </w:r>
      <w:r>
        <w:t>, and they include:</w:t>
      </w:r>
    </w:p>
    <w:p w14:paraId="508A52D8" w14:textId="77777777" w:rsidR="00B949E1" w:rsidRDefault="00B949E1" w:rsidP="00B949E1">
      <w:pPr>
        <w:pStyle w:val="ListBullet"/>
        <w:numPr>
          <w:ilvl w:val="0"/>
          <w:numId w:val="9"/>
        </w:numPr>
      </w:pPr>
      <w:bookmarkStart w:id="12" w:name="_Hlk136936608"/>
      <w:r>
        <w:t>Costs:</w:t>
      </w:r>
    </w:p>
    <w:p w14:paraId="65990527" w14:textId="77777777" w:rsidR="00B949E1" w:rsidRDefault="00B949E1" w:rsidP="00B949E1">
      <w:pPr>
        <w:pStyle w:val="ListBullet2"/>
      </w:pPr>
      <w:r>
        <w:lastRenderedPageBreak/>
        <w:t>Costs to manufacturers, wholesalers and distributors</w:t>
      </w:r>
    </w:p>
    <w:p w14:paraId="3A679D75" w14:textId="77777777" w:rsidR="00B949E1" w:rsidRDefault="00B949E1" w:rsidP="00B949E1">
      <w:pPr>
        <w:pStyle w:val="ListBullet2"/>
      </w:pPr>
      <w:r>
        <w:t xml:space="preserve">Compliance and inventory costs </w:t>
      </w:r>
    </w:p>
    <w:p w14:paraId="341067BF" w14:textId="77777777" w:rsidR="00B949E1" w:rsidRDefault="00B949E1" w:rsidP="00B949E1">
      <w:pPr>
        <w:pStyle w:val="ListBullet2"/>
      </w:pPr>
      <w:r>
        <w:t>I</w:t>
      </w:r>
      <w:r w:rsidRPr="001C470A">
        <w:t xml:space="preserve">ncreased cost of procuring for those who are exempt, including in medical and other </w:t>
      </w:r>
      <w:proofErr w:type="gramStart"/>
      <w:r w:rsidRPr="001C470A">
        <w:t>sectors</w:t>
      </w:r>
      <w:proofErr w:type="gramEnd"/>
    </w:p>
    <w:p w14:paraId="7468E6D8" w14:textId="77777777" w:rsidR="00B949E1" w:rsidRDefault="00B949E1" w:rsidP="00B949E1">
      <w:pPr>
        <w:pStyle w:val="ListBullet2"/>
      </w:pPr>
      <w:r>
        <w:t>Other industry costs.</w:t>
      </w:r>
    </w:p>
    <w:p w14:paraId="776CF236" w14:textId="77777777" w:rsidR="00B949E1" w:rsidRDefault="00B949E1" w:rsidP="00B949E1">
      <w:pPr>
        <w:pStyle w:val="ListBullet"/>
        <w:numPr>
          <w:ilvl w:val="0"/>
          <w:numId w:val="9"/>
        </w:numPr>
      </w:pPr>
      <w:r>
        <w:t>Benefits:</w:t>
      </w:r>
    </w:p>
    <w:p w14:paraId="29950AAA" w14:textId="77777777" w:rsidR="00B949E1" w:rsidRDefault="00B949E1" w:rsidP="00B949E1">
      <w:pPr>
        <w:pStyle w:val="ListBullet2"/>
      </w:pPr>
      <w:r>
        <w:t>Social cost of plastic</w:t>
      </w:r>
    </w:p>
    <w:p w14:paraId="55C6D7C6" w14:textId="77777777" w:rsidR="00B949E1" w:rsidRDefault="00B949E1" w:rsidP="00B949E1">
      <w:pPr>
        <w:pStyle w:val="ListBullet2"/>
      </w:pPr>
      <w:r>
        <w:t>Impact on human health</w:t>
      </w:r>
    </w:p>
    <w:p w14:paraId="4850B3BA" w14:textId="77777777" w:rsidR="00B949E1" w:rsidRDefault="00B949E1" w:rsidP="00B949E1">
      <w:pPr>
        <w:pStyle w:val="ListBullet2"/>
      </w:pPr>
      <w:r>
        <w:t>The removal of microbeads from the environment</w:t>
      </w:r>
    </w:p>
    <w:p w14:paraId="5B0BB684" w14:textId="77777777" w:rsidR="00B949E1" w:rsidRDefault="00B949E1" w:rsidP="00B949E1">
      <w:pPr>
        <w:pStyle w:val="ListBullet2"/>
      </w:pPr>
      <w:r>
        <w:t>Reduced contamination of recycling streams</w:t>
      </w:r>
    </w:p>
    <w:p w14:paraId="6B65DEE3" w14:textId="77777777" w:rsidR="00B949E1" w:rsidRDefault="00B949E1" w:rsidP="00B949E1">
      <w:pPr>
        <w:pStyle w:val="ListBullet2"/>
      </w:pPr>
      <w:r>
        <w:t>Policy and strategy alignment.</w:t>
      </w:r>
    </w:p>
    <w:bookmarkEnd w:id="12"/>
    <w:p w14:paraId="3E248AC0" w14:textId="77777777" w:rsidR="00B949E1" w:rsidRPr="001A6775" w:rsidRDefault="00B949E1" w:rsidP="00B949E1">
      <w:pPr>
        <w:pStyle w:val="BodyText"/>
      </w:pPr>
      <w:r>
        <w:t>The non-quantified impacts should be taken into consideration when determining the case for each tranche SUP ban.</w:t>
      </w:r>
    </w:p>
    <w:p w14:paraId="1AEBAAF7" w14:textId="77777777" w:rsidR="00B949E1" w:rsidRDefault="00B949E1" w:rsidP="00EB2F2A">
      <w:pPr>
        <w:pStyle w:val="Heading5"/>
        <w:numPr>
          <w:ilvl w:val="0"/>
          <w:numId w:val="0"/>
        </w:numPr>
      </w:pPr>
      <w:r>
        <w:t>Transboundary impact</w:t>
      </w:r>
    </w:p>
    <w:p w14:paraId="5E0A7695" w14:textId="77777777" w:rsidR="00B949E1" w:rsidRDefault="00B949E1" w:rsidP="00B949E1">
      <w:pPr>
        <w:pStyle w:val="BodyText"/>
      </w:pPr>
      <w:r>
        <w:t>Australia, t</w:t>
      </w:r>
      <w:r w:rsidRPr="00754A0D">
        <w:t xml:space="preserve">he </w:t>
      </w:r>
      <w:r w:rsidRPr="00D01336">
        <w:rPr>
          <w:i/>
          <w:iCs/>
        </w:rPr>
        <w:t>Mutual Recognition Act 1992</w:t>
      </w:r>
      <w:r w:rsidRPr="00754A0D">
        <w:t xml:space="preserve"> and the </w:t>
      </w:r>
      <w:r w:rsidRPr="00D01336">
        <w:rPr>
          <w:i/>
          <w:iCs/>
        </w:rPr>
        <w:t>Trans-Tasman Mutual Recognition Act 1997</w:t>
      </w:r>
      <w:r w:rsidRPr="00754A0D">
        <w:t xml:space="preserve"> aim to remove regulatory barriers to the free flow of goods and labour between Australian states and territories. </w:t>
      </w:r>
      <w:r>
        <w:t xml:space="preserve">In the ACT, the </w:t>
      </w:r>
      <w:r w:rsidRPr="001850CE">
        <w:rPr>
          <w:i/>
          <w:iCs/>
        </w:rPr>
        <w:t>Mutual Recognition Act (ACT) 1992</w:t>
      </w:r>
      <w:r>
        <w:t xml:space="preserve"> and the </w:t>
      </w:r>
      <w:r w:rsidRPr="001850CE">
        <w:rPr>
          <w:i/>
          <w:iCs/>
        </w:rPr>
        <w:t>Trans-Tasman Mutual Recognition Act (ACT) 1997</w:t>
      </w:r>
      <w:r>
        <w:t xml:space="preserve"> apply as laws. These Acts apply the</w:t>
      </w:r>
      <w:r w:rsidRPr="00754A0D">
        <w:t xml:space="preserve"> ‘mutual recognition principle’</w:t>
      </w:r>
      <w:r>
        <w:t xml:space="preserve">: </w:t>
      </w:r>
      <w:r w:rsidRPr="00754A0D">
        <w:t>goods produced or imported into one Australian jurisdiction can be distributed and sold freely throughout Australia</w:t>
      </w:r>
      <w:r>
        <w:t>, and in, extension, to New Zealand.</w:t>
      </w:r>
    </w:p>
    <w:p w14:paraId="52741C74" w14:textId="77777777" w:rsidR="00B949E1" w:rsidRPr="00BD6DDD" w:rsidRDefault="00B949E1" w:rsidP="00B949E1">
      <w:pPr>
        <w:pStyle w:val="BodyText"/>
      </w:pPr>
      <w:r>
        <w:t xml:space="preserve">The effects the proposed Regulation will have on the mutual recognition principle is explored in Section </w:t>
      </w:r>
      <w:r>
        <w:fldChar w:fldCharType="begin"/>
      </w:r>
      <w:r>
        <w:instrText xml:space="preserve"> REF _Ref131163140 \r \h </w:instrText>
      </w:r>
      <w:r>
        <w:fldChar w:fldCharType="separate"/>
      </w:r>
      <w:r>
        <w:t>7.4</w:t>
      </w:r>
      <w:r>
        <w:fldChar w:fldCharType="end"/>
      </w:r>
      <w:r>
        <w:t xml:space="preserve">. In summary, the </w:t>
      </w:r>
      <w:r w:rsidRPr="00291FC5">
        <w:t xml:space="preserve">impacts on other jurisdictions from the ban in the ACT will only arise in a jurisdiction where an item that is banned in the ACT is not banned in that jurisdiction. </w:t>
      </w:r>
      <w:r>
        <w:t>Because most</w:t>
      </w:r>
      <w:r w:rsidRPr="00291FC5">
        <w:t xml:space="preserve"> items are likely to be banned in most jurisdictions, these impacts are not expected to be large. Also, because of the small size of the ACT, if an item is banned but continues to be supplied elsewhere, this will likely only result in a small reduction in the market for these products. In the context of the overall economic impact of banning items, which will mainly affect businesses supplying relevant products in the ACT, and the positive environmental impact of the ban, the impact on other jurisdictions will likely be relatively small.</w:t>
      </w:r>
    </w:p>
    <w:p w14:paraId="4B745E50" w14:textId="77777777" w:rsidR="00B949E1" w:rsidRPr="002C0447" w:rsidRDefault="00B949E1" w:rsidP="00EB2F2A">
      <w:pPr>
        <w:pStyle w:val="Heading4"/>
        <w:numPr>
          <w:ilvl w:val="0"/>
          <w:numId w:val="0"/>
        </w:numPr>
      </w:pPr>
      <w:r>
        <w:t>Conclusion</w:t>
      </w:r>
    </w:p>
    <w:p w14:paraId="4A530A8A" w14:textId="77777777" w:rsidR="00B949E1" w:rsidRDefault="00B949E1" w:rsidP="00B949E1">
      <w:pPr>
        <w:pStyle w:val="BodyText"/>
      </w:pPr>
      <w:r>
        <w:t xml:space="preserve">Quantitative analysis undertaken in this RIS for individual SUP items shows that the phasing-out of bowls, bowl lids, plates, and EPS trays has a positive net impact. In contrast, the quantitative analysis shows that the phasing-out of boutique and heavyweight plastic bags, plastic take-away containers, and container lids has a negative net impact. In aggregate, this analysis suggests that the overall costs of the proposed Tranche 3 bans outweigh the benefits. However, this is only a partial assessment of the overall impacts, and there is a broader range of reasons why banning </w:t>
      </w:r>
      <w:proofErr w:type="gramStart"/>
      <w:r>
        <w:t>all of</w:t>
      </w:r>
      <w:proofErr w:type="gramEnd"/>
      <w:r>
        <w:t xml:space="preserve"> the Tranche 3 products is justified:</w:t>
      </w:r>
    </w:p>
    <w:p w14:paraId="6EC8240D" w14:textId="77777777" w:rsidR="00B949E1" w:rsidRDefault="00B949E1" w:rsidP="00B949E1">
      <w:pPr>
        <w:pStyle w:val="ListBullet"/>
        <w:numPr>
          <w:ilvl w:val="0"/>
          <w:numId w:val="9"/>
        </w:numPr>
      </w:pPr>
      <w:r>
        <w:t>The CBA was based on assumptions developed from our research, the best available information, and ACT NoWaste’s inputs.</w:t>
      </w:r>
      <w:r w:rsidRPr="00165A9D">
        <w:t xml:space="preserve"> </w:t>
      </w:r>
      <w:r>
        <w:t>While the CBA is based on existing data sources, overtime, additional data about Territorians’ WTP for environmental benefits will become available and will likely improve the CBR of options. These elements will improve over time, allowing more of the benefits to be quantified.</w:t>
      </w:r>
    </w:p>
    <w:p w14:paraId="0F1BF159" w14:textId="77777777" w:rsidR="00B949E1" w:rsidRDefault="00B949E1" w:rsidP="00B949E1">
      <w:pPr>
        <w:pStyle w:val="ListBullet"/>
        <w:numPr>
          <w:ilvl w:val="0"/>
          <w:numId w:val="9"/>
        </w:numPr>
      </w:pPr>
      <w:r>
        <w:t>The value of unquantified benefits to the environment and society, including human health, of reducing plastic waste. In particular, the environmental benefits that other jurisdictions have been able to quantify based on avoided environmental ocean impacts of SUP.</w:t>
      </w:r>
    </w:p>
    <w:p w14:paraId="3E06A917" w14:textId="77777777" w:rsidR="00B949E1" w:rsidRDefault="00B949E1" w:rsidP="00B949E1">
      <w:pPr>
        <w:pStyle w:val="ListBullet"/>
        <w:numPr>
          <w:ilvl w:val="0"/>
          <w:numId w:val="9"/>
        </w:numPr>
      </w:pPr>
      <w:r>
        <w:lastRenderedPageBreak/>
        <w:t xml:space="preserve">The effect of the bans on the cost of alternatives. The analysis does not reflect the possibility for the cost of alternatives to decrease over time due to innovation and technological developments, hence assuming the costs of alternatives to be </w:t>
      </w:r>
      <w:proofErr w:type="gramStart"/>
      <w:r>
        <w:t>at this point in time</w:t>
      </w:r>
      <w:proofErr w:type="gramEnd"/>
      <w:r>
        <w:t>. If alternatives’ prices were to decrease further, the NPV would improve.</w:t>
      </w:r>
    </w:p>
    <w:p w14:paraId="2091B551" w14:textId="77777777" w:rsidR="00B949E1" w:rsidRDefault="00B949E1" w:rsidP="00B949E1">
      <w:pPr>
        <w:pStyle w:val="ListBullet"/>
        <w:numPr>
          <w:ilvl w:val="0"/>
          <w:numId w:val="9"/>
        </w:numPr>
      </w:pPr>
      <w:r>
        <w:t>The availability of suitable alternative products to substitute SUP products.</w:t>
      </w:r>
    </w:p>
    <w:p w14:paraId="10E5B5BA" w14:textId="77777777" w:rsidR="00B949E1" w:rsidRDefault="00B949E1" w:rsidP="00B949E1">
      <w:pPr>
        <w:pStyle w:val="ListBullet"/>
        <w:numPr>
          <w:ilvl w:val="0"/>
          <w:numId w:val="9"/>
        </w:numPr>
      </w:pPr>
      <w:r>
        <w:t xml:space="preserve">Feedback from stakeholders regarding the need for bans. </w:t>
      </w:r>
    </w:p>
    <w:p w14:paraId="5779571E" w14:textId="77777777" w:rsidR="00B949E1" w:rsidRDefault="00B949E1" w:rsidP="00B949E1">
      <w:pPr>
        <w:pStyle w:val="ListBullet"/>
        <w:numPr>
          <w:ilvl w:val="0"/>
          <w:numId w:val="9"/>
        </w:numPr>
      </w:pPr>
      <w:r>
        <w:t xml:space="preserve">The actions taken by other Australian jurisdictions and New Zealand to reduce SUP and the low level of impact a ban in the ACT will have on other jurisdictions. </w:t>
      </w:r>
    </w:p>
    <w:p w14:paraId="650FFCBA" w14:textId="77777777" w:rsidR="00B949E1" w:rsidRDefault="00B949E1" w:rsidP="00B949E1">
      <w:pPr>
        <w:pStyle w:val="BodyText"/>
      </w:pPr>
      <w:r>
        <w:t>Considering the results of the CBA, including the non-quantified impacts, other jurisdictions’ actions taken, stakeholder feedback, and alignment with government policy on the phasing out of SUP, Option 2 is assessed as the preferred approach in this RIS.</w:t>
      </w:r>
    </w:p>
    <w:p w14:paraId="315F5BD0" w14:textId="77777777" w:rsidR="00B949E1" w:rsidRDefault="00B949E1" w:rsidP="00B949E1">
      <w:pPr>
        <w:pStyle w:val="BodyText"/>
      </w:pPr>
      <w:r>
        <w:t xml:space="preserve">That said, the RIS has also identified concerns stakeholders have regarding the implementation of the regulation, including timeframes for introducing the ban </w:t>
      </w:r>
      <w:r w:rsidRPr="00500752">
        <w:t xml:space="preserve">with approximately 6-18 months to prepare </w:t>
      </w:r>
      <w:r>
        <w:t xml:space="preserve">and potential exemptions for certain sectors, including health, veterinary, charity and not-for-profit as there are no viable </w:t>
      </w:r>
      <w:proofErr w:type="gramStart"/>
      <w:r>
        <w:t>alternatives</w:t>
      </w:r>
      <w:proofErr w:type="gramEnd"/>
      <w:r>
        <w:t xml:space="preserve"> or a significant cost increase would be incurred. </w:t>
      </w:r>
    </w:p>
    <w:bookmarkEnd w:id="1"/>
    <w:p w14:paraId="32521826" w14:textId="77777777" w:rsidR="00B949E1" w:rsidRDefault="00B949E1" w:rsidP="00B949E1">
      <w:pPr>
        <w:pStyle w:val="BodyText"/>
        <w:sectPr w:rsidR="00B949E1" w:rsidSect="00B949E1">
          <w:headerReference w:type="even" r:id="rId30"/>
          <w:headerReference w:type="default" r:id="rId31"/>
          <w:footerReference w:type="even" r:id="rId32"/>
          <w:footerReference w:type="default" r:id="rId33"/>
          <w:headerReference w:type="first" r:id="rId34"/>
          <w:footerReference w:type="first" r:id="rId35"/>
          <w:pgSz w:w="11906" w:h="16838" w:code="9"/>
          <w:pgMar w:top="1134" w:right="851" w:bottom="1134" w:left="3119" w:header="454" w:footer="454" w:gutter="0"/>
          <w:pgNumType w:fmt="lowerRoman" w:start="1"/>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3B84C3C0" w14:textId="77777777" w:rsidTr="00B9362B">
        <w:trPr>
          <w:trHeight w:hRule="exact" w:val="382"/>
        </w:trPr>
        <w:tc>
          <w:tcPr>
            <w:tcW w:w="5570" w:type="dxa"/>
          </w:tcPr>
          <w:bookmarkEnd w:id="2"/>
          <w:p w14:paraId="12753EA0" w14:textId="77777777" w:rsidR="00B949E1" w:rsidRDefault="00B949E1" w:rsidP="00B9362B">
            <w:pPr>
              <w:pStyle w:val="tagchapterBanner"/>
            </w:pPr>
            <w:r>
              <w:rPr>
                <w:noProof/>
              </w:rPr>
              <w:lastRenderedPageBreak/>
              <w:drawing>
                <wp:anchor distT="0" distB="0" distL="114300" distR="114300" simplePos="0" relativeHeight="251650560" behindDoc="1" locked="1" layoutInCell="1" allowOverlap="1" wp14:anchorId="7EF0D7F3" wp14:editId="78998CAB">
                  <wp:simplePos x="0" y="0"/>
                  <wp:positionH relativeFrom="page">
                    <wp:posOffset>0</wp:posOffset>
                  </wp:positionH>
                  <wp:positionV relativeFrom="page">
                    <wp:posOffset>0</wp:posOffset>
                  </wp:positionV>
                  <wp:extent cx="5039360" cy="1995170"/>
                  <wp:effectExtent l="0" t="0" r="8890" b="5080"/>
                  <wp:wrapNone/>
                  <wp:docPr id="55"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36F04B47" w14:textId="77777777" w:rsidR="00B949E1" w:rsidRDefault="00B949E1" w:rsidP="00B9362B">
            <w:pPr>
              <w:pStyle w:val="spacer"/>
            </w:pPr>
          </w:p>
        </w:tc>
      </w:tr>
      <w:tr w:rsidR="00B949E1" w14:paraId="7DFB3E06" w14:textId="77777777" w:rsidTr="00B9362B">
        <w:trPr>
          <w:trHeight w:hRule="exact" w:val="2760"/>
        </w:trPr>
        <w:tc>
          <w:tcPr>
            <w:tcW w:w="5570" w:type="dxa"/>
            <w:vAlign w:val="bottom"/>
          </w:tcPr>
          <w:p w14:paraId="6F56783C" w14:textId="44D74B5D" w:rsidR="00B949E1" w:rsidRDefault="00B949E1" w:rsidP="00EB2F2A">
            <w:pPr>
              <w:pStyle w:val="Heading1"/>
              <w:ind w:left="250" w:hanging="386"/>
            </w:pPr>
            <w:bookmarkStart w:id="13" w:name="_Ref129006165"/>
            <w:bookmarkStart w:id="14" w:name="_Toc136872610"/>
            <w:r>
              <w:t>Introduction</w:t>
            </w:r>
            <w:bookmarkEnd w:id="13"/>
            <w:bookmarkEnd w:id="14"/>
          </w:p>
        </w:tc>
        <w:tc>
          <w:tcPr>
            <w:tcW w:w="2366" w:type="dxa"/>
            <w:tcMar>
              <w:right w:w="224" w:type="dxa"/>
            </w:tcMar>
            <w:vAlign w:val="bottom"/>
          </w:tcPr>
          <w:p w14:paraId="634F8DAE" w14:textId="77777777" w:rsidR="00B949E1" w:rsidRDefault="00B949E1" w:rsidP="00B9362B">
            <w:pPr>
              <w:pStyle w:val="HeadingChapter"/>
            </w:pPr>
            <w:r>
              <w:t>2</w:t>
            </w:r>
          </w:p>
        </w:tc>
      </w:tr>
      <w:tr w:rsidR="00B949E1" w14:paraId="19F0227C" w14:textId="77777777" w:rsidTr="00B9362B">
        <w:trPr>
          <w:trHeight w:hRule="exact" w:val="228"/>
        </w:trPr>
        <w:tc>
          <w:tcPr>
            <w:tcW w:w="5570" w:type="dxa"/>
          </w:tcPr>
          <w:p w14:paraId="2A876903" w14:textId="77777777" w:rsidR="00B949E1" w:rsidRDefault="00B949E1" w:rsidP="00B9362B">
            <w:pPr>
              <w:pStyle w:val="spacer"/>
            </w:pPr>
          </w:p>
        </w:tc>
        <w:tc>
          <w:tcPr>
            <w:tcW w:w="2366" w:type="dxa"/>
          </w:tcPr>
          <w:p w14:paraId="27D4633F" w14:textId="77777777" w:rsidR="00B949E1" w:rsidRDefault="00B949E1" w:rsidP="00B9362B">
            <w:pPr>
              <w:pStyle w:val="spacer"/>
            </w:pPr>
          </w:p>
        </w:tc>
      </w:tr>
    </w:tbl>
    <w:p w14:paraId="2C67A42C" w14:textId="77777777" w:rsidR="00B949E1" w:rsidRDefault="00B949E1" w:rsidP="004C241B">
      <w:pPr>
        <w:pStyle w:val="Heading2"/>
      </w:pPr>
      <w:bookmarkStart w:id="15" w:name="_Toc136872611"/>
      <w:r>
        <w:t>Background</w:t>
      </w:r>
      <w:bookmarkEnd w:id="15"/>
    </w:p>
    <w:p w14:paraId="1F11FD82" w14:textId="77777777" w:rsidR="00B949E1" w:rsidRDefault="00B949E1" w:rsidP="00B949E1">
      <w:pPr>
        <w:pStyle w:val="BodyText"/>
      </w:pPr>
      <w:r>
        <w:t xml:space="preserve">In the mid-2000s, the ACT Government began exploring options to reduce plastic waste through a plastic </w:t>
      </w:r>
      <w:r w:rsidRPr="00FD3ECF">
        <w:t>shopping bag ban</w:t>
      </w:r>
      <w:r>
        <w:t xml:space="preserve">. This resulted in legislation with the </w:t>
      </w:r>
      <w:r w:rsidRPr="001C29E5">
        <w:rPr>
          <w:i/>
          <w:iCs/>
        </w:rPr>
        <w:t>Plastic Shopping Bags Ban Act 2010</w:t>
      </w:r>
      <w:r>
        <w:t xml:space="preserve">, followed by the Plastic Shopping Bags Ban Regulation 2011. The Act was then repealed, and the </w:t>
      </w:r>
      <w:r w:rsidRPr="005F2570">
        <w:rPr>
          <w:i/>
          <w:iCs/>
        </w:rPr>
        <w:t>Plastic Reduction Act 2021</w:t>
      </w:r>
      <w:r>
        <w:t xml:space="preserve"> was introduced, expanding to more plastic items.</w:t>
      </w:r>
    </w:p>
    <w:p w14:paraId="10372FAF" w14:textId="77777777" w:rsidR="00B949E1" w:rsidRDefault="00B949E1" w:rsidP="00B949E1">
      <w:pPr>
        <w:pStyle w:val="BodyText"/>
      </w:pPr>
      <w:r>
        <w:t>Since its introduction, the regulations have contributed to reducing the amount of single-use plastic (SUP) bags produced and consumed in the ACT.</w:t>
      </w:r>
      <w:r>
        <w:rPr>
          <w:rStyle w:val="FootnoteReference"/>
        </w:rPr>
        <w:footnoteReference w:id="6"/>
      </w:r>
      <w:r>
        <w:t xml:space="preserve"> A 2018 review conducted by the Office of the Commissioner for Sustainability and the Environment</w:t>
      </w:r>
      <w:r w:rsidRPr="001C29E5">
        <w:rPr>
          <w:vertAlign w:val="superscript"/>
        </w:rPr>
        <w:footnoteReference w:id="7"/>
      </w:r>
      <w:r>
        <w:t xml:space="preserve"> found that between 2011-12 and 2017-18, plastic bag consumption was approximately 1,132 tonnes lower than it would have been without the ban.</w:t>
      </w:r>
    </w:p>
    <w:p w14:paraId="302CFCAE" w14:textId="77777777" w:rsidR="00B949E1" w:rsidRDefault="00B949E1" w:rsidP="00B949E1">
      <w:pPr>
        <w:pStyle w:val="BodyText"/>
      </w:pPr>
      <w:r>
        <w:t xml:space="preserve">While the initial plastic shopping bag ban has helped reduce plastic consumption in the Territory, the review also noted that consumption levels of plastic bags were gradually increasing, with predictions of early 2020s consumption rates likely surpassing pre-ban levels. These predictions supported the need for continued systemic government intervention to reduce the prevalence of SUP in the Territory. </w:t>
      </w:r>
    </w:p>
    <w:p w14:paraId="48E66A37" w14:textId="77777777" w:rsidR="00B949E1" w:rsidRDefault="00B949E1" w:rsidP="00B949E1">
      <w:pPr>
        <w:pStyle w:val="BodyText"/>
      </w:pPr>
      <w:r>
        <w:t xml:space="preserve">Around this time, the ACT Government established a Plastic Reduction Taskforce (the Taskforce) to guide policy development on SUPs, identify potential single-use items requiring action, and provide direction and ongoing advice to address various issues related to SUP in the ACT. The Taskforce included members from different national and local businesses, industry, and environmental and disability advocacy bodies. </w:t>
      </w:r>
    </w:p>
    <w:p w14:paraId="4A859300" w14:textId="77777777" w:rsidR="00B949E1" w:rsidRDefault="00B949E1" w:rsidP="00B949E1">
      <w:pPr>
        <w:pStyle w:val="BodyText"/>
      </w:pPr>
      <w:r>
        <w:t>Following the reports/work of the Taskforce, the Legislative Assembly introduced and passed the Plastic Reduction Bill 2021</w:t>
      </w:r>
      <w:r>
        <w:rPr>
          <w:rStyle w:val="FootnoteReference"/>
        </w:rPr>
        <w:footnoteReference w:id="8"/>
      </w:r>
      <w:r>
        <w:t xml:space="preserve"> in March 2021, making the ACT one of the first Australian jurisdictions to pass laws to address SUPs more broadly. </w:t>
      </w:r>
    </w:p>
    <w:p w14:paraId="01654ABC" w14:textId="77777777" w:rsidR="00B949E1" w:rsidRDefault="00B949E1" w:rsidP="00B949E1">
      <w:pPr>
        <w:pStyle w:val="BodyText"/>
      </w:pPr>
      <w:r>
        <w:t>The legislation allowed the ban of the first tranche of plastic products commencing 1</w:t>
      </w:r>
      <w:r w:rsidRPr="007C1548">
        <w:t xml:space="preserve"> </w:t>
      </w:r>
      <w:r>
        <w:t xml:space="preserve">July 2021. This ban included a preliminary ban on SUP cutlery, drink stirrers and expanded polystyrene (EPS) containers for take-away food and/or beverages. Tranche 1 included a series of exemptions that expired on 30 June 2022, paving the way for Tranche 2 products to be considered for phase-out. </w:t>
      </w:r>
    </w:p>
    <w:p w14:paraId="25F0B8B5" w14:textId="77777777" w:rsidR="00B949E1" w:rsidRDefault="00B949E1" w:rsidP="00B949E1">
      <w:pPr>
        <w:pStyle w:val="BodyText"/>
      </w:pPr>
      <w:r>
        <w:t>The Tranche 2 Consultation process included new items added to the ban. These included:</w:t>
      </w:r>
    </w:p>
    <w:p w14:paraId="1EEACA41" w14:textId="77777777" w:rsidR="00B949E1" w:rsidRDefault="00B949E1" w:rsidP="00B949E1">
      <w:pPr>
        <w:pStyle w:val="ListBullet"/>
        <w:numPr>
          <w:ilvl w:val="0"/>
          <w:numId w:val="9"/>
        </w:numPr>
      </w:pPr>
      <w:r>
        <w:t>SUP drinking straws (with an exemption for those who need them)</w:t>
      </w:r>
    </w:p>
    <w:p w14:paraId="305DDE11" w14:textId="77777777" w:rsidR="00B949E1" w:rsidRDefault="00B949E1" w:rsidP="00B949E1">
      <w:pPr>
        <w:pStyle w:val="ListBullet"/>
        <w:numPr>
          <w:ilvl w:val="0"/>
          <w:numId w:val="9"/>
        </w:numPr>
      </w:pPr>
      <w:r>
        <w:lastRenderedPageBreak/>
        <w:t>oxo-degradable plastic products</w:t>
      </w:r>
    </w:p>
    <w:p w14:paraId="1C1D0815" w14:textId="77777777" w:rsidR="00B949E1" w:rsidRDefault="00B949E1" w:rsidP="00B949E1">
      <w:pPr>
        <w:pStyle w:val="ListBullet"/>
        <w:numPr>
          <w:ilvl w:val="0"/>
          <w:numId w:val="9"/>
        </w:numPr>
      </w:pPr>
      <w:r>
        <w:t xml:space="preserve">cotton buds with plastic sticks. </w:t>
      </w:r>
    </w:p>
    <w:p w14:paraId="20CBDDEB" w14:textId="77777777" w:rsidR="00B949E1" w:rsidRDefault="00B949E1" w:rsidP="00B949E1">
      <w:pPr>
        <w:pStyle w:val="BodyText"/>
      </w:pPr>
      <w:r>
        <w:t>Following consultation with environmental groups, retailers, industry groups and individuals, these products above were banned from 1 July 2022 with the acceptance of the tranche 2 Regulatory Impact Statement (RIS) by the Legislative Assembly.</w:t>
      </w:r>
    </w:p>
    <w:p w14:paraId="480D38C1" w14:textId="77777777" w:rsidR="00B949E1" w:rsidRPr="00630468" w:rsidRDefault="00B949E1" w:rsidP="00B949E1">
      <w:pPr>
        <w:pStyle w:val="BodyText"/>
      </w:pPr>
      <w:r>
        <w:t>The bans apply to all businesses and organisations that sell or supply these items in the ACT, such as cafes, restaurants, supermarkets, events, and schools. The bans also cover bioplastics and oxo-degradable plastics that can break down into microplastics. The ACT Government has provided resources and support for businesses and consumers to comply with the ban and switch to more sustainable alternatives.</w:t>
      </w:r>
    </w:p>
    <w:p w14:paraId="3E472509" w14:textId="77777777" w:rsidR="00B949E1" w:rsidRDefault="00B949E1" w:rsidP="00B949E1">
      <w:pPr>
        <w:pStyle w:val="Heading2"/>
      </w:pPr>
      <w:bookmarkStart w:id="16" w:name="_Toc136872612"/>
      <w:r>
        <w:t>RIS scope</w:t>
      </w:r>
      <w:bookmarkEnd w:id="16"/>
      <w:r>
        <w:t xml:space="preserve"> </w:t>
      </w:r>
    </w:p>
    <w:p w14:paraId="4A648F0E" w14:textId="77777777" w:rsidR="00B949E1" w:rsidRDefault="00B949E1" w:rsidP="00B949E1">
      <w:pPr>
        <w:pStyle w:val="BodyText"/>
      </w:pPr>
      <w:r>
        <w:t xml:space="preserve">ACT NoWaste has engaged ACIL Allen to conduct a cost-benefit analysis (CBA) and RIS to assess the net impact of phasing out another 5 SUP items (described below). </w:t>
      </w:r>
    </w:p>
    <w:p w14:paraId="0ED0DC30" w14:textId="77777777" w:rsidR="00B949E1" w:rsidRDefault="00B949E1" w:rsidP="00E70910">
      <w:pPr>
        <w:pStyle w:val="Heading3"/>
      </w:pPr>
      <w:r>
        <w:t>Plastic microbeads in rinse-off personal care, cosmetic and cleaning products</w:t>
      </w:r>
    </w:p>
    <w:p w14:paraId="7D9BD794" w14:textId="77777777" w:rsidR="00B949E1" w:rsidRDefault="00B949E1" w:rsidP="00B949E1">
      <w:pPr>
        <w:pStyle w:val="BodyText"/>
      </w:pPr>
      <w:r>
        <w:t>Plastic microbeads (or microbeads) are a multi-use product used widely in the cosmetic, cleaning and manufacturing industries. Microbeads are small, solid, manufactured plastic particles</w:t>
      </w:r>
      <w:r>
        <w:rPr>
          <w:rStyle w:val="FootnoteReference"/>
        </w:rPr>
        <w:footnoteReference w:id="9"/>
      </w:r>
      <w:r>
        <w:t xml:space="preserve"> that are not dissolvable or degradable in water. Due to their size and availability, microbeads serve as a relatively cheap ingredient. </w:t>
      </w:r>
    </w:p>
    <w:p w14:paraId="5EAA472B" w14:textId="77777777" w:rsidR="00B949E1" w:rsidRDefault="00B949E1" w:rsidP="00B949E1">
      <w:pPr>
        <w:pStyle w:val="BodyText"/>
      </w:pPr>
      <w:r>
        <w:t>Microbeads are typically not captured by most existing wastewater treatment systems. As such, they can end up in Australian rivers, lakes, and oceans.</w:t>
      </w:r>
      <w:r>
        <w:rPr>
          <w:rStyle w:val="FootnoteReference"/>
        </w:rPr>
        <w:footnoteReference w:id="10"/>
      </w:r>
      <w:r>
        <w:t xml:space="preserve"> Microbeads are persistent in the environment, usually having a damaging effect on marine life, the environment and potentially on human health. </w:t>
      </w:r>
    </w:p>
    <w:p w14:paraId="457926F2" w14:textId="77777777" w:rsidR="00B949E1" w:rsidRDefault="00B949E1" w:rsidP="00B949E1">
      <w:pPr>
        <w:pStyle w:val="BodyText"/>
      </w:pPr>
      <w:r>
        <w:t>The most common ingredients in microbeads are polyethylene (PE), polyethylene terephthalate (PET), nylon (PA), polypropylene (PP), and polymethyl methacrylate (PMMA).</w:t>
      </w:r>
      <w:r>
        <w:rPr>
          <w:rStyle w:val="FootnoteReference"/>
        </w:rPr>
        <w:footnoteReference w:id="11"/>
      </w:r>
      <w:r>
        <w:t xml:space="preserve"> These ingredients can be substituted with many natural abrasive ingredients that do not pollute nor harm the environment, such as pumice, salt, and crushed seed kernels.</w:t>
      </w:r>
      <w:r>
        <w:rPr>
          <w:rStyle w:val="FootnoteReference"/>
        </w:rPr>
        <w:footnoteReference w:id="12"/>
      </w:r>
    </w:p>
    <w:p w14:paraId="53D7E216" w14:textId="77777777" w:rsidR="00B949E1" w:rsidRDefault="00B949E1" w:rsidP="00B949E1">
      <w:pPr>
        <w:pStyle w:val="Heading3"/>
      </w:pPr>
      <w:r>
        <w:t xml:space="preserve">Expanded polystyrene (EPS) loose-fill and fresh produce/meat </w:t>
      </w:r>
      <w:proofErr w:type="gramStart"/>
      <w:r>
        <w:t>packaging</w:t>
      </w:r>
      <w:proofErr w:type="gramEnd"/>
    </w:p>
    <w:p w14:paraId="1C094D78" w14:textId="77777777" w:rsidR="00B949E1" w:rsidRDefault="00B949E1" w:rsidP="00B949E1">
      <w:pPr>
        <w:pStyle w:val="BodyText"/>
      </w:pPr>
      <w:r>
        <w:t>EPS loose-fill packaging is made from a lightweight cellular plastic material with small hollow spherical balls.</w:t>
      </w:r>
      <w:r>
        <w:rPr>
          <w:rStyle w:val="FootnoteReference"/>
        </w:rPr>
        <w:footnoteReference w:id="13"/>
      </w:r>
      <w:r>
        <w:t xml:space="preserve"> EPS packaging is not recyclable and has a high environmental impact if littered. EPS does not degrade, and most do not dissolve in water, which pollutes waterways and the wider environment. </w:t>
      </w:r>
    </w:p>
    <w:p w14:paraId="2BEDC884" w14:textId="77777777" w:rsidR="00B949E1" w:rsidRDefault="00B949E1" w:rsidP="00B949E1">
      <w:pPr>
        <w:pStyle w:val="BodyText"/>
      </w:pPr>
      <w:r>
        <w:t xml:space="preserve">EPS trays are primarily used for fruit and meat trays and serving. They are made of the same materials as other EPS packaging but at a higher density to store produce and meat. EPS trays </w:t>
      </w:r>
      <w:r>
        <w:lastRenderedPageBreak/>
        <w:t>have the same environmental impact as other EPS products and cannot be recycled using kerbside recycling systems.</w:t>
      </w:r>
      <w:r>
        <w:rPr>
          <w:rStyle w:val="FootnoteReference"/>
        </w:rPr>
        <w:footnoteReference w:id="14"/>
      </w:r>
      <w:r>
        <w:t xml:space="preserve"> </w:t>
      </w:r>
    </w:p>
    <w:p w14:paraId="5C323436" w14:textId="77777777" w:rsidR="00B949E1" w:rsidRDefault="00B949E1" w:rsidP="00B949E1">
      <w:pPr>
        <w:pStyle w:val="ListBullet2"/>
        <w:numPr>
          <w:ilvl w:val="1"/>
          <w:numId w:val="0"/>
        </w:numPr>
      </w:pPr>
      <w:r>
        <w:t>Some alternatives to EPS loose-fill packaging have a lower environmental impact and can be recycled,</w:t>
      </w:r>
      <w:r w:rsidRPr="00F6445F">
        <w:t xml:space="preserve"> such as recycled cardboard, recyclable plastic mouldings and LDPE air pillow padding</w:t>
      </w:r>
      <w:r>
        <w:t xml:space="preserve">. </w:t>
      </w:r>
    </w:p>
    <w:p w14:paraId="0D09E7AB" w14:textId="77777777" w:rsidR="00B949E1" w:rsidRDefault="00B949E1" w:rsidP="00B949E1">
      <w:pPr>
        <w:pStyle w:val="Heading3"/>
      </w:pPr>
      <w:r>
        <w:t xml:space="preserve">SUP take-away </w:t>
      </w:r>
      <w:proofErr w:type="gramStart"/>
      <w:r>
        <w:t>containers</w:t>
      </w:r>
      <w:proofErr w:type="gramEnd"/>
    </w:p>
    <w:p w14:paraId="50093BC0" w14:textId="77777777" w:rsidR="00B949E1" w:rsidRDefault="00B949E1" w:rsidP="00B949E1">
      <w:pPr>
        <w:pStyle w:val="BodyText"/>
      </w:pPr>
      <w:r>
        <w:t>Like all SUP products, plastic take-away containers are designed for just one use. Discarded plastic take-away containers, plates, and bowls do not break down for hundreds of years.</w:t>
      </w:r>
      <w:r>
        <w:rPr>
          <w:rStyle w:val="FootnoteReference"/>
        </w:rPr>
        <w:footnoteReference w:id="15"/>
      </w:r>
      <w:r>
        <w:t xml:space="preserve"> This waste ends up in landfills or as litter, which can harm wildlife and the environment. </w:t>
      </w:r>
    </w:p>
    <w:p w14:paraId="0D460A2C" w14:textId="77777777" w:rsidR="00B949E1" w:rsidRDefault="00B949E1" w:rsidP="00B949E1">
      <w:pPr>
        <w:pStyle w:val="BodyText"/>
      </w:pPr>
      <w:r>
        <w:t>Plastic take-away containers are usually made of non-recycled material and are cheap, lightweight, and readily available for consumers. The most common ingredients found in takeout containers are polyethylene (4) or polypropylene (5).</w:t>
      </w:r>
      <w:r>
        <w:rPr>
          <w:rStyle w:val="FootnoteReference"/>
        </w:rPr>
        <w:footnoteReference w:id="16"/>
      </w:r>
      <w:r>
        <w:t xml:space="preserve"> This RIS only considers non-recyclable plastic take-away containers.</w:t>
      </w:r>
    </w:p>
    <w:p w14:paraId="5300F028" w14:textId="77777777" w:rsidR="00B949E1" w:rsidRDefault="00B949E1" w:rsidP="00B949E1">
      <w:pPr>
        <w:pStyle w:val="BodyText"/>
      </w:pPr>
      <w:r>
        <w:t>Single-use alternatives for plastic take-away containers include ones made of bamboo, bagasse, or palm leaves, and reusable alternatives include stainless steel, reusable plastic, or glass containers.</w:t>
      </w:r>
    </w:p>
    <w:p w14:paraId="660A14E2" w14:textId="77777777" w:rsidR="00B949E1" w:rsidRDefault="00B949E1" w:rsidP="00B949E1">
      <w:pPr>
        <w:pStyle w:val="Heading3"/>
      </w:pPr>
      <w:r>
        <w:t>SUP plates and bowls</w:t>
      </w:r>
    </w:p>
    <w:p w14:paraId="2BD00096" w14:textId="77777777" w:rsidR="00B949E1" w:rsidRDefault="00B949E1" w:rsidP="00B949E1">
      <w:pPr>
        <w:pStyle w:val="BodyText"/>
      </w:pPr>
      <w:r>
        <w:t>Some plastic plates and bowls are made from ‘bioplastic’ or mixed materials, which still take a long time to decompose and create a waste problem. Most plastic take-away plates and bowls are made from the same materials as SUP take-away containers. The most readily available and cheapest take-away plates and bowls are non-recyclable, further contributing to Australia’s litter and waste problem. Alternatives to these products are fibre-based products, stainless steel or ceramic reusable items or genuine compostable alternatives that meet Australian Standards.</w:t>
      </w:r>
      <w:r>
        <w:rPr>
          <w:rStyle w:val="FootnoteReference"/>
        </w:rPr>
        <w:footnoteReference w:id="17"/>
      </w:r>
    </w:p>
    <w:p w14:paraId="65B35634" w14:textId="77777777" w:rsidR="00B949E1" w:rsidRDefault="00B949E1" w:rsidP="00B949E1">
      <w:pPr>
        <w:pStyle w:val="BodyText"/>
      </w:pPr>
      <w:r>
        <w:t>Non-recyclable SUP bowls pose more challenges in phasing-out than plates. In Victoria, the phasing out and ban on plates and bowls have been separated, primarily due to function and usage. Bowls are more robust than plates, as they can hold more solids and liquids and be used to hold hot and cold foods. It is also more practical for transport whilst being lightweight, cheap, and readily available.</w:t>
      </w:r>
      <w:r>
        <w:rPr>
          <w:rStyle w:val="FootnoteReference"/>
        </w:rPr>
        <w:footnoteReference w:id="18"/>
      </w:r>
    </w:p>
    <w:p w14:paraId="2BFEEF52" w14:textId="77777777" w:rsidR="00B949E1" w:rsidRPr="007E12AA" w:rsidRDefault="00B949E1" w:rsidP="00B949E1">
      <w:pPr>
        <w:pStyle w:val="Heading3"/>
      </w:pPr>
      <w:r>
        <w:t>Heavyweight and boutique plastic bags</w:t>
      </w:r>
    </w:p>
    <w:p w14:paraId="6E2FDBE0" w14:textId="77777777" w:rsidR="00B949E1" w:rsidRDefault="00B949E1" w:rsidP="00B949E1">
      <w:pPr>
        <w:pStyle w:val="BodyText"/>
      </w:pPr>
      <w:r>
        <w:t xml:space="preserve">Boutique plastic bags are mainly used in the retail environment and are designed for consumers to use once and then discard. They often get branded as ‘reusable’ due to their physical structure and sturdiness; however, they are often only used once and then end up in landfill or as harmful litter. </w:t>
      </w:r>
    </w:p>
    <w:p w14:paraId="3D131E54" w14:textId="77777777" w:rsidR="00B949E1" w:rsidRDefault="00B949E1" w:rsidP="00B949E1">
      <w:pPr>
        <w:pStyle w:val="BodyText"/>
      </w:pPr>
      <w:r>
        <w:t>The ban includes:</w:t>
      </w:r>
    </w:p>
    <w:p w14:paraId="217F6365" w14:textId="77777777" w:rsidR="00B949E1" w:rsidRDefault="00B949E1" w:rsidP="00B949E1">
      <w:pPr>
        <w:pStyle w:val="ListBullet"/>
        <w:numPr>
          <w:ilvl w:val="0"/>
          <w:numId w:val="9"/>
        </w:numPr>
      </w:pPr>
      <w:r>
        <w:t>All soft plastic bags greater than 35 microns in thickness</w:t>
      </w:r>
    </w:p>
    <w:p w14:paraId="2F14DC3B" w14:textId="77777777" w:rsidR="00B949E1" w:rsidRDefault="00B949E1" w:rsidP="00B949E1">
      <w:pPr>
        <w:pStyle w:val="ListBullet"/>
        <w:numPr>
          <w:ilvl w:val="0"/>
          <w:numId w:val="9"/>
        </w:numPr>
      </w:pPr>
      <w:r>
        <w:t xml:space="preserve">Shopping bags made from plastic-lined paper or cardboard. </w:t>
      </w:r>
    </w:p>
    <w:p w14:paraId="4E51824C" w14:textId="77777777" w:rsidR="00B949E1" w:rsidRDefault="00B949E1" w:rsidP="00B949E1">
      <w:pPr>
        <w:pStyle w:val="BodyText"/>
      </w:pPr>
      <w:r>
        <w:lastRenderedPageBreak/>
        <w:t xml:space="preserve">These products are not recyclable in household recycling bins making the likelihood of these bags ending up in landfill or as litter much more likely. </w:t>
      </w:r>
      <w:r w:rsidRPr="00216E7A">
        <w:t>In addition, less than 2% of lightweight plastic bags are recycled</w:t>
      </w:r>
      <w:r>
        <w:t>,</w:t>
      </w:r>
      <w:r w:rsidRPr="00216E7A">
        <w:t xml:space="preserve"> with the majority piling up in landfill, potentially lasting thousands of years</w:t>
      </w:r>
      <w:r>
        <w:t>.</w:t>
      </w:r>
      <w:r>
        <w:rPr>
          <w:rStyle w:val="FootnoteReference"/>
        </w:rPr>
        <w:footnoteReference w:id="19"/>
      </w:r>
      <w:r>
        <w:t xml:space="preserve"> Additionally, the ACT government recognises the difficulty in changing the industry from heavyweight and boutique plastic bags to reusable alternatives, especially because these are readily available and cheap for consumers.</w:t>
      </w:r>
      <w:r>
        <w:rPr>
          <w:rStyle w:val="FootnoteReference"/>
        </w:rPr>
        <w:footnoteReference w:id="20"/>
      </w:r>
    </w:p>
    <w:p w14:paraId="280086A9" w14:textId="77777777" w:rsidR="00B949E1" w:rsidRDefault="00B949E1" w:rsidP="00B949E1">
      <w:pPr>
        <w:pStyle w:val="Heading2"/>
      </w:pPr>
      <w:bookmarkStart w:id="17" w:name="_Ref131592168"/>
      <w:bookmarkStart w:id="18" w:name="_Toc136872613"/>
      <w:r>
        <w:t>Legislative and policy requirements</w:t>
      </w:r>
      <w:bookmarkEnd w:id="17"/>
      <w:bookmarkEnd w:id="18"/>
      <w:r>
        <w:t xml:space="preserve"> </w:t>
      </w:r>
    </w:p>
    <w:p w14:paraId="373ACE32" w14:textId="77777777" w:rsidR="00B949E1" w:rsidRDefault="00B949E1" w:rsidP="00B949E1">
      <w:pPr>
        <w:pStyle w:val="BodyText"/>
      </w:pPr>
      <w:r>
        <w:t>The ACT’s current legislative and policy framework, including waste management strategy, provide the parameters for analysing the proposed regulations and the objectives a phase-out seeks to achieve.</w:t>
      </w:r>
    </w:p>
    <w:p w14:paraId="660534F8" w14:textId="77777777" w:rsidR="00B949E1" w:rsidRDefault="00B949E1" w:rsidP="00B949E1">
      <w:pPr>
        <w:pStyle w:val="BodyText"/>
      </w:pPr>
      <w:r>
        <w:t>The ACT already has some of Australia's most ambitious waste management and resource recovery targets, including participation in national waste policies and action plans. They are discussed in detail below.</w:t>
      </w:r>
    </w:p>
    <w:p w14:paraId="70CE0201" w14:textId="77777777" w:rsidR="00B949E1" w:rsidRDefault="00B949E1" w:rsidP="00B949E1">
      <w:pPr>
        <w:pStyle w:val="Heading3"/>
      </w:pPr>
      <w:r>
        <w:t>Waste Management Strategy</w:t>
      </w:r>
    </w:p>
    <w:p w14:paraId="2A2FE07E" w14:textId="77777777" w:rsidR="00B949E1" w:rsidRDefault="00B949E1" w:rsidP="00B949E1">
      <w:pPr>
        <w:pStyle w:val="BodyText"/>
      </w:pPr>
      <w:r w:rsidRPr="00255522">
        <w:t>The ACT Government Waste Management Strategy</w:t>
      </w:r>
      <w:r>
        <w:rPr>
          <w:rStyle w:val="FootnoteReference"/>
        </w:rPr>
        <w:footnoteReference w:id="21"/>
      </w:r>
      <w:r w:rsidRPr="00255522">
        <w:t xml:space="preserve"> aims to reduce waste</w:t>
      </w:r>
      <w:r>
        <w:t xml:space="preserve"> and consider it a resource</w:t>
      </w:r>
      <w:r w:rsidRPr="00255522">
        <w:t>. This strategy was developed with public input and follows the waste management hierarchy. This hierarchy prioriti</w:t>
      </w:r>
      <w:r>
        <w:t>s</w:t>
      </w:r>
      <w:r w:rsidRPr="00255522">
        <w:t>es reducing and reusing products before recycling and recovering them, with safe disposal as a last resort. This approach aligns with the principles of a circular economy.</w:t>
      </w:r>
    </w:p>
    <w:p w14:paraId="09C40CA1" w14:textId="77777777" w:rsidR="00B949E1" w:rsidRDefault="00B949E1" w:rsidP="00B949E1">
      <w:pPr>
        <w:pStyle w:val="BodyText"/>
      </w:pPr>
      <w:r>
        <w:t xml:space="preserve">The ACT currently generates 24,000 tonnes of plastic waste sent to landfill each year (see Section </w:t>
      </w:r>
      <w:r>
        <w:fldChar w:fldCharType="begin"/>
      </w:r>
      <w:r>
        <w:instrText xml:space="preserve"> REF _Ref131590004 \r \h </w:instrText>
      </w:r>
      <w:r>
        <w:fldChar w:fldCharType="separate"/>
      </w:r>
      <w:r>
        <w:t>3.1.1</w:t>
      </w:r>
      <w:r>
        <w:fldChar w:fldCharType="end"/>
      </w:r>
      <w:r>
        <w:t>), putting a heavy burden on the waste management system. SUP also does not follow the hierarchy approach as most SUP are disposed of instead of being reused.</w:t>
      </w:r>
      <w:r w:rsidRPr="001D4BED">
        <w:t xml:space="preserve"> </w:t>
      </w:r>
      <w:r>
        <w:t>Therefore, reducing the amount of SUP consumed will alleviate some of the stress on the system and increase alignment with the waste management hierarchy.</w:t>
      </w:r>
    </w:p>
    <w:p w14:paraId="41254193" w14:textId="77777777" w:rsidR="00B949E1" w:rsidRDefault="00B949E1" w:rsidP="00B949E1">
      <w:pPr>
        <w:pStyle w:val="Heading3"/>
      </w:pPr>
      <w:r>
        <w:t>Climate Change Strategy 2019–2025</w:t>
      </w:r>
    </w:p>
    <w:p w14:paraId="4D516A03" w14:textId="77777777" w:rsidR="00B949E1" w:rsidRDefault="00B949E1" w:rsidP="00B949E1">
      <w:pPr>
        <w:pStyle w:val="BodyText"/>
      </w:pPr>
      <w:r w:rsidRPr="00971B4B">
        <w:t xml:space="preserve">The ACT is a global leader </w:t>
      </w:r>
      <w:r>
        <w:t>i</w:t>
      </w:r>
      <w:r w:rsidRPr="00971B4B">
        <w:t xml:space="preserve">n climate change action with some of the </w:t>
      </w:r>
      <w:r>
        <w:t>world's most ambitious emissions reduction targets</w:t>
      </w:r>
      <w:r w:rsidRPr="00971B4B">
        <w:t xml:space="preserve">. </w:t>
      </w:r>
    </w:p>
    <w:p w14:paraId="475CC51D" w14:textId="77777777" w:rsidR="00B949E1" w:rsidRDefault="00B949E1" w:rsidP="00B949E1">
      <w:pPr>
        <w:pStyle w:val="BodyText"/>
      </w:pPr>
      <w:r>
        <w:t xml:space="preserve">In </w:t>
      </w:r>
      <w:r w:rsidRPr="00971B4B">
        <w:t>2019, the ACT Government achieved its 100% renewable electricity target. The ACT Climate Change Strategy establish</w:t>
      </w:r>
      <w:r>
        <w:t>es</w:t>
      </w:r>
      <w:r w:rsidRPr="00971B4B">
        <w:t xml:space="preserve"> a pathway for achieving net zero emissions by 2045. It includes actions to reduce emissions and build resilience to climate change impacts</w:t>
      </w:r>
      <w:r>
        <w:t>.</w:t>
      </w:r>
      <w:r>
        <w:rPr>
          <w:rStyle w:val="FootnoteReference"/>
        </w:rPr>
        <w:footnoteReference w:id="22"/>
      </w:r>
    </w:p>
    <w:p w14:paraId="4D02C313" w14:textId="77777777" w:rsidR="00B949E1" w:rsidRDefault="00B949E1" w:rsidP="00B949E1">
      <w:pPr>
        <w:pStyle w:val="BodyText"/>
      </w:pPr>
      <w:r>
        <w:t>Plastic production and disposal have a significant carbon footprint (as further discussed in Section </w:t>
      </w:r>
      <w:r>
        <w:fldChar w:fldCharType="begin"/>
      </w:r>
      <w:r>
        <w:instrText xml:space="preserve"> REF _Ref131587574 \r \h </w:instrText>
      </w:r>
      <w:r>
        <w:fldChar w:fldCharType="separate"/>
      </w:r>
      <w:r>
        <w:t>3.2.1</w:t>
      </w:r>
      <w:r>
        <w:fldChar w:fldCharType="end"/>
      </w:r>
      <w:r>
        <w:t>); thus</w:t>
      </w:r>
      <w:r w:rsidRPr="00971B4B">
        <w:t xml:space="preserve">, reducing the consumption of </w:t>
      </w:r>
      <w:r>
        <w:t>SUP</w:t>
      </w:r>
      <w:r w:rsidRPr="00971B4B">
        <w:t>s will help deliver the ACT Government’s commitment to tackling climate change.</w:t>
      </w:r>
    </w:p>
    <w:p w14:paraId="7E028C10" w14:textId="77777777" w:rsidR="00B949E1" w:rsidRDefault="00B949E1" w:rsidP="00B949E1">
      <w:pPr>
        <w:pStyle w:val="Heading3"/>
      </w:pPr>
      <w:r>
        <w:lastRenderedPageBreak/>
        <w:t>2018 National Waste Policy and 2019 National Waste Policy Action Plan</w:t>
      </w:r>
    </w:p>
    <w:p w14:paraId="42C42BB0" w14:textId="77777777" w:rsidR="00B949E1" w:rsidRDefault="00B949E1" w:rsidP="00B949E1">
      <w:pPr>
        <w:pStyle w:val="BodyText"/>
      </w:pPr>
      <w:r w:rsidRPr="007B01DA">
        <w:t>In 2018, all Australian Governments</w:t>
      </w:r>
      <w:r>
        <w:t>, including the ACT Government,</w:t>
      </w:r>
      <w:r w:rsidRPr="007B01DA">
        <w:t xml:space="preserve"> agreed to a National Waste Policy</w:t>
      </w:r>
      <w:r>
        <w:rPr>
          <w:rStyle w:val="FootnoteReference"/>
        </w:rPr>
        <w:footnoteReference w:id="23"/>
      </w:r>
      <w:r w:rsidRPr="007B01DA">
        <w:t xml:space="preserve"> that promotes a circular economy. This policy aims to shift from the traditional ‘take, make, use and dispose’ approach to one where resources are used </w:t>
      </w:r>
      <w:proofErr w:type="gramStart"/>
      <w:r w:rsidRPr="007B01DA">
        <w:t>efficiently</w:t>
      </w:r>
      <w:proofErr w:type="gramEnd"/>
      <w:r w:rsidRPr="007B01DA">
        <w:t xml:space="preserve"> and their value is maintained for as long as possible. Strategy 10 specifically targets plastics and packaging to reduce their impact on the environment and oceans while maximi</w:t>
      </w:r>
      <w:r>
        <w:t>s</w:t>
      </w:r>
      <w:r w:rsidRPr="007B01DA">
        <w:t xml:space="preserve">ing </w:t>
      </w:r>
      <w:r>
        <w:t>economic and societal benefits</w:t>
      </w:r>
      <w:r w:rsidRPr="007B01DA">
        <w:t>.</w:t>
      </w:r>
    </w:p>
    <w:p w14:paraId="7ACCCBBC" w14:textId="77777777" w:rsidR="00B949E1" w:rsidRDefault="00B949E1" w:rsidP="00B949E1">
      <w:pPr>
        <w:pStyle w:val="BodyText"/>
      </w:pPr>
      <w:r>
        <w:t>SUP production and consumption do not support a circular economy. Evidence suggests that only 13% of Australia’s SUP is recycled.</w:t>
      </w:r>
      <w:r>
        <w:rPr>
          <w:rStyle w:val="FootnoteReference"/>
        </w:rPr>
        <w:footnoteReference w:id="24"/>
      </w:r>
      <w:r>
        <w:t xml:space="preserve"> Reducing the consumption of SUP in the ACT would support this strategy.</w:t>
      </w:r>
    </w:p>
    <w:p w14:paraId="1DB0F278" w14:textId="77777777" w:rsidR="00B949E1" w:rsidRDefault="00B949E1" w:rsidP="00B949E1">
      <w:pPr>
        <w:pStyle w:val="Heading2"/>
      </w:pPr>
      <w:bookmarkStart w:id="19" w:name="_Toc136872614"/>
      <w:r>
        <w:t>RIS requirements</w:t>
      </w:r>
      <w:bookmarkEnd w:id="19"/>
    </w:p>
    <w:p w14:paraId="2852B325" w14:textId="77777777" w:rsidR="00B949E1" w:rsidRDefault="00B949E1" w:rsidP="00B949E1">
      <w:pPr>
        <w:pStyle w:val="BodyText"/>
      </w:pPr>
      <w:r>
        <w:t xml:space="preserve">The RIS must consider the ACT Treasury’s </w:t>
      </w:r>
      <w:r w:rsidRPr="0065175B">
        <w:rPr>
          <w:i/>
          <w:iCs/>
        </w:rPr>
        <w:t>Best Practice Guide for Preparing Regulatory Impact Statements</w:t>
      </w:r>
      <w:r>
        <w:rPr>
          <w:i/>
          <w:iCs/>
        </w:rPr>
        <w:t>,</w:t>
      </w:r>
      <w:r>
        <w:rPr>
          <w:rStyle w:val="FootnoteReference"/>
        </w:rPr>
        <w:footnoteReference w:id="25"/>
      </w:r>
      <w:r>
        <w:t xml:space="preserve"> which requires the RIS to address 7 key points:</w:t>
      </w:r>
    </w:p>
    <w:p w14:paraId="07AF6C36" w14:textId="77777777" w:rsidR="00B949E1" w:rsidRDefault="00B949E1" w:rsidP="00B949E1">
      <w:pPr>
        <w:pStyle w:val="ListNumber"/>
        <w:numPr>
          <w:ilvl w:val="0"/>
          <w:numId w:val="37"/>
        </w:numPr>
      </w:pPr>
      <w:r>
        <w:t xml:space="preserve">identifying the problem, including identifying market failure (address in Chapter </w:t>
      </w:r>
      <w:r>
        <w:fldChar w:fldCharType="begin"/>
      </w:r>
      <w:r>
        <w:instrText xml:space="preserve"> REF _Ref131163115 \r \h </w:instrText>
      </w:r>
      <w:r>
        <w:fldChar w:fldCharType="separate"/>
      </w:r>
      <w:r>
        <w:t>3</w:t>
      </w:r>
      <w:r>
        <w:fldChar w:fldCharType="end"/>
      </w:r>
      <w:r>
        <w:t>)</w:t>
      </w:r>
    </w:p>
    <w:p w14:paraId="6FD6F7F4" w14:textId="77777777" w:rsidR="00B949E1" w:rsidRDefault="00B949E1" w:rsidP="00B949E1">
      <w:pPr>
        <w:pStyle w:val="ListNumber"/>
      </w:pPr>
      <w:r>
        <w:t xml:space="preserve">stating the objectives of government intervention (addressed in Chapter </w:t>
      </w:r>
      <w:r>
        <w:fldChar w:fldCharType="begin"/>
      </w:r>
      <w:r>
        <w:instrText xml:space="preserve"> REF _Ref131163125 \r \h </w:instrText>
      </w:r>
      <w:r>
        <w:fldChar w:fldCharType="separate"/>
      </w:r>
      <w:r>
        <w:t>5</w:t>
      </w:r>
      <w:r>
        <w:fldChar w:fldCharType="end"/>
      </w:r>
      <w:r>
        <w:t>)</w:t>
      </w:r>
    </w:p>
    <w:p w14:paraId="24F34F84" w14:textId="77777777" w:rsidR="00B949E1" w:rsidRDefault="00B949E1" w:rsidP="00B949E1">
      <w:pPr>
        <w:pStyle w:val="ListNumber"/>
      </w:pPr>
      <w:r>
        <w:t xml:space="preserve">identifying options for achieving the objectives (addressed in Chapter </w:t>
      </w:r>
      <w:r>
        <w:fldChar w:fldCharType="begin"/>
      </w:r>
      <w:r>
        <w:instrText xml:space="preserve"> REF _Ref131163125 \r \h </w:instrText>
      </w:r>
      <w:r>
        <w:fldChar w:fldCharType="separate"/>
      </w:r>
      <w:r>
        <w:t>5</w:t>
      </w:r>
      <w:r>
        <w:fldChar w:fldCharType="end"/>
      </w:r>
      <w:r>
        <w:t>)</w:t>
      </w:r>
    </w:p>
    <w:p w14:paraId="253E48CE" w14:textId="77777777" w:rsidR="00B949E1" w:rsidRDefault="00B949E1" w:rsidP="00B949E1">
      <w:pPr>
        <w:pStyle w:val="ListNumber"/>
      </w:pPr>
      <w:r>
        <w:t xml:space="preserve">identifying mutual recognition issues (addressed in Chapter </w:t>
      </w:r>
      <w:r>
        <w:fldChar w:fldCharType="begin"/>
      </w:r>
      <w:r>
        <w:instrText xml:space="preserve"> REF _Ref130998119 \r \h </w:instrText>
      </w:r>
      <w:r>
        <w:fldChar w:fldCharType="separate"/>
      </w:r>
      <w:r>
        <w:t>7</w:t>
      </w:r>
      <w:r>
        <w:fldChar w:fldCharType="end"/>
      </w:r>
      <w:r>
        <w:t>)</w:t>
      </w:r>
    </w:p>
    <w:p w14:paraId="617BD61C" w14:textId="77777777" w:rsidR="00B949E1" w:rsidRDefault="00B949E1" w:rsidP="00B949E1">
      <w:pPr>
        <w:pStyle w:val="ListNumber"/>
      </w:pPr>
      <w:r>
        <w:t xml:space="preserve">undertaking a qualitative impact assessment (addressed in Chapter </w:t>
      </w:r>
      <w:r>
        <w:fldChar w:fldCharType="begin"/>
      </w:r>
      <w:r>
        <w:instrText xml:space="preserve"> REF _Ref130998119 \r \h </w:instrText>
      </w:r>
      <w:r>
        <w:fldChar w:fldCharType="separate"/>
      </w:r>
      <w:r>
        <w:t>7</w:t>
      </w:r>
      <w:r>
        <w:fldChar w:fldCharType="end"/>
      </w:r>
      <w:r>
        <w:t>)</w:t>
      </w:r>
    </w:p>
    <w:p w14:paraId="66D1D0C1" w14:textId="77777777" w:rsidR="00B949E1" w:rsidRDefault="00B949E1" w:rsidP="00B949E1">
      <w:pPr>
        <w:pStyle w:val="ListNumber"/>
      </w:pPr>
      <w:r>
        <w:t xml:space="preserve">determining a recommended option (addressed in Chapter </w:t>
      </w:r>
      <w:r>
        <w:fldChar w:fldCharType="begin"/>
      </w:r>
      <w:r>
        <w:instrText xml:space="preserve"> REF _Ref129854209 \r \h </w:instrText>
      </w:r>
      <w:r>
        <w:fldChar w:fldCharType="separate"/>
      </w:r>
      <w:r>
        <w:t>8</w:t>
      </w:r>
      <w:r>
        <w:fldChar w:fldCharType="end"/>
      </w:r>
      <w:r>
        <w:t>)</w:t>
      </w:r>
    </w:p>
    <w:p w14:paraId="1A425B20" w14:textId="77777777" w:rsidR="00B949E1" w:rsidRDefault="00B949E1" w:rsidP="00B949E1">
      <w:pPr>
        <w:pStyle w:val="ListNumber"/>
      </w:pPr>
      <w:r>
        <w:t xml:space="preserve">developing guidelines for the implementation of the recommended option (addressed in Chapter </w:t>
      </w:r>
      <w:r>
        <w:fldChar w:fldCharType="begin"/>
      </w:r>
      <w:r>
        <w:instrText xml:space="preserve"> REF _Ref131163170 \r \h </w:instrText>
      </w:r>
      <w:r>
        <w:fldChar w:fldCharType="separate"/>
      </w:r>
      <w:r>
        <w:t>9</w:t>
      </w:r>
      <w:r>
        <w:fldChar w:fldCharType="end"/>
      </w:r>
      <w:r>
        <w:t>).</w:t>
      </w:r>
    </w:p>
    <w:p w14:paraId="7EAE9A63" w14:textId="77777777" w:rsidR="00B949E1" w:rsidRDefault="00B949E1" w:rsidP="00B949E1">
      <w:pPr>
        <w:pStyle w:val="ListNumber"/>
        <w:numPr>
          <w:ilvl w:val="0"/>
          <w:numId w:val="0"/>
        </w:numPr>
      </w:pPr>
      <w:r>
        <w:t xml:space="preserve">In addition, the RIS has been developed using best practice regulatory principles and guidance promoted by the Commonwealth Office of Impact Assessment (OIA) in the </w:t>
      </w:r>
      <w:r w:rsidRPr="0038642E">
        <w:rPr>
          <w:i/>
          <w:iCs/>
        </w:rPr>
        <w:t>Regulatory</w:t>
      </w:r>
      <w:r>
        <w:rPr>
          <w:i/>
          <w:iCs/>
        </w:rPr>
        <w:t xml:space="preserve"> </w:t>
      </w:r>
      <w:r w:rsidRPr="0038642E">
        <w:rPr>
          <w:i/>
          <w:iCs/>
        </w:rPr>
        <w:t>Impact</w:t>
      </w:r>
      <w:r>
        <w:rPr>
          <w:i/>
          <w:iCs/>
        </w:rPr>
        <w:t xml:space="preserve"> </w:t>
      </w:r>
      <w:r w:rsidRPr="0038642E">
        <w:rPr>
          <w:i/>
          <w:iCs/>
        </w:rPr>
        <w:t>Analysis</w:t>
      </w:r>
      <w:r>
        <w:rPr>
          <w:i/>
          <w:iCs/>
        </w:rPr>
        <w:t xml:space="preserve"> </w:t>
      </w:r>
      <w:r w:rsidRPr="0038642E">
        <w:rPr>
          <w:i/>
          <w:iCs/>
        </w:rPr>
        <w:t>Guide</w:t>
      </w:r>
      <w:r>
        <w:rPr>
          <w:i/>
          <w:iCs/>
        </w:rPr>
        <w:t xml:space="preserve"> </w:t>
      </w:r>
      <w:r w:rsidRPr="0038642E">
        <w:rPr>
          <w:i/>
          <w:iCs/>
        </w:rPr>
        <w:t>for</w:t>
      </w:r>
      <w:r>
        <w:rPr>
          <w:i/>
          <w:iCs/>
        </w:rPr>
        <w:t xml:space="preserve"> </w:t>
      </w:r>
      <w:r w:rsidRPr="0038642E">
        <w:rPr>
          <w:i/>
          <w:iCs/>
        </w:rPr>
        <w:t>Ministers’ Meetings</w:t>
      </w:r>
      <w:r>
        <w:rPr>
          <w:i/>
          <w:iCs/>
        </w:rPr>
        <w:t xml:space="preserve"> </w:t>
      </w:r>
      <w:proofErr w:type="gramStart"/>
      <w:r>
        <w:rPr>
          <w:i/>
          <w:iCs/>
        </w:rPr>
        <w:t>A</w:t>
      </w:r>
      <w:r w:rsidRPr="0038642E">
        <w:rPr>
          <w:i/>
          <w:iCs/>
        </w:rPr>
        <w:t>nd</w:t>
      </w:r>
      <w:proofErr w:type="gramEnd"/>
      <w:r>
        <w:rPr>
          <w:i/>
          <w:iCs/>
        </w:rPr>
        <w:t xml:space="preserve"> </w:t>
      </w:r>
      <w:r w:rsidRPr="0038642E">
        <w:rPr>
          <w:i/>
          <w:iCs/>
        </w:rPr>
        <w:t>National</w:t>
      </w:r>
      <w:r>
        <w:rPr>
          <w:i/>
          <w:iCs/>
        </w:rPr>
        <w:t xml:space="preserve"> </w:t>
      </w:r>
      <w:r w:rsidRPr="0038642E">
        <w:rPr>
          <w:i/>
          <w:iCs/>
        </w:rPr>
        <w:t>Standard</w:t>
      </w:r>
      <w:r>
        <w:rPr>
          <w:i/>
          <w:iCs/>
        </w:rPr>
        <w:t xml:space="preserve"> </w:t>
      </w:r>
      <w:r w:rsidRPr="0038642E">
        <w:rPr>
          <w:i/>
          <w:iCs/>
        </w:rPr>
        <w:t>Setting</w:t>
      </w:r>
      <w:r>
        <w:rPr>
          <w:i/>
          <w:iCs/>
        </w:rPr>
        <w:t xml:space="preserve"> </w:t>
      </w:r>
      <w:r w:rsidRPr="0038642E">
        <w:rPr>
          <w:i/>
          <w:iCs/>
        </w:rPr>
        <w:t>Bodies</w:t>
      </w:r>
      <w:r>
        <w:rPr>
          <w:i/>
          <w:iCs/>
        </w:rPr>
        <w:t xml:space="preserve"> </w:t>
      </w:r>
      <w:r>
        <w:t>(referred to as the RIA Guidelines or OIA Guidelines)</w:t>
      </w:r>
      <w:r>
        <w:rPr>
          <w:rStyle w:val="FootnoteReference"/>
        </w:rPr>
        <w:footnoteReference w:id="26"/>
      </w:r>
      <w:r>
        <w:rPr>
          <w:i/>
          <w:iCs/>
        </w:rPr>
        <w:t>.</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584D2781" w14:textId="77777777" w:rsidTr="00B9362B">
        <w:tc>
          <w:tcPr>
            <w:tcW w:w="7936" w:type="dxa"/>
            <w:shd w:val="clear" w:color="auto" w:fill="auto"/>
            <w:tcMar>
              <w:top w:w="160" w:type="dxa"/>
              <w:bottom w:w="8" w:type="dxa"/>
            </w:tcMar>
          </w:tcPr>
          <w:p w14:paraId="0B65B7E9" w14:textId="77777777" w:rsidR="00B949E1" w:rsidRDefault="00B949E1" w:rsidP="00B9362B">
            <w:pPr>
              <w:pStyle w:val="Caption"/>
            </w:pPr>
            <w:bookmarkStart w:id="20" w:name="_Toc134002470"/>
            <w:r w:rsidRPr="00000D0E">
              <w:rPr>
                <w:rStyle w:val="CaptionLabel"/>
              </w:rPr>
              <w:lastRenderedPageBreak/>
              <w:t>Box </w:t>
            </w:r>
            <w:r w:rsidRPr="00000D0E">
              <w:rPr>
                <w:rStyle w:val="CaptionLabel"/>
              </w:rPr>
              <w:fldChar w:fldCharType="begin"/>
            </w:r>
            <w:r w:rsidRPr="00000D0E">
              <w:rPr>
                <w:rStyle w:val="CaptionLabel"/>
              </w:rPr>
              <w:instrText xml:space="preserve"> STYLEREF 1 \S \* MERGEFORMAT </w:instrText>
            </w:r>
            <w:r w:rsidRPr="00000D0E">
              <w:rPr>
                <w:rStyle w:val="CaptionLabel"/>
              </w:rPr>
              <w:fldChar w:fldCharType="separate"/>
            </w:r>
            <w:r>
              <w:rPr>
                <w:rStyle w:val="CaptionLabel"/>
                <w:noProof/>
              </w:rPr>
              <w:t>2</w:t>
            </w:r>
            <w:r w:rsidRPr="00000D0E">
              <w:rPr>
                <w:rStyle w:val="CaptionLabel"/>
              </w:rPr>
              <w:fldChar w:fldCharType="end"/>
            </w:r>
            <w:r w:rsidRPr="00000D0E">
              <w:rPr>
                <w:rStyle w:val="CaptionLabel"/>
              </w:rPr>
              <w:t>.</w:t>
            </w:r>
            <w:r w:rsidRPr="00000D0E">
              <w:rPr>
                <w:rStyle w:val="CaptionLabel"/>
              </w:rPr>
              <w:fldChar w:fldCharType="begin"/>
            </w:r>
            <w:r w:rsidRPr="00000D0E">
              <w:rPr>
                <w:rStyle w:val="CaptionLabel"/>
              </w:rPr>
              <w:instrText xml:space="preserve"> SEQ Box \* ARABIC \S 1 \* MERGEFORMAT </w:instrText>
            </w:r>
            <w:r w:rsidRPr="00000D0E">
              <w:rPr>
                <w:rStyle w:val="CaptionLabel"/>
              </w:rPr>
              <w:fldChar w:fldCharType="separate"/>
            </w:r>
            <w:r>
              <w:rPr>
                <w:rStyle w:val="CaptionLabel"/>
                <w:noProof/>
              </w:rPr>
              <w:t>1</w:t>
            </w:r>
            <w:r w:rsidRPr="00000D0E">
              <w:rPr>
                <w:rStyle w:val="CaptionLabel"/>
              </w:rPr>
              <w:fldChar w:fldCharType="end"/>
            </w:r>
            <w:r>
              <w:tab/>
            </w:r>
            <w:r w:rsidRPr="00000D0E">
              <w:t>What</w:t>
            </w:r>
            <w:r>
              <w:t xml:space="preserve"> </w:t>
            </w:r>
            <w:r w:rsidRPr="00000D0E">
              <w:t>is</w:t>
            </w:r>
            <w:r>
              <w:t xml:space="preserve"> </w:t>
            </w:r>
            <w:r w:rsidRPr="00000D0E">
              <w:t>the</w:t>
            </w:r>
            <w:r>
              <w:t xml:space="preserve"> </w:t>
            </w:r>
            <w:r w:rsidRPr="00000D0E">
              <w:t>best</w:t>
            </w:r>
            <w:r>
              <w:t xml:space="preserve"> </w:t>
            </w:r>
            <w:r w:rsidRPr="00000D0E">
              <w:t>option</w:t>
            </w:r>
            <w:r>
              <w:t xml:space="preserve"> </w:t>
            </w:r>
            <w:r w:rsidRPr="00000D0E">
              <w:t>from</w:t>
            </w:r>
            <w:r>
              <w:t xml:space="preserve"> </w:t>
            </w:r>
            <w:r w:rsidRPr="00000D0E">
              <w:t>those</w:t>
            </w:r>
            <w:r>
              <w:t xml:space="preserve"> </w:t>
            </w:r>
            <w:r w:rsidRPr="00000D0E">
              <w:t>considered?</w:t>
            </w:r>
            <w:bookmarkEnd w:id="20"/>
          </w:p>
        </w:tc>
      </w:tr>
      <w:tr w:rsidR="00B949E1" w14:paraId="79F328D0" w14:textId="77777777" w:rsidTr="00B9362B">
        <w:tc>
          <w:tcPr>
            <w:tcW w:w="7936" w:type="dxa"/>
            <w:shd w:val="clear" w:color="auto" w:fill="E5E5E5"/>
            <w:tcMar>
              <w:top w:w="112" w:type="dxa"/>
              <w:bottom w:w="184" w:type="dxa"/>
              <w:right w:w="120" w:type="dxa"/>
            </w:tcMar>
          </w:tcPr>
          <w:p w14:paraId="22F1731B" w14:textId="77777777" w:rsidR="00B949E1" w:rsidRDefault="00B949E1" w:rsidP="00B9362B">
            <w:pPr>
              <w:pStyle w:val="BoxText"/>
            </w:pPr>
            <w:r>
              <w:t xml:space="preserve">A </w:t>
            </w:r>
            <w:r w:rsidRPr="0023419A">
              <w:t>RIS</w:t>
            </w:r>
            <w:r>
              <w:t xml:space="preserve"> </w:t>
            </w:r>
            <w:r w:rsidRPr="0023419A">
              <w:t>must</w:t>
            </w:r>
            <w:r>
              <w:t xml:space="preserve"> </w:t>
            </w:r>
            <w:r w:rsidRPr="0023419A">
              <w:t>recommend</w:t>
            </w:r>
            <w:r>
              <w:t xml:space="preserve"> </w:t>
            </w:r>
            <w:r w:rsidRPr="0023419A">
              <w:t>a</w:t>
            </w:r>
            <w:r>
              <w:t xml:space="preserve"> </w:t>
            </w:r>
            <w:r w:rsidRPr="0023419A">
              <w:t>preferred</w:t>
            </w:r>
            <w:r>
              <w:t xml:space="preserve"> </w:t>
            </w:r>
            <w:r w:rsidRPr="0023419A">
              <w:t>option</w:t>
            </w:r>
            <w:r>
              <w:t xml:space="preserve"> </w:t>
            </w:r>
            <w:r w:rsidRPr="0023419A">
              <w:t>from</w:t>
            </w:r>
            <w:r>
              <w:t xml:space="preserve"> </w:t>
            </w:r>
            <w:r w:rsidRPr="0023419A">
              <w:t>among</w:t>
            </w:r>
            <w:r>
              <w:t xml:space="preserve"> </w:t>
            </w:r>
            <w:r w:rsidRPr="0023419A">
              <w:t>those</w:t>
            </w:r>
            <w:r>
              <w:t xml:space="preserve"> </w:t>
            </w:r>
            <w:r w:rsidRPr="0023419A">
              <w:t>presented</w:t>
            </w:r>
            <w:r>
              <w:t xml:space="preserve"> </w:t>
            </w:r>
            <w:r w:rsidRPr="0023419A">
              <w:t>and</w:t>
            </w:r>
            <w:r>
              <w:t xml:space="preserve"> </w:t>
            </w:r>
            <w:r w:rsidRPr="0023419A">
              <w:t>analysed.</w:t>
            </w:r>
            <w:r>
              <w:t xml:space="preserve"> Typically, the decision rule to identify the preferred policy option is to select the option with the highest net benefit to </w:t>
            </w:r>
            <w:proofErr w:type="gramStart"/>
            <w:r>
              <w:t>society as a whole</w:t>
            </w:r>
            <w:proofErr w:type="gramEnd"/>
            <w:r>
              <w:t xml:space="preserve">. However, there are some circumstances where </w:t>
            </w:r>
            <w:r w:rsidRPr="006B335A">
              <w:t>an</w:t>
            </w:r>
            <w:r>
              <w:t xml:space="preserve"> </w:t>
            </w:r>
            <w:r w:rsidRPr="006B335A">
              <w:t>option</w:t>
            </w:r>
            <w:r>
              <w:t xml:space="preserve">, </w:t>
            </w:r>
            <w:r w:rsidRPr="006B335A">
              <w:t>other</w:t>
            </w:r>
            <w:r>
              <w:t xml:space="preserve"> </w:t>
            </w:r>
            <w:r w:rsidRPr="006B335A">
              <w:t>than</w:t>
            </w:r>
            <w:r>
              <w:t xml:space="preserve"> </w:t>
            </w:r>
            <w:r w:rsidRPr="006B335A">
              <w:t>the</w:t>
            </w:r>
            <w:r>
              <w:t xml:space="preserve"> </w:t>
            </w:r>
            <w:r w:rsidRPr="006B335A">
              <w:t>one</w:t>
            </w:r>
            <w:r>
              <w:t xml:space="preserve"> </w:t>
            </w:r>
            <w:r w:rsidRPr="006B335A">
              <w:t>with</w:t>
            </w:r>
            <w:r>
              <w:t xml:space="preserve"> </w:t>
            </w:r>
            <w:r w:rsidRPr="006B335A">
              <w:t>the</w:t>
            </w:r>
            <w:r>
              <w:t xml:space="preserve"> </w:t>
            </w:r>
            <w:r w:rsidRPr="006B335A">
              <w:t>highest</w:t>
            </w:r>
            <w:r>
              <w:t xml:space="preserve"> </w:t>
            </w:r>
            <w:r w:rsidRPr="006B335A">
              <w:t>net</w:t>
            </w:r>
            <w:r>
              <w:t xml:space="preserve"> </w:t>
            </w:r>
            <w:r w:rsidRPr="006B335A">
              <w:t>benefit</w:t>
            </w:r>
            <w:r>
              <w:t xml:space="preserve">, </w:t>
            </w:r>
            <w:r w:rsidRPr="006B335A">
              <w:t>could</w:t>
            </w:r>
            <w:r>
              <w:t xml:space="preserve"> be </w:t>
            </w:r>
            <w:r w:rsidRPr="006B335A">
              <w:t>recommend</w:t>
            </w:r>
            <w:r>
              <w:t>ed. The circumstances where a ‘second best’ option could be recommended include:</w:t>
            </w:r>
          </w:p>
          <w:p w14:paraId="23D99439" w14:textId="77777777" w:rsidR="00B949E1" w:rsidRDefault="00B949E1" w:rsidP="00B9362B">
            <w:pPr>
              <w:pStyle w:val="BoxListBullet"/>
              <w:spacing w:before="100" w:after="100" w:line="280" w:lineRule="atLeast"/>
              <w:ind w:left="561"/>
            </w:pPr>
            <w:r>
              <w:t xml:space="preserve">When the option would deliver </w:t>
            </w:r>
            <w:r w:rsidRPr="00573572">
              <w:t>significant</w:t>
            </w:r>
            <w:r>
              <w:t xml:space="preserve"> </w:t>
            </w:r>
            <w:r w:rsidRPr="00573572">
              <w:t>benefits</w:t>
            </w:r>
            <w:r>
              <w:t xml:space="preserve"> </w:t>
            </w:r>
            <w:r w:rsidRPr="00573572">
              <w:t>that</w:t>
            </w:r>
            <w:r>
              <w:t xml:space="preserve"> </w:t>
            </w:r>
            <w:r w:rsidRPr="00573572">
              <w:t>can</w:t>
            </w:r>
            <w:r>
              <w:t xml:space="preserve">not </w:t>
            </w:r>
            <w:r w:rsidRPr="00573572">
              <w:t>be</w:t>
            </w:r>
            <w:r>
              <w:t xml:space="preserve"> </w:t>
            </w:r>
            <w:r w:rsidRPr="00573572">
              <w:t>monetised</w:t>
            </w:r>
            <w:r>
              <w:t>. The OIA’s CBA guidance notes that ‘</w:t>
            </w:r>
            <w:r w:rsidRPr="00573572">
              <w:t>if</w:t>
            </w:r>
            <w:r>
              <w:t xml:space="preserve"> </w:t>
            </w:r>
            <w:r w:rsidRPr="00573572">
              <w:t>a</w:t>
            </w:r>
            <w:r>
              <w:t xml:space="preserve"> </w:t>
            </w:r>
            <w:r w:rsidRPr="00573572">
              <w:t>proposal</w:t>
            </w:r>
            <w:r>
              <w:t xml:space="preserve"> </w:t>
            </w:r>
            <w:r w:rsidRPr="00573572">
              <w:t>is</w:t>
            </w:r>
            <w:r>
              <w:t xml:space="preserve"> </w:t>
            </w:r>
            <w:r w:rsidRPr="00573572">
              <w:t>advocated</w:t>
            </w:r>
            <w:r>
              <w:t xml:space="preserve"> </w:t>
            </w:r>
            <w:r w:rsidRPr="00573572">
              <w:t>despite</w:t>
            </w:r>
            <w:r>
              <w:t xml:space="preserve"> </w:t>
            </w:r>
            <w:r w:rsidRPr="00573572">
              <w:t>monetised</w:t>
            </w:r>
            <w:r>
              <w:t xml:space="preserve"> </w:t>
            </w:r>
            <w:r w:rsidRPr="00573572">
              <w:t>benefits</w:t>
            </w:r>
            <w:r>
              <w:t xml:space="preserve"> </w:t>
            </w:r>
            <w:r w:rsidRPr="00573572">
              <w:t>falling</w:t>
            </w:r>
            <w:r>
              <w:t xml:space="preserve"> </w:t>
            </w:r>
            <w:r w:rsidRPr="00573572">
              <w:t>significantly</w:t>
            </w:r>
            <w:r>
              <w:t xml:space="preserve"> </w:t>
            </w:r>
            <w:r w:rsidRPr="00573572">
              <w:t>short</w:t>
            </w:r>
            <w:r>
              <w:t xml:space="preserve"> </w:t>
            </w:r>
            <w:r w:rsidRPr="00573572">
              <w:t>of</w:t>
            </w:r>
            <w:r>
              <w:t xml:space="preserve"> </w:t>
            </w:r>
            <w:r w:rsidRPr="00573572">
              <w:t>monetised</w:t>
            </w:r>
            <w:r>
              <w:t xml:space="preserve"> </w:t>
            </w:r>
            <w:r w:rsidRPr="00573572">
              <w:t>costs,</w:t>
            </w:r>
            <w:r>
              <w:t xml:space="preserve"> </w:t>
            </w:r>
            <w:r w:rsidRPr="00573572">
              <w:t>the</w:t>
            </w:r>
            <w:r>
              <w:t xml:space="preserve"> </w:t>
            </w:r>
            <w:r w:rsidRPr="00573572">
              <w:t>RIS</w:t>
            </w:r>
            <w:r>
              <w:t xml:space="preserve"> </w:t>
            </w:r>
            <w:r w:rsidRPr="00573572">
              <w:t>should</w:t>
            </w:r>
            <w:r>
              <w:t xml:space="preserve"> </w:t>
            </w:r>
            <w:r w:rsidRPr="00573572">
              <w:t>explain</w:t>
            </w:r>
            <w:r>
              <w:t xml:space="preserve"> </w:t>
            </w:r>
            <w:r w:rsidRPr="00573572">
              <w:t>clearly</w:t>
            </w:r>
            <w:r>
              <w:t xml:space="preserve"> </w:t>
            </w:r>
            <w:r w:rsidRPr="00573572">
              <w:t>why</w:t>
            </w:r>
            <w:r>
              <w:t xml:space="preserve"> </w:t>
            </w:r>
            <w:r w:rsidRPr="00573572">
              <w:t>non-monetised</w:t>
            </w:r>
            <w:r>
              <w:t xml:space="preserve"> </w:t>
            </w:r>
            <w:r w:rsidRPr="00573572">
              <w:t>benefits</w:t>
            </w:r>
            <w:r>
              <w:t xml:space="preserve"> </w:t>
            </w:r>
            <w:r w:rsidRPr="00573572">
              <w:t>would</w:t>
            </w:r>
            <w:r>
              <w:t xml:space="preserve"> </w:t>
            </w:r>
            <w:r w:rsidRPr="00573572">
              <w:t>tip</w:t>
            </w:r>
            <w:r>
              <w:t xml:space="preserve"> </w:t>
            </w:r>
            <w:r w:rsidRPr="00573572">
              <w:t>the</w:t>
            </w:r>
            <w:r>
              <w:t xml:space="preserve"> </w:t>
            </w:r>
            <w:r w:rsidRPr="00573572">
              <w:t>balance</w:t>
            </w:r>
            <w:r>
              <w:t xml:space="preserve"> </w:t>
            </w:r>
            <w:r w:rsidRPr="00573572">
              <w:t>and</w:t>
            </w:r>
            <w:r>
              <w:t xml:space="preserve"> </w:t>
            </w:r>
            <w:r w:rsidRPr="00573572">
              <w:t>the</w:t>
            </w:r>
            <w:r>
              <w:t xml:space="preserve"> </w:t>
            </w:r>
            <w:r w:rsidRPr="00573572">
              <w:t>nature</w:t>
            </w:r>
            <w:r>
              <w:t xml:space="preserve"> </w:t>
            </w:r>
            <w:r w:rsidRPr="00573572">
              <w:t>of</w:t>
            </w:r>
            <w:r>
              <w:t xml:space="preserve"> </w:t>
            </w:r>
            <w:r w:rsidRPr="00573572">
              <w:t>the</w:t>
            </w:r>
            <w:r>
              <w:t xml:space="preserve"> </w:t>
            </w:r>
            <w:r w:rsidRPr="00573572">
              <w:t>inherent</w:t>
            </w:r>
            <w:r>
              <w:t xml:space="preserve"> </w:t>
            </w:r>
            <w:r w:rsidRPr="00573572">
              <w:t>uncertainties</w:t>
            </w:r>
            <w:r>
              <w:t xml:space="preserve"> </w:t>
            </w:r>
            <w:r w:rsidRPr="00573572">
              <w:t>in</w:t>
            </w:r>
            <w:r>
              <w:t xml:space="preserve"> </w:t>
            </w:r>
            <w:r w:rsidRPr="00573572">
              <w:t>the</w:t>
            </w:r>
            <w:r>
              <w:t xml:space="preserve"> </w:t>
            </w:r>
            <w:r w:rsidRPr="00573572">
              <w:t>size</w:t>
            </w:r>
            <w:r>
              <w:t xml:space="preserve"> </w:t>
            </w:r>
            <w:r w:rsidRPr="00573572">
              <w:t>of</w:t>
            </w:r>
            <w:r>
              <w:t xml:space="preserve"> </w:t>
            </w:r>
            <w:r w:rsidRPr="00573572">
              <w:t>the</w:t>
            </w:r>
            <w:r>
              <w:t xml:space="preserve"> </w:t>
            </w:r>
            <w:r w:rsidRPr="00573572">
              <w:t>benefits’</w:t>
            </w:r>
            <w:r>
              <w:rPr>
                <w:rStyle w:val="FootnoteReference"/>
              </w:rPr>
              <w:footnoteReference w:id="27"/>
            </w:r>
            <w:r>
              <w:t>.</w:t>
            </w:r>
          </w:p>
          <w:p w14:paraId="6D181822" w14:textId="77777777" w:rsidR="00B949E1" w:rsidRDefault="00B949E1" w:rsidP="00B9362B">
            <w:pPr>
              <w:pStyle w:val="BoxListBullet"/>
              <w:spacing w:before="100" w:after="100" w:line="280" w:lineRule="atLeast"/>
              <w:ind w:left="561"/>
            </w:pPr>
            <w:r>
              <w:t xml:space="preserve">When the option would provide higher resilience in the face of uncertainty. As noted by the OIA, an option can be recommended that has </w:t>
            </w:r>
            <w:r w:rsidRPr="00074308">
              <w:t>a</w:t>
            </w:r>
            <w:r>
              <w:t xml:space="preserve"> </w:t>
            </w:r>
            <w:r w:rsidRPr="00074308">
              <w:t>lower</w:t>
            </w:r>
            <w:r>
              <w:t xml:space="preserve"> </w:t>
            </w:r>
            <w:r w:rsidRPr="00074308">
              <w:t>expected</w:t>
            </w:r>
            <w:r>
              <w:t xml:space="preserve"> </w:t>
            </w:r>
            <w:r w:rsidRPr="00074308">
              <w:t>value</w:t>
            </w:r>
            <w:r>
              <w:t xml:space="preserve"> </w:t>
            </w:r>
            <w:r w:rsidRPr="00074308">
              <w:t>of</w:t>
            </w:r>
            <w:r>
              <w:t xml:space="preserve"> </w:t>
            </w:r>
            <w:r w:rsidRPr="00074308">
              <w:t>net</w:t>
            </w:r>
            <w:r>
              <w:t xml:space="preserve"> </w:t>
            </w:r>
            <w:r w:rsidRPr="00074308">
              <w:t>benefits,</w:t>
            </w:r>
            <w:r>
              <w:t xml:space="preserve"> </w:t>
            </w:r>
            <w:r w:rsidRPr="00074308">
              <w:t>but</w:t>
            </w:r>
            <w:r>
              <w:t xml:space="preserve"> </w:t>
            </w:r>
            <w:r w:rsidRPr="00074308">
              <w:t>with</w:t>
            </w:r>
            <w:r>
              <w:t xml:space="preserve"> </w:t>
            </w:r>
            <w:r w:rsidRPr="00074308">
              <w:t>a</w:t>
            </w:r>
            <w:r>
              <w:t xml:space="preserve"> </w:t>
            </w:r>
            <w:r w:rsidRPr="00074308">
              <w:t>smaller</w:t>
            </w:r>
            <w:r>
              <w:t xml:space="preserve"> </w:t>
            </w:r>
            <w:r w:rsidRPr="00074308">
              <w:t>chance</w:t>
            </w:r>
            <w:r>
              <w:t xml:space="preserve"> </w:t>
            </w:r>
            <w:r w:rsidRPr="00074308">
              <w:t>of</w:t>
            </w:r>
            <w:r>
              <w:t xml:space="preserve"> </w:t>
            </w:r>
            <w:r w:rsidRPr="00074308">
              <w:t>imposing</w:t>
            </w:r>
            <w:r>
              <w:t xml:space="preserve"> </w:t>
            </w:r>
            <w:r w:rsidRPr="00074308">
              <w:t>a</w:t>
            </w:r>
            <w:r>
              <w:t xml:space="preserve"> </w:t>
            </w:r>
            <w:r w:rsidRPr="00074308">
              <w:t>significant</w:t>
            </w:r>
            <w:r>
              <w:t xml:space="preserve"> </w:t>
            </w:r>
            <w:r w:rsidRPr="00074308">
              <w:t>net</w:t>
            </w:r>
            <w:r>
              <w:t xml:space="preserve"> </w:t>
            </w:r>
            <w:r w:rsidRPr="00074308">
              <w:t>cost</w:t>
            </w:r>
            <w:r>
              <w:t xml:space="preserve"> </w:t>
            </w:r>
            <w:r w:rsidRPr="00074308">
              <w:t>on</w:t>
            </w:r>
            <w:r>
              <w:t xml:space="preserve"> </w:t>
            </w:r>
            <w:r w:rsidRPr="00074308">
              <w:t>the</w:t>
            </w:r>
            <w:r>
              <w:t xml:space="preserve"> </w:t>
            </w:r>
            <w:r w:rsidRPr="00074308">
              <w:t>community</w:t>
            </w:r>
            <w:r>
              <w:t xml:space="preserve"> </w:t>
            </w:r>
            <w:r w:rsidRPr="00074308">
              <w:t>(lower</w:t>
            </w:r>
            <w:r>
              <w:t xml:space="preserve"> </w:t>
            </w:r>
            <w:r w:rsidRPr="00074308">
              <w:t>‘downside</w:t>
            </w:r>
            <w:r>
              <w:t xml:space="preserve"> </w:t>
            </w:r>
            <w:r w:rsidRPr="00074308">
              <w:t>risks’)</w:t>
            </w:r>
            <w:r>
              <w:t>.</w:t>
            </w:r>
            <w:r>
              <w:rPr>
                <w:rStyle w:val="FootnoteReference"/>
              </w:rPr>
              <w:footnoteReference w:id="28"/>
            </w:r>
          </w:p>
          <w:p w14:paraId="5062D0DA" w14:textId="77777777" w:rsidR="00B949E1" w:rsidRDefault="00B949E1" w:rsidP="00B9362B">
            <w:pPr>
              <w:pStyle w:val="BoxText"/>
            </w:pPr>
            <w:r>
              <w:t xml:space="preserve">Where the option with the highest net benefit </w:t>
            </w:r>
            <w:r w:rsidRPr="00A703B7">
              <w:t>disproportionately</w:t>
            </w:r>
            <w:r>
              <w:t xml:space="preserve"> </w:t>
            </w:r>
            <w:r w:rsidRPr="00A703B7">
              <w:t>impacts</w:t>
            </w:r>
            <w:r>
              <w:t xml:space="preserve"> </w:t>
            </w:r>
            <w:r w:rsidRPr="00A703B7">
              <w:t>a</w:t>
            </w:r>
            <w:r>
              <w:t xml:space="preserve"> </w:t>
            </w:r>
            <w:r w:rsidRPr="00A703B7">
              <w:t>vulnerable</w:t>
            </w:r>
            <w:r>
              <w:t xml:space="preserve"> </w:t>
            </w:r>
            <w:r w:rsidRPr="00A703B7">
              <w:t>sector</w:t>
            </w:r>
            <w:r>
              <w:t xml:space="preserve"> </w:t>
            </w:r>
            <w:r w:rsidRPr="00A703B7">
              <w:t>of</w:t>
            </w:r>
            <w:r>
              <w:t xml:space="preserve"> </w:t>
            </w:r>
            <w:r w:rsidRPr="00A703B7">
              <w:t>the</w:t>
            </w:r>
            <w:r>
              <w:t xml:space="preserve"> </w:t>
            </w:r>
            <w:r w:rsidRPr="00A703B7">
              <w:t>community</w:t>
            </w:r>
            <w:r>
              <w:t xml:space="preserve">. Indeed, the OIA’s CBA guidance indicates that </w:t>
            </w:r>
            <w:r w:rsidRPr="00A703B7">
              <w:t>decision</w:t>
            </w:r>
            <w:r>
              <w:t xml:space="preserve"> </w:t>
            </w:r>
            <w:r w:rsidRPr="00A703B7">
              <w:t>maker</w:t>
            </w:r>
            <w:r>
              <w:t>s ‘</w:t>
            </w:r>
            <w:r w:rsidRPr="00A703B7">
              <w:t>may</w:t>
            </w:r>
            <w:r>
              <w:t xml:space="preserve"> </w:t>
            </w:r>
            <w:r w:rsidRPr="00A703B7">
              <w:t>decide</w:t>
            </w:r>
            <w:r>
              <w:t xml:space="preserve"> </w:t>
            </w:r>
            <w:r w:rsidRPr="00A703B7">
              <w:t>to</w:t>
            </w:r>
            <w:r>
              <w:t xml:space="preserve"> </w:t>
            </w:r>
            <w:r w:rsidRPr="00A703B7">
              <w:t>reject</w:t>
            </w:r>
            <w:r>
              <w:t xml:space="preserve"> </w:t>
            </w:r>
            <w:r w:rsidRPr="00A703B7">
              <w:t>an</w:t>
            </w:r>
            <w:r>
              <w:t xml:space="preserve"> </w:t>
            </w:r>
            <w:r w:rsidRPr="00A703B7">
              <w:t>option</w:t>
            </w:r>
            <w:r>
              <w:t xml:space="preserve"> </w:t>
            </w:r>
            <w:r w:rsidRPr="00A703B7">
              <w:t>with</w:t>
            </w:r>
            <w:r>
              <w:t xml:space="preserve"> </w:t>
            </w:r>
            <w:r w:rsidRPr="00A703B7">
              <w:t>the</w:t>
            </w:r>
            <w:r>
              <w:t xml:space="preserve"> </w:t>
            </w:r>
            <w:r w:rsidRPr="00A703B7">
              <w:t>largest</w:t>
            </w:r>
            <w:r>
              <w:t xml:space="preserve"> </w:t>
            </w:r>
            <w:r w:rsidRPr="00A703B7">
              <w:t>NPV</w:t>
            </w:r>
            <w:r>
              <w:t xml:space="preserve"> </w:t>
            </w:r>
            <w:r w:rsidRPr="00A703B7">
              <w:t>if</w:t>
            </w:r>
            <w:r>
              <w:t xml:space="preserve"> </w:t>
            </w:r>
            <w:r w:rsidRPr="00A703B7">
              <w:t>it</w:t>
            </w:r>
            <w:r>
              <w:t xml:space="preserve"> </w:t>
            </w:r>
            <w:r w:rsidRPr="00A703B7">
              <w:t>has</w:t>
            </w:r>
            <w:r>
              <w:t xml:space="preserve"> </w:t>
            </w:r>
            <w:r w:rsidRPr="00A703B7">
              <w:t>significant</w:t>
            </w:r>
            <w:r>
              <w:t xml:space="preserve"> </w:t>
            </w:r>
            <w:r w:rsidRPr="00A703B7">
              <w:t>adverse</w:t>
            </w:r>
            <w:r>
              <w:t xml:space="preserve"> </w:t>
            </w:r>
            <w:r w:rsidRPr="00A703B7">
              <w:t>equity</w:t>
            </w:r>
            <w:r>
              <w:t xml:space="preserve"> </w:t>
            </w:r>
            <w:r w:rsidRPr="00A703B7">
              <w:t>impacts.</w:t>
            </w:r>
            <w:r>
              <w:t>’</w:t>
            </w:r>
            <w:r>
              <w:rPr>
                <w:rStyle w:val="FootnoteReference"/>
              </w:rPr>
              <w:footnoteReference w:id="29"/>
            </w:r>
          </w:p>
        </w:tc>
      </w:tr>
      <w:tr w:rsidR="00B949E1" w14:paraId="238BE93A" w14:textId="77777777" w:rsidTr="00B9362B">
        <w:tc>
          <w:tcPr>
            <w:tcW w:w="7936" w:type="dxa"/>
            <w:shd w:val="clear" w:color="auto" w:fill="auto"/>
            <w:tcMar>
              <w:top w:w="12" w:type="dxa"/>
              <w:bottom w:w="113" w:type="dxa"/>
            </w:tcMar>
          </w:tcPr>
          <w:p w14:paraId="0071A9CE" w14:textId="77777777" w:rsidR="00B949E1" w:rsidRDefault="00B949E1" w:rsidP="00B9362B">
            <w:pPr>
              <w:pStyle w:val="Source"/>
            </w:pPr>
            <w:r>
              <w:t xml:space="preserve">Source: </w:t>
            </w:r>
            <w:r w:rsidRPr="00000D0E">
              <w:t>ACIL</w:t>
            </w:r>
            <w:r>
              <w:t xml:space="preserve"> </w:t>
            </w:r>
            <w:r w:rsidRPr="00000D0E">
              <w:t>Allen</w:t>
            </w:r>
            <w:r>
              <w:t xml:space="preserve"> </w:t>
            </w:r>
            <w:r w:rsidRPr="00000D0E">
              <w:t>based</w:t>
            </w:r>
            <w:r>
              <w:t xml:space="preserve"> </w:t>
            </w:r>
            <w:r w:rsidRPr="00000D0E">
              <w:t>on</w:t>
            </w:r>
            <w:r>
              <w:t xml:space="preserve"> </w:t>
            </w:r>
            <w:r w:rsidRPr="00000D0E">
              <w:t>Commonwealth</w:t>
            </w:r>
            <w:r>
              <w:t xml:space="preserve"> </w:t>
            </w:r>
            <w:r w:rsidRPr="00000D0E">
              <w:t>of</w:t>
            </w:r>
            <w:r>
              <w:t xml:space="preserve"> </w:t>
            </w:r>
            <w:r w:rsidRPr="00000D0E">
              <w:t>Australia,</w:t>
            </w:r>
            <w:r>
              <w:t xml:space="preserve"> </w:t>
            </w:r>
            <w:r w:rsidRPr="00000D0E">
              <w:t>Department</w:t>
            </w:r>
            <w:r>
              <w:t xml:space="preserve"> </w:t>
            </w:r>
            <w:r w:rsidRPr="00000D0E">
              <w:t>of</w:t>
            </w:r>
            <w:r>
              <w:t xml:space="preserve"> </w:t>
            </w:r>
            <w:r w:rsidRPr="00000D0E">
              <w:t>the</w:t>
            </w:r>
            <w:r>
              <w:t xml:space="preserve"> </w:t>
            </w:r>
            <w:r w:rsidRPr="00000D0E">
              <w:t>Prime</w:t>
            </w:r>
            <w:r>
              <w:t xml:space="preserve"> </w:t>
            </w:r>
            <w:r w:rsidRPr="00000D0E">
              <w:t>Minister</w:t>
            </w:r>
            <w:r>
              <w:t xml:space="preserve"> </w:t>
            </w:r>
            <w:r w:rsidRPr="00000D0E">
              <w:t>and</w:t>
            </w:r>
            <w:r>
              <w:t xml:space="preserve"> </w:t>
            </w:r>
            <w:r w:rsidRPr="00000D0E">
              <w:t>Cabinet</w:t>
            </w:r>
            <w:r>
              <w:t xml:space="preserve"> </w:t>
            </w:r>
            <w:r w:rsidRPr="00000D0E">
              <w:t>2020,</w:t>
            </w:r>
            <w:r>
              <w:t xml:space="preserve"> </w:t>
            </w:r>
            <w:r w:rsidRPr="00000D0E">
              <w:t>Cost-benefit</w:t>
            </w:r>
            <w:r>
              <w:t xml:space="preserve"> </w:t>
            </w:r>
            <w:r w:rsidRPr="00000D0E">
              <w:t>analysis</w:t>
            </w:r>
            <w:r>
              <w:t xml:space="preserve"> </w:t>
            </w:r>
            <w:r w:rsidRPr="00000D0E">
              <w:t>guidance</w:t>
            </w:r>
            <w:r>
              <w:t xml:space="preserve"> </w:t>
            </w:r>
            <w:r w:rsidRPr="00000D0E">
              <w:t>note,</w:t>
            </w:r>
            <w:r>
              <w:t xml:space="preserve"> </w:t>
            </w:r>
            <w:r w:rsidRPr="00000D0E">
              <w:t>March</w:t>
            </w:r>
            <w:r>
              <w:t>.</w:t>
            </w:r>
          </w:p>
        </w:tc>
      </w:tr>
    </w:tbl>
    <w:p w14:paraId="497F220C" w14:textId="77777777" w:rsidR="00B949E1" w:rsidRDefault="00B949E1" w:rsidP="00B949E1">
      <w:pPr>
        <w:pStyle w:val="BodyText"/>
      </w:pPr>
      <w:r>
        <w:t xml:space="preserve">This </w:t>
      </w:r>
      <w:r w:rsidRPr="00E31657">
        <w:t>RIS</w:t>
      </w:r>
      <w:r>
        <w:t xml:space="preserve"> needs to be </w:t>
      </w:r>
      <w:r w:rsidRPr="00E31657">
        <w:t>assessed</w:t>
      </w:r>
      <w:r>
        <w:t xml:space="preserve"> </w:t>
      </w:r>
      <w:r w:rsidRPr="00E31657">
        <w:t>by</w:t>
      </w:r>
      <w:r>
        <w:t xml:space="preserve"> ACT NoWaste and ACT Treasury </w:t>
      </w:r>
      <w:r w:rsidRPr="00E31657">
        <w:t>for</w:t>
      </w:r>
      <w:r>
        <w:t xml:space="preserve"> </w:t>
      </w:r>
      <w:r w:rsidRPr="00E31657">
        <w:t>compliance</w:t>
      </w:r>
      <w:r>
        <w:t xml:space="preserve"> </w:t>
      </w:r>
      <w:r w:rsidRPr="00E31657">
        <w:t>with</w:t>
      </w:r>
      <w:r>
        <w:t xml:space="preserve"> </w:t>
      </w:r>
      <w:r w:rsidRPr="00E31657">
        <w:t>the</w:t>
      </w:r>
      <w:r>
        <w:t xml:space="preserve"> </w:t>
      </w:r>
      <w:r w:rsidRPr="00E31657">
        <w:t>Regulatory</w:t>
      </w:r>
      <w:r>
        <w:t xml:space="preserve"> </w:t>
      </w:r>
      <w:r w:rsidRPr="00E31657">
        <w:t>Impact</w:t>
      </w:r>
      <w:r>
        <w:t xml:space="preserve"> </w:t>
      </w:r>
      <w:r w:rsidRPr="00E31657">
        <w:t>Analysis</w:t>
      </w:r>
      <w:r>
        <w:t xml:space="preserve"> </w:t>
      </w:r>
      <w:r w:rsidRPr="00E31657">
        <w:t>(RIA) requirements</w:t>
      </w:r>
      <w:r>
        <w:t xml:space="preserve"> </w:t>
      </w:r>
      <w:r w:rsidRPr="00E31657">
        <w:t>for</w:t>
      </w:r>
      <w:r>
        <w:t xml:space="preserve"> </w:t>
      </w:r>
      <w:r w:rsidRPr="00E31657">
        <w:t>best</w:t>
      </w:r>
      <w:r>
        <w:t xml:space="preserve"> </w:t>
      </w:r>
      <w:r w:rsidRPr="00E31657">
        <w:t>practice</w:t>
      </w:r>
      <w:r>
        <w:t xml:space="preserve"> </w:t>
      </w:r>
      <w:r w:rsidRPr="00E31657">
        <w:t>regulation.</w:t>
      </w:r>
    </w:p>
    <w:p w14:paraId="2D4A12BF" w14:textId="77777777" w:rsidR="00B949E1" w:rsidRDefault="00B949E1" w:rsidP="00B949E1">
      <w:pPr>
        <w:pStyle w:val="Heading3"/>
      </w:pPr>
      <w:r>
        <w:t>Stakeholder engagement</w:t>
      </w:r>
    </w:p>
    <w:p w14:paraId="0DBDE63B" w14:textId="77777777" w:rsidR="00B949E1" w:rsidRDefault="00B949E1" w:rsidP="00B949E1">
      <w:pPr>
        <w:pStyle w:val="BodyText"/>
      </w:pPr>
      <w:r>
        <w:t xml:space="preserve">As part of the RIS requirement, the ACT Government must undertake consultation with key stakeholders to the regulations. </w:t>
      </w:r>
      <w:r w:rsidRPr="00706595">
        <w:t xml:space="preserve">Under the </w:t>
      </w:r>
      <w:r w:rsidRPr="00E35308">
        <w:rPr>
          <w:i/>
          <w:iCs/>
        </w:rPr>
        <w:t>Plastic Reduction Act 2021</w:t>
      </w:r>
      <w:r w:rsidRPr="00706595">
        <w:t xml:space="preserve">, the Minister for Transport and City Services is required to give public notice of the proposed regulation and invite public submissions about it before making a regulation. The Minister announced the </w:t>
      </w:r>
      <w:r>
        <w:t>tranche</w:t>
      </w:r>
      <w:r w:rsidRPr="00706595">
        <w:t xml:space="preserve"> 3 public consultation period by public notice on 15</w:t>
      </w:r>
      <w:r>
        <w:t> </w:t>
      </w:r>
      <w:r w:rsidRPr="00706595">
        <w:t>September 2022, ending on 8 December 2022. Territory officials and the ACT Plastic Reduction Taskforce</w:t>
      </w:r>
      <w:r>
        <w:t xml:space="preserve"> </w:t>
      </w:r>
      <w:r w:rsidRPr="00706595">
        <w:t xml:space="preserve">also </w:t>
      </w:r>
      <w:r>
        <w:t xml:space="preserve">met </w:t>
      </w:r>
      <w:r w:rsidRPr="00706595">
        <w:t xml:space="preserve">with key stakeholders </w:t>
      </w:r>
      <w:r>
        <w:t xml:space="preserve">during this consultation period. </w:t>
      </w:r>
    </w:p>
    <w:p w14:paraId="49362BCB" w14:textId="77777777" w:rsidR="00B949E1" w:rsidRDefault="00B949E1" w:rsidP="00B949E1">
      <w:pPr>
        <w:pStyle w:val="BodyText"/>
      </w:pPr>
      <w:r>
        <w:t xml:space="preserve">Stakeholders from peak industry, waste management bodies, environment bodies, governments, businesses, not-for-profit and charities, advocacy groups and members of the general public participated in the tranche 3 consultation process. The ACT Government received email and written submissions through the YourSay website. The following questions were asked to inform submission responses: </w:t>
      </w:r>
    </w:p>
    <w:p w14:paraId="3E3AD3BA" w14:textId="77777777" w:rsidR="00B949E1" w:rsidRDefault="00B949E1" w:rsidP="00B949E1">
      <w:pPr>
        <w:pStyle w:val="ListBullet"/>
        <w:numPr>
          <w:ilvl w:val="0"/>
          <w:numId w:val="9"/>
        </w:numPr>
      </w:pPr>
      <w:r>
        <w:t xml:space="preserve">What impact will </w:t>
      </w:r>
      <w:proofErr w:type="gramStart"/>
      <w:r>
        <w:t>banning</w:t>
      </w:r>
      <w:proofErr w:type="gramEnd"/>
      <w:r>
        <w:t xml:space="preserve"> these items have? </w:t>
      </w:r>
    </w:p>
    <w:p w14:paraId="71D95D42" w14:textId="77777777" w:rsidR="00B949E1" w:rsidRDefault="00B949E1" w:rsidP="00B949E1">
      <w:pPr>
        <w:pStyle w:val="ListBullet"/>
        <w:numPr>
          <w:ilvl w:val="0"/>
          <w:numId w:val="9"/>
        </w:numPr>
      </w:pPr>
      <w:r>
        <w:t>Are alternative products appropriate and readily available?</w:t>
      </w:r>
    </w:p>
    <w:p w14:paraId="3ADBB340" w14:textId="77777777" w:rsidR="00B949E1" w:rsidRDefault="00B949E1" w:rsidP="00B949E1">
      <w:pPr>
        <w:pStyle w:val="ListBullet"/>
        <w:numPr>
          <w:ilvl w:val="0"/>
          <w:numId w:val="9"/>
        </w:numPr>
      </w:pPr>
      <w:r>
        <w:t xml:space="preserve">Aare </w:t>
      </w:r>
      <w:proofErr w:type="gramStart"/>
      <w:r>
        <w:t>there</w:t>
      </w:r>
      <w:proofErr w:type="gramEnd"/>
      <w:r>
        <w:t xml:space="preserve"> alternative products that can perform similarly to banned products? </w:t>
      </w:r>
    </w:p>
    <w:p w14:paraId="197864E9" w14:textId="77777777" w:rsidR="00B949E1" w:rsidRDefault="00B949E1" w:rsidP="00B949E1">
      <w:pPr>
        <w:pStyle w:val="ListBullet"/>
        <w:numPr>
          <w:ilvl w:val="0"/>
          <w:numId w:val="9"/>
        </w:numPr>
      </w:pPr>
      <w:r>
        <w:t xml:space="preserve">Are there any exemptions that should be considered? </w:t>
      </w:r>
    </w:p>
    <w:p w14:paraId="3AC3FD23" w14:textId="77777777" w:rsidR="00B949E1" w:rsidRPr="00CF78B2" w:rsidRDefault="00B949E1" w:rsidP="00B949E1">
      <w:pPr>
        <w:pStyle w:val="BodyText"/>
        <w:rPr>
          <w:b/>
          <w:bCs/>
        </w:rPr>
      </w:pPr>
      <w:r>
        <w:t xml:space="preserve">13 information sessions were also held with businesses, State and Territory governments and individual ACT government departments., These contributions are summarised in </w:t>
      </w:r>
      <w:r w:rsidRPr="00EA31D6">
        <w:rPr>
          <w:b/>
          <w:bCs/>
        </w:rPr>
        <w:fldChar w:fldCharType="begin"/>
      </w:r>
      <w:r w:rsidRPr="00EA31D6">
        <w:rPr>
          <w:b/>
          <w:bCs/>
        </w:rPr>
        <w:instrText xml:space="preserve"> REF _Ref130912015 \h  \* MERGEFORMAT </w:instrText>
      </w:r>
      <w:r w:rsidRPr="00EA31D6">
        <w:rPr>
          <w:b/>
          <w:bCs/>
        </w:rPr>
      </w:r>
      <w:r w:rsidRPr="00EA31D6">
        <w:rPr>
          <w:b/>
          <w:bCs/>
        </w:rPr>
        <w:fldChar w:fldCharType="separate"/>
      </w:r>
      <w:r w:rsidRPr="00790266">
        <w:rPr>
          <w:rStyle w:val="CaptionLabel"/>
          <w:b w:val="0"/>
          <w:bCs/>
        </w:rPr>
        <w:t>Table 2.1</w:t>
      </w:r>
      <w:r w:rsidRPr="00EA31D6">
        <w:rPr>
          <w:b/>
          <w:bCs/>
        </w:rPr>
        <w:fldChar w:fldCharType="end"/>
      </w:r>
      <w:r w:rsidRPr="00EA31D6">
        <w:t>.</w:t>
      </w:r>
    </w:p>
    <w:p w14:paraId="0BD2EDED" w14:textId="77777777" w:rsidR="00B949E1" w:rsidRDefault="00B949E1" w:rsidP="00B949E1">
      <w:pPr>
        <w:pStyle w:val="Caption"/>
      </w:pPr>
      <w:bookmarkStart w:id="21" w:name="_Ref130912015"/>
      <w:bookmarkStart w:id="22" w:name="_Toc134002438"/>
      <w:r w:rsidRPr="009D1022">
        <w:rPr>
          <w:rStyle w:val="CaptionLabel"/>
        </w:rPr>
        <w:lastRenderedPageBreak/>
        <w:t>Table </w:t>
      </w:r>
      <w:r w:rsidRPr="009D1022">
        <w:rPr>
          <w:rStyle w:val="CaptionLabel"/>
        </w:rPr>
        <w:fldChar w:fldCharType="begin"/>
      </w:r>
      <w:r w:rsidRPr="009D1022">
        <w:rPr>
          <w:rStyle w:val="CaptionLabel"/>
        </w:rPr>
        <w:instrText xml:space="preserve"> STYLEREF 1 \S \* MERGEFORMAT </w:instrText>
      </w:r>
      <w:r w:rsidRPr="009D1022">
        <w:rPr>
          <w:rStyle w:val="CaptionLabel"/>
        </w:rPr>
        <w:fldChar w:fldCharType="separate"/>
      </w:r>
      <w:r>
        <w:rPr>
          <w:rStyle w:val="CaptionLabel"/>
          <w:noProof/>
        </w:rPr>
        <w:t>2</w:t>
      </w:r>
      <w:r w:rsidRPr="009D1022">
        <w:rPr>
          <w:rStyle w:val="CaptionLabel"/>
        </w:rPr>
        <w:fldChar w:fldCharType="end"/>
      </w:r>
      <w:r w:rsidRPr="009D1022">
        <w:rPr>
          <w:rStyle w:val="CaptionLabel"/>
        </w:rPr>
        <w:t>.</w:t>
      </w:r>
      <w:r w:rsidRPr="009D1022">
        <w:rPr>
          <w:rStyle w:val="CaptionLabel"/>
        </w:rPr>
        <w:fldChar w:fldCharType="begin"/>
      </w:r>
      <w:r w:rsidRPr="009D1022">
        <w:rPr>
          <w:rStyle w:val="CaptionLabel"/>
        </w:rPr>
        <w:instrText xml:space="preserve"> SEQ Table \* ARABIC \S 1 \* MERGEFORMAT </w:instrText>
      </w:r>
      <w:r w:rsidRPr="009D1022">
        <w:rPr>
          <w:rStyle w:val="CaptionLabel"/>
        </w:rPr>
        <w:fldChar w:fldCharType="separate"/>
      </w:r>
      <w:r>
        <w:rPr>
          <w:rStyle w:val="CaptionLabel"/>
          <w:noProof/>
        </w:rPr>
        <w:t>1</w:t>
      </w:r>
      <w:r w:rsidRPr="009D1022">
        <w:rPr>
          <w:rStyle w:val="CaptionLabel"/>
        </w:rPr>
        <w:fldChar w:fldCharType="end"/>
      </w:r>
      <w:bookmarkEnd w:id="21"/>
      <w:r>
        <w:tab/>
        <w:t>Stakeholder engagement</w:t>
      </w:r>
      <w:bookmarkEnd w:id="22"/>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418"/>
        <w:gridCol w:w="1843"/>
        <w:gridCol w:w="4675"/>
      </w:tblGrid>
      <w:tr w:rsidR="00B949E1" w14:paraId="2D5C4B1A" w14:textId="77777777" w:rsidTr="00B9362B">
        <w:trPr>
          <w:tblHeader/>
        </w:trPr>
        <w:tc>
          <w:tcPr>
            <w:tcW w:w="1872" w:type="dxa"/>
            <w:gridSpan w:val="2"/>
            <w:tcBorders>
              <w:top w:val="nil"/>
              <w:bottom w:val="nil"/>
            </w:tcBorders>
            <w:shd w:val="clear" w:color="auto" w:fill="140034"/>
            <w:tcMar>
              <w:left w:w="454" w:type="dxa"/>
            </w:tcMar>
          </w:tcPr>
          <w:p w14:paraId="35FE5824" w14:textId="77777777" w:rsidR="00B949E1" w:rsidRDefault="00B949E1" w:rsidP="00B9362B">
            <w:pPr>
              <w:pStyle w:val="Tablecolumnheadings"/>
            </w:pPr>
            <w:r>
              <w:t>Category</w:t>
            </w:r>
          </w:p>
        </w:tc>
        <w:tc>
          <w:tcPr>
            <w:tcW w:w="1843" w:type="dxa"/>
            <w:tcBorders>
              <w:top w:val="nil"/>
              <w:bottom w:val="nil"/>
            </w:tcBorders>
            <w:shd w:val="clear" w:color="auto" w:fill="140034"/>
          </w:tcPr>
          <w:p w14:paraId="79883C02" w14:textId="77777777" w:rsidR="00B949E1" w:rsidRDefault="00B949E1" w:rsidP="00B9362B">
            <w:pPr>
              <w:pStyle w:val="Tablecolumnheadings"/>
            </w:pPr>
            <w:r>
              <w:t xml:space="preserve">Time period </w:t>
            </w:r>
          </w:p>
        </w:tc>
        <w:tc>
          <w:tcPr>
            <w:tcW w:w="4675" w:type="dxa"/>
            <w:tcBorders>
              <w:top w:val="nil"/>
              <w:bottom w:val="nil"/>
              <w:right w:val="single" w:sz="6" w:space="0" w:color="140034"/>
            </w:tcBorders>
            <w:shd w:val="clear" w:color="auto" w:fill="140034"/>
          </w:tcPr>
          <w:p w14:paraId="7A731E3F" w14:textId="77777777" w:rsidR="00B949E1" w:rsidRDefault="00B949E1" w:rsidP="00B9362B">
            <w:pPr>
              <w:pStyle w:val="Tablecolumnheadings"/>
            </w:pPr>
            <w:r>
              <w:t xml:space="preserve">Responses/Submissions </w:t>
            </w:r>
          </w:p>
        </w:tc>
      </w:tr>
      <w:tr w:rsidR="00B949E1" w14:paraId="6F32A43E" w14:textId="77777777" w:rsidTr="00B9362B">
        <w:trPr>
          <w:gridBefore w:val="1"/>
          <w:wBefore w:w="454" w:type="dxa"/>
        </w:trPr>
        <w:tc>
          <w:tcPr>
            <w:tcW w:w="1418" w:type="dxa"/>
            <w:tcBorders>
              <w:top w:val="nil"/>
            </w:tcBorders>
            <w:shd w:val="clear" w:color="auto" w:fill="auto"/>
          </w:tcPr>
          <w:p w14:paraId="48B9F3CB" w14:textId="77777777" w:rsidR="00B949E1" w:rsidRDefault="00B949E1" w:rsidP="00B9362B">
            <w:pPr>
              <w:pStyle w:val="Tabletext"/>
            </w:pPr>
            <w:r w:rsidRPr="00FC5C09">
              <w:t xml:space="preserve">Community submissions </w:t>
            </w:r>
          </w:p>
        </w:tc>
        <w:tc>
          <w:tcPr>
            <w:tcW w:w="1843" w:type="dxa"/>
            <w:tcBorders>
              <w:top w:val="nil"/>
            </w:tcBorders>
            <w:shd w:val="clear" w:color="auto" w:fill="auto"/>
          </w:tcPr>
          <w:p w14:paraId="20CA9A4D" w14:textId="77777777" w:rsidR="00B949E1" w:rsidRPr="00E875AB" w:rsidRDefault="00B949E1" w:rsidP="00B9362B">
            <w:pPr>
              <w:pStyle w:val="BodyText"/>
              <w:rPr>
                <w:rFonts w:asciiTheme="minorHAnsi" w:hAnsiTheme="minorHAnsi"/>
                <w:sz w:val="24"/>
                <w:szCs w:val="24"/>
              </w:rPr>
            </w:pPr>
            <w:r w:rsidRPr="00E875AB">
              <w:rPr>
                <w:rStyle w:val="cf01"/>
                <w:rFonts w:asciiTheme="minorHAnsi" w:eastAsiaTheme="majorEastAsia" w:hAnsiTheme="minorHAnsi"/>
                <w:sz w:val="20"/>
                <w:szCs w:val="20"/>
              </w:rPr>
              <w:t>15</w:t>
            </w:r>
            <w:r w:rsidRPr="00E875AB">
              <w:rPr>
                <w:rStyle w:val="cf01"/>
                <w:rFonts w:asciiTheme="minorHAnsi" w:eastAsiaTheme="majorEastAsia" w:hAnsiTheme="minorHAnsi"/>
                <w:sz w:val="20"/>
                <w:szCs w:val="20"/>
                <w:vertAlign w:val="superscript"/>
              </w:rPr>
              <w:t>th</w:t>
            </w:r>
            <w:r w:rsidRPr="00E875AB">
              <w:rPr>
                <w:rStyle w:val="cf01"/>
                <w:rFonts w:asciiTheme="minorHAnsi" w:eastAsiaTheme="majorEastAsia" w:hAnsiTheme="minorHAnsi"/>
                <w:sz w:val="20"/>
                <w:szCs w:val="20"/>
              </w:rPr>
              <w:t xml:space="preserve"> September – 8</w:t>
            </w:r>
            <w:r w:rsidRPr="00E875AB">
              <w:rPr>
                <w:rStyle w:val="cf01"/>
                <w:rFonts w:asciiTheme="minorHAnsi" w:eastAsiaTheme="majorEastAsia" w:hAnsiTheme="minorHAnsi"/>
                <w:sz w:val="20"/>
                <w:szCs w:val="20"/>
                <w:vertAlign w:val="superscript"/>
              </w:rPr>
              <w:t>th</w:t>
            </w:r>
            <w:r w:rsidRPr="00E875AB">
              <w:rPr>
                <w:rStyle w:val="cf01"/>
                <w:rFonts w:asciiTheme="minorHAnsi" w:eastAsiaTheme="majorEastAsia" w:hAnsiTheme="minorHAnsi"/>
                <w:sz w:val="20"/>
                <w:szCs w:val="20"/>
              </w:rPr>
              <w:t xml:space="preserve"> December 2022</w:t>
            </w:r>
          </w:p>
          <w:p w14:paraId="178E3080" w14:textId="77777777" w:rsidR="00B949E1" w:rsidRDefault="00B949E1" w:rsidP="00B9362B">
            <w:pPr>
              <w:pStyle w:val="Tabletext"/>
            </w:pPr>
          </w:p>
        </w:tc>
        <w:tc>
          <w:tcPr>
            <w:tcW w:w="4675" w:type="dxa"/>
            <w:tcBorders>
              <w:top w:val="nil"/>
            </w:tcBorders>
            <w:shd w:val="clear" w:color="auto" w:fill="auto"/>
          </w:tcPr>
          <w:p w14:paraId="44E75EA3" w14:textId="77777777" w:rsidR="00B949E1" w:rsidRDefault="00B949E1" w:rsidP="00B9362B">
            <w:pPr>
              <w:pStyle w:val="Tabletext"/>
            </w:pPr>
            <w:r w:rsidRPr="00FC5C09">
              <w:t xml:space="preserve">188 community submissions were received by email. These range in size and complexity from single sentences to detailed submissions. </w:t>
            </w:r>
          </w:p>
          <w:p w14:paraId="7B267FA2" w14:textId="77777777" w:rsidR="00B949E1" w:rsidRDefault="00B949E1" w:rsidP="00B9362B">
            <w:pPr>
              <w:pStyle w:val="Tabletext"/>
            </w:pPr>
            <w:r>
              <w:t xml:space="preserve">165 of these submissions were emails received from supporters of an environmental advocacy group. These submissions used a </w:t>
            </w:r>
            <w:r w:rsidRPr="00955CEE">
              <w:rPr>
                <w:highlight w:val="yellow"/>
              </w:rPr>
              <w:t>predetermined</w:t>
            </w:r>
            <w:r>
              <w:t xml:space="preserve"> template. For this reason, there is consistency in perspectives across the 165 submissions in relation to each of the items. </w:t>
            </w:r>
          </w:p>
          <w:p w14:paraId="0EFB63B0" w14:textId="77777777" w:rsidR="00B949E1" w:rsidRDefault="00B949E1" w:rsidP="00B9362B">
            <w:pPr>
              <w:pStyle w:val="Tabletext"/>
            </w:pPr>
            <w:r>
              <w:t>It is important to note that these responses have made up majority of the community submissions dataset (87.7%).</w:t>
            </w:r>
          </w:p>
          <w:p w14:paraId="5D2C17E6" w14:textId="77777777" w:rsidR="00B949E1" w:rsidRDefault="00B949E1" w:rsidP="00B9362B">
            <w:pPr>
              <w:pStyle w:val="Tabletext"/>
            </w:pPr>
            <w:r>
              <w:t xml:space="preserve">As a result, this analysis has recorded overwhelming support from community submissions due to the weightage of this subgroup. </w:t>
            </w:r>
          </w:p>
          <w:p w14:paraId="7F9DBEE6" w14:textId="77777777" w:rsidR="00B949E1" w:rsidRDefault="00B949E1" w:rsidP="00B9362B">
            <w:pPr>
              <w:pStyle w:val="Tabletext"/>
            </w:pPr>
            <w:r>
              <w:t xml:space="preserve">The bias is reflected in supporting immediate action on all proposed items as well as a regulatory approaches by the ACT Government. </w:t>
            </w:r>
          </w:p>
          <w:p w14:paraId="61B1706B" w14:textId="77777777" w:rsidR="00B949E1" w:rsidRDefault="00B949E1" w:rsidP="00B9362B">
            <w:pPr>
              <w:pStyle w:val="Tabletext"/>
            </w:pPr>
            <w:r w:rsidRPr="00955CEE">
              <w:rPr>
                <w:szCs w:val="20"/>
              </w:rPr>
              <w:t>The rest of the community submission responses (12.3%) were provided by varied stakeholders groups. These included local businesses, individual community members, representatives of school communities, advocacy groups and other wildlife organisations</w:t>
            </w:r>
            <w:r>
              <w:rPr>
                <w:szCs w:val="20"/>
              </w:rPr>
              <w:t>.</w:t>
            </w:r>
          </w:p>
        </w:tc>
      </w:tr>
      <w:tr w:rsidR="00B949E1" w14:paraId="126A2BA2" w14:textId="77777777" w:rsidTr="00B9362B">
        <w:trPr>
          <w:gridBefore w:val="1"/>
          <w:wBefore w:w="454" w:type="dxa"/>
        </w:trPr>
        <w:tc>
          <w:tcPr>
            <w:tcW w:w="1418" w:type="dxa"/>
            <w:shd w:val="clear" w:color="auto" w:fill="auto"/>
          </w:tcPr>
          <w:p w14:paraId="04D3C388" w14:textId="77777777" w:rsidR="00B949E1" w:rsidRDefault="00B949E1" w:rsidP="00B9362B">
            <w:pPr>
              <w:pStyle w:val="Tabletext"/>
            </w:pPr>
            <w:r w:rsidRPr="00FC5C09">
              <w:t xml:space="preserve">Written submissions </w:t>
            </w:r>
          </w:p>
        </w:tc>
        <w:tc>
          <w:tcPr>
            <w:tcW w:w="1843" w:type="dxa"/>
            <w:shd w:val="clear" w:color="auto" w:fill="auto"/>
          </w:tcPr>
          <w:p w14:paraId="4B00E630" w14:textId="77777777" w:rsidR="00B949E1" w:rsidRDefault="00B949E1" w:rsidP="00B9362B">
            <w:pPr>
              <w:pStyle w:val="Tabletext"/>
            </w:pPr>
            <w:r w:rsidRPr="00FC5C09">
              <w:t>22</w:t>
            </w:r>
            <w:r w:rsidRPr="00FC5C09">
              <w:rPr>
                <w:vertAlign w:val="superscript"/>
              </w:rPr>
              <w:t>nd</w:t>
            </w:r>
            <w:r w:rsidRPr="00FC5C09">
              <w:t xml:space="preserve"> November – 15</w:t>
            </w:r>
            <w:r w:rsidRPr="00FC5C09">
              <w:rPr>
                <w:vertAlign w:val="superscript"/>
              </w:rPr>
              <w:t>th</w:t>
            </w:r>
            <w:r w:rsidRPr="00FC5C09">
              <w:t xml:space="preserve"> December 2022 </w:t>
            </w:r>
          </w:p>
        </w:tc>
        <w:tc>
          <w:tcPr>
            <w:tcW w:w="4675" w:type="dxa"/>
            <w:shd w:val="clear" w:color="auto" w:fill="auto"/>
          </w:tcPr>
          <w:p w14:paraId="7C8B9899" w14:textId="77777777" w:rsidR="00B949E1" w:rsidRDefault="00B949E1" w:rsidP="00B9362B">
            <w:pPr>
              <w:pStyle w:val="Tabletext"/>
            </w:pPr>
            <w:r w:rsidRPr="00FC5C09">
              <w:t>A total of 2</w:t>
            </w:r>
            <w:r>
              <w:t>3</w:t>
            </w:r>
            <w:r w:rsidRPr="00FC5C09">
              <w:t xml:space="preserve"> written submissions were received from peak industry, environmental bodies, government, businesses, charities, advocacy groups and members of the general public. </w:t>
            </w:r>
          </w:p>
        </w:tc>
      </w:tr>
      <w:tr w:rsidR="00B949E1" w14:paraId="2AC7C629" w14:textId="77777777" w:rsidTr="00B9362B">
        <w:trPr>
          <w:gridBefore w:val="1"/>
          <w:wBefore w:w="454" w:type="dxa"/>
        </w:trPr>
        <w:tc>
          <w:tcPr>
            <w:tcW w:w="1418" w:type="dxa"/>
            <w:shd w:val="clear" w:color="auto" w:fill="auto"/>
          </w:tcPr>
          <w:p w14:paraId="0E1897AF" w14:textId="77777777" w:rsidR="00B949E1" w:rsidRDefault="00B949E1" w:rsidP="00B9362B">
            <w:pPr>
              <w:pStyle w:val="Tabletext"/>
            </w:pPr>
            <w:r>
              <w:t>Meetings</w:t>
            </w:r>
            <w:r w:rsidRPr="00FC5C09">
              <w:t xml:space="preserve"> </w:t>
            </w:r>
          </w:p>
        </w:tc>
        <w:tc>
          <w:tcPr>
            <w:tcW w:w="1843" w:type="dxa"/>
            <w:shd w:val="clear" w:color="auto" w:fill="auto"/>
          </w:tcPr>
          <w:p w14:paraId="607FC008" w14:textId="77777777" w:rsidR="00B949E1" w:rsidRDefault="00B949E1" w:rsidP="00B9362B">
            <w:pPr>
              <w:pStyle w:val="Tabletext"/>
            </w:pPr>
            <w:r w:rsidRPr="00FC5C09">
              <w:t>26</w:t>
            </w:r>
            <w:r w:rsidRPr="00FC5C09">
              <w:rPr>
                <w:vertAlign w:val="superscript"/>
              </w:rPr>
              <w:t>th</w:t>
            </w:r>
            <w:r w:rsidRPr="00FC5C09">
              <w:t xml:space="preserve"> October – 6</w:t>
            </w:r>
            <w:r w:rsidRPr="00FC5C09">
              <w:rPr>
                <w:vertAlign w:val="superscript"/>
              </w:rPr>
              <w:t>th</w:t>
            </w:r>
            <w:r w:rsidRPr="00FC5C09">
              <w:t xml:space="preserve"> December 2022 </w:t>
            </w:r>
          </w:p>
        </w:tc>
        <w:tc>
          <w:tcPr>
            <w:tcW w:w="4675" w:type="dxa"/>
            <w:shd w:val="clear" w:color="auto" w:fill="auto"/>
          </w:tcPr>
          <w:p w14:paraId="1FF6DA3C" w14:textId="77777777" w:rsidR="00B949E1" w:rsidRDefault="00B949E1" w:rsidP="00B9362B">
            <w:pPr>
              <w:pStyle w:val="Tabletext"/>
            </w:pPr>
            <w:r w:rsidRPr="00FC5C09">
              <w:t>.</w:t>
            </w:r>
          </w:p>
          <w:p w14:paraId="5C1EF5C7" w14:textId="77777777" w:rsidR="00B949E1" w:rsidRDefault="00B949E1" w:rsidP="00B9362B">
            <w:pPr>
              <w:pStyle w:val="Tabletext"/>
            </w:pPr>
            <w:r>
              <w:t>15</w:t>
            </w:r>
            <w:r w:rsidRPr="00FC5C09">
              <w:t xml:space="preserve"> </w:t>
            </w:r>
            <w:r>
              <w:t>meetings</w:t>
            </w:r>
            <w:r w:rsidRPr="00FC5C09">
              <w:t xml:space="preserve"> were held, including </w:t>
            </w:r>
            <w:r>
              <w:t>5</w:t>
            </w:r>
            <w:r w:rsidRPr="00FC5C09">
              <w:t xml:space="preserve"> business</w:t>
            </w:r>
            <w:r>
              <w:t xml:space="preserve"> meetings,</w:t>
            </w:r>
            <w:r w:rsidRPr="00FC5C09">
              <w:t xml:space="preserve"> 2 </w:t>
            </w:r>
            <w:r>
              <w:t>meetings</w:t>
            </w:r>
            <w:r w:rsidRPr="00FC5C09">
              <w:t xml:space="preserve"> with State and Territory governments and 8 </w:t>
            </w:r>
            <w:r>
              <w:t>meetings</w:t>
            </w:r>
            <w:r w:rsidRPr="00FC5C09">
              <w:t xml:space="preserve"> with ACT government departments.  </w:t>
            </w:r>
          </w:p>
        </w:tc>
      </w:tr>
      <w:tr w:rsidR="00B949E1" w14:paraId="0DA9BE0E" w14:textId="77777777" w:rsidTr="00B9362B">
        <w:trPr>
          <w:gridBefore w:val="1"/>
          <w:wBefore w:w="454" w:type="dxa"/>
        </w:trPr>
        <w:tc>
          <w:tcPr>
            <w:tcW w:w="7936" w:type="dxa"/>
            <w:gridSpan w:val="3"/>
            <w:tcBorders>
              <w:bottom w:val="single" w:sz="4" w:space="0" w:color="646464"/>
            </w:tcBorders>
            <w:shd w:val="clear" w:color="auto" w:fill="auto"/>
          </w:tcPr>
          <w:p w14:paraId="4D09D7D4" w14:textId="77777777" w:rsidR="00B949E1" w:rsidRDefault="00B949E1" w:rsidP="00B9362B">
            <w:pPr>
              <w:pStyle w:val="Source"/>
            </w:pPr>
            <w:r>
              <w:t>Source: ACIL Allen 2023</w:t>
            </w:r>
          </w:p>
        </w:tc>
      </w:tr>
      <w:tr w:rsidR="00B949E1" w14:paraId="6F1A52B3" w14:textId="77777777" w:rsidTr="00B9362B">
        <w:trPr>
          <w:gridBefore w:val="1"/>
          <w:wBefore w:w="454" w:type="dxa"/>
          <w:trHeight w:hRule="exact" w:val="160"/>
        </w:trPr>
        <w:tc>
          <w:tcPr>
            <w:tcW w:w="7936" w:type="dxa"/>
            <w:gridSpan w:val="3"/>
            <w:tcBorders>
              <w:top w:val="single" w:sz="4" w:space="0" w:color="646464"/>
              <w:bottom w:val="nil"/>
            </w:tcBorders>
            <w:shd w:val="clear" w:color="auto" w:fill="auto"/>
          </w:tcPr>
          <w:p w14:paraId="43ECD0FD" w14:textId="77777777" w:rsidR="00B949E1" w:rsidRDefault="00B949E1" w:rsidP="00B9362B">
            <w:pPr>
              <w:pStyle w:val="spacer"/>
            </w:pPr>
          </w:p>
        </w:tc>
      </w:tr>
    </w:tbl>
    <w:p w14:paraId="5FE3803B" w14:textId="77777777" w:rsidR="00B949E1" w:rsidRDefault="00B949E1" w:rsidP="00B949E1">
      <w:pPr>
        <w:pStyle w:val="Heading2"/>
      </w:pPr>
      <w:bookmarkStart w:id="23" w:name="_Toc136872615"/>
      <w:r>
        <w:t>Structure of this report</w:t>
      </w:r>
      <w:bookmarkEnd w:id="23"/>
    </w:p>
    <w:p w14:paraId="35BB4428" w14:textId="77777777" w:rsidR="00B949E1" w:rsidRDefault="00B949E1" w:rsidP="00B949E1">
      <w:pPr>
        <w:pStyle w:val="BodyText"/>
      </w:pPr>
      <w:r w:rsidRPr="00E50FBD">
        <w:t>The remainder of this report is structured as follows:</w:t>
      </w:r>
    </w:p>
    <w:p w14:paraId="6C327B82" w14:textId="77777777" w:rsidR="00B949E1" w:rsidRPr="00847E57" w:rsidRDefault="00B949E1" w:rsidP="00B949E1">
      <w:pPr>
        <w:pStyle w:val="ListBullet"/>
        <w:numPr>
          <w:ilvl w:val="0"/>
          <w:numId w:val="9"/>
        </w:numPr>
      </w:pPr>
      <w:r w:rsidRPr="00847E57">
        <w:t>Chapter 2 discusses the nature and extent of the problem that the proposed changes are seeking to address.</w:t>
      </w:r>
    </w:p>
    <w:p w14:paraId="67B92748" w14:textId="77777777" w:rsidR="00B949E1" w:rsidRPr="00847E57" w:rsidRDefault="00B949E1" w:rsidP="00B949E1">
      <w:pPr>
        <w:pStyle w:val="ListBullet"/>
        <w:numPr>
          <w:ilvl w:val="0"/>
          <w:numId w:val="9"/>
        </w:numPr>
      </w:pPr>
      <w:r w:rsidRPr="00847E57">
        <w:t xml:space="preserve">Chapter 3 discusses the </w:t>
      </w:r>
      <w:r>
        <w:t>rationale for government intervention</w:t>
      </w:r>
      <w:r w:rsidRPr="00847E57">
        <w:t>.</w:t>
      </w:r>
    </w:p>
    <w:p w14:paraId="4524D524" w14:textId="77777777" w:rsidR="00B949E1" w:rsidRDefault="00B949E1" w:rsidP="00B949E1">
      <w:pPr>
        <w:pStyle w:val="ListBullet"/>
        <w:numPr>
          <w:ilvl w:val="0"/>
          <w:numId w:val="9"/>
        </w:numPr>
      </w:pPr>
      <w:r w:rsidRPr="00847E57">
        <w:t xml:space="preserve">Chapter 4 </w:t>
      </w:r>
      <w:r>
        <w:t xml:space="preserve">outlines the </w:t>
      </w:r>
      <w:r w:rsidRPr="00847E57">
        <w:t>policy objective and option</w:t>
      </w:r>
      <w:r>
        <w:t>s</w:t>
      </w:r>
      <w:r w:rsidRPr="00847E57">
        <w:t>.</w:t>
      </w:r>
    </w:p>
    <w:p w14:paraId="311193B4" w14:textId="77777777" w:rsidR="00B949E1" w:rsidRPr="00847E57" w:rsidRDefault="00B949E1" w:rsidP="00B949E1">
      <w:pPr>
        <w:pStyle w:val="ListBullet"/>
        <w:numPr>
          <w:ilvl w:val="0"/>
          <w:numId w:val="9"/>
        </w:numPr>
      </w:pPr>
      <w:r>
        <w:t xml:space="preserve">Chapter 5 </w:t>
      </w:r>
      <w:r w:rsidRPr="00847E57">
        <w:t>outlines the framework used in the impact analysis of the proposed changes</w:t>
      </w:r>
      <w:r>
        <w:t>.</w:t>
      </w:r>
    </w:p>
    <w:p w14:paraId="0A5C4120" w14:textId="77777777" w:rsidR="00B949E1" w:rsidRPr="00847E57" w:rsidRDefault="00B949E1" w:rsidP="00B949E1">
      <w:pPr>
        <w:pStyle w:val="ListBullet"/>
        <w:numPr>
          <w:ilvl w:val="0"/>
          <w:numId w:val="9"/>
        </w:numPr>
      </w:pPr>
      <w:r w:rsidRPr="00847E57">
        <w:t xml:space="preserve">Chapter </w:t>
      </w:r>
      <w:r>
        <w:t>6</w:t>
      </w:r>
      <w:r w:rsidRPr="00847E57">
        <w:t xml:space="preserve"> </w:t>
      </w:r>
      <w:r>
        <w:t>assesses</w:t>
      </w:r>
      <w:r w:rsidRPr="00847E57">
        <w:t xml:space="preserve"> the costs and benefits of the proposed changes.</w:t>
      </w:r>
    </w:p>
    <w:p w14:paraId="103B2F36" w14:textId="77777777" w:rsidR="00B949E1" w:rsidRPr="00847E57" w:rsidRDefault="00B949E1" w:rsidP="00B949E1">
      <w:pPr>
        <w:pStyle w:val="ListBullet"/>
        <w:numPr>
          <w:ilvl w:val="0"/>
          <w:numId w:val="9"/>
        </w:numPr>
      </w:pPr>
      <w:r w:rsidRPr="00847E57">
        <w:t xml:space="preserve">Chapter </w:t>
      </w:r>
      <w:r>
        <w:t>7</w:t>
      </w:r>
      <w:r w:rsidRPr="00847E57">
        <w:t xml:space="preserve"> identifies the preferred option.</w:t>
      </w:r>
    </w:p>
    <w:p w14:paraId="498EE224" w14:textId="77777777" w:rsidR="00B949E1" w:rsidRPr="00847E57" w:rsidRDefault="00B949E1" w:rsidP="00B949E1">
      <w:pPr>
        <w:pStyle w:val="ListBullet"/>
        <w:numPr>
          <w:ilvl w:val="0"/>
          <w:numId w:val="9"/>
        </w:numPr>
        <w:sectPr w:rsidR="00B949E1" w:rsidRPr="00847E57" w:rsidSect="00003C6B">
          <w:headerReference w:type="even" r:id="rId36"/>
          <w:headerReference w:type="default" r:id="rId37"/>
          <w:footerReference w:type="even" r:id="rId38"/>
          <w:footerReference w:type="default" r:id="rId39"/>
          <w:headerReference w:type="first" r:id="rId40"/>
          <w:footerReference w:type="first" r:id="rId41"/>
          <w:pgSz w:w="11906" w:h="16838" w:code="9"/>
          <w:pgMar w:top="1134" w:right="851" w:bottom="1134" w:left="3119" w:header="454" w:footer="454" w:gutter="0"/>
          <w:cols w:space="708"/>
          <w:docGrid w:linePitch="360"/>
        </w:sectPr>
      </w:pPr>
      <w:r w:rsidRPr="00847E57">
        <w:t xml:space="preserve">Chapter </w:t>
      </w:r>
      <w:r>
        <w:t>8</w:t>
      </w:r>
      <w:r w:rsidRPr="00847E57">
        <w:t xml:space="preserve"> discusses the implementation and evaluation of the proposed regulation. </w:t>
      </w: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435B3D05" w14:textId="77777777" w:rsidTr="00B9362B">
        <w:trPr>
          <w:trHeight w:hRule="exact" w:val="382"/>
        </w:trPr>
        <w:tc>
          <w:tcPr>
            <w:tcW w:w="5570" w:type="dxa"/>
          </w:tcPr>
          <w:p w14:paraId="09864969" w14:textId="77777777" w:rsidR="00B949E1" w:rsidRDefault="00B949E1" w:rsidP="00B9362B">
            <w:pPr>
              <w:pStyle w:val="tagchapterBanner"/>
            </w:pPr>
            <w:r>
              <w:rPr>
                <w:noProof/>
              </w:rPr>
              <w:lastRenderedPageBreak/>
              <w:drawing>
                <wp:anchor distT="0" distB="0" distL="114300" distR="114300" simplePos="0" relativeHeight="251646464" behindDoc="1" locked="1" layoutInCell="1" allowOverlap="1" wp14:anchorId="35B68504" wp14:editId="3619BEE6">
                  <wp:simplePos x="0" y="0"/>
                  <wp:positionH relativeFrom="page">
                    <wp:posOffset>0</wp:posOffset>
                  </wp:positionH>
                  <wp:positionV relativeFrom="page">
                    <wp:posOffset>0</wp:posOffset>
                  </wp:positionV>
                  <wp:extent cx="5039360" cy="1995170"/>
                  <wp:effectExtent l="0" t="0" r="8890" b="5080"/>
                  <wp:wrapNone/>
                  <wp:docPr id="21"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7FBAFBCF" w14:textId="77777777" w:rsidR="00B949E1" w:rsidRDefault="00B949E1" w:rsidP="00B9362B">
            <w:pPr>
              <w:pStyle w:val="spacer"/>
            </w:pPr>
          </w:p>
        </w:tc>
      </w:tr>
      <w:tr w:rsidR="00B949E1" w14:paraId="449F94B6" w14:textId="77777777" w:rsidTr="00B9362B">
        <w:trPr>
          <w:trHeight w:hRule="exact" w:val="2760"/>
        </w:trPr>
        <w:tc>
          <w:tcPr>
            <w:tcW w:w="5570" w:type="dxa"/>
            <w:vAlign w:val="bottom"/>
          </w:tcPr>
          <w:p w14:paraId="1E40B65F" w14:textId="2B495D1A" w:rsidR="00B949E1" w:rsidRDefault="00B949E1" w:rsidP="00F008F9">
            <w:pPr>
              <w:pStyle w:val="Heading1"/>
              <w:ind w:left="248" w:hanging="384"/>
            </w:pPr>
            <w:bookmarkStart w:id="24" w:name="_Ref131163115"/>
            <w:bookmarkStart w:id="25" w:name="_Toc136872616"/>
            <w:r>
              <w:t>Statement of the problem</w:t>
            </w:r>
            <w:bookmarkEnd w:id="24"/>
            <w:bookmarkEnd w:id="25"/>
          </w:p>
        </w:tc>
        <w:tc>
          <w:tcPr>
            <w:tcW w:w="2366" w:type="dxa"/>
            <w:tcMar>
              <w:right w:w="224" w:type="dxa"/>
            </w:tcMar>
            <w:vAlign w:val="bottom"/>
          </w:tcPr>
          <w:p w14:paraId="33A10DEA" w14:textId="77777777" w:rsidR="00B949E1" w:rsidRDefault="00B949E1" w:rsidP="00B9362B">
            <w:pPr>
              <w:pStyle w:val="HeadingChapter"/>
            </w:pPr>
            <w:r>
              <w:t>3</w:t>
            </w:r>
          </w:p>
        </w:tc>
      </w:tr>
      <w:tr w:rsidR="00B949E1" w14:paraId="02F0ADE2" w14:textId="77777777" w:rsidTr="00B9362B">
        <w:trPr>
          <w:trHeight w:hRule="exact" w:val="228"/>
        </w:trPr>
        <w:tc>
          <w:tcPr>
            <w:tcW w:w="5570" w:type="dxa"/>
          </w:tcPr>
          <w:p w14:paraId="3918E7A1" w14:textId="77777777" w:rsidR="00B949E1" w:rsidRDefault="00B949E1" w:rsidP="00B9362B">
            <w:pPr>
              <w:pStyle w:val="spacer"/>
            </w:pPr>
          </w:p>
        </w:tc>
        <w:tc>
          <w:tcPr>
            <w:tcW w:w="2366" w:type="dxa"/>
          </w:tcPr>
          <w:p w14:paraId="0B7AD958" w14:textId="77777777" w:rsidR="00B949E1" w:rsidRDefault="00B949E1" w:rsidP="00B9362B">
            <w:pPr>
              <w:pStyle w:val="spacer"/>
            </w:pPr>
          </w:p>
        </w:tc>
      </w:tr>
    </w:tbl>
    <w:p w14:paraId="664B7152" w14:textId="77777777" w:rsidR="00B949E1" w:rsidRDefault="00B949E1" w:rsidP="00B949E1">
      <w:pPr>
        <w:pStyle w:val="Heading2"/>
      </w:pPr>
      <w:bookmarkStart w:id="26" w:name="_Toc136872617"/>
      <w:r>
        <w:t>Identifying the problem</w:t>
      </w:r>
      <w:bookmarkEnd w:id="26"/>
    </w:p>
    <w:p w14:paraId="774735CC" w14:textId="77777777" w:rsidR="00B949E1" w:rsidRDefault="00B949E1" w:rsidP="00B949E1">
      <w:pPr>
        <w:pStyle w:val="Heading3"/>
      </w:pPr>
      <w:bookmarkStart w:id="27" w:name="_Ref131590004"/>
      <w:r>
        <w:t>Consumption of SUP</w:t>
      </w:r>
      <w:bookmarkEnd w:id="27"/>
    </w:p>
    <w:p w14:paraId="01E7D03E" w14:textId="77777777" w:rsidR="00B949E1" w:rsidRDefault="00B949E1" w:rsidP="00B949E1">
      <w:pPr>
        <w:pStyle w:val="BodyText"/>
      </w:pPr>
      <w:r>
        <w:t>Plastic is flexible, durable, mouldable, and lightweight, with low production, distribution, and disposal costs. These characteristics make them the preferred material for various applications in a wide range of products.</w:t>
      </w:r>
    </w:p>
    <w:p w14:paraId="352C9B30" w14:textId="77777777" w:rsidR="00B949E1" w:rsidRDefault="00B949E1" w:rsidP="00B949E1">
      <w:pPr>
        <w:pStyle w:val="BodyText"/>
      </w:pPr>
      <w:r>
        <w:t>Australia generated approximately 400 million tonnes of net SUP waste in 2019.</w:t>
      </w:r>
      <w:r>
        <w:rPr>
          <w:rStyle w:val="FootnoteReference"/>
        </w:rPr>
        <w:footnoteReference w:id="30"/>
      </w:r>
      <w:r>
        <w:t xml:space="preserve">  Australians consume more SUP per capita than any other country except Singapore at 59 kg per person per year, far higher than the global average of 15 kg (see </w:t>
      </w:r>
      <w:r w:rsidRPr="00A42A29">
        <w:rPr>
          <w:b/>
          <w:bCs/>
        </w:rPr>
        <w:fldChar w:fldCharType="begin"/>
      </w:r>
      <w:r w:rsidRPr="00A42A29">
        <w:rPr>
          <w:b/>
          <w:bCs/>
        </w:rPr>
        <w:instrText xml:space="preserve"> REF _Ref120102109 \h </w:instrText>
      </w:r>
      <w:r>
        <w:rPr>
          <w:b/>
          <w:bCs/>
        </w:rPr>
        <w:instrText xml:space="preserve"> \* MERGEFORMAT </w:instrText>
      </w:r>
      <w:r w:rsidRPr="00A42A29">
        <w:rPr>
          <w:b/>
          <w:bCs/>
        </w:rPr>
      </w:r>
      <w:r w:rsidRPr="00A42A29">
        <w:rPr>
          <w:b/>
          <w:bCs/>
        </w:rPr>
        <w:fldChar w:fldCharType="separate"/>
      </w:r>
      <w:r w:rsidRPr="00790266">
        <w:rPr>
          <w:rStyle w:val="CaptionLabel"/>
          <w:b w:val="0"/>
          <w:bCs/>
        </w:rPr>
        <w:t>Figure 3.1</w:t>
      </w:r>
      <w:r w:rsidRPr="00A42A29">
        <w:rPr>
          <w:b/>
          <w:bCs/>
        </w:rPr>
        <w:fldChar w:fldCharType="end"/>
      </w:r>
      <w:r>
        <w:t>).</w:t>
      </w:r>
      <w:r>
        <w:rPr>
          <w:rStyle w:val="FootnoteReference"/>
        </w:rPr>
        <w:footnoteReference w:id="31"/>
      </w:r>
    </w:p>
    <w:tbl>
      <w:tblPr>
        <w:tblW w:w="0" w:type="auto"/>
        <w:tblLayout w:type="fixed"/>
        <w:tblCellMar>
          <w:left w:w="0" w:type="dxa"/>
          <w:right w:w="0" w:type="dxa"/>
        </w:tblCellMar>
        <w:tblLook w:val="0000" w:firstRow="0" w:lastRow="0" w:firstColumn="0" w:lastColumn="0" w:noHBand="0" w:noVBand="0"/>
      </w:tblPr>
      <w:tblGrid>
        <w:gridCol w:w="7936"/>
      </w:tblGrid>
      <w:tr w:rsidR="00B949E1" w14:paraId="3D0EEEA2" w14:textId="77777777" w:rsidTr="00B9362B">
        <w:tc>
          <w:tcPr>
            <w:tcW w:w="7936" w:type="dxa"/>
            <w:tcBorders>
              <w:bottom w:val="single" w:sz="4" w:space="0" w:color="000100"/>
            </w:tcBorders>
            <w:shd w:val="clear" w:color="auto" w:fill="auto"/>
            <w:tcMar>
              <w:top w:w="160" w:type="dxa"/>
              <w:bottom w:w="8" w:type="dxa"/>
            </w:tcMar>
          </w:tcPr>
          <w:p w14:paraId="0B4A50EB" w14:textId="77777777" w:rsidR="00B949E1" w:rsidRDefault="00B949E1" w:rsidP="00B9362B">
            <w:pPr>
              <w:pStyle w:val="Caption"/>
            </w:pPr>
            <w:bookmarkStart w:id="29" w:name="_Ref120102109"/>
            <w:bookmarkStart w:id="30" w:name="_Toc127782653"/>
            <w:bookmarkStart w:id="31" w:name="_Toc134002430"/>
            <w:r w:rsidRPr="00034378">
              <w:rPr>
                <w:rStyle w:val="CaptionLabel"/>
              </w:rPr>
              <w:t>Figure </w:t>
            </w:r>
            <w:r w:rsidRPr="00034378">
              <w:rPr>
                <w:rStyle w:val="CaptionLabel"/>
              </w:rPr>
              <w:fldChar w:fldCharType="begin"/>
            </w:r>
            <w:r w:rsidRPr="00034378">
              <w:rPr>
                <w:rStyle w:val="CaptionLabel"/>
              </w:rPr>
              <w:instrText xml:space="preserve"> STYLEREF 1 \S \* MERGEFORMAT </w:instrText>
            </w:r>
            <w:r w:rsidRPr="00034378">
              <w:rPr>
                <w:rStyle w:val="CaptionLabel"/>
              </w:rPr>
              <w:fldChar w:fldCharType="separate"/>
            </w:r>
            <w:r>
              <w:rPr>
                <w:rStyle w:val="CaptionLabel"/>
                <w:noProof/>
              </w:rPr>
              <w:t>3</w:t>
            </w:r>
            <w:r w:rsidRPr="00034378">
              <w:rPr>
                <w:rStyle w:val="CaptionLabel"/>
              </w:rPr>
              <w:fldChar w:fldCharType="end"/>
            </w:r>
            <w:r w:rsidRPr="00034378">
              <w:rPr>
                <w:rStyle w:val="CaptionLabel"/>
              </w:rPr>
              <w:t>.</w:t>
            </w:r>
            <w:r w:rsidRPr="00034378">
              <w:rPr>
                <w:rStyle w:val="CaptionLabel"/>
              </w:rPr>
              <w:fldChar w:fldCharType="begin"/>
            </w:r>
            <w:r w:rsidRPr="00034378">
              <w:rPr>
                <w:rStyle w:val="CaptionLabel"/>
              </w:rPr>
              <w:instrText xml:space="preserve"> SEQ Figure \* ARABIC \S 1 \* MERGEFORMAT </w:instrText>
            </w:r>
            <w:r w:rsidRPr="00034378">
              <w:rPr>
                <w:rStyle w:val="CaptionLabel"/>
              </w:rPr>
              <w:fldChar w:fldCharType="separate"/>
            </w:r>
            <w:r>
              <w:rPr>
                <w:rStyle w:val="CaptionLabel"/>
                <w:noProof/>
              </w:rPr>
              <w:t>1</w:t>
            </w:r>
            <w:r w:rsidRPr="00034378">
              <w:rPr>
                <w:rStyle w:val="CaptionLabel"/>
              </w:rPr>
              <w:fldChar w:fldCharType="end"/>
            </w:r>
            <w:bookmarkEnd w:id="29"/>
            <w:r>
              <w:tab/>
              <w:t>Top 10 countries generating SUP waste, ranked by per capita consumption (2019)</w:t>
            </w:r>
            <w:bookmarkEnd w:id="30"/>
            <w:bookmarkEnd w:id="31"/>
          </w:p>
        </w:tc>
      </w:tr>
      <w:tr w:rsidR="00B949E1" w14:paraId="03DB4A14" w14:textId="77777777" w:rsidTr="00B9362B">
        <w:tblPrEx>
          <w:tblCellMar>
            <w:left w:w="108" w:type="dxa"/>
            <w:right w:w="108" w:type="dxa"/>
          </w:tblCellMar>
        </w:tblPrEx>
        <w:tc>
          <w:tcPr>
            <w:tcW w:w="7936" w:type="dxa"/>
            <w:tcBorders>
              <w:top w:val="single" w:sz="4" w:space="0" w:color="000100"/>
            </w:tcBorders>
            <w:shd w:val="clear" w:color="auto" w:fill="auto"/>
          </w:tcPr>
          <w:p w14:paraId="00E59D97" w14:textId="77777777" w:rsidR="00B949E1" w:rsidRDefault="00B949E1" w:rsidP="00B9362B">
            <w:pPr>
              <w:pStyle w:val="Figure"/>
              <w:jc w:val="center"/>
            </w:pPr>
            <w:r>
              <w:rPr>
                <w:noProof/>
              </w:rPr>
              <w:drawing>
                <wp:inline distT="0" distB="0" distL="0" distR="0" wp14:anchorId="14BD4C3B" wp14:editId="3D2242A2">
                  <wp:extent cx="4901565" cy="20910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1565" cy="2091055"/>
                          </a:xfrm>
                          <a:prstGeom prst="rect">
                            <a:avLst/>
                          </a:prstGeom>
                          <a:noFill/>
                        </pic:spPr>
                      </pic:pic>
                    </a:graphicData>
                  </a:graphic>
                </wp:inline>
              </w:drawing>
            </w:r>
          </w:p>
        </w:tc>
      </w:tr>
      <w:tr w:rsidR="00B949E1" w14:paraId="67B35335" w14:textId="77777777" w:rsidTr="00B9362B">
        <w:trPr>
          <w:trHeight w:val="135"/>
        </w:trPr>
        <w:tc>
          <w:tcPr>
            <w:tcW w:w="7936" w:type="dxa"/>
            <w:tcBorders>
              <w:bottom w:val="single" w:sz="4" w:space="0" w:color="000100"/>
            </w:tcBorders>
            <w:shd w:val="clear" w:color="auto" w:fill="auto"/>
            <w:tcMar>
              <w:top w:w="12" w:type="dxa"/>
              <w:bottom w:w="113" w:type="dxa"/>
            </w:tcMar>
          </w:tcPr>
          <w:p w14:paraId="0EB598CB" w14:textId="77777777" w:rsidR="00B949E1" w:rsidRDefault="00B949E1" w:rsidP="00B9362B">
            <w:pPr>
              <w:pStyle w:val="Source"/>
            </w:pPr>
            <w:r>
              <w:t xml:space="preserve">Source: </w:t>
            </w:r>
            <w:r w:rsidRPr="00034378">
              <w:t>Charles</w:t>
            </w:r>
            <w:r>
              <w:t xml:space="preserve"> </w:t>
            </w:r>
            <w:r w:rsidRPr="00034378">
              <w:t>D.,</w:t>
            </w:r>
            <w:r>
              <w:t xml:space="preserve"> </w:t>
            </w:r>
            <w:r w:rsidRPr="00034378">
              <w:t>Kimman</w:t>
            </w:r>
            <w:r>
              <w:t xml:space="preserve"> </w:t>
            </w:r>
            <w:r w:rsidRPr="00034378">
              <w:t>L.</w:t>
            </w:r>
            <w:r>
              <w:t xml:space="preserve"> </w:t>
            </w:r>
            <w:r w:rsidRPr="00034378">
              <w:t>and</w:t>
            </w:r>
            <w:r>
              <w:t xml:space="preserve"> </w:t>
            </w:r>
            <w:r w:rsidRPr="00034378">
              <w:t>Saran</w:t>
            </w:r>
            <w:r>
              <w:t xml:space="preserve"> </w:t>
            </w:r>
            <w:r w:rsidRPr="00034378">
              <w:t>N.</w:t>
            </w:r>
            <w:r>
              <w:t xml:space="preserve"> </w:t>
            </w:r>
            <w:r w:rsidRPr="00034378">
              <w:t>2021,</w:t>
            </w:r>
            <w:r>
              <w:t xml:space="preserve"> </w:t>
            </w:r>
            <w:r w:rsidRPr="00034378">
              <w:t>The</w:t>
            </w:r>
            <w:r>
              <w:t xml:space="preserve"> </w:t>
            </w:r>
            <w:r w:rsidRPr="00034378">
              <w:t>Plastic</w:t>
            </w:r>
            <w:r>
              <w:t xml:space="preserve"> </w:t>
            </w:r>
            <w:r w:rsidRPr="00034378">
              <w:t>Waste</w:t>
            </w:r>
            <w:r>
              <w:t xml:space="preserve"> </w:t>
            </w:r>
            <w:r w:rsidRPr="00034378">
              <w:t>Makers</w:t>
            </w:r>
            <w:r>
              <w:t xml:space="preserve"> </w:t>
            </w:r>
            <w:r w:rsidRPr="00034378">
              <w:t>Index,</w:t>
            </w:r>
            <w:r>
              <w:t xml:space="preserve"> </w:t>
            </w:r>
            <w:r w:rsidRPr="00034378">
              <w:t>Minderoo</w:t>
            </w:r>
            <w:r>
              <w:t xml:space="preserve"> </w:t>
            </w:r>
            <w:r w:rsidRPr="00034378">
              <w:t>Foundation.</w:t>
            </w:r>
          </w:p>
        </w:tc>
      </w:tr>
      <w:tr w:rsidR="00B949E1" w14:paraId="46F4C3DF"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658C004F" w14:textId="77777777" w:rsidR="00B949E1" w:rsidRDefault="00B949E1" w:rsidP="00B9362B">
            <w:pPr>
              <w:pStyle w:val="spacer"/>
            </w:pPr>
          </w:p>
        </w:tc>
      </w:tr>
    </w:tbl>
    <w:p w14:paraId="370B0E70" w14:textId="77777777" w:rsidR="00B949E1" w:rsidRDefault="00B949E1" w:rsidP="00B949E1">
      <w:pPr>
        <w:pStyle w:val="BodyText"/>
      </w:pPr>
      <w:r>
        <w:t>In the ACT, plastic makes up approximately 7% of waste sent to landfill in 2020-21 or 24,000 tonnes.</w:t>
      </w:r>
      <w:r>
        <w:rPr>
          <w:rStyle w:val="FootnoteReference"/>
        </w:rPr>
        <w:footnoteReference w:id="32"/>
      </w:r>
      <w:r>
        <w:t xml:space="preserve"> Although this is a reduction in the proportion of plastic sent to landfill (down from 8.15% in 2018-19), the amount of plastic sent to landfill has increased by 2,000 tonnes in the last 2 years.</w:t>
      </w:r>
      <w:r>
        <w:rPr>
          <w:rStyle w:val="FootnoteReference"/>
        </w:rPr>
        <w:footnoteReference w:id="33"/>
      </w:r>
    </w:p>
    <w:tbl>
      <w:tblPr>
        <w:tblW w:w="0" w:type="auto"/>
        <w:tblLayout w:type="fixed"/>
        <w:tblCellMar>
          <w:left w:w="0" w:type="dxa"/>
          <w:right w:w="0" w:type="dxa"/>
        </w:tblCellMar>
        <w:tblLook w:val="0000" w:firstRow="0" w:lastRow="0" w:firstColumn="0" w:lastColumn="0" w:noHBand="0" w:noVBand="0"/>
      </w:tblPr>
      <w:tblGrid>
        <w:gridCol w:w="7936"/>
      </w:tblGrid>
      <w:tr w:rsidR="00B949E1" w14:paraId="2F87529C" w14:textId="77777777" w:rsidTr="00B9362B">
        <w:tc>
          <w:tcPr>
            <w:tcW w:w="7936" w:type="dxa"/>
            <w:tcBorders>
              <w:bottom w:val="single" w:sz="4" w:space="0" w:color="000100"/>
            </w:tcBorders>
            <w:shd w:val="clear" w:color="auto" w:fill="auto"/>
            <w:tcMar>
              <w:top w:w="160" w:type="dxa"/>
              <w:bottom w:w="8" w:type="dxa"/>
            </w:tcMar>
          </w:tcPr>
          <w:p w14:paraId="3E35C304" w14:textId="77777777" w:rsidR="00B949E1" w:rsidRDefault="00B949E1" w:rsidP="00B9362B">
            <w:pPr>
              <w:pStyle w:val="Caption"/>
            </w:pPr>
            <w:bookmarkStart w:id="32" w:name="_Toc134002431"/>
            <w:r w:rsidRPr="00CB5EDA">
              <w:rPr>
                <w:rStyle w:val="CaptionLabel"/>
              </w:rPr>
              <w:lastRenderedPageBreak/>
              <w:t>Figure </w:t>
            </w:r>
            <w:r w:rsidRPr="00CB5EDA">
              <w:rPr>
                <w:rStyle w:val="CaptionLabel"/>
              </w:rPr>
              <w:fldChar w:fldCharType="begin"/>
            </w:r>
            <w:r w:rsidRPr="00CB5EDA">
              <w:rPr>
                <w:rStyle w:val="CaptionLabel"/>
              </w:rPr>
              <w:instrText xml:space="preserve"> STYLEREF 1 \S \* MERGEFORMAT </w:instrText>
            </w:r>
            <w:r w:rsidRPr="00CB5EDA">
              <w:rPr>
                <w:rStyle w:val="CaptionLabel"/>
              </w:rPr>
              <w:fldChar w:fldCharType="separate"/>
            </w:r>
            <w:r>
              <w:rPr>
                <w:rStyle w:val="CaptionLabel"/>
                <w:noProof/>
              </w:rPr>
              <w:t>3</w:t>
            </w:r>
            <w:r w:rsidRPr="00CB5EDA">
              <w:rPr>
                <w:rStyle w:val="CaptionLabel"/>
              </w:rPr>
              <w:fldChar w:fldCharType="end"/>
            </w:r>
            <w:r w:rsidRPr="00CB5EDA">
              <w:rPr>
                <w:rStyle w:val="CaptionLabel"/>
              </w:rPr>
              <w:t>.</w:t>
            </w:r>
            <w:r w:rsidRPr="00CB5EDA">
              <w:rPr>
                <w:rStyle w:val="CaptionLabel"/>
              </w:rPr>
              <w:fldChar w:fldCharType="begin"/>
            </w:r>
            <w:r w:rsidRPr="00CB5EDA">
              <w:rPr>
                <w:rStyle w:val="CaptionLabel"/>
              </w:rPr>
              <w:instrText xml:space="preserve"> SEQ Figure \* ARABIC \S 1 \* MERGEFORMAT </w:instrText>
            </w:r>
            <w:r w:rsidRPr="00CB5EDA">
              <w:rPr>
                <w:rStyle w:val="CaptionLabel"/>
              </w:rPr>
              <w:fldChar w:fldCharType="separate"/>
            </w:r>
            <w:r>
              <w:rPr>
                <w:rStyle w:val="CaptionLabel"/>
                <w:noProof/>
              </w:rPr>
              <w:t>2</w:t>
            </w:r>
            <w:r w:rsidRPr="00CB5EDA">
              <w:rPr>
                <w:rStyle w:val="CaptionLabel"/>
              </w:rPr>
              <w:fldChar w:fldCharType="end"/>
            </w:r>
            <w:r>
              <w:tab/>
              <w:t>Waste sent to landfill in the ACT by material, 2020-21 (tonnes)</w:t>
            </w:r>
            <w:bookmarkEnd w:id="32"/>
          </w:p>
        </w:tc>
      </w:tr>
      <w:tr w:rsidR="00B949E1" w14:paraId="3E642AA0" w14:textId="77777777" w:rsidTr="00B9362B">
        <w:tblPrEx>
          <w:tblCellMar>
            <w:left w:w="108" w:type="dxa"/>
            <w:right w:w="108" w:type="dxa"/>
          </w:tblCellMar>
        </w:tblPrEx>
        <w:tc>
          <w:tcPr>
            <w:tcW w:w="7936" w:type="dxa"/>
            <w:tcBorders>
              <w:top w:val="single" w:sz="4" w:space="0" w:color="000100"/>
            </w:tcBorders>
            <w:shd w:val="clear" w:color="auto" w:fill="auto"/>
          </w:tcPr>
          <w:p w14:paraId="7579028F" w14:textId="77777777" w:rsidR="00B949E1" w:rsidRDefault="00B949E1" w:rsidP="00B9362B">
            <w:pPr>
              <w:pStyle w:val="Figure"/>
            </w:pPr>
            <w:r>
              <w:rPr>
                <w:noProof/>
              </w:rPr>
              <w:drawing>
                <wp:inline distT="0" distB="0" distL="0" distR="0" wp14:anchorId="66631A77" wp14:editId="02FB2A5D">
                  <wp:extent cx="5029835" cy="2139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835" cy="2139950"/>
                          </a:xfrm>
                          <a:prstGeom prst="rect">
                            <a:avLst/>
                          </a:prstGeom>
                          <a:noFill/>
                        </pic:spPr>
                      </pic:pic>
                    </a:graphicData>
                  </a:graphic>
                </wp:inline>
              </w:drawing>
            </w:r>
          </w:p>
        </w:tc>
      </w:tr>
      <w:tr w:rsidR="00B949E1" w14:paraId="334984E3" w14:textId="77777777" w:rsidTr="00B9362B">
        <w:trPr>
          <w:trHeight w:val="135"/>
        </w:trPr>
        <w:tc>
          <w:tcPr>
            <w:tcW w:w="7936" w:type="dxa"/>
            <w:tcBorders>
              <w:bottom w:val="single" w:sz="4" w:space="0" w:color="000100"/>
            </w:tcBorders>
            <w:shd w:val="clear" w:color="auto" w:fill="auto"/>
            <w:tcMar>
              <w:top w:w="12" w:type="dxa"/>
              <w:bottom w:w="113" w:type="dxa"/>
            </w:tcMar>
          </w:tcPr>
          <w:p w14:paraId="23C40D93" w14:textId="77777777" w:rsidR="00B949E1" w:rsidRDefault="00B949E1" w:rsidP="00B9362B">
            <w:pPr>
              <w:pStyle w:val="Source"/>
            </w:pPr>
            <w:r>
              <w:t xml:space="preserve">Source: ACIL Allen based on </w:t>
            </w:r>
            <w:r w:rsidRPr="009E08D4">
              <w:t>The Department of Climate Change, Energy, the Environment and Wat</w:t>
            </w:r>
            <w:r>
              <w:t>er, National Waste Report 2022</w:t>
            </w:r>
          </w:p>
        </w:tc>
      </w:tr>
      <w:tr w:rsidR="00B949E1" w14:paraId="775C8AB6"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267BD30E" w14:textId="77777777" w:rsidR="00B949E1" w:rsidRDefault="00B949E1" w:rsidP="00B9362B">
            <w:pPr>
              <w:pStyle w:val="spacer"/>
            </w:pPr>
          </w:p>
        </w:tc>
      </w:tr>
    </w:tbl>
    <w:p w14:paraId="34426506" w14:textId="77777777" w:rsidR="00B949E1" w:rsidRDefault="00B949E1" w:rsidP="00B949E1">
      <w:pPr>
        <w:pStyle w:val="BodyText"/>
      </w:pPr>
      <w:r>
        <w:t xml:space="preserve">Despite </w:t>
      </w:r>
      <w:r w:rsidRPr="0018740B">
        <w:t>growing</w:t>
      </w:r>
      <w:r>
        <w:t xml:space="preserve"> </w:t>
      </w:r>
      <w:r w:rsidRPr="0018740B">
        <w:t>awareness</w:t>
      </w:r>
      <w:r>
        <w:t xml:space="preserve"> </w:t>
      </w:r>
      <w:r w:rsidRPr="0018740B">
        <w:t>of</w:t>
      </w:r>
      <w:r>
        <w:t xml:space="preserve"> </w:t>
      </w:r>
      <w:r w:rsidRPr="0018740B">
        <w:t>plastic</w:t>
      </w:r>
      <w:r>
        <w:t xml:space="preserve"> </w:t>
      </w:r>
      <w:r w:rsidRPr="0018740B">
        <w:t>pollution</w:t>
      </w:r>
      <w:r>
        <w:t xml:space="preserve"> and its negative environmental impacts, plastic production and subsequent consumption continue to rise. Indeed, the </w:t>
      </w:r>
      <w:bookmarkStart w:id="33" w:name="_Hlk120176548"/>
      <w:r>
        <w:t xml:space="preserve">Organisation for Economic Co-operation and Development’s (OECD) </w:t>
      </w:r>
      <w:bookmarkEnd w:id="33"/>
      <w:r>
        <w:t>recent global plastics outlook</w:t>
      </w:r>
      <w:r>
        <w:rPr>
          <w:rStyle w:val="FootnoteReference"/>
        </w:rPr>
        <w:footnoteReference w:id="34"/>
      </w:r>
      <w:r>
        <w:t xml:space="preserve"> projects that, under current policies, t</w:t>
      </w:r>
      <w:r w:rsidRPr="00A17335">
        <w:t>he</w:t>
      </w:r>
      <w:r>
        <w:t xml:space="preserve"> </w:t>
      </w:r>
      <w:r w:rsidRPr="00A17335">
        <w:t>production,</w:t>
      </w:r>
      <w:r>
        <w:t xml:space="preserve"> </w:t>
      </w:r>
      <w:r w:rsidRPr="00A17335">
        <w:t>and</w:t>
      </w:r>
      <w:r>
        <w:t xml:space="preserve"> </w:t>
      </w:r>
      <w:r w:rsidRPr="00A17335">
        <w:t>corresponding</w:t>
      </w:r>
      <w:r>
        <w:t xml:space="preserve"> </w:t>
      </w:r>
      <w:r w:rsidRPr="00A17335">
        <w:t>consumption,</w:t>
      </w:r>
      <w:r>
        <w:t xml:space="preserve"> </w:t>
      </w:r>
      <w:r w:rsidRPr="00A17335">
        <w:t>of</w:t>
      </w:r>
      <w:r>
        <w:t xml:space="preserve"> </w:t>
      </w:r>
      <w:r w:rsidRPr="00A17335">
        <w:t>plastic</w:t>
      </w:r>
      <w:r>
        <w:t xml:space="preserve"> </w:t>
      </w:r>
      <w:r w:rsidRPr="00A17335">
        <w:t>is</w:t>
      </w:r>
      <w:r>
        <w:t xml:space="preserve"> </w:t>
      </w:r>
      <w:r w:rsidRPr="00A17335">
        <w:t>projected</w:t>
      </w:r>
      <w:r>
        <w:t xml:space="preserve"> </w:t>
      </w:r>
      <w:r w:rsidRPr="00A17335">
        <w:t>to</w:t>
      </w:r>
      <w:r>
        <w:t xml:space="preserve"> </w:t>
      </w:r>
      <w:r w:rsidRPr="00A17335">
        <w:t>almost</w:t>
      </w:r>
      <w:r>
        <w:t xml:space="preserve"> </w:t>
      </w:r>
      <w:r w:rsidRPr="00A17335">
        <w:t>triple</w:t>
      </w:r>
      <w:r>
        <w:t xml:space="preserve"> </w:t>
      </w:r>
      <w:r w:rsidRPr="00A17335">
        <w:t>by</w:t>
      </w:r>
      <w:r>
        <w:t xml:space="preserve"> </w:t>
      </w:r>
      <w:r w:rsidRPr="00A17335">
        <w:t>2060</w:t>
      </w:r>
      <w:r>
        <w:t xml:space="preserve"> </w:t>
      </w:r>
      <w:r w:rsidRPr="00A17335">
        <w:t>due</w:t>
      </w:r>
      <w:r>
        <w:t xml:space="preserve"> </w:t>
      </w:r>
      <w:r w:rsidRPr="00A17335">
        <w:t>to</w:t>
      </w:r>
      <w:r>
        <w:t xml:space="preserve"> </w:t>
      </w:r>
      <w:r w:rsidRPr="00A17335">
        <w:t>economic</w:t>
      </w:r>
      <w:r>
        <w:t xml:space="preserve"> </w:t>
      </w:r>
      <w:r w:rsidRPr="00A17335">
        <w:t>and</w:t>
      </w:r>
      <w:r>
        <w:t xml:space="preserve"> </w:t>
      </w:r>
      <w:r w:rsidRPr="00A17335">
        <w:t>population</w:t>
      </w:r>
      <w:r>
        <w:t xml:space="preserve"> </w:t>
      </w:r>
      <w:r w:rsidRPr="00A17335">
        <w:t>growth.</w:t>
      </w:r>
      <w:r>
        <w:t xml:space="preserve"> </w:t>
      </w:r>
      <w:r w:rsidRPr="00A17335">
        <w:t>It</w:t>
      </w:r>
      <w:r>
        <w:t xml:space="preserve"> </w:t>
      </w:r>
      <w:r w:rsidRPr="00A17335">
        <w:t>is</w:t>
      </w:r>
      <w:r>
        <w:t xml:space="preserve"> </w:t>
      </w:r>
      <w:r w:rsidRPr="00A17335">
        <w:t>anticipated</w:t>
      </w:r>
      <w:r>
        <w:t xml:space="preserve"> </w:t>
      </w:r>
      <w:r w:rsidRPr="00A17335">
        <w:t>that,</w:t>
      </w:r>
      <w:r>
        <w:t xml:space="preserve"> </w:t>
      </w:r>
      <w:r w:rsidRPr="00A17335">
        <w:t>by</w:t>
      </w:r>
      <w:r>
        <w:t xml:space="preserve"> </w:t>
      </w:r>
      <w:r w:rsidRPr="00A17335">
        <w:t>that</w:t>
      </w:r>
      <w:r>
        <w:t xml:space="preserve"> </w:t>
      </w:r>
      <w:r w:rsidRPr="00A17335">
        <w:t>time,</w:t>
      </w:r>
      <w:r>
        <w:t xml:space="preserve"> </w:t>
      </w:r>
      <w:r w:rsidRPr="00A17335">
        <w:t>half</w:t>
      </w:r>
      <w:r>
        <w:t xml:space="preserve"> </w:t>
      </w:r>
      <w:r w:rsidRPr="00A17335">
        <w:t>of</w:t>
      </w:r>
      <w:r>
        <w:t xml:space="preserve"> </w:t>
      </w:r>
      <w:r w:rsidRPr="00A17335">
        <w:t>all</w:t>
      </w:r>
      <w:r>
        <w:t xml:space="preserve"> </w:t>
      </w:r>
      <w:r w:rsidRPr="00A17335">
        <w:t>plastic</w:t>
      </w:r>
      <w:r>
        <w:t xml:space="preserve"> </w:t>
      </w:r>
      <w:r w:rsidRPr="00A17335">
        <w:t>will</w:t>
      </w:r>
      <w:r>
        <w:t xml:space="preserve"> </w:t>
      </w:r>
      <w:r w:rsidRPr="00A17335">
        <w:t>end</w:t>
      </w:r>
      <w:r>
        <w:t xml:space="preserve"> </w:t>
      </w:r>
      <w:r w:rsidRPr="00A17335">
        <w:t>up</w:t>
      </w:r>
      <w:r>
        <w:t xml:space="preserve"> </w:t>
      </w:r>
      <w:r w:rsidRPr="00A17335">
        <w:t>in</w:t>
      </w:r>
      <w:r>
        <w:t xml:space="preserve"> </w:t>
      </w:r>
      <w:r w:rsidRPr="00A17335">
        <w:t>landfill</w:t>
      </w:r>
      <w:r>
        <w:t xml:space="preserve">, </w:t>
      </w:r>
      <w:r w:rsidRPr="00A17335">
        <w:t>and</w:t>
      </w:r>
      <w:r>
        <w:t xml:space="preserve"> </w:t>
      </w:r>
      <w:r w:rsidRPr="00A17335">
        <w:t>less</w:t>
      </w:r>
      <w:r>
        <w:t xml:space="preserve"> </w:t>
      </w:r>
      <w:r w:rsidRPr="00A17335">
        <w:t>than</w:t>
      </w:r>
      <w:r>
        <w:t xml:space="preserve"> </w:t>
      </w:r>
      <w:r w:rsidRPr="00A17335">
        <w:t>a</w:t>
      </w:r>
      <w:r>
        <w:t xml:space="preserve"> </w:t>
      </w:r>
      <w:r w:rsidRPr="00A17335">
        <w:t>fifth</w:t>
      </w:r>
      <w:r>
        <w:t xml:space="preserve"> </w:t>
      </w:r>
      <w:r w:rsidRPr="00A17335">
        <w:t>will</w:t>
      </w:r>
      <w:r>
        <w:t xml:space="preserve"> </w:t>
      </w:r>
      <w:r w:rsidRPr="00A17335">
        <w:t>be</w:t>
      </w:r>
      <w:r>
        <w:t xml:space="preserve"> </w:t>
      </w:r>
      <w:r w:rsidRPr="00A17335">
        <w:t>recycled.</w:t>
      </w:r>
    </w:p>
    <w:p w14:paraId="722A6939" w14:textId="77777777" w:rsidR="00B949E1" w:rsidRDefault="00B949E1" w:rsidP="00B949E1">
      <w:pPr>
        <w:pStyle w:val="Heading2"/>
      </w:pPr>
      <w:bookmarkStart w:id="34" w:name="_Ref133315400"/>
      <w:bookmarkStart w:id="35" w:name="_Toc136872618"/>
      <w:r>
        <w:t>Impacts of SUP</w:t>
      </w:r>
      <w:bookmarkEnd w:id="34"/>
      <w:bookmarkEnd w:id="35"/>
    </w:p>
    <w:p w14:paraId="6013ABF0" w14:textId="77777777" w:rsidR="00B949E1" w:rsidRDefault="00B949E1" w:rsidP="00B949E1">
      <w:pPr>
        <w:pStyle w:val="BodyText"/>
      </w:pPr>
      <w:r>
        <w:t xml:space="preserve">The same strengths that make plastic so widely used also present a problem: plastic does not break down naturally. The </w:t>
      </w:r>
      <w:r w:rsidRPr="00B7046A">
        <w:t>United</w:t>
      </w:r>
      <w:r>
        <w:t xml:space="preserve"> </w:t>
      </w:r>
      <w:r w:rsidRPr="00B7046A">
        <w:t>Nations</w:t>
      </w:r>
      <w:r>
        <w:t xml:space="preserve"> </w:t>
      </w:r>
      <w:r w:rsidRPr="00B7046A">
        <w:t>Educational,</w:t>
      </w:r>
      <w:r>
        <w:t xml:space="preserve"> </w:t>
      </w:r>
      <w:r w:rsidRPr="00B7046A">
        <w:t>Scientific</w:t>
      </w:r>
      <w:r>
        <w:t xml:space="preserve"> </w:t>
      </w:r>
      <w:r w:rsidRPr="00B7046A">
        <w:t>and</w:t>
      </w:r>
      <w:r>
        <w:t xml:space="preserve"> </w:t>
      </w:r>
      <w:r w:rsidRPr="00B7046A">
        <w:t>Cultural</w:t>
      </w:r>
      <w:r>
        <w:t xml:space="preserve"> </w:t>
      </w:r>
      <w:r w:rsidRPr="00B7046A">
        <w:t>Organization</w:t>
      </w:r>
      <w:r>
        <w:t xml:space="preserve"> (</w:t>
      </w:r>
      <w:r w:rsidRPr="00590F2C">
        <w:t>UNESCO</w:t>
      </w:r>
      <w:r>
        <w:t>)</w:t>
      </w:r>
      <w:r w:rsidRPr="00590F2C">
        <w:t xml:space="preserve"> </w:t>
      </w:r>
      <w:r>
        <w:t xml:space="preserve">suggests </w:t>
      </w:r>
      <w:r w:rsidRPr="00590F2C">
        <w:t>that</w:t>
      </w:r>
      <w:r>
        <w:t xml:space="preserve"> plastics generally take 500-1000 year</w:t>
      </w:r>
      <w:r w:rsidRPr="00590F2C">
        <w:t>s</w:t>
      </w:r>
      <w:r>
        <w:t xml:space="preserve"> </w:t>
      </w:r>
      <w:r w:rsidRPr="00590F2C">
        <w:t>to</w:t>
      </w:r>
      <w:r>
        <w:t xml:space="preserve"> </w:t>
      </w:r>
      <w:r w:rsidRPr="00590F2C">
        <w:t>break</w:t>
      </w:r>
      <w:r>
        <w:t xml:space="preserve"> </w:t>
      </w:r>
      <w:r w:rsidRPr="00590F2C">
        <w:t>down.</w:t>
      </w:r>
      <w:r>
        <w:t xml:space="preserve"> </w:t>
      </w:r>
      <w:r w:rsidRPr="00590F2C">
        <w:t>Even</w:t>
      </w:r>
      <w:r>
        <w:t xml:space="preserve"> </w:t>
      </w:r>
      <w:r w:rsidRPr="00590F2C">
        <w:t>then,</w:t>
      </w:r>
      <w:r>
        <w:t xml:space="preserve"> </w:t>
      </w:r>
      <w:r w:rsidRPr="00590F2C">
        <w:t>they</w:t>
      </w:r>
      <w:r>
        <w:t xml:space="preserve"> </w:t>
      </w:r>
      <w:r w:rsidRPr="00590F2C">
        <w:t>become</w:t>
      </w:r>
      <w:r>
        <w:t xml:space="preserve"> </w:t>
      </w:r>
      <w:r w:rsidRPr="00590F2C">
        <w:t>microplastics</w:t>
      </w:r>
      <w:r>
        <w:t xml:space="preserve"> </w:t>
      </w:r>
      <w:r w:rsidRPr="00590F2C">
        <w:t>without</w:t>
      </w:r>
      <w:r>
        <w:t xml:space="preserve"> </w:t>
      </w:r>
      <w:r w:rsidRPr="00590F2C">
        <w:t>fully</w:t>
      </w:r>
      <w:r>
        <w:t xml:space="preserve"> </w:t>
      </w:r>
      <w:r w:rsidRPr="00590F2C">
        <w:t>degrading.</w:t>
      </w:r>
      <w:r>
        <w:rPr>
          <w:rStyle w:val="FootnoteReference"/>
        </w:rPr>
        <w:footnoteReference w:id="35"/>
      </w:r>
      <w:r>
        <w:t xml:space="preserve"> </w:t>
      </w:r>
    </w:p>
    <w:p w14:paraId="6DB7F651" w14:textId="77777777" w:rsidR="00B949E1" w:rsidRDefault="00B949E1" w:rsidP="00B949E1">
      <w:pPr>
        <w:pStyle w:val="BodyText"/>
      </w:pPr>
      <w:r>
        <w:t xml:space="preserve">When not captured and disposed of correctly, plastics can have environmental, economic, and social impacts (as discussed below). </w:t>
      </w:r>
    </w:p>
    <w:p w14:paraId="4571835A" w14:textId="77777777" w:rsidR="00B949E1" w:rsidRDefault="00B949E1" w:rsidP="00B949E1">
      <w:pPr>
        <w:pStyle w:val="Heading3"/>
      </w:pPr>
      <w:bookmarkStart w:id="37" w:name="_Ref131587574"/>
      <w:r>
        <w:t>Environmental impacts</w:t>
      </w:r>
      <w:bookmarkEnd w:id="37"/>
    </w:p>
    <w:p w14:paraId="2EC8EC56" w14:textId="77777777" w:rsidR="00B949E1" w:rsidRDefault="00B949E1" w:rsidP="00B949E1">
      <w:pPr>
        <w:pStyle w:val="BodyText"/>
      </w:pPr>
      <w:r>
        <w:t>SUPs</w:t>
      </w:r>
      <w:r w:rsidRPr="002F2300">
        <w:t xml:space="preserve"> </w:t>
      </w:r>
      <w:r>
        <w:t>constitute a significant</w:t>
      </w:r>
      <w:r w:rsidRPr="002F2300">
        <w:t xml:space="preserve"> source of pollution and harm to wildlife. Plastic waste is often disposed of improperly, either through littering or improper waste disposal, and can end up in the natural environment, such as oceans, rivers, and forests.</w:t>
      </w:r>
      <w:bookmarkStart w:id="38" w:name="_Ref127213787"/>
      <w:r>
        <w:t xml:space="preserve"> Furthermore, </w:t>
      </w:r>
      <w:r w:rsidRPr="00435A8F">
        <w:t xml:space="preserve">manufacturing </w:t>
      </w:r>
      <w:r>
        <w:t xml:space="preserve">SUP </w:t>
      </w:r>
      <w:r w:rsidRPr="00435A8F">
        <w:t>requires significant energy and resources, contributing to greenhouse gas emissions and resource depletion.</w:t>
      </w:r>
    </w:p>
    <w:p w14:paraId="6D1F7482" w14:textId="77777777" w:rsidR="00B949E1" w:rsidRDefault="00B949E1" w:rsidP="00E70910">
      <w:pPr>
        <w:pStyle w:val="Heading4"/>
        <w:numPr>
          <w:ilvl w:val="0"/>
          <w:numId w:val="0"/>
        </w:numPr>
      </w:pPr>
      <w:r>
        <w:t>Marine pollution and effects on marine ecosystems</w:t>
      </w:r>
      <w:bookmarkEnd w:id="38"/>
    </w:p>
    <w:p w14:paraId="6AC59430" w14:textId="77777777" w:rsidR="00B949E1" w:rsidRDefault="00B949E1" w:rsidP="00B949E1">
      <w:pPr>
        <w:pStyle w:val="BodyText"/>
      </w:pPr>
      <w:r>
        <w:t xml:space="preserve">Even though ACT is a landlocked territory, it does have rivers, lakes, creeks, and other waterways. These bodies of water host diverse marine life and a complex ecosystem. </w:t>
      </w:r>
    </w:p>
    <w:p w14:paraId="38D2E41B" w14:textId="77777777" w:rsidR="00B949E1" w:rsidRDefault="00B949E1" w:rsidP="00B949E1">
      <w:pPr>
        <w:pStyle w:val="BodyText"/>
      </w:pPr>
      <w:r>
        <w:t xml:space="preserve">Plastics entering the marine environment directly threaten wildlife in different ways. Larger plastics, microplastics, and nano-plastics can threaten animal species through ingestion, entanglement, </w:t>
      </w:r>
      <w:r>
        <w:lastRenderedPageBreak/>
        <w:t>lacerations and suffocation</w:t>
      </w:r>
      <w:r>
        <w:rPr>
          <w:rStyle w:val="FootnoteReference"/>
        </w:rPr>
        <w:footnoteReference w:id="36"/>
      </w:r>
      <w:r>
        <w:t xml:space="preserve"> and can cause malnutrition and death within animal populations.</w:t>
      </w:r>
      <w:r>
        <w:rPr>
          <w:rStyle w:val="FootnoteReference"/>
        </w:rPr>
        <w:footnoteReference w:id="37"/>
      </w:r>
      <w:r>
        <w:t xml:space="preserve"> UNESCO also notes that floating plastic items can carry invasive species, threatening the health of marine ecosystems, biodiversity, and the food chain.</w:t>
      </w:r>
      <w:r>
        <w:rPr>
          <w:rStyle w:val="FootnoteReference"/>
        </w:rPr>
        <w:footnoteReference w:id="38"/>
      </w:r>
      <w:r>
        <w:t xml:space="preserve"> The presence of plastic in marine environments, amongst other pressures, is driving certain species closer to extinction.</w:t>
      </w:r>
      <w:r>
        <w:rPr>
          <w:rStyle w:val="FootnoteReference"/>
        </w:rPr>
        <w:footnoteReference w:id="39"/>
      </w:r>
    </w:p>
    <w:p w14:paraId="0D85C497" w14:textId="77777777" w:rsidR="00B949E1" w:rsidRDefault="00B949E1" w:rsidP="00E70910">
      <w:pPr>
        <w:pStyle w:val="Heading4"/>
        <w:numPr>
          <w:ilvl w:val="0"/>
          <w:numId w:val="0"/>
        </w:numPr>
      </w:pPr>
      <w:r w:rsidRPr="00CD764F">
        <w:t>Impacts</w:t>
      </w:r>
      <w:r>
        <w:t xml:space="preserve"> </w:t>
      </w:r>
      <w:r w:rsidRPr="00CD764F">
        <w:t>of</w:t>
      </w:r>
      <w:r>
        <w:t xml:space="preserve"> </w:t>
      </w:r>
      <w:r w:rsidRPr="00CD764F">
        <w:t>plastic</w:t>
      </w:r>
      <w:r>
        <w:t xml:space="preserve"> </w:t>
      </w:r>
      <w:r w:rsidRPr="00CD764F">
        <w:t>litter</w:t>
      </w:r>
      <w:r>
        <w:t xml:space="preserve"> </w:t>
      </w:r>
      <w:r w:rsidRPr="00CD764F">
        <w:t>on</w:t>
      </w:r>
      <w:r>
        <w:t xml:space="preserve"> </w:t>
      </w:r>
      <w:r w:rsidRPr="00CD764F">
        <w:t>terrestrial</w:t>
      </w:r>
      <w:r>
        <w:t xml:space="preserve"> </w:t>
      </w:r>
      <w:r w:rsidRPr="00CD764F">
        <w:t>environments</w:t>
      </w:r>
    </w:p>
    <w:p w14:paraId="5FD39418" w14:textId="77777777" w:rsidR="00B949E1" w:rsidRDefault="00B949E1" w:rsidP="00B949E1">
      <w:pPr>
        <w:pStyle w:val="BodyText"/>
      </w:pPr>
      <w:r w:rsidRPr="00990739">
        <w:t>Plastic pollution can also harm land environments. A recent study by the Royal Society</w:t>
      </w:r>
      <w:r>
        <w:rPr>
          <w:rStyle w:val="FootnoteReference"/>
        </w:rPr>
        <w:footnoteReference w:id="40"/>
      </w:r>
      <w:r w:rsidRPr="00990739">
        <w:t xml:space="preserve"> shows that </w:t>
      </w:r>
      <w:r>
        <w:t>microplastics</w:t>
      </w:r>
      <w:r w:rsidRPr="00990739">
        <w:t xml:space="preserve"> have caused </w:t>
      </w:r>
      <w:r>
        <w:t>a decrease</w:t>
      </w:r>
      <w:r w:rsidRPr="00990739">
        <w:t xml:space="preserve"> </w:t>
      </w:r>
      <w:r>
        <w:t>in</w:t>
      </w:r>
      <w:r w:rsidRPr="00990739">
        <w:t xml:space="preserve"> organisms that live underground, such as</w:t>
      </w:r>
      <w:r>
        <w:t xml:space="preserve"> mites, larvae and others that maintain soil health and nutrition. The study also noted </w:t>
      </w:r>
      <w:r w:rsidRPr="00990739">
        <w:t xml:space="preserve">the effects of </w:t>
      </w:r>
      <w:r>
        <w:t xml:space="preserve">microplastic </w:t>
      </w:r>
      <w:r w:rsidRPr="00990739">
        <w:t>spread through the soil food chains, changing how microbes work and possibly affecting how soil stores carbon and nutrients.</w:t>
      </w:r>
    </w:p>
    <w:p w14:paraId="52E5423F" w14:textId="77777777" w:rsidR="00B949E1" w:rsidRDefault="00B949E1" w:rsidP="00B949E1">
      <w:pPr>
        <w:pStyle w:val="BodyText"/>
      </w:pPr>
      <w:r w:rsidRPr="004E0E96">
        <w:t xml:space="preserve">The UNEP also notes that Chlorinated plastic can release harmful chemicals into the surrounding soil, </w:t>
      </w:r>
      <w:r>
        <w:t>seeping into groundwater or other surrounding water sources and</w:t>
      </w:r>
      <w:r w:rsidRPr="004E0E96">
        <w:t xml:space="preserve"> the ecosystem. This can cause </w:t>
      </w:r>
      <w:r>
        <w:t>various</w:t>
      </w:r>
      <w:r w:rsidRPr="004E0E96">
        <w:t xml:space="preserve"> potentially </w:t>
      </w:r>
      <w:r>
        <w:t>dangerous</w:t>
      </w:r>
      <w:r w:rsidRPr="004E0E96">
        <w:t xml:space="preserve"> effects on the species that drink the water.</w:t>
      </w:r>
      <w:r w:rsidRPr="004E0E96">
        <w:rPr>
          <w:rStyle w:val="FootnoteReference"/>
        </w:rPr>
        <w:footnoteReference w:id="41"/>
      </w:r>
      <w:r>
        <w:t xml:space="preserve"> Terrestrial animals such as mammals and birds can also ingest plastic, as with marine animals, which threatens their survival.</w:t>
      </w:r>
      <w:r w:rsidRPr="005F2CCF">
        <w:rPr>
          <w:rStyle w:val="FootnoteReference"/>
        </w:rPr>
        <w:footnoteReference w:id="42"/>
      </w:r>
    </w:p>
    <w:p w14:paraId="402B4972" w14:textId="77777777" w:rsidR="00B949E1" w:rsidRDefault="00B949E1" w:rsidP="00E70910">
      <w:pPr>
        <w:pStyle w:val="Heading4"/>
        <w:numPr>
          <w:ilvl w:val="0"/>
          <w:numId w:val="0"/>
        </w:numPr>
      </w:pPr>
      <w:bookmarkStart w:id="43" w:name="_Ref131587564"/>
      <w:r>
        <w:t>Climate change</w:t>
      </w:r>
      <w:bookmarkEnd w:id="43"/>
    </w:p>
    <w:p w14:paraId="57AD7D18" w14:textId="77777777" w:rsidR="00B949E1" w:rsidRPr="00C03115" w:rsidRDefault="00B949E1" w:rsidP="00B949E1">
      <w:pPr>
        <w:pStyle w:val="BodyText"/>
        <w:rPr>
          <w:rFonts w:cs="Times New Roman"/>
        </w:rPr>
      </w:pPr>
      <w:r>
        <w:t xml:space="preserve">SUP </w:t>
      </w:r>
      <w:r w:rsidRPr="00C03115">
        <w:t xml:space="preserve">production and disposal is a growing </w:t>
      </w:r>
      <w:r>
        <w:t>greenhouse gas (GHG) emission source</w:t>
      </w:r>
      <w:r w:rsidRPr="00C03115">
        <w:t>. About 98% of plastics are produced from fossil fuels such as oil and gas.</w:t>
      </w:r>
      <w:r w:rsidRPr="00C03115">
        <w:rPr>
          <w:rStyle w:val="FootnoteReference"/>
        </w:rPr>
        <w:footnoteReference w:id="43"/>
      </w:r>
      <w:r w:rsidRPr="00C03115">
        <w:t xml:space="preserve"> These gases contribute to global warming </w:t>
      </w:r>
      <w:r>
        <w:t xml:space="preserve">and </w:t>
      </w:r>
      <w:r w:rsidRPr="00C03115">
        <w:t>climate change</w:t>
      </w:r>
      <w:r>
        <w:t>, negatively impacting</w:t>
      </w:r>
      <w:r w:rsidRPr="00C03115">
        <w:t xml:space="preserve"> society and ecosystems.</w:t>
      </w:r>
    </w:p>
    <w:p w14:paraId="35A4E407" w14:textId="77777777" w:rsidR="00B949E1" w:rsidRPr="00C03115" w:rsidRDefault="00B949E1" w:rsidP="00B949E1">
      <w:pPr>
        <w:pStyle w:val="BodyText"/>
      </w:pPr>
      <w:r>
        <w:lastRenderedPageBreak/>
        <w:t>SUPs</w:t>
      </w:r>
      <w:r w:rsidRPr="00C03115">
        <w:t xml:space="preserve"> also create GHG emissions when they are discarded. Only 16% of plastics are recycled globally, while the rest end up in landfills, incinerators or as litter.</w:t>
      </w:r>
      <w:r w:rsidRPr="00C03115">
        <w:rPr>
          <w:rStyle w:val="FootnoteReference"/>
          <w:rFonts w:asciiTheme="minorHAnsi" w:hAnsiTheme="minorHAnsi"/>
          <w:color w:val="111111"/>
        </w:rPr>
        <w:footnoteReference w:id="44"/>
      </w:r>
      <w:r w:rsidRPr="00C03115">
        <w:t> In landfills, plastics release methane as they decompose.</w:t>
      </w:r>
      <w:r w:rsidRPr="00C03115">
        <w:rPr>
          <w:rStyle w:val="FootnoteReference"/>
          <w:rFonts w:asciiTheme="minorHAnsi" w:hAnsiTheme="minorHAnsi"/>
          <w:color w:val="111111"/>
        </w:rPr>
        <w:footnoteReference w:id="45"/>
      </w:r>
      <w:r w:rsidRPr="00C03115">
        <w:t xml:space="preserve"> In incinerators, plastics release carbon dioxide and other pollutants when they are burned. As litter, plastics can enter rivers and oceans, </w:t>
      </w:r>
      <w:r>
        <w:t>breaking</w:t>
      </w:r>
      <w:r w:rsidRPr="00C03115">
        <w:t xml:space="preserve"> down into microplastics under sunlight and heat. These microplastics release methane and ethylene as they degrade further.</w:t>
      </w:r>
      <w:r w:rsidRPr="00C03115">
        <w:rPr>
          <w:rStyle w:val="FootnoteReference"/>
          <w:rFonts w:asciiTheme="minorHAnsi" w:hAnsiTheme="minorHAnsi"/>
          <w:color w:val="111111"/>
        </w:rPr>
        <w:footnoteReference w:id="46"/>
      </w:r>
      <w:r w:rsidRPr="00C03115">
        <w:t xml:space="preserve"> Moreover, microplastics can affect the ability of marine organisms </w:t>
      </w:r>
      <w:r>
        <w:t>(</w:t>
      </w:r>
      <w:proofErr w:type="gramStart"/>
      <w:r>
        <w:t>e.g.</w:t>
      </w:r>
      <w:proofErr w:type="gramEnd"/>
      <w:r>
        <w:t xml:space="preserve"> </w:t>
      </w:r>
      <w:r w:rsidRPr="00C03115">
        <w:t>plankton</w:t>
      </w:r>
      <w:r>
        <w:t>)</w:t>
      </w:r>
      <w:r w:rsidRPr="00C03115">
        <w:t xml:space="preserve"> to produce oxygen and absorb carbon dioxide.</w:t>
      </w:r>
      <w:r w:rsidRPr="00C03115">
        <w:rPr>
          <w:rStyle w:val="FootnoteReference"/>
          <w:rFonts w:asciiTheme="minorHAnsi" w:hAnsiTheme="minorHAnsi"/>
          <w:color w:val="111111"/>
        </w:rPr>
        <w:footnoteReference w:id="47"/>
      </w:r>
      <w:r w:rsidRPr="00C03115">
        <w:t xml:space="preserve"> This reduces the ocean’s capacity to act as a carbon sink and regulate the climate.</w:t>
      </w:r>
    </w:p>
    <w:p w14:paraId="11CCA003" w14:textId="77777777" w:rsidR="00B949E1" w:rsidRPr="00C03115" w:rsidRDefault="00B949E1" w:rsidP="00B949E1">
      <w:pPr>
        <w:pStyle w:val="BodyText"/>
      </w:pPr>
      <w:r w:rsidRPr="00C03115">
        <w:t xml:space="preserve">According to a </w:t>
      </w:r>
      <w:r>
        <w:t>Center for International Environmental Law (CIEL) report</w:t>
      </w:r>
      <w:r w:rsidRPr="00C03115">
        <w:t>, plastic production and incineration could emit 1.34 gigatons of carbon dioxide equivalent (CO2e) in 2019, equivalent to 189 coal-fired power plants operating for one year. By 2050, these emissions could rise to 56</w:t>
      </w:r>
      <w:r>
        <w:t> </w:t>
      </w:r>
      <w:r w:rsidRPr="00C03115">
        <w:t xml:space="preserve">gigatons of CO2e </w:t>
      </w:r>
      <w:r>
        <w:t>–</w:t>
      </w:r>
      <w:r w:rsidRPr="00C03115">
        <w:t xml:space="preserve"> accounting for up to 13% of the total remaining carbon budget.</w:t>
      </w:r>
      <w:r w:rsidRPr="00C03115">
        <w:rPr>
          <w:rStyle w:val="FootnoteReference"/>
          <w:rFonts w:asciiTheme="minorHAnsi" w:hAnsiTheme="minorHAnsi"/>
          <w:color w:val="111111"/>
        </w:rPr>
        <w:footnoteReference w:id="48"/>
      </w:r>
    </w:p>
    <w:p w14:paraId="722340CB" w14:textId="77777777" w:rsidR="00B949E1" w:rsidRDefault="00B949E1" w:rsidP="00B949E1">
      <w:pPr>
        <w:pStyle w:val="Heading3"/>
      </w:pPr>
      <w:r>
        <w:t>Economic impacts</w:t>
      </w:r>
    </w:p>
    <w:p w14:paraId="4D79A44E" w14:textId="77777777" w:rsidR="00B949E1" w:rsidRDefault="00B949E1" w:rsidP="00B949E1">
      <w:pPr>
        <w:pStyle w:val="BodyText"/>
      </w:pPr>
      <w:r w:rsidRPr="00435A8F">
        <w:t xml:space="preserve">The production, use, and disposal of </w:t>
      </w:r>
      <w:r>
        <w:t xml:space="preserve">SUPs </w:t>
      </w:r>
      <w:r w:rsidRPr="00435A8F">
        <w:t>have significant economic impacts</w:t>
      </w:r>
      <w:r>
        <w:t>. According to the WWF, the economic costs of plastic include:</w:t>
      </w:r>
    </w:p>
    <w:p w14:paraId="4EA12837" w14:textId="77777777" w:rsidR="00B949E1" w:rsidRDefault="00B949E1" w:rsidP="00B949E1">
      <w:pPr>
        <w:pStyle w:val="ListBullet"/>
        <w:numPr>
          <w:ilvl w:val="0"/>
          <w:numId w:val="9"/>
        </w:numPr>
      </w:pPr>
      <w:r>
        <w:t>i</w:t>
      </w:r>
      <w:r w:rsidRPr="008B7DAD">
        <w:t>ncreased costs of waste management</w:t>
      </w:r>
    </w:p>
    <w:p w14:paraId="1790A4B1" w14:textId="77777777" w:rsidR="00B949E1" w:rsidRDefault="00B949E1" w:rsidP="00B949E1">
      <w:pPr>
        <w:pStyle w:val="ListBullet"/>
        <w:numPr>
          <w:ilvl w:val="0"/>
          <w:numId w:val="9"/>
        </w:numPr>
      </w:pPr>
      <w:r>
        <w:t xml:space="preserve">clean-up costs borne by governments, NGOs, and </w:t>
      </w:r>
      <w:proofErr w:type="gramStart"/>
      <w:r>
        <w:t>volunteers</w:t>
      </w:r>
      <w:proofErr w:type="gramEnd"/>
    </w:p>
    <w:p w14:paraId="230AE48F" w14:textId="77777777" w:rsidR="00B949E1" w:rsidRDefault="00B949E1" w:rsidP="00B949E1">
      <w:pPr>
        <w:pStyle w:val="ListBullet"/>
        <w:numPr>
          <w:ilvl w:val="0"/>
          <w:numId w:val="9"/>
        </w:numPr>
      </w:pPr>
      <w:r>
        <w:t xml:space="preserve">damage to </w:t>
      </w:r>
      <w:r w:rsidRPr="00AB50CA">
        <w:t>fisheries, aquaculture, marine transport, shipbuilding, and marine tourism industries</w:t>
      </w:r>
      <w:r>
        <w:t xml:space="preserve"> caused by marine plastic pollution.</w:t>
      </w:r>
    </w:p>
    <w:p w14:paraId="73EEF5A6" w14:textId="77777777" w:rsidR="00B949E1" w:rsidRPr="00893C2D" w:rsidRDefault="00B949E1" w:rsidP="00B949E1">
      <w:pPr>
        <w:pStyle w:val="BodyText"/>
      </w:pPr>
      <w:r>
        <w:t>SUPs</w:t>
      </w:r>
      <w:r w:rsidRPr="0008482D">
        <w:t xml:space="preserve"> </w:t>
      </w:r>
      <w:r>
        <w:t>are also an inefficient use of</w:t>
      </w:r>
      <w:r w:rsidRPr="0008482D">
        <w:t xml:space="preserve"> resources because they </w:t>
      </w:r>
      <w:r>
        <w:t>often have a short lifespan</w:t>
      </w:r>
      <w:r w:rsidRPr="0008482D">
        <w:t xml:space="preserve"> and few options for reuse or recycling, so most </w:t>
      </w:r>
      <w:r>
        <w:t>end up in landfills or as litter</w:t>
      </w:r>
      <w:r w:rsidRPr="0008482D">
        <w:t>. Moreover, when the world’s population is growing</w:t>
      </w:r>
      <w:r>
        <w:t>,</w:t>
      </w:r>
      <w:r w:rsidRPr="0008482D">
        <w:t xml:space="preserve"> and natural resources are dwindling, </w:t>
      </w:r>
      <w:r>
        <w:t xml:space="preserve">producing SUP </w:t>
      </w:r>
      <w:r w:rsidRPr="0008482D">
        <w:t>products</w:t>
      </w:r>
      <w:r>
        <w:t xml:space="preserve">, especially </w:t>
      </w:r>
      <w:r w:rsidRPr="0008482D">
        <w:t xml:space="preserve">unnecessary or problematic </w:t>
      </w:r>
      <w:r>
        <w:t xml:space="preserve">ones, </w:t>
      </w:r>
      <w:r w:rsidRPr="0008482D">
        <w:t>goes against the idea of the circular economy where resources keep circulating within the economy and thus reduce the use of natural capital.</w:t>
      </w:r>
    </w:p>
    <w:p w14:paraId="3152C7E2" w14:textId="77777777" w:rsidR="00B949E1" w:rsidRDefault="00B949E1" w:rsidP="00B949E1">
      <w:pPr>
        <w:pStyle w:val="Heading3"/>
      </w:pPr>
      <w:r>
        <w:t>Social impacts</w:t>
      </w:r>
    </w:p>
    <w:p w14:paraId="4FCAF634" w14:textId="77777777" w:rsidR="00B949E1" w:rsidRPr="00893C2D" w:rsidRDefault="00B949E1" w:rsidP="00B949E1">
      <w:pPr>
        <w:pStyle w:val="BodyText"/>
      </w:pPr>
      <w:r w:rsidRPr="00C664E3">
        <w:t xml:space="preserve">The production and disposal of </w:t>
      </w:r>
      <w:r>
        <w:t xml:space="preserve">SUPs </w:t>
      </w:r>
      <w:r w:rsidRPr="00C664E3">
        <w:t xml:space="preserve">can have social impacts, such as harm to human health and safety. Plastic waste can also lead to increased litter and debris in public spaces, impacting </w:t>
      </w:r>
      <w:r>
        <w:t>communities' aesthetic appeal and safety</w:t>
      </w:r>
      <w:r w:rsidRPr="00C664E3">
        <w:t>.</w:t>
      </w:r>
    </w:p>
    <w:p w14:paraId="3853FF35" w14:textId="77777777" w:rsidR="00B949E1" w:rsidRDefault="00B949E1" w:rsidP="00E70910">
      <w:pPr>
        <w:pStyle w:val="Heading4"/>
        <w:numPr>
          <w:ilvl w:val="0"/>
          <w:numId w:val="0"/>
        </w:numPr>
      </w:pPr>
      <w:r>
        <w:t>Microplastics and the human body</w:t>
      </w:r>
    </w:p>
    <w:p w14:paraId="097277B0" w14:textId="77777777" w:rsidR="00B949E1" w:rsidRDefault="00B949E1" w:rsidP="00B949E1">
      <w:pPr>
        <w:pStyle w:val="BodyText"/>
      </w:pPr>
      <w:r>
        <w:t xml:space="preserve">In Australia, current evidence suggests that </w:t>
      </w:r>
      <w:proofErr w:type="gramStart"/>
      <w:r>
        <w:t>each individual</w:t>
      </w:r>
      <w:proofErr w:type="gramEnd"/>
      <w:r>
        <w:t xml:space="preserve"> could consume up to 5 grams of plastic weekly, the equivalent of a credit card.</w:t>
      </w:r>
      <w:r w:rsidRPr="001771BA">
        <w:rPr>
          <w:rStyle w:val="FootnoteReference"/>
        </w:rPr>
        <w:footnoteReference w:id="49"/>
      </w:r>
      <w:r>
        <w:t xml:space="preserve"> </w:t>
      </w:r>
      <w:r w:rsidRPr="004E0E96">
        <w:t xml:space="preserve">The potential effects of microplastics on human health are </w:t>
      </w:r>
      <w:r w:rsidRPr="004E0E96">
        <w:lastRenderedPageBreak/>
        <w:t xml:space="preserve">still unclear, </w:t>
      </w:r>
      <w:r>
        <w:t xml:space="preserve">as the problem is relatively new. However, research undertaken to date has suggested: </w:t>
      </w:r>
    </w:p>
    <w:p w14:paraId="07664FD7" w14:textId="77777777" w:rsidR="00B949E1" w:rsidRDefault="00B949E1" w:rsidP="00B949E1">
      <w:pPr>
        <w:pStyle w:val="ListBullet"/>
        <w:numPr>
          <w:ilvl w:val="0"/>
          <w:numId w:val="9"/>
        </w:numPr>
      </w:pPr>
      <w:r>
        <w:t xml:space="preserve">microplastics can have adverse effects on </w:t>
      </w:r>
      <w:r w:rsidRPr="004E0E96">
        <w:t xml:space="preserve">various biological endpoints, </w:t>
      </w:r>
      <w:r>
        <w:t>including</w:t>
      </w:r>
      <w:r w:rsidRPr="004E0E96">
        <w:t xml:space="preserve"> cell death, immune response, oxidative stress, barrier attributes, and genotoxicity</w:t>
      </w:r>
      <w:r>
        <w:rPr>
          <w:rStyle w:val="FootnoteReference"/>
        </w:rPr>
        <w:footnoteReference w:id="50"/>
      </w:r>
    </w:p>
    <w:p w14:paraId="7B11A7B8" w14:textId="77777777" w:rsidR="00B949E1" w:rsidRPr="004E0E96" w:rsidRDefault="00B949E1" w:rsidP="00B949E1">
      <w:pPr>
        <w:pStyle w:val="ListBullet"/>
        <w:numPr>
          <w:ilvl w:val="0"/>
          <w:numId w:val="9"/>
        </w:numPr>
      </w:pPr>
      <w:r>
        <w:t>SUP</w:t>
      </w:r>
      <w:r w:rsidRPr="004E0E96">
        <w:t>s contain chemical additives such as plasticisers that have been found in humans and are linked to a range of reproductive health problems</w:t>
      </w:r>
      <w:r w:rsidRPr="004E0E96">
        <w:rPr>
          <w:rStyle w:val="FootnoteReference"/>
        </w:rPr>
        <w:footnoteReference w:id="51"/>
      </w:r>
      <w:r w:rsidRPr="004E0E96">
        <w:t xml:space="preserve"> </w:t>
      </w:r>
    </w:p>
    <w:p w14:paraId="6F5C3C05" w14:textId="77777777" w:rsidR="00B949E1" w:rsidRPr="004E0E96" w:rsidRDefault="00B949E1" w:rsidP="00B949E1">
      <w:pPr>
        <w:pStyle w:val="ListBullet"/>
        <w:numPr>
          <w:ilvl w:val="0"/>
          <w:numId w:val="9"/>
        </w:numPr>
      </w:pPr>
      <w:r w:rsidRPr="004E0E96">
        <w:t>inhaled plastic fibres have been found in lung cancer tissue and suggested as candidate agents contributing to the risk of lung cancer</w:t>
      </w:r>
      <w:r w:rsidRPr="004E0E96">
        <w:rPr>
          <w:rStyle w:val="FootnoteReference"/>
        </w:rPr>
        <w:footnoteReference w:id="52"/>
      </w:r>
    </w:p>
    <w:p w14:paraId="40778786" w14:textId="77777777" w:rsidR="00B949E1" w:rsidRPr="004E0E96" w:rsidRDefault="00B949E1" w:rsidP="00B949E1">
      <w:pPr>
        <w:pStyle w:val="ListBullet"/>
        <w:numPr>
          <w:ilvl w:val="0"/>
          <w:numId w:val="9"/>
        </w:numPr>
      </w:pPr>
      <w:r w:rsidRPr="004E0E96">
        <w:t>when inhaled or ingested, microplastics can penetrate biological membranes, accumulate in tissues, and elicit cytotoxic and immune responses. Exposure of laboratory animals or cell cultures to microplastics results in inflammation, cytotoxicity (e.g., oxidative stress, cells injury, cell viability, altered membrane function), genotoxicity (through oxidative damage) and immunotoxicity at the cellular level</w:t>
      </w:r>
      <w:r w:rsidRPr="004E0E96">
        <w:rPr>
          <w:rStyle w:val="FootnoteReference"/>
        </w:rPr>
        <w:footnoteReference w:id="53"/>
      </w:r>
    </w:p>
    <w:p w14:paraId="4496F553" w14:textId="77777777" w:rsidR="00B949E1" w:rsidRDefault="00B949E1" w:rsidP="00B949E1">
      <w:pPr>
        <w:pStyle w:val="ListBullet"/>
        <w:numPr>
          <w:ilvl w:val="0"/>
          <w:numId w:val="9"/>
        </w:numPr>
      </w:pPr>
      <w:r w:rsidRPr="004E0E96">
        <w:t>microplastics can cross the blood-brain barrier in rats</w:t>
      </w:r>
      <w:r w:rsidRPr="004E0E96">
        <w:rPr>
          <w:rStyle w:val="FootnoteReference"/>
        </w:rPr>
        <w:footnoteReference w:id="54"/>
      </w:r>
    </w:p>
    <w:p w14:paraId="6E4E3C3A" w14:textId="77777777" w:rsidR="00B949E1" w:rsidRPr="004E0E96" w:rsidRDefault="00B949E1" w:rsidP="00B949E1">
      <w:pPr>
        <w:pStyle w:val="ListBullet"/>
        <w:numPr>
          <w:ilvl w:val="0"/>
          <w:numId w:val="9"/>
        </w:numPr>
      </w:pPr>
      <w:r>
        <w:t>plastic materials are</w:t>
      </w:r>
      <w:r w:rsidRPr="0017286B">
        <w:t xml:space="preserve"> carcinogenic and can affect the body’s endocrine system, causing developmental, neurological, reproductive and immune disorders</w:t>
      </w:r>
      <w:r>
        <w:t>.</w:t>
      </w:r>
      <w:r w:rsidRPr="00E25AAA">
        <w:rPr>
          <w:rStyle w:val="FootnoteReference"/>
        </w:rPr>
        <w:footnoteReference w:id="55"/>
      </w:r>
    </w:p>
    <w:p w14:paraId="4A697D6C" w14:textId="77777777" w:rsidR="00B949E1" w:rsidRPr="00E25AAA" w:rsidRDefault="00B949E1" w:rsidP="00B949E1">
      <w:pPr>
        <w:pStyle w:val="BodyText"/>
      </w:pPr>
      <w:r w:rsidRPr="00E25AAA">
        <w:t>While the extent of the impact of microplastics on the human body remains unclear, recent studies have highlighted the growing community concern a</w:t>
      </w:r>
      <w:r>
        <w:t>bout</w:t>
      </w:r>
      <w:r w:rsidRPr="00E25AAA">
        <w:t xml:space="preserve"> </w:t>
      </w:r>
      <w:r>
        <w:t xml:space="preserve">their impact on </w:t>
      </w:r>
      <w:r w:rsidRPr="00E25AAA">
        <w:t>health.</w:t>
      </w:r>
      <w:r w:rsidRPr="00E25AAA">
        <w:rPr>
          <w:rStyle w:val="FootnoteReference"/>
        </w:rPr>
        <w:footnoteReference w:id="56"/>
      </w:r>
      <w:r w:rsidRPr="00E25AAA">
        <w:t xml:space="preserve"> </w:t>
      </w:r>
    </w:p>
    <w:p w14:paraId="4BFD77EB" w14:textId="77777777" w:rsidR="00B949E1" w:rsidRDefault="00B949E1" w:rsidP="00B949E1">
      <w:pPr>
        <w:pStyle w:val="BodyText"/>
      </w:pPr>
      <w:r>
        <w:t>Therefore</w:t>
      </w:r>
      <w:r w:rsidRPr="00E25AAA">
        <w:t xml:space="preserve">, </w:t>
      </w:r>
      <w:r>
        <w:t>a precautionary approach to microplastics is desirable from a community perspectiv</w:t>
      </w:r>
      <w:r w:rsidRPr="00E25AAA">
        <w:t xml:space="preserve">e. </w:t>
      </w:r>
    </w:p>
    <w:p w14:paraId="55EE4A7C" w14:textId="77777777" w:rsidR="00B949E1" w:rsidRDefault="00B949E1" w:rsidP="00E70910">
      <w:pPr>
        <w:pStyle w:val="Heading4"/>
        <w:numPr>
          <w:ilvl w:val="0"/>
          <w:numId w:val="0"/>
        </w:numPr>
      </w:pPr>
      <w:r>
        <w:t>The visual impact of litter</w:t>
      </w:r>
    </w:p>
    <w:p w14:paraId="31AC6844" w14:textId="77777777" w:rsidR="00B949E1" w:rsidRDefault="00B949E1" w:rsidP="00B949E1">
      <w:pPr>
        <w:pStyle w:val="BodyText"/>
      </w:pPr>
      <w:r w:rsidRPr="00271414">
        <w:t>The visual impact of litter is one of the aspects of the environmental and social cost of littering that affects both urban and natural landscapes</w:t>
      </w:r>
      <w:r>
        <w:t>, as they have a subjectively undesirable impact on these environments.</w:t>
      </w:r>
      <w:r w:rsidRPr="0005399C">
        <w:t xml:space="preserve"> </w:t>
      </w:r>
    </w:p>
    <w:p w14:paraId="3E28BDCA" w14:textId="77777777" w:rsidR="00B949E1" w:rsidRDefault="00B949E1" w:rsidP="00B949E1">
      <w:pPr>
        <w:pStyle w:val="BodyText"/>
      </w:pPr>
      <w:r w:rsidRPr="0005399C">
        <w:lastRenderedPageBreak/>
        <w:t>Littered places are visually displeasing</w:t>
      </w:r>
      <w:r>
        <w:rPr>
          <w:rStyle w:val="FootnoteReference"/>
        </w:rPr>
        <w:footnoteReference w:id="57"/>
      </w:r>
      <w:r>
        <w:t xml:space="preserve"> and</w:t>
      </w:r>
      <w:r w:rsidRPr="0005399C">
        <w:t xml:space="preserve"> depreciate the aesthetic and real value of the surrounding environments.</w:t>
      </w:r>
      <w:r>
        <w:rPr>
          <w:rStyle w:val="FootnoteReference"/>
        </w:rPr>
        <w:footnoteReference w:id="58"/>
      </w:r>
      <w:r w:rsidRPr="0005399C">
        <w:t xml:space="preserve"> </w:t>
      </w:r>
    </w:p>
    <w:p w14:paraId="3C05B3FE" w14:textId="77777777" w:rsidR="00B949E1" w:rsidRDefault="00B949E1" w:rsidP="00B949E1">
      <w:pPr>
        <w:pStyle w:val="BodyText"/>
      </w:pPr>
      <w:r w:rsidRPr="00884C61">
        <w:t>Littering can affect human health and well-being by creating safety hazards</w:t>
      </w:r>
      <w:r>
        <w:t xml:space="preserve"> </w:t>
      </w:r>
      <w:r w:rsidRPr="00884C61">
        <w:t>and disease vectors. Litter can attract pests such as rats, roaches and mosquitoes that can spread diseases or cause allergies. Litter can also cause injuries or infections from sharp objects or contaminated materials.</w:t>
      </w:r>
      <w:r>
        <w:rPr>
          <w:rStyle w:val="FootnoteReference"/>
        </w:rPr>
        <w:footnoteReference w:id="59"/>
      </w:r>
    </w:p>
    <w:p w14:paraId="41D6E74C" w14:textId="77777777" w:rsidR="00B949E1" w:rsidRDefault="00B949E1" w:rsidP="00B949E1">
      <w:pPr>
        <w:pStyle w:val="BodyText"/>
      </w:pPr>
      <w:r w:rsidRPr="00884C61">
        <w:t xml:space="preserve">Littering can </w:t>
      </w:r>
      <w:r>
        <w:t xml:space="preserve">also </w:t>
      </w:r>
      <w:r w:rsidRPr="00884C61">
        <w:t>influence human behaviour and perception by creating social norms</w:t>
      </w:r>
      <w:r>
        <w:t xml:space="preserve"> and</w:t>
      </w:r>
      <w:r w:rsidRPr="00884C61">
        <w:t xml:space="preserve"> increasing crime rates. Many studies have shown that when litter already exists, people are more likely to continue littering in that same area.</w:t>
      </w:r>
      <w:r>
        <w:rPr>
          <w:rStyle w:val="FootnoteReference"/>
        </w:rPr>
        <w:footnoteReference w:id="60"/>
      </w:r>
      <w:r w:rsidRPr="00884C61">
        <w:t xml:space="preserve"> Similarly, when people see littered places, they may perceive them as unsafe or undesirable, leading to more crime or vandalism. </w:t>
      </w:r>
    </w:p>
    <w:p w14:paraId="6C742825" w14:textId="77777777" w:rsidR="00B949E1" w:rsidRPr="008C6637" w:rsidRDefault="00B949E1" w:rsidP="00B949E1">
      <w:pPr>
        <w:pStyle w:val="BodyText"/>
        <w:rPr>
          <w:vertAlign w:val="superscript"/>
        </w:rPr>
      </w:pPr>
      <w:r w:rsidRPr="008C6637">
        <w:t>In many communities, litter is cleaned up by volunteers or councils, but this work is labour</w:t>
      </w:r>
      <w:r>
        <w:t>-</w:t>
      </w:r>
      <w:r w:rsidRPr="008C6637">
        <w:t xml:space="preserve">intensive. Therefore, it can represent a cost to government and </w:t>
      </w:r>
      <w:r>
        <w:t xml:space="preserve">a </w:t>
      </w:r>
      <w:r w:rsidRPr="008C6637">
        <w:t>time cost to volunteers. This is particularly important in areas that depend on tourism, as cleanliness has been shown to drive choices of where tourists, particularly international tourists, choose to travel.</w:t>
      </w:r>
      <w:r w:rsidRPr="008C6637">
        <w:rPr>
          <w:rStyle w:val="FootnoteReference"/>
        </w:rPr>
        <w:footnoteReference w:id="61"/>
      </w:r>
      <w:r w:rsidRPr="008C6637">
        <w:rPr>
          <w:vertAlign w:val="superscript"/>
        </w:rPr>
        <w:t>,</w:t>
      </w:r>
      <w:r w:rsidRPr="008C6637">
        <w:rPr>
          <w:rStyle w:val="FootnoteReference"/>
        </w:rPr>
        <w:footnoteReference w:id="62"/>
      </w:r>
    </w:p>
    <w:p w14:paraId="3F3515F8" w14:textId="77777777" w:rsidR="00B949E1" w:rsidRDefault="00B949E1" w:rsidP="00B949E1">
      <w:pPr>
        <w:pStyle w:val="Heading2"/>
      </w:pPr>
      <w:bookmarkStart w:id="49" w:name="_Toc136872619"/>
      <w:r>
        <w:t>Summing up</w:t>
      </w:r>
      <w:bookmarkEnd w:id="49"/>
    </w:p>
    <w:p w14:paraId="72988EC0" w14:textId="77777777" w:rsidR="00B949E1" w:rsidRPr="00A86EE3" w:rsidRDefault="00B949E1" w:rsidP="00B949E1">
      <w:pPr>
        <w:pStyle w:val="BodyText"/>
      </w:pPr>
      <w:r>
        <w:t>The consumption of plastic in Australia is among the highest in the world and has been increasing. The average ACT citizen produces 52kg of plastic waste per year, comparable to the national average.</w:t>
      </w:r>
      <w:r>
        <w:rPr>
          <w:rStyle w:val="FootnoteReference"/>
        </w:rPr>
        <w:footnoteReference w:id="63"/>
      </w:r>
      <w:r>
        <w:t xml:space="preserve"> Plastic, especially SUPs, significantly impacts the environment, economy, and society of the Territory and Australia. </w:t>
      </w:r>
    </w:p>
    <w:p w14:paraId="61A95CC6" w14:textId="77777777" w:rsidR="00B949E1" w:rsidRDefault="00B949E1" w:rsidP="00B949E1">
      <w:pPr>
        <w:pStyle w:val="BodyText"/>
      </w:pPr>
    </w:p>
    <w:p w14:paraId="3959100A" w14:textId="77777777" w:rsidR="00B949E1" w:rsidRPr="00967FE4" w:rsidRDefault="00B949E1" w:rsidP="00B949E1">
      <w:pPr>
        <w:pStyle w:val="BodyText"/>
        <w:sectPr w:rsidR="00B949E1" w:rsidRPr="00967FE4" w:rsidSect="00B949E1">
          <w:headerReference w:type="even" r:id="rId44"/>
          <w:headerReference w:type="default" r:id="rId45"/>
          <w:footerReference w:type="even" r:id="rId46"/>
          <w:footerReference w:type="default" r:id="rId47"/>
          <w:headerReference w:type="first" r:id="rId48"/>
          <w:footerReference w:type="first" r:id="rId49"/>
          <w:pgSz w:w="11906" w:h="16838" w:code="9"/>
          <w:pgMar w:top="1134" w:right="851" w:bottom="1134" w:left="3119" w:header="454" w:footer="454" w:gutter="0"/>
          <w:pgNumType w:start="1"/>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27996E5E" w14:textId="77777777" w:rsidTr="00B9362B">
        <w:trPr>
          <w:trHeight w:hRule="exact" w:val="382"/>
        </w:trPr>
        <w:tc>
          <w:tcPr>
            <w:tcW w:w="5570" w:type="dxa"/>
          </w:tcPr>
          <w:p w14:paraId="28C92FFE" w14:textId="77777777" w:rsidR="00B949E1" w:rsidRDefault="00B949E1" w:rsidP="00B9362B">
            <w:pPr>
              <w:pStyle w:val="tagchapterBanner"/>
            </w:pPr>
            <w:r>
              <w:rPr>
                <w:noProof/>
              </w:rPr>
              <w:lastRenderedPageBreak/>
              <w:drawing>
                <wp:anchor distT="0" distB="0" distL="114300" distR="114300" simplePos="0" relativeHeight="251662848" behindDoc="1" locked="1" layoutInCell="1" allowOverlap="1" wp14:anchorId="7894F12C" wp14:editId="04F51875">
                  <wp:simplePos x="0" y="0"/>
                  <wp:positionH relativeFrom="page">
                    <wp:posOffset>0</wp:posOffset>
                  </wp:positionH>
                  <wp:positionV relativeFrom="page">
                    <wp:posOffset>0</wp:posOffset>
                  </wp:positionV>
                  <wp:extent cx="5039360" cy="1995170"/>
                  <wp:effectExtent l="0" t="0" r="8890" b="5080"/>
                  <wp:wrapNone/>
                  <wp:docPr id="68" name="Picture 68"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4942ED61" w14:textId="77777777" w:rsidR="00B949E1" w:rsidRDefault="00B949E1" w:rsidP="00B9362B">
            <w:pPr>
              <w:pStyle w:val="spacer"/>
            </w:pPr>
          </w:p>
        </w:tc>
      </w:tr>
      <w:tr w:rsidR="00B949E1" w14:paraId="5E0AF2E2" w14:textId="77777777" w:rsidTr="00B9362B">
        <w:trPr>
          <w:trHeight w:hRule="exact" w:val="2760"/>
        </w:trPr>
        <w:tc>
          <w:tcPr>
            <w:tcW w:w="5570" w:type="dxa"/>
            <w:vAlign w:val="bottom"/>
          </w:tcPr>
          <w:p w14:paraId="442BD49B" w14:textId="209764F7" w:rsidR="00B949E1" w:rsidRDefault="00B949E1" w:rsidP="00F008F9">
            <w:pPr>
              <w:pStyle w:val="Heading1"/>
              <w:ind w:left="248" w:hanging="384"/>
            </w:pPr>
            <w:bookmarkStart w:id="50" w:name="_Toc136872620"/>
            <w:r>
              <w:t>Rationale for government intervention</w:t>
            </w:r>
            <w:bookmarkEnd w:id="50"/>
          </w:p>
        </w:tc>
        <w:tc>
          <w:tcPr>
            <w:tcW w:w="2366" w:type="dxa"/>
            <w:tcMar>
              <w:right w:w="224" w:type="dxa"/>
            </w:tcMar>
            <w:vAlign w:val="bottom"/>
          </w:tcPr>
          <w:p w14:paraId="60880A95" w14:textId="77777777" w:rsidR="00B949E1" w:rsidRDefault="00B949E1" w:rsidP="00B9362B">
            <w:pPr>
              <w:pStyle w:val="HeadingChapter"/>
            </w:pPr>
            <w:r>
              <w:t>4</w:t>
            </w:r>
          </w:p>
        </w:tc>
      </w:tr>
      <w:tr w:rsidR="00B949E1" w14:paraId="292F09EF" w14:textId="77777777" w:rsidTr="00B9362B">
        <w:trPr>
          <w:trHeight w:hRule="exact" w:val="228"/>
        </w:trPr>
        <w:tc>
          <w:tcPr>
            <w:tcW w:w="5570" w:type="dxa"/>
          </w:tcPr>
          <w:p w14:paraId="6514B27F" w14:textId="77777777" w:rsidR="00B949E1" w:rsidRDefault="00B949E1" w:rsidP="00B9362B">
            <w:pPr>
              <w:pStyle w:val="spacer"/>
            </w:pPr>
          </w:p>
        </w:tc>
        <w:tc>
          <w:tcPr>
            <w:tcW w:w="2366" w:type="dxa"/>
          </w:tcPr>
          <w:p w14:paraId="6610AFA4" w14:textId="77777777" w:rsidR="00B949E1" w:rsidRDefault="00B949E1" w:rsidP="00B9362B">
            <w:pPr>
              <w:pStyle w:val="spacer"/>
            </w:pPr>
          </w:p>
        </w:tc>
      </w:tr>
    </w:tbl>
    <w:p w14:paraId="0C9CEA1F" w14:textId="77777777" w:rsidR="00B949E1" w:rsidRDefault="00B949E1" w:rsidP="00B949E1">
      <w:pPr>
        <w:pStyle w:val="Heading2"/>
      </w:pPr>
      <w:bookmarkStart w:id="51" w:name="_Ref133411835"/>
      <w:bookmarkStart w:id="52" w:name="_Toc136872621"/>
      <w:r>
        <w:t>The need for further intervention</w:t>
      </w:r>
      <w:bookmarkEnd w:id="51"/>
      <w:bookmarkEnd w:id="52"/>
    </w:p>
    <w:p w14:paraId="7ACE67FF" w14:textId="77777777" w:rsidR="00B949E1" w:rsidRDefault="00B949E1" w:rsidP="00B949E1">
      <w:pPr>
        <w:pStyle w:val="BodyText"/>
      </w:pPr>
      <w:r>
        <w:t xml:space="preserve">Market failure is commonly defined as </w:t>
      </w:r>
      <w:r w:rsidRPr="00B46CCE">
        <w:t>a situation where the free market does not allocate resources efficiently or fairly</w:t>
      </w:r>
      <w:r>
        <w:t>, as they normally should. Thus,</w:t>
      </w:r>
      <w:r w:rsidRPr="00D87CA8">
        <w:t xml:space="preserve"> goods and services demanded by consumers are produced </w:t>
      </w:r>
      <w:r>
        <w:t>in</w:t>
      </w:r>
      <w:r w:rsidRPr="00D87CA8">
        <w:t>efficiently</w:t>
      </w:r>
      <w:r>
        <w:t>,</w:t>
      </w:r>
      <w:r w:rsidRPr="00D87CA8">
        <w:t xml:space="preserve"> </w:t>
      </w:r>
      <w:r>
        <w:t xml:space="preserve">and innovation and consumer choices are not promoted. </w:t>
      </w:r>
    </w:p>
    <w:p w14:paraId="5B789F71" w14:textId="77777777" w:rsidR="00B949E1" w:rsidRDefault="00B949E1" w:rsidP="00B949E1">
      <w:pPr>
        <w:pStyle w:val="BodyText"/>
      </w:pPr>
      <w:r>
        <w:t>When a market failure occurs, it could mean that government intervention is needed to improve outcomes for consumers, businesses, the economy, and society. However, this is not always true, there are instances that government intervention is not warranted, either in cases, the market can self-</w:t>
      </w:r>
      <w:proofErr w:type="gramStart"/>
      <w:r>
        <w:t>correct</w:t>
      </w:r>
      <w:proofErr w:type="gramEnd"/>
      <w:r>
        <w:t xml:space="preserve"> or the risks and impacts are not sufficient to require intervention. How the government should intervene also needs to be considered as poorly fit and designed regulations could lead to further inefficiencies and unnecessary administrative and compliance costs for market agents.</w:t>
      </w:r>
    </w:p>
    <w:p w14:paraId="3D898AFE" w14:textId="77777777" w:rsidR="00B949E1" w:rsidRPr="0008030B" w:rsidRDefault="00B949E1" w:rsidP="00B949E1">
      <w:pPr>
        <w:pStyle w:val="BodyText"/>
      </w:pPr>
      <w:r>
        <w:t>As discussed below, 3 main types of market failure relate to SUP and the problems they create (see chapter 2). Evidence of these failures (and the need to correct them) are accepted rationales for the phase-out of SUPs in Australian jurisdictions.</w:t>
      </w:r>
    </w:p>
    <w:p w14:paraId="60A5FD0D" w14:textId="77777777" w:rsidR="00B949E1" w:rsidRDefault="00B949E1" w:rsidP="00B949E1">
      <w:pPr>
        <w:pStyle w:val="Heading3"/>
      </w:pPr>
      <w:r>
        <w:t>Negative externalities</w:t>
      </w:r>
    </w:p>
    <w:p w14:paraId="5AE9C033" w14:textId="77777777" w:rsidR="00B949E1" w:rsidRDefault="00B949E1" w:rsidP="00B949E1">
      <w:pPr>
        <w:pStyle w:val="BodyText"/>
      </w:pPr>
      <w:r w:rsidRPr="00F47C81">
        <w:t>Externalities</w:t>
      </w:r>
      <w:r>
        <w:t xml:space="preserve"> </w:t>
      </w:r>
      <w:r w:rsidRPr="00F47C81">
        <w:t>are</w:t>
      </w:r>
      <w:r>
        <w:t xml:space="preserve"> </w:t>
      </w:r>
      <w:r w:rsidRPr="00F47C81">
        <w:t>defined</w:t>
      </w:r>
      <w:r>
        <w:t xml:space="preserve"> </w:t>
      </w:r>
      <w:r w:rsidRPr="00F47C81">
        <w:t>as</w:t>
      </w:r>
      <w:r>
        <w:t xml:space="preserve"> the </w:t>
      </w:r>
      <w:r w:rsidRPr="00F47C81">
        <w:t>costs</w:t>
      </w:r>
      <w:r>
        <w:t xml:space="preserve"> </w:t>
      </w:r>
      <w:r w:rsidRPr="00F47C81">
        <w:t>and</w:t>
      </w:r>
      <w:r>
        <w:t xml:space="preserve"> </w:t>
      </w:r>
      <w:r w:rsidRPr="00F47C81">
        <w:t>benefits</w:t>
      </w:r>
      <w:r>
        <w:t xml:space="preserve"> </w:t>
      </w:r>
      <w:r w:rsidRPr="00F47C81">
        <w:t>of</w:t>
      </w:r>
      <w:r>
        <w:t xml:space="preserve"> </w:t>
      </w:r>
      <w:r w:rsidRPr="00F47C81">
        <w:t>an</w:t>
      </w:r>
      <w:r>
        <w:t xml:space="preserve"> </w:t>
      </w:r>
      <w:r w:rsidRPr="00F47C81">
        <w:t>activity</w:t>
      </w:r>
      <w:r>
        <w:t xml:space="preserve"> </w:t>
      </w:r>
      <w:r w:rsidRPr="00F47C81">
        <w:t>that</w:t>
      </w:r>
      <w:r>
        <w:t xml:space="preserve"> </w:t>
      </w:r>
      <w:r w:rsidRPr="00F47C81">
        <w:t>are</w:t>
      </w:r>
      <w:r>
        <w:t xml:space="preserve"> </w:t>
      </w:r>
      <w:r w:rsidRPr="00F47C81">
        <w:t>experienced</w:t>
      </w:r>
      <w:r>
        <w:t xml:space="preserve"> </w:t>
      </w:r>
      <w:r w:rsidRPr="00F47C81">
        <w:t>by</w:t>
      </w:r>
      <w:r>
        <w:t xml:space="preserve"> individuals </w:t>
      </w:r>
      <w:r w:rsidRPr="00F47C81">
        <w:t>or</w:t>
      </w:r>
      <w:r>
        <w:t xml:space="preserve"> </w:t>
      </w:r>
      <w:r w:rsidRPr="00F47C81">
        <w:t>organisations</w:t>
      </w:r>
      <w:r>
        <w:t xml:space="preserve"> </w:t>
      </w:r>
      <w:r w:rsidRPr="00F47C81">
        <w:t>other</w:t>
      </w:r>
      <w:r>
        <w:t xml:space="preserve"> </w:t>
      </w:r>
      <w:r w:rsidRPr="00F47C81">
        <w:t>than</w:t>
      </w:r>
      <w:r>
        <w:t xml:space="preserve"> </w:t>
      </w:r>
      <w:r w:rsidRPr="00F47C81">
        <w:t>those</w:t>
      </w:r>
      <w:r>
        <w:t xml:space="preserve"> </w:t>
      </w:r>
      <w:r w:rsidRPr="00F47C81">
        <w:t>directly</w:t>
      </w:r>
      <w:r>
        <w:t xml:space="preserve"> </w:t>
      </w:r>
      <w:r w:rsidRPr="00F47C81">
        <w:t>involved</w:t>
      </w:r>
      <w:r>
        <w:t xml:space="preserve"> </w:t>
      </w:r>
      <w:r w:rsidRPr="00F47C81">
        <w:t>in</w:t>
      </w:r>
      <w:r>
        <w:t xml:space="preserve"> </w:t>
      </w:r>
      <w:r w:rsidRPr="00F47C81">
        <w:t>the</w:t>
      </w:r>
      <w:r>
        <w:t xml:space="preserve"> </w:t>
      </w:r>
      <w:r w:rsidRPr="00F47C81">
        <w:t>activity.</w:t>
      </w:r>
      <w:r>
        <w:t xml:space="preserve"> They </w:t>
      </w:r>
      <w:r w:rsidRPr="003556D0">
        <w:t>exist</w:t>
      </w:r>
      <w:r>
        <w:t xml:space="preserve"> </w:t>
      </w:r>
      <w:r w:rsidRPr="003556D0">
        <w:t>when</w:t>
      </w:r>
      <w:r>
        <w:t xml:space="preserve"> </w:t>
      </w:r>
      <w:r w:rsidRPr="003556D0">
        <w:t>the</w:t>
      </w:r>
      <w:r>
        <w:t xml:space="preserve"> </w:t>
      </w:r>
      <w:r w:rsidRPr="003556D0">
        <w:t>welfare</w:t>
      </w:r>
      <w:r>
        <w:t xml:space="preserve"> </w:t>
      </w:r>
      <w:r w:rsidRPr="003556D0">
        <w:t>of</w:t>
      </w:r>
      <w:r>
        <w:t xml:space="preserve"> </w:t>
      </w:r>
      <w:r w:rsidRPr="003556D0">
        <w:t>some</w:t>
      </w:r>
      <w:r>
        <w:t xml:space="preserve"> </w:t>
      </w:r>
      <w:r w:rsidRPr="003556D0">
        <w:t>agent,</w:t>
      </w:r>
      <w:r>
        <w:t xml:space="preserve"> </w:t>
      </w:r>
      <w:r w:rsidRPr="003556D0">
        <w:t>or</w:t>
      </w:r>
      <w:r>
        <w:t xml:space="preserve"> </w:t>
      </w:r>
      <w:r w:rsidRPr="003556D0">
        <w:t>group</w:t>
      </w:r>
      <w:r>
        <w:t xml:space="preserve"> </w:t>
      </w:r>
      <w:r w:rsidRPr="003556D0">
        <w:t>of</w:t>
      </w:r>
      <w:r>
        <w:t xml:space="preserve"> </w:t>
      </w:r>
      <w:r w:rsidRPr="003556D0">
        <w:t>agents,</w:t>
      </w:r>
      <w:r>
        <w:t xml:space="preserve"> </w:t>
      </w:r>
      <w:r w:rsidRPr="003556D0">
        <w:t>is</w:t>
      </w:r>
      <w:r>
        <w:t xml:space="preserve"> </w:t>
      </w:r>
      <w:r w:rsidRPr="003556D0">
        <w:t>affected</w:t>
      </w:r>
      <w:r>
        <w:t xml:space="preserve"> </w:t>
      </w:r>
      <w:r w:rsidRPr="003556D0">
        <w:t>by</w:t>
      </w:r>
      <w:r>
        <w:t xml:space="preserve"> </w:t>
      </w:r>
      <w:r w:rsidRPr="003556D0">
        <w:t>the</w:t>
      </w:r>
      <w:r>
        <w:t xml:space="preserve"> </w:t>
      </w:r>
      <w:r w:rsidRPr="003556D0">
        <w:t>actions</w:t>
      </w:r>
      <w:r>
        <w:t xml:space="preserve"> </w:t>
      </w:r>
      <w:r w:rsidRPr="003556D0">
        <w:t>of</w:t>
      </w:r>
      <w:r>
        <w:t xml:space="preserve"> </w:t>
      </w:r>
      <w:r w:rsidRPr="003556D0">
        <w:t>another</w:t>
      </w:r>
      <w:r>
        <w:t xml:space="preserve">, </w:t>
      </w:r>
      <w:r w:rsidRPr="003556D0">
        <w:t>and</w:t>
      </w:r>
      <w:r>
        <w:t xml:space="preserve"> </w:t>
      </w:r>
      <w:r w:rsidRPr="003556D0">
        <w:t>this</w:t>
      </w:r>
      <w:r>
        <w:t xml:space="preserve"> </w:t>
      </w:r>
      <w:r w:rsidRPr="003556D0">
        <w:t>is</w:t>
      </w:r>
      <w:r>
        <w:t xml:space="preserve"> </w:t>
      </w:r>
      <w:r w:rsidRPr="003556D0">
        <w:t>not</w:t>
      </w:r>
      <w:r>
        <w:t xml:space="preserve"> </w:t>
      </w:r>
      <w:r w:rsidRPr="003556D0">
        <w:t>reflected</w:t>
      </w:r>
      <w:r>
        <w:t xml:space="preserve"> </w:t>
      </w:r>
      <w:r w:rsidRPr="003556D0">
        <w:t>in</w:t>
      </w:r>
      <w:r>
        <w:t xml:space="preserve"> </w:t>
      </w:r>
      <w:r w:rsidRPr="003556D0">
        <w:t>market</w:t>
      </w:r>
      <w:r>
        <w:t xml:space="preserve"> </w:t>
      </w:r>
      <w:r w:rsidRPr="003556D0">
        <w:t>prices.</w:t>
      </w:r>
      <w:r>
        <w:t xml:space="preserve"> </w:t>
      </w:r>
      <w:r w:rsidRPr="003556D0">
        <w:t>When</w:t>
      </w:r>
      <w:r>
        <w:t xml:space="preserve"> </w:t>
      </w:r>
      <w:r w:rsidRPr="003556D0">
        <w:t>the</w:t>
      </w:r>
      <w:r>
        <w:t xml:space="preserve"> </w:t>
      </w:r>
      <w:r w:rsidRPr="003556D0">
        <w:t>effects</w:t>
      </w:r>
      <w:r>
        <w:t xml:space="preserve"> </w:t>
      </w:r>
      <w:r w:rsidRPr="003556D0">
        <w:t>of</w:t>
      </w:r>
      <w:r>
        <w:t xml:space="preserve"> </w:t>
      </w:r>
      <w:r w:rsidRPr="003556D0">
        <w:t>one</w:t>
      </w:r>
      <w:r>
        <w:t xml:space="preserve"> </w:t>
      </w:r>
      <w:r w:rsidRPr="003556D0">
        <w:t>economic</w:t>
      </w:r>
      <w:r>
        <w:t xml:space="preserve"> </w:t>
      </w:r>
      <w:r w:rsidRPr="003556D0">
        <w:t>agent</w:t>
      </w:r>
      <w:r>
        <w:t xml:space="preserve"> </w:t>
      </w:r>
      <w:r w:rsidRPr="003556D0">
        <w:t>on</w:t>
      </w:r>
      <w:r>
        <w:t xml:space="preserve"> </w:t>
      </w:r>
      <w:r w:rsidRPr="003556D0">
        <w:t>another</w:t>
      </w:r>
      <w:r>
        <w:t xml:space="preserve"> </w:t>
      </w:r>
      <w:r w:rsidRPr="003556D0">
        <w:t>are</w:t>
      </w:r>
      <w:r>
        <w:t xml:space="preserve"> </w:t>
      </w:r>
      <w:r w:rsidRPr="003556D0">
        <w:t>not</w:t>
      </w:r>
      <w:r>
        <w:t xml:space="preserve"> considered</w:t>
      </w:r>
      <w:r w:rsidRPr="003556D0">
        <w:t>,</w:t>
      </w:r>
      <w:r>
        <w:t xml:space="preserve"> </w:t>
      </w:r>
      <w:r w:rsidRPr="003556D0">
        <w:t>market</w:t>
      </w:r>
      <w:r>
        <w:t xml:space="preserve"> </w:t>
      </w:r>
      <w:r w:rsidRPr="003556D0">
        <w:t>prices</w:t>
      </w:r>
      <w:r>
        <w:t xml:space="preserve"> </w:t>
      </w:r>
      <w:r w:rsidRPr="003556D0">
        <w:t>will</w:t>
      </w:r>
      <w:r>
        <w:t xml:space="preserve"> </w:t>
      </w:r>
      <w:r w:rsidRPr="003556D0">
        <w:t>not</w:t>
      </w:r>
      <w:r>
        <w:t xml:space="preserve"> </w:t>
      </w:r>
      <w:r w:rsidRPr="003556D0">
        <w:t>reflect</w:t>
      </w:r>
      <w:r>
        <w:t xml:space="preserve"> </w:t>
      </w:r>
      <w:r w:rsidRPr="003556D0">
        <w:t>the</w:t>
      </w:r>
      <w:r>
        <w:t xml:space="preserve"> </w:t>
      </w:r>
      <w:r w:rsidRPr="003556D0">
        <w:t>true</w:t>
      </w:r>
      <w:r>
        <w:t xml:space="preserve"> </w:t>
      </w:r>
      <w:r w:rsidRPr="003556D0">
        <w:t>marginal</w:t>
      </w:r>
      <w:r>
        <w:t xml:space="preserve"> </w:t>
      </w:r>
      <w:r w:rsidRPr="003556D0">
        <w:t>cost/benefit</w:t>
      </w:r>
      <w:r>
        <w:t xml:space="preserve"> </w:t>
      </w:r>
      <w:r w:rsidRPr="003556D0">
        <w:t>of</w:t>
      </w:r>
      <w:r>
        <w:t xml:space="preserve"> </w:t>
      </w:r>
      <w:r w:rsidRPr="003556D0">
        <w:t>the</w:t>
      </w:r>
      <w:r>
        <w:t xml:space="preserve"> </w:t>
      </w:r>
      <w:r w:rsidRPr="003556D0">
        <w:t>good</w:t>
      </w:r>
      <w:r>
        <w:t xml:space="preserve"> </w:t>
      </w:r>
      <w:r w:rsidRPr="003556D0">
        <w:t>or</w:t>
      </w:r>
      <w:r>
        <w:t xml:space="preserve"> </w:t>
      </w:r>
      <w:r w:rsidRPr="003556D0">
        <w:t>service</w:t>
      </w:r>
      <w:r>
        <w:t xml:space="preserve"> </w:t>
      </w:r>
      <w:r w:rsidRPr="003556D0">
        <w:t>traded.</w:t>
      </w:r>
      <w:r>
        <w:t xml:space="preserve"> When externalities exert adverse or unfavourable effects on these other agents, they are called negative externalities.</w:t>
      </w:r>
    </w:p>
    <w:p w14:paraId="547F549F" w14:textId="77777777" w:rsidR="00B949E1" w:rsidRDefault="00B949E1" w:rsidP="00B949E1">
      <w:pPr>
        <w:pStyle w:val="BodyText"/>
      </w:pPr>
      <w:r>
        <w:t>Some negative externalities related to the use and disposal of SUP include:</w:t>
      </w:r>
    </w:p>
    <w:p w14:paraId="33DE2769" w14:textId="77777777" w:rsidR="00B949E1" w:rsidRDefault="00B949E1" w:rsidP="00B949E1">
      <w:pPr>
        <w:pStyle w:val="ListBullet"/>
        <w:numPr>
          <w:ilvl w:val="0"/>
          <w:numId w:val="9"/>
        </w:numPr>
      </w:pPr>
      <w:r>
        <w:t>the degradation of marine and land ecosystems due to inadequate disposal of SUP items</w:t>
      </w:r>
    </w:p>
    <w:p w14:paraId="6C9AC434" w14:textId="77777777" w:rsidR="00B949E1" w:rsidRDefault="00B949E1" w:rsidP="00B949E1">
      <w:pPr>
        <w:pStyle w:val="ListBullet"/>
        <w:numPr>
          <w:ilvl w:val="0"/>
          <w:numId w:val="9"/>
        </w:numPr>
      </w:pPr>
      <w:r>
        <w:t xml:space="preserve">the </w:t>
      </w:r>
      <w:r w:rsidRPr="00C76654">
        <w:t>economic</w:t>
      </w:r>
      <w:r>
        <w:t xml:space="preserve"> </w:t>
      </w:r>
      <w:r w:rsidRPr="00C76654">
        <w:t>cost</w:t>
      </w:r>
      <w:r>
        <w:t xml:space="preserve"> </w:t>
      </w:r>
      <w:r w:rsidRPr="00C76654">
        <w:t>of</w:t>
      </w:r>
      <w:r>
        <w:t xml:space="preserve"> </w:t>
      </w:r>
      <w:r w:rsidRPr="00C76654">
        <w:t>damage</w:t>
      </w:r>
      <w:r>
        <w:t xml:space="preserve"> </w:t>
      </w:r>
      <w:r w:rsidRPr="00C76654">
        <w:t>to</w:t>
      </w:r>
      <w:r>
        <w:t xml:space="preserve"> </w:t>
      </w:r>
      <w:r w:rsidRPr="00C76654">
        <w:t>fisheries,</w:t>
      </w:r>
      <w:r>
        <w:t xml:space="preserve"> </w:t>
      </w:r>
      <w:r w:rsidRPr="00C76654">
        <w:t>aquaculture,</w:t>
      </w:r>
      <w:r>
        <w:t xml:space="preserve"> </w:t>
      </w:r>
      <w:r w:rsidRPr="00C76654">
        <w:t>marine</w:t>
      </w:r>
      <w:r>
        <w:t xml:space="preserve"> </w:t>
      </w:r>
      <w:r w:rsidRPr="00C76654">
        <w:t>transport,</w:t>
      </w:r>
      <w:r>
        <w:t xml:space="preserve"> </w:t>
      </w:r>
      <w:r w:rsidRPr="00C76654">
        <w:t>shipbuilding,</w:t>
      </w:r>
      <w:r>
        <w:t xml:space="preserve"> </w:t>
      </w:r>
      <w:r w:rsidRPr="00C76654">
        <w:t>and</w:t>
      </w:r>
      <w:r>
        <w:t xml:space="preserve"> </w:t>
      </w:r>
      <w:r w:rsidRPr="00C76654">
        <w:t>marine</w:t>
      </w:r>
      <w:r>
        <w:t xml:space="preserve"> </w:t>
      </w:r>
      <w:r w:rsidRPr="00C76654">
        <w:t>tourism</w:t>
      </w:r>
      <w:r>
        <w:t xml:space="preserve"> </w:t>
      </w:r>
      <w:r w:rsidRPr="00C76654">
        <w:t>industries</w:t>
      </w:r>
      <w:r>
        <w:t xml:space="preserve"> </w:t>
      </w:r>
      <w:r w:rsidRPr="00C76654">
        <w:t>from</w:t>
      </w:r>
      <w:r>
        <w:t xml:space="preserve"> </w:t>
      </w:r>
      <w:r w:rsidRPr="00C76654">
        <w:t>marine</w:t>
      </w:r>
      <w:r>
        <w:t xml:space="preserve"> plastic </w:t>
      </w:r>
      <w:r w:rsidRPr="00C76654">
        <w:t>debris</w:t>
      </w:r>
      <w:r>
        <w:t xml:space="preserve"> </w:t>
      </w:r>
    </w:p>
    <w:p w14:paraId="0865EFA9" w14:textId="77777777" w:rsidR="00B949E1" w:rsidRDefault="00B949E1" w:rsidP="00B949E1">
      <w:pPr>
        <w:pStyle w:val="ListBullet"/>
        <w:numPr>
          <w:ilvl w:val="0"/>
          <w:numId w:val="9"/>
        </w:numPr>
      </w:pPr>
      <w:r>
        <w:t xml:space="preserve">the impact that littered plastics have on </w:t>
      </w:r>
      <w:proofErr w:type="gramStart"/>
      <w:r>
        <w:t>amenity</w:t>
      </w:r>
      <w:proofErr w:type="gramEnd"/>
    </w:p>
    <w:p w14:paraId="49A7E81B" w14:textId="77777777" w:rsidR="00B949E1" w:rsidRDefault="00B949E1" w:rsidP="00B949E1">
      <w:pPr>
        <w:pStyle w:val="ListBullet"/>
        <w:numPr>
          <w:ilvl w:val="0"/>
          <w:numId w:val="9"/>
        </w:numPr>
      </w:pPr>
      <w:r>
        <w:t xml:space="preserve">the health impacts associated with the ingestion of </w:t>
      </w:r>
      <w:proofErr w:type="gramStart"/>
      <w:r>
        <w:t>microplastics</w:t>
      </w:r>
      <w:proofErr w:type="gramEnd"/>
    </w:p>
    <w:p w14:paraId="4980391D" w14:textId="77777777" w:rsidR="00B949E1" w:rsidRDefault="00B949E1" w:rsidP="00B949E1">
      <w:pPr>
        <w:pStyle w:val="ListBullet"/>
        <w:numPr>
          <w:ilvl w:val="0"/>
          <w:numId w:val="9"/>
        </w:numPr>
      </w:pPr>
      <w:r w:rsidRPr="007C0633">
        <w:t>the</w:t>
      </w:r>
      <w:r>
        <w:t xml:space="preserve"> GHG impacts </w:t>
      </w:r>
      <w:r w:rsidRPr="007C0633">
        <w:t>generated</w:t>
      </w:r>
      <w:r>
        <w:t xml:space="preserve"> </w:t>
      </w:r>
      <w:r w:rsidRPr="007C0633">
        <w:t>across</w:t>
      </w:r>
      <w:r>
        <w:t xml:space="preserve"> </w:t>
      </w:r>
      <w:r w:rsidRPr="007C0633">
        <w:t>the</w:t>
      </w:r>
      <w:r>
        <w:t xml:space="preserve"> </w:t>
      </w:r>
      <w:r w:rsidRPr="007C0633">
        <w:t>plastics</w:t>
      </w:r>
      <w:r>
        <w:t xml:space="preserve"> </w:t>
      </w:r>
      <w:r w:rsidRPr="007C0633">
        <w:t>life</w:t>
      </w:r>
      <w:r>
        <w:t xml:space="preserve"> </w:t>
      </w:r>
      <w:r w:rsidRPr="007C0633">
        <w:t>cycle</w:t>
      </w:r>
      <w:r>
        <w:t>.</w:t>
      </w:r>
    </w:p>
    <w:p w14:paraId="571BD730" w14:textId="77777777" w:rsidR="00B949E1" w:rsidRDefault="00B949E1" w:rsidP="00B949E1">
      <w:pPr>
        <w:pStyle w:val="BodyText"/>
      </w:pPr>
      <w:r>
        <w:t xml:space="preserve">Because these negative impacts are not reflected in the cost of SUP products, more plastic products </w:t>
      </w:r>
      <w:r w:rsidRPr="00B3383B">
        <w:t>continue</w:t>
      </w:r>
      <w:r>
        <w:t xml:space="preserve"> </w:t>
      </w:r>
      <w:r w:rsidRPr="00B3383B">
        <w:t>to</w:t>
      </w:r>
      <w:r>
        <w:t xml:space="preserve"> </w:t>
      </w:r>
      <w:r w:rsidRPr="00B3383B">
        <w:t>be</w:t>
      </w:r>
      <w:r>
        <w:t xml:space="preserve"> </w:t>
      </w:r>
      <w:r w:rsidRPr="00B3383B">
        <w:t>produced</w:t>
      </w:r>
      <w:r>
        <w:t xml:space="preserve"> than it is socially optimal, despite </w:t>
      </w:r>
      <w:r w:rsidRPr="00B3383B">
        <w:t>the</w:t>
      </w:r>
      <w:r>
        <w:t xml:space="preserve"> </w:t>
      </w:r>
      <w:r w:rsidRPr="00B3383B">
        <w:t>problems</w:t>
      </w:r>
      <w:r>
        <w:t xml:space="preserve"> </w:t>
      </w:r>
      <w:r w:rsidRPr="00B3383B">
        <w:t>(social</w:t>
      </w:r>
      <w:r>
        <w:t xml:space="preserve"> </w:t>
      </w:r>
      <w:r w:rsidRPr="00B3383B">
        <w:t>and</w:t>
      </w:r>
      <w:r>
        <w:t xml:space="preserve"> </w:t>
      </w:r>
      <w:r w:rsidRPr="00B3383B">
        <w:t>environmental) they</w:t>
      </w:r>
      <w:r>
        <w:t xml:space="preserve"> </w:t>
      </w:r>
      <w:r w:rsidRPr="00B3383B">
        <w:t>pose</w:t>
      </w:r>
      <w:r>
        <w:t xml:space="preserve"> </w:t>
      </w:r>
      <w:r w:rsidRPr="00B3383B">
        <w:t>at</w:t>
      </w:r>
      <w:r>
        <w:t xml:space="preserve"> the </w:t>
      </w:r>
      <w:r w:rsidRPr="00B3383B">
        <w:t>point</w:t>
      </w:r>
      <w:r>
        <w:t xml:space="preserve"> </w:t>
      </w:r>
      <w:r w:rsidRPr="00B3383B">
        <w:t>of</w:t>
      </w:r>
      <w:r>
        <w:t xml:space="preserve"> </w:t>
      </w:r>
      <w:r w:rsidRPr="00B3383B">
        <w:t>disposal</w:t>
      </w:r>
      <w:r>
        <w:t xml:space="preserve"> </w:t>
      </w:r>
      <w:r w:rsidRPr="00B3383B">
        <w:t>and</w:t>
      </w:r>
      <w:r>
        <w:t xml:space="preserve"> </w:t>
      </w:r>
      <w:r w:rsidRPr="00B3383B">
        <w:t>throughout</w:t>
      </w:r>
      <w:r>
        <w:t xml:space="preserve"> </w:t>
      </w:r>
      <w:r w:rsidRPr="00B3383B">
        <w:t>their</w:t>
      </w:r>
      <w:r>
        <w:t xml:space="preserve"> </w:t>
      </w:r>
      <w:r w:rsidRPr="00B3383B">
        <w:t>life</w:t>
      </w:r>
      <w:r>
        <w:t xml:space="preserve"> </w:t>
      </w:r>
      <w:r w:rsidRPr="00B3383B">
        <w:t>cycle.</w:t>
      </w:r>
    </w:p>
    <w:p w14:paraId="621B3B7B" w14:textId="77777777" w:rsidR="00B949E1" w:rsidRDefault="00B949E1" w:rsidP="00B949E1">
      <w:pPr>
        <w:pStyle w:val="Heading3"/>
      </w:pPr>
      <w:r>
        <w:lastRenderedPageBreak/>
        <w:t xml:space="preserve">Information asymmetries </w:t>
      </w:r>
    </w:p>
    <w:p w14:paraId="49C5BEDE" w14:textId="77777777" w:rsidR="00B949E1" w:rsidRDefault="00B949E1" w:rsidP="00B949E1">
      <w:pPr>
        <w:pStyle w:val="BodyText"/>
      </w:pPr>
      <w:r w:rsidRPr="00110DB4">
        <w:t>In some markets, consumers may have a hard time determining the quality of a product or service before using it. This can make it challenging for providers of higher-quality products to justify their higher prices to customers, even if those prices are necessary to cover the additional costs incurred by the producers.</w:t>
      </w:r>
    </w:p>
    <w:p w14:paraId="423814AE" w14:textId="77777777" w:rsidR="00B949E1" w:rsidRDefault="00B949E1" w:rsidP="00B949E1">
      <w:pPr>
        <w:pStyle w:val="BodyText"/>
      </w:pPr>
      <w:r w:rsidRPr="000E60EB">
        <w:t>Information asymmetry can also occur when consumers buy or use a product or service without fully understanding the consequences of their choices. For example, people may consume more unhealthy food than they would if they were aware of the health problems associated with high</w:t>
      </w:r>
      <w:r>
        <w:t>-</w:t>
      </w:r>
      <w:r w:rsidRPr="000E60EB">
        <w:t>sugar diets and obesity.</w:t>
      </w:r>
    </w:p>
    <w:p w14:paraId="7C7E1C5E" w14:textId="77777777" w:rsidR="00B949E1" w:rsidRDefault="00B949E1" w:rsidP="00B949E1">
      <w:pPr>
        <w:pStyle w:val="BodyText"/>
      </w:pPr>
      <w:r>
        <w:t>A</w:t>
      </w:r>
      <w:r w:rsidRPr="00206A3D">
        <w:t xml:space="preserve"> lack of information about </w:t>
      </w:r>
      <w:r>
        <w:t xml:space="preserve">SUPs’ </w:t>
      </w:r>
      <w:r w:rsidRPr="00206A3D">
        <w:t>impact on health, wildlife and other costs can lead to excessive use and improper disposal</w:t>
      </w:r>
      <w:r>
        <w:t>, such as littering at the end of their functional life</w:t>
      </w:r>
      <w:r w:rsidRPr="00206A3D">
        <w:t>.</w:t>
      </w:r>
      <w:r>
        <w:t xml:space="preserve"> A lack of information may also explain why some participants in the market have not already transitioned to cheaper SUP alternatives with similar or enhanced functionality. </w:t>
      </w:r>
    </w:p>
    <w:p w14:paraId="0D133518" w14:textId="77777777" w:rsidR="00B949E1" w:rsidRDefault="00B949E1" w:rsidP="00B949E1">
      <w:pPr>
        <w:pStyle w:val="Heading3"/>
      </w:pPr>
      <w:r>
        <w:t>Public good</w:t>
      </w:r>
    </w:p>
    <w:p w14:paraId="34E87F69" w14:textId="77777777" w:rsidR="00B949E1" w:rsidRPr="003716D4" w:rsidRDefault="00B949E1" w:rsidP="00B949E1">
      <w:pPr>
        <w:pStyle w:val="BodyText"/>
      </w:pPr>
      <w:r>
        <w:t xml:space="preserve">There are 2 dimensions of a good or service: excludability and rivalry. Excludable goods are goods that the seller can prevent non-buyers from accessing them, and rivalrous goods means one agent's consumption typically reduces others' ability </w:t>
      </w:r>
      <w:r w:rsidRPr="003716D4">
        <w:t>to</w:t>
      </w:r>
      <w:r>
        <w:t xml:space="preserve"> </w:t>
      </w:r>
      <w:r w:rsidRPr="003716D4">
        <w:t>consume</w:t>
      </w:r>
      <w:r>
        <w:t xml:space="preserve"> </w:t>
      </w:r>
      <w:r w:rsidRPr="003716D4">
        <w:t>it</w:t>
      </w:r>
      <w:r>
        <w:t xml:space="preserve">. Public </w:t>
      </w:r>
      <w:r w:rsidRPr="003716D4">
        <w:t>goods</w:t>
      </w:r>
      <w:r>
        <w:t xml:space="preserve"> </w:t>
      </w:r>
      <w:r w:rsidRPr="003716D4">
        <w:t>are</w:t>
      </w:r>
      <w:r>
        <w:t xml:space="preserve"> </w:t>
      </w:r>
      <w:r w:rsidRPr="003716D4">
        <w:t>both</w:t>
      </w:r>
      <w:r>
        <w:t xml:space="preserve"> “</w:t>
      </w:r>
      <w:r w:rsidRPr="00310847">
        <w:rPr>
          <w:i/>
          <w:iCs/>
        </w:rPr>
        <w:t>non-excludable</w:t>
      </w:r>
      <w:r>
        <w:t>”</w:t>
      </w:r>
      <w:r w:rsidRPr="003716D4">
        <w:t xml:space="preserve"> and</w:t>
      </w:r>
      <w:r>
        <w:t xml:space="preserve"> “</w:t>
      </w:r>
      <w:r w:rsidRPr="00310847">
        <w:rPr>
          <w:i/>
          <w:iCs/>
        </w:rPr>
        <w:t>non-rivalrous</w:t>
      </w:r>
      <w:r>
        <w:t xml:space="preserve">”, meaning </w:t>
      </w:r>
      <w:r w:rsidRPr="003716D4">
        <w:t>both</w:t>
      </w:r>
      <w:r>
        <w:t xml:space="preserve"> </w:t>
      </w:r>
      <w:r w:rsidRPr="003716D4">
        <w:t>paying</w:t>
      </w:r>
      <w:r>
        <w:t xml:space="preserve"> </w:t>
      </w:r>
      <w:r w:rsidRPr="003716D4">
        <w:t>and</w:t>
      </w:r>
      <w:r>
        <w:t xml:space="preserve"> </w:t>
      </w:r>
      <w:r w:rsidRPr="003716D4">
        <w:t>non-paying</w:t>
      </w:r>
      <w:r>
        <w:t xml:space="preserve"> </w:t>
      </w:r>
      <w:r w:rsidRPr="003716D4">
        <w:t>consumers</w:t>
      </w:r>
      <w:r>
        <w:t xml:space="preserve"> </w:t>
      </w:r>
      <w:r w:rsidRPr="003716D4">
        <w:t>can</w:t>
      </w:r>
      <w:r>
        <w:t xml:space="preserve"> </w:t>
      </w:r>
      <w:r w:rsidRPr="003716D4">
        <w:t>access</w:t>
      </w:r>
      <w:r>
        <w:t xml:space="preserve"> them, and an agent consumption does not reduce others’ ability to consume. </w:t>
      </w:r>
      <w:r w:rsidRPr="003716D4">
        <w:t>As</w:t>
      </w:r>
      <w:r>
        <w:t xml:space="preserve"> </w:t>
      </w:r>
      <w:r w:rsidRPr="003716D4">
        <w:t>a</w:t>
      </w:r>
      <w:r>
        <w:t xml:space="preserve"> </w:t>
      </w:r>
      <w:r w:rsidRPr="003716D4">
        <w:t>result,</w:t>
      </w:r>
      <w:r>
        <w:t xml:space="preserve"> </w:t>
      </w:r>
      <w:r w:rsidRPr="003716D4">
        <w:t>an</w:t>
      </w:r>
      <w:r>
        <w:t xml:space="preserve"> </w:t>
      </w:r>
      <w:r w:rsidRPr="003716D4">
        <w:t>unregulated</w:t>
      </w:r>
      <w:r>
        <w:t xml:space="preserve"> </w:t>
      </w:r>
      <w:r w:rsidRPr="003716D4">
        <w:t>market</w:t>
      </w:r>
      <w:r>
        <w:t xml:space="preserve"> </w:t>
      </w:r>
      <w:r w:rsidRPr="003716D4">
        <w:t>will</w:t>
      </w:r>
      <w:r>
        <w:t xml:space="preserve"> </w:t>
      </w:r>
      <w:r w:rsidRPr="003716D4">
        <w:t>lead</w:t>
      </w:r>
      <w:r>
        <w:t xml:space="preserve"> </w:t>
      </w:r>
      <w:r w:rsidRPr="003716D4">
        <w:t>to</w:t>
      </w:r>
      <w:r>
        <w:t xml:space="preserve"> </w:t>
      </w:r>
      <w:r w:rsidRPr="003716D4">
        <w:t>an</w:t>
      </w:r>
      <w:r>
        <w:t xml:space="preserve"> </w:t>
      </w:r>
      <w:r w:rsidRPr="003716D4">
        <w:t>undersupply</w:t>
      </w:r>
      <w:r>
        <w:t xml:space="preserve"> </w:t>
      </w:r>
      <w:r w:rsidRPr="003716D4">
        <w:t>of</w:t>
      </w:r>
      <w:r>
        <w:t xml:space="preserve"> </w:t>
      </w:r>
      <w:r w:rsidRPr="003716D4">
        <w:t>public</w:t>
      </w:r>
      <w:r>
        <w:t xml:space="preserve"> </w:t>
      </w:r>
      <w:r w:rsidRPr="003716D4">
        <w:t>goods</w:t>
      </w:r>
      <w:r>
        <w:t xml:space="preserve"> </w:t>
      </w:r>
      <w:r w:rsidRPr="003716D4">
        <w:t>at</w:t>
      </w:r>
      <w:r>
        <w:t xml:space="preserve"> </w:t>
      </w:r>
      <w:r w:rsidRPr="003716D4">
        <w:t>the</w:t>
      </w:r>
      <w:r>
        <w:t xml:space="preserve"> </w:t>
      </w:r>
      <w:r w:rsidRPr="003716D4">
        <w:t>detriment</w:t>
      </w:r>
      <w:r>
        <w:t xml:space="preserve"> </w:t>
      </w:r>
      <w:r w:rsidRPr="003716D4">
        <w:t>of</w:t>
      </w:r>
      <w:r>
        <w:t xml:space="preserve"> </w:t>
      </w:r>
      <w:r w:rsidRPr="003716D4">
        <w:t>social</w:t>
      </w:r>
      <w:r>
        <w:t xml:space="preserve"> </w:t>
      </w:r>
      <w:r w:rsidRPr="003716D4">
        <w:t>welfare,</w:t>
      </w:r>
      <w:r>
        <w:t xml:space="preserve"> </w:t>
      </w:r>
      <w:r w:rsidRPr="003716D4">
        <w:t>and</w:t>
      </w:r>
      <w:r>
        <w:t xml:space="preserve"> </w:t>
      </w:r>
      <w:r w:rsidRPr="003716D4">
        <w:t>thus,</w:t>
      </w:r>
      <w:r>
        <w:t xml:space="preserve"> </w:t>
      </w:r>
      <w:r w:rsidRPr="003716D4">
        <w:t>require</w:t>
      </w:r>
      <w:r>
        <w:t xml:space="preserve"> </w:t>
      </w:r>
      <w:r w:rsidRPr="003716D4">
        <w:t>governments</w:t>
      </w:r>
      <w:r>
        <w:t xml:space="preserve"> </w:t>
      </w:r>
      <w:r w:rsidRPr="003716D4">
        <w:t>to</w:t>
      </w:r>
      <w:r>
        <w:t xml:space="preserve"> </w:t>
      </w:r>
      <w:r w:rsidRPr="003716D4">
        <w:t>intervene</w:t>
      </w:r>
      <w:r>
        <w:t xml:space="preserve"> </w:t>
      </w:r>
      <w:r w:rsidRPr="003716D4">
        <w:t>in</w:t>
      </w:r>
      <w:r>
        <w:t xml:space="preserve"> </w:t>
      </w:r>
      <w:r w:rsidRPr="003716D4">
        <w:t>their</w:t>
      </w:r>
      <w:r>
        <w:t xml:space="preserve"> </w:t>
      </w:r>
      <w:r w:rsidRPr="003716D4">
        <w:t>provision.</w:t>
      </w:r>
    </w:p>
    <w:p w14:paraId="566CA0A1" w14:textId="77777777" w:rsidR="00B949E1" w:rsidRDefault="00B949E1" w:rsidP="00B949E1">
      <w:pPr>
        <w:pStyle w:val="BodyText"/>
      </w:pPr>
      <w:r>
        <w:t>Marine and land ecosystems are public goods that can be affected by the littering of SUPs. Even though it would benefit the community if these ecosystems were free of plastic litter, a free market does not provide enough incentive to prevent overuse or misuse. This is because people can ‘free ride’, and there is a lack of accountability for decisions about the use and disposal of plastic items. As a result of this market failure, marine and land ecosystems have been used as disposal grounds for single-use items.</w:t>
      </w:r>
    </w:p>
    <w:p w14:paraId="205B3740" w14:textId="77777777" w:rsidR="00B949E1" w:rsidRDefault="00B949E1" w:rsidP="00B949E1">
      <w:pPr>
        <w:pStyle w:val="BodyText"/>
      </w:pPr>
      <w:r>
        <w:t xml:space="preserve">While littering is illegal and subject to fines in the </w:t>
      </w:r>
      <w:r w:rsidRPr="00F21105">
        <w:rPr>
          <w:i/>
          <w:iCs/>
        </w:rPr>
        <w:t>ACT</w:t>
      </w:r>
      <w:r>
        <w:t xml:space="preserve"> </w:t>
      </w:r>
      <w:r>
        <w:rPr>
          <w:i/>
          <w:iCs/>
        </w:rPr>
        <w:t>Litter Act 2004</w:t>
      </w:r>
      <w:r>
        <w:rPr>
          <w:rStyle w:val="FootnoteReference"/>
          <w:i/>
          <w:iCs/>
        </w:rPr>
        <w:footnoteReference w:id="64"/>
      </w:r>
      <w:r>
        <w:t xml:space="preserve">, </w:t>
      </w:r>
      <w:r w:rsidRPr="00B33D29">
        <w:t>in</w:t>
      </w:r>
      <w:r>
        <w:t xml:space="preserve"> </w:t>
      </w:r>
      <w:r w:rsidRPr="00B33D29">
        <w:t>practice</w:t>
      </w:r>
      <w:r>
        <w:t xml:space="preserve">, this legislation is difficult to comprehensively enforce as littering in many locations is difficult (and expensive) to effectively monitor and often goes undetected, and some of the littering is </w:t>
      </w:r>
      <w:r w:rsidRPr="00B33D29">
        <w:t>unintentional.</w:t>
      </w:r>
    </w:p>
    <w:p w14:paraId="66636844" w14:textId="77777777" w:rsidR="00B949E1" w:rsidRDefault="00B949E1" w:rsidP="00B949E1">
      <w:pPr>
        <w:pStyle w:val="Heading2"/>
      </w:pPr>
      <w:bookmarkStart w:id="53" w:name="_Ref133238707"/>
      <w:bookmarkStart w:id="54" w:name="_Ref133238717"/>
      <w:bookmarkStart w:id="55" w:name="_Toc136872622"/>
      <w:r>
        <w:t>Potential interventions that address the problem</w:t>
      </w:r>
      <w:bookmarkEnd w:id="53"/>
      <w:bookmarkEnd w:id="54"/>
      <w:bookmarkEnd w:id="55"/>
    </w:p>
    <w:p w14:paraId="0EA3E6A0" w14:textId="77777777" w:rsidR="00B949E1" w:rsidRDefault="00B949E1" w:rsidP="00B949E1">
      <w:pPr>
        <w:pStyle w:val="BodyText"/>
      </w:pPr>
      <w:r>
        <w:t xml:space="preserve">The above discussion about impact and market failure suggests government intervention may be needed to reduce the problems associated with SUP. However, it is necessary to consider whether any other approaches can address the problem. </w:t>
      </w:r>
    </w:p>
    <w:p w14:paraId="40D34D82" w14:textId="77777777" w:rsidR="00B949E1" w:rsidRDefault="00B949E1" w:rsidP="00B949E1">
      <w:pPr>
        <w:pStyle w:val="BodyText"/>
      </w:pPr>
      <w:r w:rsidRPr="00075FBB">
        <w:t>Regulation can be seen as a scale that goes from self-regulation (</w:t>
      </w:r>
      <w:r>
        <w:t xml:space="preserve">or market self-correction, </w:t>
      </w:r>
      <w:r w:rsidRPr="00075FBB">
        <w:t>where the government has little or no role), t</w:t>
      </w:r>
      <w:r>
        <w:t>hrough</w:t>
      </w:r>
      <w:r w:rsidRPr="00075FBB">
        <w:t xml:space="preserve"> quasi-regulation</w:t>
      </w:r>
      <w:r>
        <w:t xml:space="preserve"> and co-regulation</w:t>
      </w:r>
      <w:r w:rsidRPr="00075FBB">
        <w:t xml:space="preserve"> (which are different ways that the government </w:t>
      </w:r>
      <w:r>
        <w:t xml:space="preserve">can </w:t>
      </w:r>
      <w:r w:rsidRPr="00075FBB">
        <w:t>set rules, tools, or standards for businesses to follow), to direct government regulation</w:t>
      </w:r>
      <w:r>
        <w:t xml:space="preserve"> (policy intervention)</w:t>
      </w:r>
      <w:r w:rsidRPr="00075FBB">
        <w:t>.</w:t>
      </w:r>
      <w:r>
        <w:t xml:space="preserve"> </w:t>
      </w:r>
    </w:p>
    <w:p w14:paraId="055155B6" w14:textId="77777777" w:rsidR="00B949E1" w:rsidRDefault="00B949E1" w:rsidP="00B949E1">
      <w:pPr>
        <w:pStyle w:val="BodyText"/>
      </w:pPr>
      <w:r>
        <w:t xml:space="preserve">It is generally preferred if market failure can be addressed through means on the lower scale of regulations, such as self-regulation, quasi-regulation and co-regulation, rather than direct intervention through regulation. These regulations </w:t>
      </w:r>
      <w:r w:rsidRPr="00086B66">
        <w:t xml:space="preserve">can </w:t>
      </w:r>
      <w:r>
        <w:t>give businesses and consumers more flexibility, efficiency and innovation</w:t>
      </w:r>
      <w:r w:rsidRPr="00086B66">
        <w:t>. The</w:t>
      </w:r>
      <w:r>
        <w:t>y also generally have lower</w:t>
      </w:r>
      <w:r w:rsidRPr="00086B66">
        <w:t xml:space="preserve"> administrative and compliance </w:t>
      </w:r>
      <w:r w:rsidRPr="00086B66">
        <w:lastRenderedPageBreak/>
        <w:t>costs for businesses and government</w:t>
      </w:r>
      <w:r>
        <w:t>, and they</w:t>
      </w:r>
      <w:r w:rsidRPr="00086B66">
        <w:t xml:space="preserve"> encourage industry best practices and consumer confidence. Direct regulation can be more costly, rigid, and intrusive than</w:t>
      </w:r>
      <w:r>
        <w:t xml:space="preserve"> these options</w:t>
      </w:r>
      <w:r w:rsidRPr="00086B66">
        <w:t>.</w:t>
      </w:r>
    </w:p>
    <w:p w14:paraId="1C51E6A9" w14:textId="77777777" w:rsidR="00B949E1" w:rsidRDefault="00B949E1" w:rsidP="00B949E1">
      <w:pPr>
        <w:pStyle w:val="BodyText"/>
      </w:pPr>
      <w:r>
        <w:t>The possibilities of addressing the SUP problem through self-regulation, quasi-regulation and co-regulation are discussed below.</w:t>
      </w:r>
    </w:p>
    <w:p w14:paraId="0D0A9613" w14:textId="77777777" w:rsidR="00B949E1" w:rsidRDefault="00B949E1" w:rsidP="00B949E1">
      <w:pPr>
        <w:pStyle w:val="Heading3"/>
      </w:pPr>
      <w:r>
        <w:t>Self-regulation (Market self-correction)</w:t>
      </w:r>
    </w:p>
    <w:p w14:paraId="6A2BFE9D" w14:textId="77777777" w:rsidR="00B949E1" w:rsidRDefault="00B949E1" w:rsidP="00B949E1">
      <w:pPr>
        <w:pStyle w:val="BodyText"/>
      </w:pPr>
      <w:r w:rsidRPr="001E4F3A">
        <w:t>The Australian Government Best Practice Regulation Handbook defines self-regulation as a situation where the industry sets its own rules and codes of conduct, with industry itself</w:t>
      </w:r>
      <w:r>
        <w:t>.</w:t>
      </w:r>
      <w:r>
        <w:rPr>
          <w:rStyle w:val="FootnoteReference"/>
        </w:rPr>
        <w:footnoteReference w:id="65"/>
      </w:r>
      <w:r>
        <w:t xml:space="preserve"> </w:t>
      </w:r>
    </w:p>
    <w:p w14:paraId="34D3B137" w14:textId="77777777" w:rsidR="00B949E1" w:rsidRDefault="00B949E1" w:rsidP="00B949E1">
      <w:pPr>
        <w:pStyle w:val="BodyText"/>
      </w:pPr>
      <w:r w:rsidRPr="001E4F3A">
        <w:t xml:space="preserve"> The Australian Treasury’s Taskforce on Industry Self-regulation suggest</w:t>
      </w:r>
      <w:r>
        <w:t xml:space="preserve">ion for when self-regulation should be used is outlined in </w:t>
      </w:r>
      <w:r w:rsidRPr="00A42A29">
        <w:rPr>
          <w:b/>
          <w:bCs/>
        </w:rPr>
        <w:fldChar w:fldCharType="begin"/>
      </w:r>
      <w:r w:rsidRPr="00A42A29">
        <w:rPr>
          <w:b/>
          <w:bCs/>
        </w:rPr>
        <w:instrText xml:space="preserve"> REF _Ref129953664 \h </w:instrText>
      </w:r>
      <w:r>
        <w:rPr>
          <w:b/>
          <w:bCs/>
        </w:rPr>
        <w:instrText xml:space="preserve"> \* MERGEFORMAT </w:instrText>
      </w:r>
      <w:r w:rsidRPr="00A42A29">
        <w:rPr>
          <w:b/>
          <w:bCs/>
        </w:rPr>
      </w:r>
      <w:r w:rsidRPr="00A42A29">
        <w:rPr>
          <w:b/>
          <w:bCs/>
        </w:rPr>
        <w:fldChar w:fldCharType="separate"/>
      </w:r>
      <w:r w:rsidRPr="00790266">
        <w:rPr>
          <w:rStyle w:val="CaptionLabel"/>
          <w:b w:val="0"/>
          <w:bCs/>
        </w:rPr>
        <w:t>Box 4.1</w:t>
      </w:r>
      <w:r w:rsidRPr="00A42A29">
        <w:rPr>
          <w:b/>
          <w:bCs/>
        </w:rPr>
        <w:fldChar w:fldCharType="end"/>
      </w:r>
      <w:r>
        <w:t xml:space="preserve"> below.</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654B07A9" w14:textId="77777777" w:rsidTr="00B9362B">
        <w:tc>
          <w:tcPr>
            <w:tcW w:w="7936" w:type="dxa"/>
            <w:shd w:val="clear" w:color="auto" w:fill="auto"/>
            <w:tcMar>
              <w:top w:w="160" w:type="dxa"/>
              <w:bottom w:w="8" w:type="dxa"/>
            </w:tcMar>
          </w:tcPr>
          <w:p w14:paraId="38425F33" w14:textId="77777777" w:rsidR="00B949E1" w:rsidRDefault="00B949E1" w:rsidP="00B9362B">
            <w:pPr>
              <w:pStyle w:val="Caption"/>
            </w:pPr>
            <w:bookmarkStart w:id="56" w:name="_Ref129953664"/>
            <w:bookmarkStart w:id="57" w:name="_Toc134002471"/>
            <w:r w:rsidRPr="002719E2">
              <w:rPr>
                <w:rStyle w:val="CaptionLabel"/>
              </w:rPr>
              <w:t>Box </w:t>
            </w:r>
            <w:r w:rsidRPr="002719E2">
              <w:rPr>
                <w:rStyle w:val="CaptionLabel"/>
              </w:rPr>
              <w:fldChar w:fldCharType="begin"/>
            </w:r>
            <w:r w:rsidRPr="002719E2">
              <w:rPr>
                <w:rStyle w:val="CaptionLabel"/>
              </w:rPr>
              <w:instrText xml:space="preserve"> STYLEREF 1 \S \* MERGEFORMAT </w:instrText>
            </w:r>
            <w:r w:rsidRPr="002719E2">
              <w:rPr>
                <w:rStyle w:val="CaptionLabel"/>
              </w:rPr>
              <w:fldChar w:fldCharType="separate"/>
            </w:r>
            <w:r>
              <w:rPr>
                <w:rStyle w:val="CaptionLabel"/>
                <w:noProof/>
              </w:rPr>
              <w:t>4</w:t>
            </w:r>
            <w:r w:rsidRPr="002719E2">
              <w:rPr>
                <w:rStyle w:val="CaptionLabel"/>
              </w:rPr>
              <w:fldChar w:fldCharType="end"/>
            </w:r>
            <w:r w:rsidRPr="002719E2">
              <w:rPr>
                <w:rStyle w:val="CaptionLabel"/>
              </w:rPr>
              <w:t>.</w:t>
            </w:r>
            <w:r w:rsidRPr="002719E2">
              <w:rPr>
                <w:rStyle w:val="CaptionLabel"/>
              </w:rPr>
              <w:fldChar w:fldCharType="begin"/>
            </w:r>
            <w:r w:rsidRPr="002719E2">
              <w:rPr>
                <w:rStyle w:val="CaptionLabel"/>
              </w:rPr>
              <w:instrText xml:space="preserve"> SEQ Box \* ARABIC \S 1 \* MERGEFORMAT </w:instrText>
            </w:r>
            <w:r w:rsidRPr="002719E2">
              <w:rPr>
                <w:rStyle w:val="CaptionLabel"/>
              </w:rPr>
              <w:fldChar w:fldCharType="separate"/>
            </w:r>
            <w:r>
              <w:rPr>
                <w:rStyle w:val="CaptionLabel"/>
                <w:noProof/>
              </w:rPr>
              <w:t>1</w:t>
            </w:r>
            <w:r w:rsidRPr="002719E2">
              <w:rPr>
                <w:rStyle w:val="CaptionLabel"/>
              </w:rPr>
              <w:fldChar w:fldCharType="end"/>
            </w:r>
            <w:bookmarkEnd w:id="56"/>
            <w:r>
              <w:tab/>
            </w:r>
            <w:r w:rsidRPr="00C93A02">
              <w:t>Checklists</w:t>
            </w:r>
            <w:r>
              <w:t xml:space="preserve"> </w:t>
            </w:r>
            <w:r w:rsidRPr="00C93A02">
              <w:t>for</w:t>
            </w:r>
            <w:r>
              <w:t xml:space="preserve"> </w:t>
            </w:r>
            <w:r w:rsidRPr="00C93A02">
              <w:t>assessment</w:t>
            </w:r>
            <w:r>
              <w:t xml:space="preserve"> </w:t>
            </w:r>
            <w:r w:rsidRPr="00C93A02">
              <w:t>of</w:t>
            </w:r>
            <w:r>
              <w:t xml:space="preserve"> self</w:t>
            </w:r>
            <w:r w:rsidRPr="00C93A02">
              <w:t>-regulation</w:t>
            </w:r>
            <w:bookmarkEnd w:id="57"/>
          </w:p>
        </w:tc>
      </w:tr>
      <w:tr w:rsidR="00B949E1" w14:paraId="01E79767" w14:textId="77777777" w:rsidTr="00B9362B">
        <w:tc>
          <w:tcPr>
            <w:tcW w:w="7936" w:type="dxa"/>
            <w:shd w:val="clear" w:color="auto" w:fill="E5E5E5"/>
            <w:tcMar>
              <w:top w:w="112" w:type="dxa"/>
              <w:bottom w:w="184" w:type="dxa"/>
              <w:right w:w="120" w:type="dxa"/>
            </w:tcMar>
          </w:tcPr>
          <w:p w14:paraId="0A71B9F6" w14:textId="77777777" w:rsidR="00B949E1" w:rsidRDefault="00B949E1" w:rsidP="00B9362B">
            <w:pPr>
              <w:pStyle w:val="BoxTextBoldItalic"/>
            </w:pPr>
            <w:r>
              <w:t>Self-regulation should be considered where:</w:t>
            </w:r>
          </w:p>
          <w:p w14:paraId="47F7C47E" w14:textId="77777777" w:rsidR="00B949E1" w:rsidRPr="002719E2" w:rsidRDefault="00B949E1" w:rsidP="00B9362B">
            <w:pPr>
              <w:pStyle w:val="BoxListBullet"/>
            </w:pPr>
            <w:r w:rsidRPr="002719E2">
              <w:t xml:space="preserve">there is no serious public interest issue, especially, no significant public health and safety </w:t>
            </w:r>
            <w:proofErr w:type="gramStart"/>
            <w:r w:rsidRPr="002719E2">
              <w:t>issue;</w:t>
            </w:r>
            <w:proofErr w:type="gramEnd"/>
          </w:p>
          <w:p w14:paraId="073A0379" w14:textId="77777777" w:rsidR="00B949E1" w:rsidRPr="002719E2" w:rsidRDefault="00B949E1" w:rsidP="00B9362B">
            <w:pPr>
              <w:pStyle w:val="BoxListBullet"/>
            </w:pPr>
            <w:r w:rsidRPr="002719E2">
              <w:t xml:space="preserve">the problem is a </w:t>
            </w:r>
            <w:proofErr w:type="gramStart"/>
            <w:r w:rsidRPr="002719E2">
              <w:t>low risk</w:t>
            </w:r>
            <w:proofErr w:type="gramEnd"/>
            <w:r w:rsidRPr="002719E2">
              <w:t xml:space="preserve"> event, with low impact/importance, that is the outcomes of self-regulation failing to address a specific problem are minor; and</w:t>
            </w:r>
          </w:p>
          <w:p w14:paraId="57A3E96F" w14:textId="77777777" w:rsidR="00B949E1" w:rsidRDefault="00B949E1" w:rsidP="00B9362B">
            <w:pPr>
              <w:pStyle w:val="BoxListBullet"/>
            </w:pPr>
            <w:r w:rsidRPr="002719E2">
              <w:t>the problem can be solved by the market itself, that is there is a motivation for individuals and groups to develop and follow self-regulatory arrangements (</w:t>
            </w:r>
            <w:proofErr w:type="gramStart"/>
            <w:r w:rsidRPr="002719E2">
              <w:t>e.g.</w:t>
            </w:r>
            <w:proofErr w:type="gramEnd"/>
            <w:r w:rsidRPr="002719E2">
              <w:t xml:space="preserve"> for industry survival, or to gain a market edge).</w:t>
            </w:r>
          </w:p>
          <w:p w14:paraId="463F352B" w14:textId="77777777" w:rsidR="00B949E1" w:rsidRDefault="00B949E1" w:rsidP="00B9362B">
            <w:pPr>
              <w:pStyle w:val="BoxListBullet"/>
              <w:numPr>
                <w:ilvl w:val="0"/>
                <w:numId w:val="0"/>
              </w:numPr>
              <w:ind w:left="252"/>
            </w:pPr>
            <w:r>
              <w:t>Proposed approaches should not restrict competition.</w:t>
            </w:r>
          </w:p>
        </w:tc>
      </w:tr>
      <w:tr w:rsidR="00B949E1" w14:paraId="45875790" w14:textId="77777777" w:rsidTr="00B9362B">
        <w:tc>
          <w:tcPr>
            <w:tcW w:w="7936" w:type="dxa"/>
            <w:shd w:val="clear" w:color="auto" w:fill="auto"/>
            <w:tcMar>
              <w:top w:w="12" w:type="dxa"/>
              <w:bottom w:w="113" w:type="dxa"/>
            </w:tcMar>
          </w:tcPr>
          <w:p w14:paraId="2CA809A9" w14:textId="77777777" w:rsidR="00B949E1" w:rsidRDefault="00B949E1" w:rsidP="00B9362B">
            <w:pPr>
              <w:pStyle w:val="Source"/>
            </w:pPr>
            <w:r>
              <w:t>Source:</w:t>
            </w:r>
            <w:r w:rsidRPr="00C93A02">
              <w:t xml:space="preserve"> Commonwealth</w:t>
            </w:r>
            <w:r>
              <w:t xml:space="preserve"> </w:t>
            </w:r>
            <w:r w:rsidRPr="00C93A02">
              <w:t>of</w:t>
            </w:r>
            <w:r>
              <w:t xml:space="preserve"> </w:t>
            </w:r>
            <w:r w:rsidRPr="00C93A02">
              <w:t>Australia</w:t>
            </w:r>
            <w:r>
              <w:t xml:space="preserve"> </w:t>
            </w:r>
            <w:r w:rsidRPr="00C93A02">
              <w:t>2007,</w:t>
            </w:r>
            <w:r>
              <w:t xml:space="preserve"> </w:t>
            </w:r>
            <w:r w:rsidRPr="00C93A02">
              <w:t>Best</w:t>
            </w:r>
            <w:r>
              <w:t xml:space="preserve"> </w:t>
            </w:r>
            <w:r w:rsidRPr="00C93A02">
              <w:t>Practice</w:t>
            </w:r>
            <w:r>
              <w:t xml:space="preserve"> </w:t>
            </w:r>
            <w:r w:rsidRPr="00C93A02">
              <w:t>Regulation</w:t>
            </w:r>
            <w:r>
              <w:t xml:space="preserve"> </w:t>
            </w:r>
            <w:r w:rsidRPr="00C93A02">
              <w:t>Handbook</w:t>
            </w:r>
            <w:r>
              <w:t>.</w:t>
            </w:r>
          </w:p>
        </w:tc>
      </w:tr>
    </w:tbl>
    <w:p w14:paraId="7436FE82" w14:textId="77777777" w:rsidR="00B949E1" w:rsidRDefault="00B949E1" w:rsidP="00B949E1">
      <w:pPr>
        <w:pStyle w:val="BodyText"/>
      </w:pPr>
      <w:r w:rsidRPr="005A2948">
        <w:t xml:space="preserve">However, </w:t>
      </w:r>
      <w:r>
        <w:t>this</w:t>
      </w:r>
      <w:r w:rsidRPr="005A2948">
        <w:t xml:space="preserve"> option</w:t>
      </w:r>
      <w:r>
        <w:t xml:space="preserve"> is</w:t>
      </w:r>
      <w:r w:rsidRPr="005A2948">
        <w:t xml:space="preserve"> </w:t>
      </w:r>
      <w:r>
        <w:t>unsuitable and unlikely to be effective for most of the products considered in this RIS, including EPS loose-fill packaging, plastic take-away containers, and SUP plates and bowls</w:t>
      </w:r>
      <w:r w:rsidRPr="005A2948">
        <w:t xml:space="preserve">. </w:t>
      </w:r>
      <w:r>
        <w:t xml:space="preserve">The problems caused by SUP are of high significance, with tremendous potential impact on public health and </w:t>
      </w:r>
      <w:proofErr w:type="gramStart"/>
      <w:r>
        <w:t>safety..</w:t>
      </w:r>
      <w:proofErr w:type="gramEnd"/>
    </w:p>
    <w:p w14:paraId="7CCEC133" w14:textId="77777777" w:rsidR="00B949E1" w:rsidRDefault="00B949E1" w:rsidP="00B949E1">
      <w:pPr>
        <w:pStyle w:val="BodyText"/>
      </w:pPr>
      <w:r>
        <w:t>Furthermore, there’s no current need for industries to move away from plastic as the economic incentives are not sufficient, while v</w:t>
      </w:r>
      <w:r w:rsidRPr="005A2948">
        <w:t xml:space="preserve">oluntary arrangements are </w:t>
      </w:r>
      <w:r>
        <w:t xml:space="preserve">also </w:t>
      </w:r>
      <w:r w:rsidRPr="005A2948">
        <w:t xml:space="preserve">unlikely to address the issues of littering and waste management of </w:t>
      </w:r>
      <w:r>
        <w:t>SUP</w:t>
      </w:r>
      <w:r w:rsidRPr="005A2948">
        <w:t xml:space="preserve"> items.</w:t>
      </w:r>
      <w:r>
        <w:t xml:space="preserve"> Therefore, it is not reasonable to assume self-regulation will address the problem in a sufficient way.</w:t>
      </w:r>
    </w:p>
    <w:p w14:paraId="22D6CB06" w14:textId="77777777" w:rsidR="00B949E1" w:rsidRDefault="00B949E1" w:rsidP="00B949E1">
      <w:pPr>
        <w:pStyle w:val="BodyText"/>
      </w:pPr>
      <w:r>
        <w:t>The 2 SUP items that have seen self-regulatory attempts taken are plastic bags and plastic microbeads. However, there are reasons to believe in the context of these items, self-regulation is unlikely to address the problem of SUP to the level of satisfaction sought by the community. Self-regulation also does not provide sufficient incentives to completely remove some SUPs from the environment (which emerging scientific evidence suggests is desirable) and therefore reduce the longer-term impacts SUPs may have on animal and human health.</w:t>
      </w:r>
    </w:p>
    <w:p w14:paraId="253764A5" w14:textId="77777777" w:rsidR="00B949E1" w:rsidRDefault="00B949E1" w:rsidP="00B949E1">
      <w:pPr>
        <w:pStyle w:val="Heading4"/>
        <w:numPr>
          <w:ilvl w:val="0"/>
          <w:numId w:val="0"/>
        </w:numPr>
      </w:pPr>
      <w:r>
        <w:t>Plastic bags</w:t>
      </w:r>
    </w:p>
    <w:p w14:paraId="591CE202" w14:textId="77777777" w:rsidR="00B949E1" w:rsidRDefault="00B949E1" w:rsidP="00B949E1">
      <w:pPr>
        <w:pStyle w:val="BodyText"/>
      </w:pPr>
      <w:r>
        <w:t>There have been attempts taken by the retail sector in phasing out plastic bags in the ACT. I</w:t>
      </w:r>
      <w:r w:rsidRPr="00FF7D49">
        <w:t>n September 2022, a major retailer trialled the removal of fruit and vegetable barrier bags from stores in the ACT, instead offering reusable mesh bags for purchase</w:t>
      </w:r>
      <w:r>
        <w:t xml:space="preserve">. </w:t>
      </w:r>
      <w:r w:rsidRPr="00FF7D49">
        <w:t xml:space="preserve">As of February 2023, the retailer had returned ‘compostable’ single-use barrier bags to stores, indicating in the media that the trial </w:t>
      </w:r>
      <w:r w:rsidRPr="00FF7D49">
        <w:lastRenderedPageBreak/>
        <w:t>had presented challenges</w:t>
      </w:r>
      <w:r>
        <w:t>.</w:t>
      </w:r>
      <w:r>
        <w:rPr>
          <w:rStyle w:val="FootnoteReference"/>
        </w:rPr>
        <w:footnoteReference w:id="66"/>
      </w:r>
      <w:r>
        <w:t xml:space="preserve"> T</w:t>
      </w:r>
      <w:r w:rsidRPr="00FF7D49">
        <w:t xml:space="preserve">his could </w:t>
      </w:r>
      <w:r>
        <w:t xml:space="preserve">indicate that </w:t>
      </w:r>
      <w:r w:rsidRPr="00FF7D49">
        <w:t>voluntary market correction</w:t>
      </w:r>
      <w:r>
        <w:t>s</w:t>
      </w:r>
      <w:r w:rsidRPr="00FF7D49">
        <w:t xml:space="preserve"> being tested </w:t>
      </w:r>
      <w:r>
        <w:t>were found to be unsuitable.</w:t>
      </w:r>
    </w:p>
    <w:p w14:paraId="44175F49" w14:textId="77777777" w:rsidR="00B949E1" w:rsidRDefault="00B949E1" w:rsidP="00B949E1">
      <w:pPr>
        <w:pStyle w:val="BodyText"/>
      </w:pPr>
      <w:r w:rsidRPr="000B152A">
        <w:t>Another major retailer announced that it will start phasing out soft plastic bags in 2023, stating that approximately 80% of customers are</w:t>
      </w:r>
      <w:r>
        <w:t xml:space="preserve"> currently</w:t>
      </w:r>
      <w:r w:rsidRPr="000B152A">
        <w:t xml:space="preserve"> using </w:t>
      </w:r>
      <w:r>
        <w:t>other</w:t>
      </w:r>
      <w:r w:rsidRPr="000B152A">
        <w:t xml:space="preserve"> alternatives</w:t>
      </w:r>
      <w:r>
        <w:t>. While it is unknown if this was a result of the 2011 ban of SUP</w:t>
      </w:r>
      <w:r w:rsidRPr="00C73943">
        <w:t xml:space="preserve"> shopping bags at or below 35 micrometres in thickness</w:t>
      </w:r>
      <w:r>
        <w:t xml:space="preserve">, it suggests that a portion of community has demonstrated behaviour change in response to the ban. However, the remaining portion of the community are still opting to use SUP shopping bags, and this means the problem </w:t>
      </w:r>
      <w:proofErr w:type="gramStart"/>
      <w:r>
        <w:t>still persists</w:t>
      </w:r>
      <w:proofErr w:type="gramEnd"/>
      <w:r>
        <w:t>.</w:t>
      </w:r>
    </w:p>
    <w:p w14:paraId="4FAF5753" w14:textId="77777777" w:rsidR="00B949E1" w:rsidRDefault="00B949E1" w:rsidP="00B949E1">
      <w:pPr>
        <w:pStyle w:val="BodyText"/>
      </w:pPr>
      <w:r>
        <w:t>Western Australia</w:t>
      </w:r>
      <w:r>
        <w:rPr>
          <w:rStyle w:val="FootnoteReference"/>
        </w:rPr>
        <w:footnoteReference w:id="67"/>
      </w:r>
      <w:r>
        <w:t xml:space="preserve"> and South Australia</w:t>
      </w:r>
      <w:r>
        <w:rPr>
          <w:rStyle w:val="FootnoteReference"/>
        </w:rPr>
        <w:footnoteReference w:id="68"/>
      </w:r>
      <w:r>
        <w:t xml:space="preserve"> are taking regulatory actions </w:t>
      </w:r>
      <w:r w:rsidRPr="00E16D93">
        <w:t xml:space="preserve">to remove or replace </w:t>
      </w:r>
      <w:r>
        <w:t xml:space="preserve">SUP </w:t>
      </w:r>
      <w:r w:rsidRPr="00E16D93">
        <w:t xml:space="preserve">bags with alternatives which are suitable </w:t>
      </w:r>
      <w:r>
        <w:t>for</w:t>
      </w:r>
      <w:r w:rsidRPr="00E16D93">
        <w:t xml:space="preserve"> the waste management and resource recovery systems and infrastructure</w:t>
      </w:r>
      <w:r>
        <w:t>. This suggests that self-regulatory approaches in these jurisdictions were deemed unsuitable or would not address the problem.</w:t>
      </w:r>
    </w:p>
    <w:p w14:paraId="14B5E2E5" w14:textId="77777777" w:rsidR="00B949E1" w:rsidRDefault="00B949E1" w:rsidP="00B949E1">
      <w:pPr>
        <w:pStyle w:val="BodyText"/>
      </w:pPr>
      <w:r>
        <w:t>These examples show that while a self-regulatory approach could potentially solve a part of the problem in the context of SUP bags, it is not likely to address the problem entirely.</w:t>
      </w:r>
    </w:p>
    <w:p w14:paraId="20CE3992" w14:textId="77777777" w:rsidR="00B949E1" w:rsidRDefault="00B949E1" w:rsidP="00B949E1">
      <w:pPr>
        <w:pStyle w:val="Heading4"/>
      </w:pPr>
      <w:r>
        <w:t>Plastic microbeads</w:t>
      </w:r>
    </w:p>
    <w:p w14:paraId="2283495E" w14:textId="77777777" w:rsidR="00B949E1" w:rsidRDefault="00B949E1" w:rsidP="00B949E1">
      <w:pPr>
        <w:pStyle w:val="BodyText"/>
      </w:pPr>
      <w:r w:rsidRPr="00B34A2B">
        <w:t>At the Meeting of Environment Ministers (MEM)</w:t>
      </w:r>
      <w:r>
        <w:t xml:space="preserve"> in </w:t>
      </w:r>
      <w:r w:rsidRPr="00B34A2B">
        <w:t>2016, ministers agreed to support a voluntary industry phase-out of plastic microbeads found in ‘rinse-off’ personal care, cosmetics, and some cleaning products by July 2018.</w:t>
      </w:r>
      <w:r>
        <w:rPr>
          <w:rStyle w:val="FootnoteReference"/>
        </w:rPr>
        <w:footnoteReference w:id="69"/>
      </w:r>
      <w:r w:rsidRPr="00B34A2B">
        <w:t xml:space="preserve"> The voluntary phase</w:t>
      </w:r>
      <w:r>
        <w:t>-</w:t>
      </w:r>
      <w:r w:rsidRPr="00B34A2B">
        <w:t>out was led by Accord and overseen by the Commonwealth Department of Environment and Energy and the NSW Environment Protection Authority.</w:t>
      </w:r>
    </w:p>
    <w:p w14:paraId="21A25EE3" w14:textId="77777777" w:rsidR="00B949E1" w:rsidRDefault="00B949E1" w:rsidP="00B949E1">
      <w:pPr>
        <w:pStyle w:val="BodyText"/>
      </w:pPr>
      <w:r>
        <w:t xml:space="preserve">There are reasons to believe that industry volunteer phase-out of plastic microbeads has been successful. The </w:t>
      </w:r>
      <w:r w:rsidRPr="000F6ECE">
        <w:rPr>
          <w:i/>
          <w:iCs/>
        </w:rPr>
        <w:t>Assessment of the presence of microbeads in rinse-off personal care, cosmetic and cleaning products currently available within the Australian retail marke</w:t>
      </w:r>
      <w:r>
        <w:rPr>
          <w:i/>
          <w:iCs/>
        </w:rPr>
        <w:t xml:space="preserve">t </w:t>
      </w:r>
      <w:r>
        <w:t xml:space="preserve">conducted by the </w:t>
      </w:r>
      <w:r w:rsidRPr="00E44104">
        <w:t>Department of Agriculture, Water and the Environment</w:t>
      </w:r>
      <w:r>
        <w:t xml:space="preserve"> in 2020 found that out of </w:t>
      </w:r>
      <w:r w:rsidRPr="00E44104">
        <w:t xml:space="preserve">8,100 unique products inspected, </w:t>
      </w:r>
      <w:r>
        <w:t>only 0.7% contained microbeads</w:t>
      </w:r>
      <w:r w:rsidRPr="00E44104">
        <w:t>.</w:t>
      </w:r>
      <w:r>
        <w:rPr>
          <w:rStyle w:val="FootnoteReference"/>
        </w:rPr>
        <w:footnoteReference w:id="70"/>
      </w:r>
    </w:p>
    <w:p w14:paraId="6D1EE5BB" w14:textId="77777777" w:rsidR="00B949E1" w:rsidRDefault="00B949E1" w:rsidP="00B949E1">
      <w:pPr>
        <w:pStyle w:val="BodyText"/>
      </w:pPr>
      <w:r>
        <w:t>Furthermore, the</w:t>
      </w:r>
      <w:r w:rsidRPr="003A36AB">
        <w:t xml:space="preserve"> Plastic Reduction and Circular Economy Act 2021 bans the supply of rinse-off personal care products containing microbeads</w:t>
      </w:r>
      <w:r>
        <w:t xml:space="preserve"> in NSW</w:t>
      </w:r>
      <w:r w:rsidRPr="003A36AB">
        <w:t xml:space="preserve"> from 1 November 2022</w:t>
      </w:r>
      <w:r>
        <w:t>.</w:t>
      </w:r>
      <w:r>
        <w:rPr>
          <w:rStyle w:val="FootnoteReference"/>
        </w:rPr>
        <w:footnoteReference w:id="71"/>
      </w:r>
      <w:r>
        <w:t xml:space="preserve"> With NSW being a major economy and market within Australia, this ban further incentivise industry to phase out microbeads.</w:t>
      </w:r>
    </w:p>
    <w:p w14:paraId="55602AC6" w14:textId="77777777" w:rsidR="00B949E1" w:rsidRDefault="00B949E1" w:rsidP="00B949E1">
      <w:pPr>
        <w:pStyle w:val="BodyText"/>
      </w:pPr>
      <w:r w:rsidRPr="0033150F">
        <w:lastRenderedPageBreak/>
        <w:t xml:space="preserve">It is important to consider that in the case of plastic microbeads, </w:t>
      </w:r>
      <w:r>
        <w:t>considering</w:t>
      </w:r>
      <w:r w:rsidRPr="0033150F">
        <w:t xml:space="preserve"> the above factors of voluntary market correction and low presence in products</w:t>
      </w:r>
      <w:r>
        <w:t>. While most products on the market are microbead-free, the remaining could still pose a problem.</w:t>
      </w:r>
    </w:p>
    <w:p w14:paraId="6555C0E0" w14:textId="77777777" w:rsidR="00B949E1" w:rsidRDefault="00B949E1" w:rsidP="00B949E1">
      <w:pPr>
        <w:pStyle w:val="BodyText"/>
      </w:pPr>
      <w:r>
        <w:t>This remaining portion of products (and manufacturers) still including plastic microbeads presents a free rider problem, a situation</w:t>
      </w:r>
      <w:r w:rsidRPr="00DB7599">
        <w:t xml:space="preserve"> where some </w:t>
      </w:r>
      <w:r>
        <w:t>agents</w:t>
      </w:r>
      <w:r w:rsidRPr="00DB7599">
        <w:t xml:space="preserve"> enjoy the benefits of a shared resource without paying for it or paying less than their fair share.</w:t>
      </w:r>
      <w:r>
        <w:t xml:space="preserve"> In this case, the manufacturers still including microbeads enjoys</w:t>
      </w:r>
      <w:r w:rsidRPr="00DB7599">
        <w:t xml:space="preserve"> an unfair advantage over the manufacturers who comply and incur the costs of switching to more sustainable alternatives.</w:t>
      </w:r>
      <w:r>
        <w:t xml:space="preserve"> This undermines the effectiveness of the voluntary phase-out in reducing the impacts associated with plastic microbeads.</w:t>
      </w:r>
    </w:p>
    <w:p w14:paraId="25D52E23" w14:textId="77777777" w:rsidR="00B949E1" w:rsidRDefault="00B949E1" w:rsidP="00B949E1">
      <w:pPr>
        <w:pStyle w:val="Heading3"/>
      </w:pPr>
      <w:r>
        <w:t>Quasi-regulation and co-regulation</w:t>
      </w:r>
    </w:p>
    <w:p w14:paraId="7E57C99B" w14:textId="77777777" w:rsidR="00B949E1" w:rsidRDefault="00B949E1" w:rsidP="00B949E1">
      <w:pPr>
        <w:pStyle w:val="BodyText"/>
      </w:pPr>
      <w:r w:rsidRPr="00EB6C0B">
        <w:t xml:space="preserve">Quasi-regulation covers </w:t>
      </w:r>
      <w:r>
        <w:t>various</w:t>
      </w:r>
      <w:r w:rsidRPr="00EB6C0B">
        <w:t xml:space="preserve"> rules and/or arrangements that influence businesses/industry to comply without being part of official government regulation.</w:t>
      </w:r>
      <w:r>
        <w:rPr>
          <w:rStyle w:val="FootnoteReference"/>
        </w:rPr>
        <w:footnoteReference w:id="72"/>
      </w:r>
      <w:r w:rsidRPr="00EB6C0B">
        <w:t xml:space="preserve"> Examples of quasi-regulation are accreditation schemes and codes of conduct/practice that involve government participation. </w:t>
      </w:r>
      <w:r w:rsidRPr="00AE487D">
        <w:rPr>
          <w:b/>
          <w:bCs/>
        </w:rPr>
        <w:fldChar w:fldCharType="begin"/>
      </w:r>
      <w:r w:rsidRPr="00AE487D">
        <w:rPr>
          <w:b/>
          <w:bCs/>
        </w:rPr>
        <w:instrText xml:space="preserve"> REF _Ref99449603 \h </w:instrText>
      </w:r>
      <w:r>
        <w:rPr>
          <w:b/>
          <w:bCs/>
        </w:rPr>
        <w:instrText xml:space="preserve"> \* MERGEFORMAT </w:instrText>
      </w:r>
      <w:r w:rsidRPr="00AE487D">
        <w:rPr>
          <w:b/>
          <w:bCs/>
        </w:rPr>
      </w:r>
      <w:r w:rsidRPr="00AE487D">
        <w:rPr>
          <w:b/>
          <w:bCs/>
        </w:rPr>
        <w:fldChar w:fldCharType="separate"/>
      </w:r>
      <w:r w:rsidRPr="00790266">
        <w:rPr>
          <w:rStyle w:val="CaptionLabel"/>
          <w:b w:val="0"/>
          <w:bCs/>
        </w:rPr>
        <w:t>Box 4.2</w:t>
      </w:r>
      <w:r w:rsidRPr="00AE487D">
        <w:rPr>
          <w:b/>
          <w:bCs/>
        </w:rPr>
        <w:fldChar w:fldCharType="end"/>
      </w:r>
      <w:r>
        <w:t xml:space="preserve"> </w:t>
      </w:r>
      <w:r w:rsidRPr="00EB6C0B">
        <w:t xml:space="preserve">describes the situations where quasi-regulation may be suitable. </w:t>
      </w:r>
    </w:p>
    <w:p w14:paraId="08DE37CC" w14:textId="77777777" w:rsidR="00B949E1" w:rsidRDefault="00B949E1" w:rsidP="00B949E1">
      <w:pPr>
        <w:pStyle w:val="BodyText"/>
      </w:pPr>
      <w:r w:rsidRPr="00EB6C0B">
        <w:t>Quasi-regulation is likely to work when government is not sure about the need to create or enforce a code for the entire industry. Flexible, customi</w:t>
      </w:r>
      <w:r>
        <w:t>s</w:t>
      </w:r>
      <w:r w:rsidRPr="00EB6C0B">
        <w:t xml:space="preserve">ed solutions and less formal mechanisms bring cost </w:t>
      </w:r>
      <w:r>
        <w:t>advantages</w:t>
      </w:r>
      <w:r w:rsidRPr="00EB6C0B">
        <w:t xml:space="preserve">, and the industry </w:t>
      </w:r>
      <w:r>
        <w:t>can</w:t>
      </w:r>
      <w:r w:rsidRPr="00EB6C0B">
        <w:t xml:space="preserve"> respond in a </w:t>
      </w:r>
      <w:r>
        <w:t>cohesive</w:t>
      </w:r>
      <w:r w:rsidRPr="00EB6C0B">
        <w:t xml:space="preserve"> way.</w:t>
      </w:r>
    </w:p>
    <w:p w14:paraId="500F4395" w14:textId="77777777" w:rsidR="00B949E1" w:rsidRDefault="00B949E1" w:rsidP="00B949E1">
      <w:pPr>
        <w:pStyle w:val="BodyText"/>
      </w:pPr>
      <w:r w:rsidRPr="000B3237">
        <w:t>Co-regulation</w:t>
      </w:r>
      <w:r>
        <w:t xml:space="preserve"> </w:t>
      </w:r>
      <w:r w:rsidRPr="000B3237">
        <w:t>is when industry develops and administers its own arrangements, but government provides legislative backing to enable enforcement.</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4D678C46" w14:textId="77777777" w:rsidTr="00B9362B">
        <w:tc>
          <w:tcPr>
            <w:tcW w:w="7936" w:type="dxa"/>
            <w:shd w:val="clear" w:color="auto" w:fill="auto"/>
            <w:tcMar>
              <w:top w:w="160" w:type="dxa"/>
              <w:bottom w:w="8" w:type="dxa"/>
            </w:tcMar>
          </w:tcPr>
          <w:p w14:paraId="74A086FD" w14:textId="77777777" w:rsidR="00B949E1" w:rsidRDefault="00B949E1" w:rsidP="00B9362B">
            <w:pPr>
              <w:pStyle w:val="Caption"/>
            </w:pPr>
            <w:bookmarkStart w:id="58" w:name="_Ref99449603"/>
            <w:bookmarkStart w:id="59" w:name="_Toc99356895"/>
            <w:bookmarkStart w:id="60" w:name="_Toc99357957"/>
            <w:bookmarkStart w:id="61" w:name="_Toc127782708"/>
            <w:bookmarkStart w:id="62" w:name="_Toc134002472"/>
            <w:r w:rsidRPr="00C93A02">
              <w:rPr>
                <w:rStyle w:val="CaptionLabel"/>
              </w:rPr>
              <w:t>Box </w:t>
            </w:r>
            <w:r w:rsidRPr="00C93A02">
              <w:rPr>
                <w:rStyle w:val="CaptionLabel"/>
              </w:rPr>
              <w:fldChar w:fldCharType="begin"/>
            </w:r>
            <w:r w:rsidRPr="00C93A02">
              <w:rPr>
                <w:rStyle w:val="CaptionLabel"/>
              </w:rPr>
              <w:instrText xml:space="preserve"> STYLEREF 1 \S \* MERGEFORMAT </w:instrText>
            </w:r>
            <w:r w:rsidRPr="00C93A02">
              <w:rPr>
                <w:rStyle w:val="CaptionLabel"/>
              </w:rPr>
              <w:fldChar w:fldCharType="separate"/>
            </w:r>
            <w:r>
              <w:rPr>
                <w:rStyle w:val="CaptionLabel"/>
                <w:noProof/>
              </w:rPr>
              <w:t>4</w:t>
            </w:r>
            <w:r w:rsidRPr="00C93A02">
              <w:rPr>
                <w:rStyle w:val="CaptionLabel"/>
              </w:rPr>
              <w:fldChar w:fldCharType="end"/>
            </w:r>
            <w:r w:rsidRPr="00C93A02">
              <w:rPr>
                <w:rStyle w:val="CaptionLabel"/>
              </w:rPr>
              <w:t>.</w:t>
            </w:r>
            <w:r w:rsidRPr="00C93A02">
              <w:rPr>
                <w:rStyle w:val="CaptionLabel"/>
              </w:rPr>
              <w:fldChar w:fldCharType="begin"/>
            </w:r>
            <w:r w:rsidRPr="00C93A02">
              <w:rPr>
                <w:rStyle w:val="CaptionLabel"/>
              </w:rPr>
              <w:instrText xml:space="preserve"> SEQ Box \* ARABIC \S 1 \* MERGEFORMAT </w:instrText>
            </w:r>
            <w:r w:rsidRPr="00C93A02">
              <w:rPr>
                <w:rStyle w:val="CaptionLabel"/>
              </w:rPr>
              <w:fldChar w:fldCharType="separate"/>
            </w:r>
            <w:r>
              <w:rPr>
                <w:rStyle w:val="CaptionLabel"/>
                <w:noProof/>
              </w:rPr>
              <w:t>2</w:t>
            </w:r>
            <w:r w:rsidRPr="00C93A02">
              <w:rPr>
                <w:rStyle w:val="CaptionLabel"/>
              </w:rPr>
              <w:fldChar w:fldCharType="end"/>
            </w:r>
            <w:bookmarkEnd w:id="58"/>
            <w:r>
              <w:tab/>
            </w:r>
            <w:r w:rsidRPr="00C93A02">
              <w:t>Checklists</w:t>
            </w:r>
            <w:r>
              <w:t xml:space="preserve"> </w:t>
            </w:r>
            <w:r w:rsidRPr="00C93A02">
              <w:t>for</w:t>
            </w:r>
            <w:r>
              <w:t xml:space="preserve"> </w:t>
            </w:r>
            <w:r w:rsidRPr="00C93A02">
              <w:t>assessment</w:t>
            </w:r>
            <w:r>
              <w:t xml:space="preserve"> </w:t>
            </w:r>
            <w:r w:rsidRPr="00C93A02">
              <w:t>of</w:t>
            </w:r>
            <w:r>
              <w:t xml:space="preserve"> </w:t>
            </w:r>
            <w:r w:rsidRPr="00C93A02">
              <w:t>quasi-regulation</w:t>
            </w:r>
            <w:bookmarkEnd w:id="59"/>
            <w:bookmarkEnd w:id="60"/>
            <w:bookmarkEnd w:id="61"/>
            <w:bookmarkEnd w:id="62"/>
          </w:p>
        </w:tc>
      </w:tr>
      <w:tr w:rsidR="00B949E1" w14:paraId="54F727FE" w14:textId="77777777" w:rsidTr="00B9362B">
        <w:tc>
          <w:tcPr>
            <w:tcW w:w="7936" w:type="dxa"/>
            <w:shd w:val="clear" w:color="auto" w:fill="E5E5E5"/>
            <w:tcMar>
              <w:top w:w="112" w:type="dxa"/>
              <w:bottom w:w="184" w:type="dxa"/>
              <w:right w:w="120" w:type="dxa"/>
            </w:tcMar>
          </w:tcPr>
          <w:p w14:paraId="187D36B8" w14:textId="77777777" w:rsidR="00B949E1" w:rsidRDefault="00B949E1" w:rsidP="00B9362B">
            <w:pPr>
              <w:pStyle w:val="BoxTextBoldItalic"/>
            </w:pPr>
            <w:r>
              <w:t>Quasi-regulation should be considered where:</w:t>
            </w:r>
          </w:p>
          <w:p w14:paraId="16A8E9CB" w14:textId="77777777" w:rsidR="00B949E1" w:rsidRDefault="00B949E1" w:rsidP="00B9362B">
            <w:pPr>
              <w:pStyle w:val="BoxListBullet"/>
            </w:pPr>
            <w:r>
              <w:t>there is a public interest in some government involvement in addressing a community concern and the issue is unlikely to be addressed by self-</w:t>
            </w:r>
            <w:proofErr w:type="gramStart"/>
            <w:r>
              <w:t>regulation</w:t>
            </w:r>
            <w:proofErr w:type="gramEnd"/>
          </w:p>
          <w:p w14:paraId="691DC605" w14:textId="77777777" w:rsidR="00B949E1" w:rsidRDefault="00B949E1" w:rsidP="00B9362B">
            <w:pPr>
              <w:pStyle w:val="BoxListBullet"/>
            </w:pPr>
            <w:r>
              <w:t xml:space="preserve">there is a need for an urgent, interim response to a problem in the short term, while a long-term regulatory solution is being </w:t>
            </w:r>
            <w:proofErr w:type="gramStart"/>
            <w:r>
              <w:t>developed</w:t>
            </w:r>
            <w:proofErr w:type="gramEnd"/>
          </w:p>
          <w:p w14:paraId="36428D47" w14:textId="77777777" w:rsidR="00B949E1" w:rsidRDefault="00B949E1" w:rsidP="00B9362B">
            <w:pPr>
              <w:pStyle w:val="BoxListBullet"/>
            </w:pPr>
            <w:r>
              <w:t xml:space="preserve">government is not convinced of the need to develop or mandate a code for the whole </w:t>
            </w:r>
            <w:proofErr w:type="gramStart"/>
            <w:r>
              <w:t>industry</w:t>
            </w:r>
            <w:proofErr w:type="gramEnd"/>
          </w:p>
          <w:p w14:paraId="3232A001" w14:textId="77777777" w:rsidR="00B949E1" w:rsidRDefault="00B949E1" w:rsidP="00B9362B">
            <w:pPr>
              <w:pStyle w:val="BoxListBullet"/>
            </w:pPr>
            <w:r>
              <w:t xml:space="preserve">there are cost advantages from flexible, tailor-made solutions and less formal </w:t>
            </w:r>
            <w:proofErr w:type="gramStart"/>
            <w:r>
              <w:t>mechanisms</w:t>
            </w:r>
            <w:proofErr w:type="gramEnd"/>
          </w:p>
          <w:p w14:paraId="5B311D94" w14:textId="77777777" w:rsidR="00B949E1" w:rsidRDefault="00B949E1" w:rsidP="00B9362B">
            <w:pPr>
              <w:pStyle w:val="BoxListBullet"/>
            </w:pPr>
            <w:r>
              <w:t xml:space="preserve">there are advantages in the government engaging in a collaborative approach with industry, with industry having substantial ownership of the scheme. For this to be successful, there needs to be: </w:t>
            </w:r>
          </w:p>
          <w:p w14:paraId="0648A118" w14:textId="77777777" w:rsidR="00B949E1" w:rsidRDefault="00B949E1" w:rsidP="00B9362B">
            <w:pPr>
              <w:pStyle w:val="BoxListBullet2"/>
            </w:pPr>
            <w:r>
              <w:t>a specific industry solution rather than regulation of general application</w:t>
            </w:r>
          </w:p>
          <w:p w14:paraId="2B58BF88" w14:textId="77777777" w:rsidR="00B949E1" w:rsidRDefault="00B949E1" w:rsidP="00B9362B">
            <w:pPr>
              <w:pStyle w:val="BoxListBullet2"/>
            </w:pPr>
            <w:r>
              <w:t xml:space="preserve">a cohesive industry with like-minded participants, motivated to achieve the </w:t>
            </w:r>
            <w:proofErr w:type="gramStart"/>
            <w:r>
              <w:t>goals</w:t>
            </w:r>
            <w:proofErr w:type="gramEnd"/>
          </w:p>
          <w:p w14:paraId="06B88586" w14:textId="77777777" w:rsidR="00B949E1" w:rsidRDefault="00B949E1" w:rsidP="00B9362B">
            <w:pPr>
              <w:pStyle w:val="BoxListBullet2"/>
            </w:pPr>
            <w:r>
              <w:t xml:space="preserve">a viable industry association with the resources necessary to develop and/or enforce the </w:t>
            </w:r>
            <w:proofErr w:type="gramStart"/>
            <w:r>
              <w:t>scheme</w:t>
            </w:r>
            <w:proofErr w:type="gramEnd"/>
          </w:p>
          <w:p w14:paraId="6FE7133C" w14:textId="77777777" w:rsidR="00B949E1" w:rsidRDefault="00B949E1" w:rsidP="00B9362B">
            <w:pPr>
              <w:pStyle w:val="BoxListBullet2"/>
            </w:pPr>
            <w:r>
              <w:t>effective sanctions or incentives to achieve the required level of compliance, with low scope for benefits being shared by non-</w:t>
            </w:r>
            <w:proofErr w:type="gramStart"/>
            <w:r>
              <w:t>participants</w:t>
            </w:r>
            <w:proofErr w:type="gramEnd"/>
          </w:p>
          <w:p w14:paraId="0ED9CF6C" w14:textId="77777777" w:rsidR="00B949E1" w:rsidRDefault="00B949E1" w:rsidP="00B9362B">
            <w:pPr>
              <w:pStyle w:val="BoxListBullet2"/>
            </w:pPr>
            <w:r>
              <w:t xml:space="preserve">effective external pressure from industry itself (survival factors), or threat of consumer or government action. </w:t>
            </w:r>
          </w:p>
        </w:tc>
      </w:tr>
      <w:tr w:rsidR="00B949E1" w14:paraId="52C2E418" w14:textId="77777777" w:rsidTr="00B9362B">
        <w:tc>
          <w:tcPr>
            <w:tcW w:w="7936" w:type="dxa"/>
            <w:shd w:val="clear" w:color="auto" w:fill="auto"/>
            <w:tcMar>
              <w:top w:w="12" w:type="dxa"/>
              <w:bottom w:w="113" w:type="dxa"/>
            </w:tcMar>
          </w:tcPr>
          <w:p w14:paraId="28C6193C" w14:textId="77777777" w:rsidR="00B949E1" w:rsidRDefault="00B949E1" w:rsidP="00B9362B">
            <w:pPr>
              <w:pStyle w:val="Source"/>
            </w:pPr>
            <w:r>
              <w:t xml:space="preserve">Source: </w:t>
            </w:r>
            <w:r w:rsidRPr="00C93A02">
              <w:t>Commonwealth</w:t>
            </w:r>
            <w:r>
              <w:t xml:space="preserve"> </w:t>
            </w:r>
            <w:r w:rsidRPr="00C93A02">
              <w:t>of</w:t>
            </w:r>
            <w:r>
              <w:t xml:space="preserve"> </w:t>
            </w:r>
            <w:r w:rsidRPr="00C93A02">
              <w:t>Australia</w:t>
            </w:r>
            <w:r>
              <w:t xml:space="preserve"> </w:t>
            </w:r>
            <w:r w:rsidRPr="00C93A02">
              <w:t>2007,</w:t>
            </w:r>
            <w:r>
              <w:t xml:space="preserve"> </w:t>
            </w:r>
            <w:r w:rsidRPr="00C93A02">
              <w:t>Best</w:t>
            </w:r>
            <w:r>
              <w:t xml:space="preserve"> </w:t>
            </w:r>
            <w:r w:rsidRPr="00C93A02">
              <w:t>Practice</w:t>
            </w:r>
            <w:r>
              <w:t xml:space="preserve"> </w:t>
            </w:r>
            <w:r w:rsidRPr="00C93A02">
              <w:t>Regulation</w:t>
            </w:r>
            <w:r>
              <w:t xml:space="preserve"> </w:t>
            </w:r>
            <w:r w:rsidRPr="00C93A02">
              <w:t>Handbook.</w:t>
            </w:r>
          </w:p>
        </w:tc>
      </w:tr>
    </w:tbl>
    <w:p w14:paraId="19B549A2" w14:textId="77777777" w:rsidR="00B949E1" w:rsidRDefault="00B949E1" w:rsidP="00B949E1">
      <w:pPr>
        <w:pStyle w:val="BodyText"/>
      </w:pPr>
      <w:r w:rsidRPr="00AB0E5A">
        <w:t xml:space="preserve">In </w:t>
      </w:r>
      <w:r>
        <w:t>this case, quasi-regulation or co-regulation is</w:t>
      </w:r>
      <w:r w:rsidRPr="00AB0E5A">
        <w:t xml:space="preserve"> unlikely to </w:t>
      </w:r>
      <w:r>
        <w:t>effectively reduce</w:t>
      </w:r>
      <w:r w:rsidRPr="00AB0E5A">
        <w:t xml:space="preserve"> the </w:t>
      </w:r>
      <w:r>
        <w:t>impacts</w:t>
      </w:r>
      <w:r w:rsidRPr="00AB0E5A">
        <w:t xml:space="preserve"> of </w:t>
      </w:r>
      <w:r>
        <w:t>SUP</w:t>
      </w:r>
      <w:r w:rsidRPr="00AB0E5A">
        <w:t xml:space="preserve">. </w:t>
      </w:r>
      <w:r>
        <w:t>No peak bodies</w:t>
      </w:r>
      <w:r w:rsidRPr="00AB0E5A">
        <w:t xml:space="preserve"> represent the numerous industries responsible for </w:t>
      </w:r>
      <w:r>
        <w:t>SUPs. It would be challenging to enable the necessary coverage and enforcement of the different measures</w:t>
      </w:r>
      <w:r w:rsidRPr="00AB0E5A">
        <w:t xml:space="preserve"> to address the problem.</w:t>
      </w:r>
    </w:p>
    <w:p w14:paraId="5AD68851" w14:textId="77777777" w:rsidR="00B949E1" w:rsidRDefault="00B949E1" w:rsidP="00B949E1">
      <w:pPr>
        <w:pStyle w:val="Heading3"/>
      </w:pPr>
      <w:bookmarkStart w:id="63" w:name="_Toc130824956"/>
      <w:bookmarkStart w:id="64" w:name="_Ref131583004"/>
      <w:r>
        <w:lastRenderedPageBreak/>
        <w:t>Phase-out of SUP items across Australia</w:t>
      </w:r>
      <w:bookmarkEnd w:id="63"/>
      <w:r>
        <w:t xml:space="preserve"> and New Zealand</w:t>
      </w:r>
      <w:bookmarkEnd w:id="64"/>
    </w:p>
    <w:p w14:paraId="73387BAA" w14:textId="77777777" w:rsidR="00B949E1" w:rsidRDefault="00B949E1" w:rsidP="00B949E1">
      <w:pPr>
        <w:pStyle w:val="BodyText"/>
      </w:pPr>
      <w:r>
        <w:t>Many jurisdictions in Australia and overseas have taken action to phase out SUP.</w:t>
      </w:r>
      <w:r>
        <w:rPr>
          <w:rStyle w:val="FootnoteReference"/>
        </w:rPr>
        <w:footnoteReference w:id="73"/>
      </w:r>
      <w:r>
        <w:t xml:space="preserve"> In particular, many of the SUP items considered in this RIS have already been phased out in other Australian jurisdictions and New Zealand, as shown in </w:t>
      </w:r>
      <w:r w:rsidRPr="00750FD7">
        <w:rPr>
          <w:b/>
          <w:bCs/>
        </w:rPr>
        <w:fldChar w:fldCharType="begin"/>
      </w:r>
      <w:r w:rsidRPr="00750FD7">
        <w:rPr>
          <w:b/>
          <w:bCs/>
        </w:rPr>
        <w:instrText xml:space="preserve"> REF _Ref130560469 \h </w:instrText>
      </w:r>
      <w:r>
        <w:rPr>
          <w:b/>
          <w:bCs/>
        </w:rPr>
        <w:instrText xml:space="preserve"> \* MERGEFORMAT </w:instrText>
      </w:r>
      <w:r w:rsidRPr="00750FD7">
        <w:rPr>
          <w:b/>
          <w:bCs/>
        </w:rPr>
      </w:r>
      <w:r w:rsidRPr="00750FD7">
        <w:rPr>
          <w:b/>
          <w:bCs/>
        </w:rPr>
        <w:fldChar w:fldCharType="separate"/>
      </w:r>
      <w:r w:rsidRPr="00790266">
        <w:rPr>
          <w:rStyle w:val="CaptionLabel"/>
          <w:b w:val="0"/>
          <w:bCs/>
        </w:rPr>
        <w:t>Table 4.1</w:t>
      </w:r>
      <w:r w:rsidRPr="00750FD7">
        <w:rPr>
          <w:b/>
          <w:bCs/>
        </w:rPr>
        <w:fldChar w:fldCharType="end"/>
      </w:r>
      <w:r>
        <w:t xml:space="preserve"> below. </w:t>
      </w:r>
    </w:p>
    <w:p w14:paraId="58ED2CB5" w14:textId="77777777" w:rsidR="00B949E1" w:rsidRDefault="00B949E1" w:rsidP="00B949E1">
      <w:pPr>
        <w:pStyle w:val="BodyText"/>
      </w:pPr>
    </w:p>
    <w:p w14:paraId="1DD8F0A6" w14:textId="77777777" w:rsidR="00B949E1" w:rsidRDefault="00B949E1" w:rsidP="00B949E1">
      <w:pPr>
        <w:pStyle w:val="Caption"/>
        <w:ind w:left="-784"/>
      </w:pPr>
      <w:bookmarkStart w:id="65" w:name="_Ref130560469"/>
      <w:bookmarkStart w:id="66" w:name="_Toc130825017"/>
      <w:bookmarkStart w:id="67" w:name="_Toc134002439"/>
      <w:r w:rsidRPr="00AF578C">
        <w:rPr>
          <w:rStyle w:val="CaptionLabel"/>
        </w:rPr>
        <w:t>Table </w:t>
      </w:r>
      <w:r w:rsidRPr="00AF578C">
        <w:rPr>
          <w:rStyle w:val="CaptionLabel"/>
        </w:rPr>
        <w:fldChar w:fldCharType="begin"/>
      </w:r>
      <w:r w:rsidRPr="00AF578C">
        <w:rPr>
          <w:rStyle w:val="CaptionLabel"/>
        </w:rPr>
        <w:instrText xml:space="preserve"> STYLEREF 1 \S \* MERGEFORMAT </w:instrText>
      </w:r>
      <w:r w:rsidRPr="00AF578C">
        <w:rPr>
          <w:rStyle w:val="CaptionLabel"/>
        </w:rPr>
        <w:fldChar w:fldCharType="separate"/>
      </w:r>
      <w:r>
        <w:rPr>
          <w:rStyle w:val="CaptionLabel"/>
          <w:noProof/>
        </w:rPr>
        <w:t>4</w:t>
      </w:r>
      <w:r w:rsidRPr="00AF578C">
        <w:rPr>
          <w:rStyle w:val="CaptionLabel"/>
        </w:rPr>
        <w:fldChar w:fldCharType="end"/>
      </w:r>
      <w:r w:rsidRPr="00AF578C">
        <w:rPr>
          <w:rStyle w:val="CaptionLabel"/>
        </w:rPr>
        <w:t>.</w:t>
      </w:r>
      <w:r w:rsidRPr="00AF578C">
        <w:rPr>
          <w:rStyle w:val="CaptionLabel"/>
        </w:rPr>
        <w:fldChar w:fldCharType="begin"/>
      </w:r>
      <w:r w:rsidRPr="00AF578C">
        <w:rPr>
          <w:rStyle w:val="CaptionLabel"/>
        </w:rPr>
        <w:instrText xml:space="preserve"> SEQ Table \* ARABIC \S 1 \* MERGEFORMAT </w:instrText>
      </w:r>
      <w:r w:rsidRPr="00AF578C">
        <w:rPr>
          <w:rStyle w:val="CaptionLabel"/>
        </w:rPr>
        <w:fldChar w:fldCharType="separate"/>
      </w:r>
      <w:r>
        <w:rPr>
          <w:rStyle w:val="CaptionLabel"/>
          <w:noProof/>
        </w:rPr>
        <w:t>1</w:t>
      </w:r>
      <w:r w:rsidRPr="00AF578C">
        <w:rPr>
          <w:rStyle w:val="CaptionLabel"/>
        </w:rPr>
        <w:fldChar w:fldCharType="end"/>
      </w:r>
      <w:bookmarkEnd w:id="65"/>
      <w:r>
        <w:tab/>
        <w:t xml:space="preserve">Summary of other jurisdictions’ legislation on phasing out proposed SUP </w:t>
      </w:r>
      <w:proofErr w:type="gramStart"/>
      <w:r>
        <w:t>items</w:t>
      </w:r>
      <w:bookmarkEnd w:id="66"/>
      <w:bookmarkEnd w:id="67"/>
      <w:proofErr w:type="gramEnd"/>
    </w:p>
    <w:tbl>
      <w:tblPr>
        <w:tblW w:w="10416"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053"/>
        <w:gridCol w:w="1477"/>
        <w:gridCol w:w="929"/>
        <w:gridCol w:w="929"/>
        <w:gridCol w:w="929"/>
        <w:gridCol w:w="929"/>
        <w:gridCol w:w="929"/>
        <w:gridCol w:w="929"/>
        <w:gridCol w:w="929"/>
        <w:gridCol w:w="929"/>
      </w:tblGrid>
      <w:tr w:rsidR="00B949E1" w14:paraId="6AC25BC6" w14:textId="77777777" w:rsidTr="00B9362B">
        <w:trPr>
          <w:tblHeader/>
        </w:trPr>
        <w:tc>
          <w:tcPr>
            <w:tcW w:w="2984" w:type="dxa"/>
            <w:gridSpan w:val="3"/>
            <w:tcBorders>
              <w:top w:val="nil"/>
              <w:bottom w:val="nil"/>
            </w:tcBorders>
            <w:shd w:val="clear" w:color="auto" w:fill="140034"/>
            <w:tcMar>
              <w:left w:w="454" w:type="dxa"/>
            </w:tcMar>
          </w:tcPr>
          <w:p w14:paraId="2694E26E" w14:textId="77777777" w:rsidR="00B949E1" w:rsidRDefault="00B949E1" w:rsidP="00B9362B">
            <w:pPr>
              <w:pStyle w:val="Tablecolumnheadings"/>
            </w:pPr>
            <w:r>
              <w:t>Heading</w:t>
            </w:r>
          </w:p>
        </w:tc>
        <w:tc>
          <w:tcPr>
            <w:tcW w:w="929" w:type="dxa"/>
            <w:tcBorders>
              <w:top w:val="nil"/>
              <w:bottom w:val="nil"/>
            </w:tcBorders>
            <w:shd w:val="clear" w:color="auto" w:fill="140034"/>
          </w:tcPr>
          <w:p w14:paraId="38BF4C6F" w14:textId="77777777" w:rsidR="00B949E1" w:rsidRDefault="00B949E1" w:rsidP="00B9362B">
            <w:pPr>
              <w:pStyle w:val="Tablecolumnheadings"/>
              <w:jc w:val="center"/>
            </w:pPr>
            <w:r w:rsidRPr="00652CA6">
              <w:t>NSW</w:t>
            </w:r>
          </w:p>
        </w:tc>
        <w:tc>
          <w:tcPr>
            <w:tcW w:w="929" w:type="dxa"/>
            <w:tcBorders>
              <w:top w:val="nil"/>
              <w:bottom w:val="nil"/>
            </w:tcBorders>
            <w:shd w:val="clear" w:color="auto" w:fill="140034"/>
          </w:tcPr>
          <w:p w14:paraId="1DE41A30" w14:textId="77777777" w:rsidR="00B949E1" w:rsidRDefault="00B949E1" w:rsidP="00B9362B">
            <w:pPr>
              <w:pStyle w:val="Tablecolumnheadings"/>
              <w:jc w:val="center"/>
            </w:pPr>
            <w:r w:rsidRPr="00652CA6">
              <w:t>VIC</w:t>
            </w:r>
          </w:p>
        </w:tc>
        <w:tc>
          <w:tcPr>
            <w:tcW w:w="929" w:type="dxa"/>
            <w:tcBorders>
              <w:top w:val="nil"/>
              <w:bottom w:val="nil"/>
            </w:tcBorders>
            <w:shd w:val="clear" w:color="auto" w:fill="140034"/>
          </w:tcPr>
          <w:p w14:paraId="52CD7170" w14:textId="77777777" w:rsidR="00B949E1" w:rsidRDefault="00B949E1" w:rsidP="00B9362B">
            <w:pPr>
              <w:pStyle w:val="Tablecolumnheadings"/>
              <w:jc w:val="center"/>
            </w:pPr>
            <w:r w:rsidRPr="00652CA6">
              <w:t>QLD</w:t>
            </w:r>
          </w:p>
        </w:tc>
        <w:tc>
          <w:tcPr>
            <w:tcW w:w="929" w:type="dxa"/>
            <w:tcBorders>
              <w:top w:val="nil"/>
              <w:bottom w:val="nil"/>
            </w:tcBorders>
            <w:shd w:val="clear" w:color="auto" w:fill="140034"/>
          </w:tcPr>
          <w:p w14:paraId="2E85B2E6" w14:textId="77777777" w:rsidR="00B949E1" w:rsidRDefault="00B949E1" w:rsidP="00B9362B">
            <w:pPr>
              <w:pStyle w:val="Tablecolumnheadings"/>
              <w:jc w:val="center"/>
            </w:pPr>
            <w:r w:rsidRPr="00652CA6">
              <w:t>SA</w:t>
            </w:r>
          </w:p>
        </w:tc>
        <w:tc>
          <w:tcPr>
            <w:tcW w:w="929" w:type="dxa"/>
            <w:tcBorders>
              <w:top w:val="nil"/>
              <w:bottom w:val="nil"/>
            </w:tcBorders>
            <w:shd w:val="clear" w:color="auto" w:fill="140034"/>
          </w:tcPr>
          <w:p w14:paraId="5A2CF9E5" w14:textId="77777777" w:rsidR="00B949E1" w:rsidRDefault="00B949E1" w:rsidP="00B9362B">
            <w:pPr>
              <w:pStyle w:val="Tablecolumnheadings"/>
              <w:jc w:val="center"/>
            </w:pPr>
            <w:r w:rsidRPr="00652CA6">
              <w:t>WA</w:t>
            </w:r>
          </w:p>
        </w:tc>
        <w:tc>
          <w:tcPr>
            <w:tcW w:w="929" w:type="dxa"/>
            <w:tcBorders>
              <w:top w:val="nil"/>
              <w:bottom w:val="nil"/>
            </w:tcBorders>
            <w:shd w:val="clear" w:color="auto" w:fill="140034"/>
          </w:tcPr>
          <w:p w14:paraId="0A7BA5F4" w14:textId="77777777" w:rsidR="00B949E1" w:rsidRPr="00652CA6" w:rsidRDefault="00B949E1" w:rsidP="00B9362B">
            <w:pPr>
              <w:pStyle w:val="Tablecolumnheadings"/>
              <w:jc w:val="center"/>
            </w:pPr>
            <w:r>
              <w:t>TAS</w:t>
            </w:r>
          </w:p>
        </w:tc>
        <w:tc>
          <w:tcPr>
            <w:tcW w:w="929" w:type="dxa"/>
            <w:tcBorders>
              <w:top w:val="nil"/>
              <w:bottom w:val="nil"/>
            </w:tcBorders>
            <w:shd w:val="clear" w:color="auto" w:fill="140034"/>
          </w:tcPr>
          <w:p w14:paraId="449A3A5D" w14:textId="77777777" w:rsidR="00B949E1" w:rsidRDefault="00B949E1" w:rsidP="00B9362B">
            <w:pPr>
              <w:pStyle w:val="Tablecolumnheadings"/>
              <w:jc w:val="center"/>
            </w:pPr>
            <w:r>
              <w:t>NT</w:t>
            </w:r>
          </w:p>
        </w:tc>
        <w:tc>
          <w:tcPr>
            <w:tcW w:w="929" w:type="dxa"/>
            <w:tcBorders>
              <w:top w:val="nil"/>
              <w:bottom w:val="nil"/>
              <w:right w:val="single" w:sz="6" w:space="0" w:color="140034"/>
            </w:tcBorders>
            <w:shd w:val="clear" w:color="auto" w:fill="140034"/>
          </w:tcPr>
          <w:p w14:paraId="6BBDC884" w14:textId="77777777" w:rsidR="00B949E1" w:rsidRDefault="00B949E1" w:rsidP="00B9362B">
            <w:pPr>
              <w:pStyle w:val="Tablecolumnheadings"/>
              <w:jc w:val="center"/>
            </w:pPr>
            <w:r>
              <w:t>NZ</w:t>
            </w:r>
          </w:p>
        </w:tc>
      </w:tr>
      <w:tr w:rsidR="00B949E1" w14:paraId="23796125" w14:textId="77777777" w:rsidTr="00B9362B">
        <w:trPr>
          <w:gridBefore w:val="1"/>
          <w:wBefore w:w="454" w:type="dxa"/>
        </w:trPr>
        <w:tc>
          <w:tcPr>
            <w:tcW w:w="2530" w:type="dxa"/>
            <w:gridSpan w:val="2"/>
            <w:tcBorders>
              <w:top w:val="nil"/>
            </w:tcBorders>
            <w:shd w:val="clear" w:color="auto" w:fill="auto"/>
          </w:tcPr>
          <w:p w14:paraId="3D47A375" w14:textId="77777777" w:rsidR="00B949E1" w:rsidRDefault="00B949E1" w:rsidP="00B9362B">
            <w:pPr>
              <w:pStyle w:val="Tabletext"/>
            </w:pPr>
            <w:r w:rsidRPr="007D3386">
              <w:t>Plastic microbeads</w:t>
            </w:r>
          </w:p>
        </w:tc>
        <w:tc>
          <w:tcPr>
            <w:tcW w:w="929" w:type="dxa"/>
            <w:tcBorders>
              <w:top w:val="nil"/>
            </w:tcBorders>
            <w:shd w:val="clear" w:color="auto" w:fill="FFFFFF" w:themeFill="background1"/>
          </w:tcPr>
          <w:p w14:paraId="005681E5" w14:textId="77777777" w:rsidR="00B949E1" w:rsidRPr="00E70910" w:rsidRDefault="00B949E1" w:rsidP="00B9362B">
            <w:pPr>
              <w:pStyle w:val="Tabletext"/>
              <w:jc w:val="center"/>
              <w:rPr>
                <w:b/>
                <w:bCs/>
                <w:color w:val="6C3F99"/>
              </w:rPr>
            </w:pPr>
            <w:r w:rsidRPr="00E70910">
              <w:rPr>
                <w:b/>
                <w:bCs/>
                <w:color w:val="6C3F99"/>
              </w:rPr>
              <w:t>2022</w:t>
            </w:r>
          </w:p>
        </w:tc>
        <w:tc>
          <w:tcPr>
            <w:tcW w:w="929" w:type="dxa"/>
            <w:tcBorders>
              <w:top w:val="nil"/>
            </w:tcBorders>
            <w:shd w:val="clear" w:color="auto" w:fill="auto"/>
          </w:tcPr>
          <w:p w14:paraId="11C1DF1F" w14:textId="77777777" w:rsidR="00B949E1" w:rsidRPr="00303337" w:rsidRDefault="00B949E1" w:rsidP="00B9362B">
            <w:pPr>
              <w:pStyle w:val="Tabletext"/>
              <w:jc w:val="center"/>
              <w:rPr>
                <w:b/>
                <w:bCs/>
              </w:rPr>
            </w:pPr>
          </w:p>
        </w:tc>
        <w:tc>
          <w:tcPr>
            <w:tcW w:w="929" w:type="dxa"/>
            <w:tcBorders>
              <w:top w:val="nil"/>
            </w:tcBorders>
            <w:shd w:val="clear" w:color="auto" w:fill="auto"/>
          </w:tcPr>
          <w:p w14:paraId="55997331" w14:textId="77777777" w:rsidR="00B949E1" w:rsidRPr="00E70910" w:rsidRDefault="00B949E1" w:rsidP="00B9362B">
            <w:pPr>
              <w:pStyle w:val="Tabletext"/>
              <w:jc w:val="center"/>
              <w:rPr>
                <w:b/>
                <w:bCs/>
                <w:color w:val="006A9F"/>
              </w:rPr>
            </w:pPr>
            <w:r w:rsidRPr="00E70910">
              <w:rPr>
                <w:b/>
                <w:bCs/>
                <w:color w:val="006A9F"/>
              </w:rPr>
              <w:t>2023</w:t>
            </w:r>
          </w:p>
        </w:tc>
        <w:tc>
          <w:tcPr>
            <w:tcW w:w="929" w:type="dxa"/>
            <w:tcBorders>
              <w:top w:val="nil"/>
            </w:tcBorders>
            <w:shd w:val="clear" w:color="auto" w:fill="auto"/>
          </w:tcPr>
          <w:p w14:paraId="7AE4F938" w14:textId="77777777" w:rsidR="00B949E1" w:rsidRPr="00303337" w:rsidRDefault="00B949E1" w:rsidP="00B9362B">
            <w:pPr>
              <w:pStyle w:val="Tabletext"/>
              <w:jc w:val="center"/>
              <w:rPr>
                <w:b/>
                <w:bCs/>
              </w:rPr>
            </w:pPr>
          </w:p>
        </w:tc>
        <w:tc>
          <w:tcPr>
            <w:tcW w:w="929" w:type="dxa"/>
            <w:tcBorders>
              <w:top w:val="nil"/>
            </w:tcBorders>
            <w:shd w:val="clear" w:color="auto" w:fill="auto"/>
          </w:tcPr>
          <w:p w14:paraId="3D39C444" w14:textId="77777777" w:rsidR="00B949E1" w:rsidRPr="00E70910" w:rsidRDefault="00B949E1" w:rsidP="00B9362B">
            <w:pPr>
              <w:pStyle w:val="Tabletext"/>
              <w:jc w:val="center"/>
              <w:rPr>
                <w:b/>
                <w:bCs/>
                <w:color w:val="006A9F"/>
              </w:rPr>
            </w:pPr>
            <w:r w:rsidRPr="00E70910">
              <w:rPr>
                <w:b/>
                <w:bCs/>
                <w:color w:val="006A9F"/>
              </w:rPr>
              <w:t>2023</w:t>
            </w:r>
          </w:p>
        </w:tc>
        <w:tc>
          <w:tcPr>
            <w:tcW w:w="929" w:type="dxa"/>
            <w:tcBorders>
              <w:top w:val="nil"/>
            </w:tcBorders>
          </w:tcPr>
          <w:p w14:paraId="6C2B4655" w14:textId="77777777" w:rsidR="00B949E1" w:rsidRPr="00303337" w:rsidRDefault="00B949E1" w:rsidP="00B9362B">
            <w:pPr>
              <w:pStyle w:val="Tabletext"/>
              <w:jc w:val="center"/>
              <w:rPr>
                <w:b/>
                <w:bCs/>
              </w:rPr>
            </w:pPr>
          </w:p>
        </w:tc>
        <w:tc>
          <w:tcPr>
            <w:tcW w:w="929" w:type="dxa"/>
            <w:tcBorders>
              <w:top w:val="nil"/>
            </w:tcBorders>
            <w:shd w:val="clear" w:color="auto" w:fill="auto"/>
          </w:tcPr>
          <w:p w14:paraId="53361EB8" w14:textId="77777777" w:rsidR="00B949E1" w:rsidRPr="00E70910" w:rsidRDefault="00B949E1" w:rsidP="00B9362B">
            <w:pPr>
              <w:pStyle w:val="Tabletext"/>
              <w:jc w:val="center"/>
              <w:rPr>
                <w:b/>
                <w:bCs/>
                <w:color w:val="auto"/>
              </w:rPr>
            </w:pPr>
            <w:r w:rsidRPr="00E70910">
              <w:rPr>
                <w:b/>
                <w:bCs/>
                <w:color w:val="502F72"/>
              </w:rPr>
              <w:t>TBC</w:t>
            </w:r>
          </w:p>
        </w:tc>
        <w:tc>
          <w:tcPr>
            <w:tcW w:w="929" w:type="dxa"/>
            <w:tcBorders>
              <w:top w:val="nil"/>
            </w:tcBorders>
            <w:shd w:val="clear" w:color="auto" w:fill="auto"/>
          </w:tcPr>
          <w:p w14:paraId="5E454BCA" w14:textId="77777777" w:rsidR="00B949E1" w:rsidRPr="00303337" w:rsidRDefault="00B949E1" w:rsidP="00B9362B">
            <w:pPr>
              <w:pStyle w:val="Tabletext"/>
              <w:jc w:val="center"/>
              <w:rPr>
                <w:b/>
                <w:bCs/>
              </w:rPr>
            </w:pPr>
          </w:p>
        </w:tc>
      </w:tr>
      <w:tr w:rsidR="00B949E1" w14:paraId="112C4B15" w14:textId="77777777" w:rsidTr="00B9362B">
        <w:trPr>
          <w:gridBefore w:val="1"/>
          <w:wBefore w:w="454" w:type="dxa"/>
        </w:trPr>
        <w:tc>
          <w:tcPr>
            <w:tcW w:w="2530" w:type="dxa"/>
            <w:gridSpan w:val="2"/>
            <w:shd w:val="clear" w:color="auto" w:fill="auto"/>
          </w:tcPr>
          <w:p w14:paraId="02909D57" w14:textId="77777777" w:rsidR="00B949E1" w:rsidRDefault="00B949E1" w:rsidP="00B9362B">
            <w:pPr>
              <w:pStyle w:val="Tabletext"/>
            </w:pPr>
            <w:r w:rsidRPr="007D3386">
              <w:t>EPS loose-fill packaging</w:t>
            </w:r>
          </w:p>
        </w:tc>
        <w:tc>
          <w:tcPr>
            <w:tcW w:w="929" w:type="dxa"/>
            <w:shd w:val="clear" w:color="auto" w:fill="auto"/>
          </w:tcPr>
          <w:p w14:paraId="00F0BE5E" w14:textId="77777777" w:rsidR="00B949E1" w:rsidRPr="00303337" w:rsidRDefault="00B949E1" w:rsidP="00B9362B">
            <w:pPr>
              <w:pStyle w:val="Tabletext"/>
              <w:jc w:val="center"/>
              <w:rPr>
                <w:b/>
                <w:bCs/>
              </w:rPr>
            </w:pPr>
          </w:p>
        </w:tc>
        <w:tc>
          <w:tcPr>
            <w:tcW w:w="929" w:type="dxa"/>
            <w:shd w:val="clear" w:color="auto" w:fill="auto"/>
          </w:tcPr>
          <w:p w14:paraId="2EC3D2A0" w14:textId="77777777" w:rsidR="00B949E1" w:rsidRPr="00303337" w:rsidRDefault="00B949E1" w:rsidP="00B9362B">
            <w:pPr>
              <w:pStyle w:val="Tabletext"/>
              <w:jc w:val="center"/>
              <w:rPr>
                <w:b/>
                <w:bCs/>
              </w:rPr>
            </w:pPr>
          </w:p>
        </w:tc>
        <w:tc>
          <w:tcPr>
            <w:tcW w:w="929" w:type="dxa"/>
            <w:shd w:val="clear" w:color="auto" w:fill="auto"/>
          </w:tcPr>
          <w:p w14:paraId="2974109F" w14:textId="77777777" w:rsidR="00B949E1" w:rsidRPr="00E70910" w:rsidRDefault="00B949E1" w:rsidP="00B9362B">
            <w:pPr>
              <w:pStyle w:val="Tabletext"/>
              <w:jc w:val="center"/>
              <w:rPr>
                <w:b/>
                <w:bCs/>
                <w:color w:val="006A9F"/>
              </w:rPr>
            </w:pPr>
            <w:r w:rsidRPr="00E70910">
              <w:rPr>
                <w:b/>
                <w:bCs/>
                <w:color w:val="006A9F"/>
              </w:rPr>
              <w:t>2023</w:t>
            </w:r>
          </w:p>
        </w:tc>
        <w:tc>
          <w:tcPr>
            <w:tcW w:w="929" w:type="dxa"/>
            <w:shd w:val="clear" w:color="auto" w:fill="auto"/>
          </w:tcPr>
          <w:p w14:paraId="64AE7BEA" w14:textId="77777777" w:rsidR="00B949E1" w:rsidRPr="00303337" w:rsidRDefault="00B949E1" w:rsidP="00B9362B">
            <w:pPr>
              <w:pStyle w:val="Tabletext"/>
              <w:jc w:val="center"/>
              <w:rPr>
                <w:b/>
                <w:bCs/>
              </w:rPr>
            </w:pPr>
          </w:p>
        </w:tc>
        <w:tc>
          <w:tcPr>
            <w:tcW w:w="929" w:type="dxa"/>
            <w:shd w:val="clear" w:color="auto" w:fill="auto"/>
          </w:tcPr>
          <w:p w14:paraId="14D4A188" w14:textId="77777777" w:rsidR="00B949E1" w:rsidRPr="00E70910" w:rsidRDefault="00B949E1" w:rsidP="00B9362B">
            <w:pPr>
              <w:pStyle w:val="Tabletext"/>
              <w:jc w:val="center"/>
              <w:rPr>
                <w:b/>
                <w:bCs/>
                <w:color w:val="006A9F"/>
              </w:rPr>
            </w:pPr>
            <w:r w:rsidRPr="00E70910">
              <w:rPr>
                <w:b/>
                <w:bCs/>
                <w:color w:val="006A9F"/>
              </w:rPr>
              <w:t>2023</w:t>
            </w:r>
          </w:p>
        </w:tc>
        <w:tc>
          <w:tcPr>
            <w:tcW w:w="929" w:type="dxa"/>
          </w:tcPr>
          <w:p w14:paraId="3C458E36" w14:textId="77777777" w:rsidR="00B949E1" w:rsidRPr="00303337" w:rsidRDefault="00B949E1" w:rsidP="00B9362B">
            <w:pPr>
              <w:pStyle w:val="Tabletext"/>
              <w:jc w:val="center"/>
              <w:rPr>
                <w:b/>
                <w:bCs/>
              </w:rPr>
            </w:pPr>
          </w:p>
        </w:tc>
        <w:tc>
          <w:tcPr>
            <w:tcW w:w="929" w:type="dxa"/>
            <w:shd w:val="clear" w:color="auto" w:fill="auto"/>
          </w:tcPr>
          <w:p w14:paraId="536D831C" w14:textId="77777777" w:rsidR="00B949E1" w:rsidRPr="00E70910" w:rsidRDefault="00B949E1" w:rsidP="00B9362B">
            <w:pPr>
              <w:pStyle w:val="Tabletext"/>
              <w:jc w:val="center"/>
              <w:rPr>
                <w:b/>
                <w:bCs/>
                <w:color w:val="auto"/>
              </w:rPr>
            </w:pPr>
            <w:r w:rsidRPr="00E70910">
              <w:rPr>
                <w:b/>
                <w:bCs/>
                <w:color w:val="502F72"/>
              </w:rPr>
              <w:t>2025*</w:t>
            </w:r>
          </w:p>
        </w:tc>
        <w:tc>
          <w:tcPr>
            <w:tcW w:w="929" w:type="dxa"/>
            <w:shd w:val="clear" w:color="auto" w:fill="auto"/>
          </w:tcPr>
          <w:p w14:paraId="2B4BACAE" w14:textId="77777777" w:rsidR="00B949E1" w:rsidRPr="00303337" w:rsidRDefault="00B949E1" w:rsidP="00B9362B">
            <w:pPr>
              <w:pStyle w:val="Tabletext"/>
              <w:jc w:val="center"/>
              <w:rPr>
                <w:b/>
                <w:bCs/>
              </w:rPr>
            </w:pPr>
          </w:p>
        </w:tc>
      </w:tr>
      <w:tr w:rsidR="00B949E1" w14:paraId="1CBFE693" w14:textId="77777777" w:rsidTr="00B9362B">
        <w:trPr>
          <w:gridBefore w:val="1"/>
          <w:wBefore w:w="454" w:type="dxa"/>
        </w:trPr>
        <w:tc>
          <w:tcPr>
            <w:tcW w:w="2530" w:type="dxa"/>
            <w:gridSpan w:val="2"/>
            <w:shd w:val="clear" w:color="auto" w:fill="auto"/>
          </w:tcPr>
          <w:p w14:paraId="6B491D1F" w14:textId="77777777" w:rsidR="00B949E1" w:rsidRDefault="00B949E1" w:rsidP="00B9362B">
            <w:pPr>
              <w:pStyle w:val="Tabletext"/>
            </w:pPr>
            <w:r w:rsidRPr="007D3386">
              <w:t>EPS produce/meat trays</w:t>
            </w:r>
          </w:p>
        </w:tc>
        <w:tc>
          <w:tcPr>
            <w:tcW w:w="929" w:type="dxa"/>
            <w:shd w:val="clear" w:color="auto" w:fill="auto"/>
          </w:tcPr>
          <w:p w14:paraId="6EEF2CD0" w14:textId="77777777" w:rsidR="00B949E1" w:rsidRPr="00303337" w:rsidRDefault="00B949E1" w:rsidP="00B9362B">
            <w:pPr>
              <w:pStyle w:val="Tabletext"/>
              <w:jc w:val="center"/>
              <w:rPr>
                <w:b/>
                <w:bCs/>
              </w:rPr>
            </w:pPr>
          </w:p>
        </w:tc>
        <w:tc>
          <w:tcPr>
            <w:tcW w:w="929" w:type="dxa"/>
            <w:shd w:val="clear" w:color="auto" w:fill="auto"/>
          </w:tcPr>
          <w:p w14:paraId="68971FD2" w14:textId="77777777" w:rsidR="00B949E1" w:rsidRPr="00303337" w:rsidRDefault="00B949E1" w:rsidP="00B9362B">
            <w:pPr>
              <w:pStyle w:val="Tabletext"/>
              <w:jc w:val="center"/>
              <w:rPr>
                <w:b/>
                <w:bCs/>
              </w:rPr>
            </w:pPr>
          </w:p>
        </w:tc>
        <w:tc>
          <w:tcPr>
            <w:tcW w:w="929" w:type="dxa"/>
            <w:shd w:val="clear" w:color="auto" w:fill="auto"/>
          </w:tcPr>
          <w:p w14:paraId="08ACA9AA" w14:textId="77777777" w:rsidR="00B949E1" w:rsidRPr="00303337" w:rsidRDefault="00B949E1" w:rsidP="00B9362B">
            <w:pPr>
              <w:pStyle w:val="Tabletext"/>
              <w:jc w:val="center"/>
              <w:rPr>
                <w:b/>
                <w:bCs/>
              </w:rPr>
            </w:pPr>
            <w:r w:rsidRPr="00E70910">
              <w:rPr>
                <w:b/>
                <w:bCs/>
                <w:color w:val="428D52"/>
              </w:rPr>
              <w:t>2024*</w:t>
            </w:r>
            <w:r w:rsidRPr="00E70910">
              <w:rPr>
                <w:b/>
                <w:bCs/>
                <w:color w:val="428D52"/>
                <w:vertAlign w:val="superscript"/>
              </w:rPr>
              <w:t>4</w:t>
            </w:r>
          </w:p>
        </w:tc>
        <w:tc>
          <w:tcPr>
            <w:tcW w:w="929" w:type="dxa"/>
            <w:shd w:val="clear" w:color="auto" w:fill="auto"/>
          </w:tcPr>
          <w:p w14:paraId="62F58139" w14:textId="77777777" w:rsidR="00B949E1" w:rsidRPr="00E70910" w:rsidRDefault="00B949E1" w:rsidP="00B9362B">
            <w:pPr>
              <w:pStyle w:val="Tabletext"/>
              <w:jc w:val="center"/>
              <w:rPr>
                <w:b/>
                <w:bCs/>
                <w:color w:val="428D52"/>
              </w:rPr>
            </w:pPr>
            <w:r w:rsidRPr="00E70910">
              <w:rPr>
                <w:b/>
                <w:bCs/>
                <w:color w:val="428D52"/>
              </w:rPr>
              <w:t>2024</w:t>
            </w:r>
          </w:p>
        </w:tc>
        <w:tc>
          <w:tcPr>
            <w:tcW w:w="929" w:type="dxa"/>
            <w:shd w:val="clear" w:color="auto" w:fill="auto"/>
          </w:tcPr>
          <w:p w14:paraId="7F6B56D2" w14:textId="77777777" w:rsidR="00B949E1" w:rsidRPr="00E70910" w:rsidRDefault="00B949E1" w:rsidP="00B9362B">
            <w:pPr>
              <w:pStyle w:val="Tabletext"/>
              <w:jc w:val="center"/>
              <w:rPr>
                <w:b/>
                <w:bCs/>
                <w:color w:val="006A9F"/>
              </w:rPr>
            </w:pPr>
            <w:r w:rsidRPr="00E70910">
              <w:rPr>
                <w:b/>
                <w:bCs/>
                <w:color w:val="006A9F"/>
              </w:rPr>
              <w:t>2023</w:t>
            </w:r>
          </w:p>
        </w:tc>
        <w:tc>
          <w:tcPr>
            <w:tcW w:w="929" w:type="dxa"/>
          </w:tcPr>
          <w:p w14:paraId="53EEC4CD" w14:textId="77777777" w:rsidR="00B949E1" w:rsidRPr="00303337" w:rsidRDefault="00B949E1" w:rsidP="00B9362B">
            <w:pPr>
              <w:pStyle w:val="Tabletext"/>
              <w:jc w:val="center"/>
              <w:rPr>
                <w:b/>
                <w:bCs/>
              </w:rPr>
            </w:pPr>
          </w:p>
        </w:tc>
        <w:tc>
          <w:tcPr>
            <w:tcW w:w="929" w:type="dxa"/>
            <w:shd w:val="clear" w:color="auto" w:fill="auto"/>
          </w:tcPr>
          <w:p w14:paraId="0A00D8E6" w14:textId="77777777" w:rsidR="00B949E1" w:rsidRPr="00E70910" w:rsidRDefault="00B949E1" w:rsidP="00B9362B">
            <w:pPr>
              <w:pStyle w:val="Tabletext"/>
              <w:jc w:val="center"/>
              <w:rPr>
                <w:b/>
                <w:bCs/>
                <w:color w:val="auto"/>
              </w:rPr>
            </w:pPr>
          </w:p>
        </w:tc>
        <w:tc>
          <w:tcPr>
            <w:tcW w:w="929" w:type="dxa"/>
            <w:shd w:val="clear" w:color="auto" w:fill="auto"/>
          </w:tcPr>
          <w:p w14:paraId="5D8D9CA9" w14:textId="77777777" w:rsidR="00B949E1" w:rsidRPr="00303337" w:rsidRDefault="00B949E1" w:rsidP="00B9362B">
            <w:pPr>
              <w:pStyle w:val="Tabletext"/>
              <w:jc w:val="center"/>
              <w:rPr>
                <w:b/>
                <w:bCs/>
              </w:rPr>
            </w:pPr>
          </w:p>
        </w:tc>
      </w:tr>
      <w:tr w:rsidR="00B949E1" w14:paraId="10B168A6" w14:textId="77777777" w:rsidTr="00B9362B">
        <w:trPr>
          <w:gridBefore w:val="1"/>
          <w:wBefore w:w="454" w:type="dxa"/>
        </w:trPr>
        <w:tc>
          <w:tcPr>
            <w:tcW w:w="2530" w:type="dxa"/>
            <w:gridSpan w:val="2"/>
            <w:shd w:val="clear" w:color="auto" w:fill="auto"/>
          </w:tcPr>
          <w:p w14:paraId="08FD4D74" w14:textId="77777777" w:rsidR="00B949E1" w:rsidRDefault="00B949E1" w:rsidP="00B9362B">
            <w:pPr>
              <w:pStyle w:val="Tabletext"/>
            </w:pPr>
            <w:r w:rsidRPr="007D3386">
              <w:t xml:space="preserve">Plastic </w:t>
            </w:r>
            <w:r>
              <w:t>take-away</w:t>
            </w:r>
            <w:r w:rsidRPr="007D3386">
              <w:t xml:space="preserve"> containers</w:t>
            </w:r>
          </w:p>
        </w:tc>
        <w:tc>
          <w:tcPr>
            <w:tcW w:w="929" w:type="dxa"/>
            <w:shd w:val="clear" w:color="auto" w:fill="auto"/>
          </w:tcPr>
          <w:p w14:paraId="78910985" w14:textId="77777777" w:rsidR="00B949E1" w:rsidRPr="00303337" w:rsidRDefault="00B949E1" w:rsidP="00B9362B">
            <w:pPr>
              <w:pStyle w:val="Tabletext"/>
              <w:jc w:val="center"/>
              <w:rPr>
                <w:b/>
                <w:bCs/>
              </w:rPr>
            </w:pPr>
          </w:p>
        </w:tc>
        <w:tc>
          <w:tcPr>
            <w:tcW w:w="929" w:type="dxa"/>
            <w:shd w:val="clear" w:color="auto" w:fill="auto"/>
          </w:tcPr>
          <w:p w14:paraId="6F271DDD" w14:textId="77777777" w:rsidR="00B949E1" w:rsidRPr="00303337" w:rsidRDefault="00B949E1" w:rsidP="00B9362B">
            <w:pPr>
              <w:pStyle w:val="Tabletext"/>
              <w:jc w:val="center"/>
              <w:rPr>
                <w:b/>
                <w:bCs/>
              </w:rPr>
            </w:pPr>
          </w:p>
        </w:tc>
        <w:tc>
          <w:tcPr>
            <w:tcW w:w="929" w:type="dxa"/>
            <w:shd w:val="clear" w:color="auto" w:fill="auto"/>
          </w:tcPr>
          <w:p w14:paraId="4AB18C83" w14:textId="77777777" w:rsidR="00B949E1" w:rsidRPr="00E70910" w:rsidRDefault="00B949E1" w:rsidP="00B9362B">
            <w:pPr>
              <w:pStyle w:val="Tabletext"/>
              <w:jc w:val="center"/>
              <w:rPr>
                <w:b/>
                <w:bCs/>
                <w:color w:val="140034"/>
                <w:vertAlign w:val="superscript"/>
              </w:rPr>
            </w:pPr>
            <w:r w:rsidRPr="00E70910">
              <w:rPr>
                <w:b/>
                <w:bCs/>
                <w:color w:val="140034"/>
              </w:rPr>
              <w:t>2025*</w:t>
            </w:r>
            <w:r w:rsidRPr="00E70910">
              <w:rPr>
                <w:b/>
                <w:bCs/>
                <w:color w:val="140034"/>
                <w:vertAlign w:val="superscript"/>
              </w:rPr>
              <w:t>3</w:t>
            </w:r>
          </w:p>
        </w:tc>
        <w:tc>
          <w:tcPr>
            <w:tcW w:w="929" w:type="dxa"/>
            <w:shd w:val="clear" w:color="auto" w:fill="auto"/>
          </w:tcPr>
          <w:p w14:paraId="186866B8" w14:textId="77777777" w:rsidR="00B949E1" w:rsidRPr="00E70910" w:rsidRDefault="00B949E1" w:rsidP="00B9362B">
            <w:pPr>
              <w:pStyle w:val="Tabletext"/>
              <w:jc w:val="center"/>
              <w:rPr>
                <w:b/>
                <w:bCs/>
                <w:color w:val="428D52"/>
              </w:rPr>
            </w:pPr>
            <w:r w:rsidRPr="00E70910">
              <w:rPr>
                <w:b/>
                <w:bCs/>
                <w:color w:val="428D52"/>
              </w:rPr>
              <w:t>2024*</w:t>
            </w:r>
          </w:p>
        </w:tc>
        <w:tc>
          <w:tcPr>
            <w:tcW w:w="929" w:type="dxa"/>
            <w:shd w:val="clear" w:color="auto" w:fill="FFFFFF" w:themeFill="background1"/>
          </w:tcPr>
          <w:p w14:paraId="78394E3F" w14:textId="77777777" w:rsidR="00B949E1" w:rsidRPr="00E70910" w:rsidRDefault="00B949E1" w:rsidP="00B9362B">
            <w:pPr>
              <w:pStyle w:val="Tabletext"/>
              <w:jc w:val="center"/>
              <w:rPr>
                <w:b/>
                <w:bCs/>
                <w:color w:val="6C3D99"/>
                <w:vertAlign w:val="superscript"/>
              </w:rPr>
            </w:pPr>
            <w:r w:rsidRPr="00E70910">
              <w:rPr>
                <w:b/>
                <w:bCs/>
                <w:color w:val="6C3D99"/>
              </w:rPr>
              <w:t>2022</w:t>
            </w:r>
            <w:r w:rsidRPr="00E70910">
              <w:rPr>
                <w:b/>
                <w:bCs/>
                <w:color w:val="6C3D99"/>
                <w:vertAlign w:val="superscript"/>
              </w:rPr>
              <w:t>2</w:t>
            </w:r>
          </w:p>
        </w:tc>
        <w:tc>
          <w:tcPr>
            <w:tcW w:w="929" w:type="dxa"/>
          </w:tcPr>
          <w:p w14:paraId="497BC9F0" w14:textId="77777777" w:rsidR="00B949E1" w:rsidRPr="00303337" w:rsidRDefault="00B949E1" w:rsidP="00B9362B">
            <w:pPr>
              <w:pStyle w:val="Tabletext"/>
              <w:jc w:val="center"/>
              <w:rPr>
                <w:b/>
                <w:bCs/>
              </w:rPr>
            </w:pPr>
          </w:p>
        </w:tc>
        <w:tc>
          <w:tcPr>
            <w:tcW w:w="929" w:type="dxa"/>
            <w:shd w:val="clear" w:color="auto" w:fill="auto"/>
          </w:tcPr>
          <w:p w14:paraId="2CFECA30" w14:textId="77777777" w:rsidR="00B949E1" w:rsidRPr="00E70910" w:rsidRDefault="00B949E1" w:rsidP="00B9362B">
            <w:pPr>
              <w:pStyle w:val="Tabletext"/>
              <w:jc w:val="center"/>
              <w:rPr>
                <w:b/>
                <w:bCs/>
                <w:color w:val="auto"/>
              </w:rPr>
            </w:pPr>
            <w:r w:rsidRPr="00E70910">
              <w:rPr>
                <w:b/>
                <w:bCs/>
                <w:color w:val="502F72"/>
              </w:rPr>
              <w:t>2025*</w:t>
            </w:r>
          </w:p>
        </w:tc>
        <w:tc>
          <w:tcPr>
            <w:tcW w:w="929" w:type="dxa"/>
            <w:shd w:val="clear" w:color="auto" w:fill="auto"/>
          </w:tcPr>
          <w:p w14:paraId="459F70A6" w14:textId="77777777" w:rsidR="00B949E1" w:rsidRPr="00303337" w:rsidRDefault="00B949E1" w:rsidP="00B9362B">
            <w:pPr>
              <w:pStyle w:val="Tabletext"/>
              <w:jc w:val="center"/>
              <w:rPr>
                <w:b/>
                <w:bCs/>
              </w:rPr>
            </w:pPr>
          </w:p>
        </w:tc>
      </w:tr>
      <w:tr w:rsidR="00B949E1" w14:paraId="1F71FE2C" w14:textId="77777777" w:rsidTr="00B9362B">
        <w:trPr>
          <w:gridBefore w:val="1"/>
          <w:wBefore w:w="454" w:type="dxa"/>
        </w:trPr>
        <w:tc>
          <w:tcPr>
            <w:tcW w:w="2530" w:type="dxa"/>
            <w:gridSpan w:val="2"/>
            <w:shd w:val="clear" w:color="auto" w:fill="auto"/>
          </w:tcPr>
          <w:p w14:paraId="010861B4" w14:textId="77777777" w:rsidR="00B949E1" w:rsidRDefault="00B949E1" w:rsidP="00B9362B">
            <w:pPr>
              <w:pStyle w:val="Tabletext"/>
            </w:pPr>
            <w:r w:rsidRPr="007D3386">
              <w:t>Boutique and heavyweight bags</w:t>
            </w:r>
          </w:p>
        </w:tc>
        <w:tc>
          <w:tcPr>
            <w:tcW w:w="929" w:type="dxa"/>
            <w:shd w:val="clear" w:color="auto" w:fill="auto"/>
          </w:tcPr>
          <w:p w14:paraId="3998EF1D" w14:textId="77777777" w:rsidR="00B949E1" w:rsidRPr="00E70910" w:rsidRDefault="00B949E1" w:rsidP="00B9362B">
            <w:pPr>
              <w:pStyle w:val="Tabletext"/>
              <w:jc w:val="center"/>
              <w:rPr>
                <w:b/>
                <w:bCs/>
                <w:color w:val="428D52"/>
              </w:rPr>
            </w:pPr>
            <w:r w:rsidRPr="00E70910">
              <w:rPr>
                <w:b/>
                <w:bCs/>
                <w:color w:val="428D52"/>
              </w:rPr>
              <w:t>2024*</w:t>
            </w:r>
          </w:p>
        </w:tc>
        <w:tc>
          <w:tcPr>
            <w:tcW w:w="929" w:type="dxa"/>
            <w:shd w:val="clear" w:color="auto" w:fill="auto"/>
          </w:tcPr>
          <w:p w14:paraId="3B19F245" w14:textId="77777777" w:rsidR="00B949E1" w:rsidRPr="00303337" w:rsidRDefault="00B949E1" w:rsidP="00B9362B">
            <w:pPr>
              <w:pStyle w:val="Tabletext"/>
              <w:jc w:val="center"/>
              <w:rPr>
                <w:b/>
                <w:bCs/>
              </w:rPr>
            </w:pPr>
          </w:p>
        </w:tc>
        <w:tc>
          <w:tcPr>
            <w:tcW w:w="929" w:type="dxa"/>
            <w:shd w:val="clear" w:color="auto" w:fill="auto"/>
          </w:tcPr>
          <w:p w14:paraId="6D7011FD" w14:textId="77777777" w:rsidR="00B949E1" w:rsidRPr="00303337" w:rsidRDefault="00B949E1" w:rsidP="00B9362B">
            <w:pPr>
              <w:pStyle w:val="Tabletext"/>
              <w:jc w:val="center"/>
              <w:rPr>
                <w:b/>
                <w:bCs/>
              </w:rPr>
            </w:pPr>
            <w:r w:rsidRPr="00E70910">
              <w:rPr>
                <w:b/>
                <w:bCs/>
                <w:color w:val="006A9F"/>
              </w:rPr>
              <w:t>2023*</w:t>
            </w:r>
          </w:p>
        </w:tc>
        <w:tc>
          <w:tcPr>
            <w:tcW w:w="929" w:type="dxa"/>
            <w:shd w:val="clear" w:color="auto" w:fill="auto"/>
          </w:tcPr>
          <w:p w14:paraId="7F6EF757" w14:textId="77777777" w:rsidR="00B949E1" w:rsidRPr="00E70910" w:rsidRDefault="00B949E1" w:rsidP="00B9362B">
            <w:pPr>
              <w:pStyle w:val="Tabletext"/>
              <w:jc w:val="center"/>
              <w:rPr>
                <w:b/>
                <w:bCs/>
                <w:color w:val="428D52"/>
              </w:rPr>
            </w:pPr>
            <w:r w:rsidRPr="00E70910">
              <w:rPr>
                <w:b/>
                <w:bCs/>
                <w:color w:val="428D52"/>
              </w:rPr>
              <w:t>2024*</w:t>
            </w:r>
          </w:p>
        </w:tc>
        <w:tc>
          <w:tcPr>
            <w:tcW w:w="929" w:type="dxa"/>
            <w:shd w:val="clear" w:color="auto" w:fill="FFFFFF" w:themeFill="background1"/>
          </w:tcPr>
          <w:p w14:paraId="5F13BC1D" w14:textId="77777777" w:rsidR="00B949E1" w:rsidRPr="00E70910" w:rsidRDefault="00B949E1" w:rsidP="00B9362B">
            <w:pPr>
              <w:pStyle w:val="Tabletext"/>
              <w:jc w:val="center"/>
              <w:rPr>
                <w:b/>
                <w:bCs/>
                <w:color w:val="6C3D99"/>
              </w:rPr>
            </w:pPr>
            <w:r w:rsidRPr="00E70910">
              <w:rPr>
                <w:b/>
                <w:bCs/>
                <w:color w:val="6C3D99"/>
              </w:rPr>
              <w:t>2022</w:t>
            </w:r>
          </w:p>
        </w:tc>
        <w:tc>
          <w:tcPr>
            <w:tcW w:w="929" w:type="dxa"/>
          </w:tcPr>
          <w:p w14:paraId="132499F3" w14:textId="77777777" w:rsidR="00B949E1" w:rsidRPr="00303337" w:rsidRDefault="00B949E1" w:rsidP="00B9362B">
            <w:pPr>
              <w:pStyle w:val="Tabletext"/>
              <w:jc w:val="center"/>
              <w:rPr>
                <w:b/>
                <w:bCs/>
              </w:rPr>
            </w:pPr>
          </w:p>
        </w:tc>
        <w:tc>
          <w:tcPr>
            <w:tcW w:w="929" w:type="dxa"/>
            <w:shd w:val="clear" w:color="auto" w:fill="auto"/>
          </w:tcPr>
          <w:p w14:paraId="7E32CAF4" w14:textId="77777777" w:rsidR="00B949E1" w:rsidRPr="00E70910" w:rsidRDefault="00B949E1" w:rsidP="00B9362B">
            <w:pPr>
              <w:pStyle w:val="Tabletext"/>
              <w:jc w:val="center"/>
              <w:rPr>
                <w:b/>
                <w:bCs/>
                <w:color w:val="auto"/>
              </w:rPr>
            </w:pPr>
          </w:p>
        </w:tc>
        <w:tc>
          <w:tcPr>
            <w:tcW w:w="929" w:type="dxa"/>
            <w:shd w:val="clear" w:color="auto" w:fill="auto"/>
          </w:tcPr>
          <w:p w14:paraId="7DA0DE02" w14:textId="77777777" w:rsidR="00B949E1" w:rsidRPr="00303337" w:rsidRDefault="00B949E1" w:rsidP="00B9362B">
            <w:pPr>
              <w:pStyle w:val="Tabletext"/>
              <w:jc w:val="center"/>
              <w:rPr>
                <w:b/>
                <w:bCs/>
              </w:rPr>
            </w:pPr>
          </w:p>
        </w:tc>
      </w:tr>
      <w:tr w:rsidR="00B949E1" w14:paraId="6739CBD9" w14:textId="77777777" w:rsidTr="00B9362B">
        <w:trPr>
          <w:gridBefore w:val="1"/>
          <w:wBefore w:w="454" w:type="dxa"/>
        </w:trPr>
        <w:tc>
          <w:tcPr>
            <w:tcW w:w="2530" w:type="dxa"/>
            <w:gridSpan w:val="2"/>
            <w:shd w:val="clear" w:color="auto" w:fill="auto"/>
          </w:tcPr>
          <w:p w14:paraId="733092CE" w14:textId="77777777" w:rsidR="00B949E1" w:rsidRDefault="00B949E1" w:rsidP="00B9362B">
            <w:pPr>
              <w:pStyle w:val="Tabletext"/>
            </w:pPr>
            <w:r w:rsidRPr="007D3386">
              <w:t xml:space="preserve">SUP plates </w:t>
            </w:r>
          </w:p>
        </w:tc>
        <w:tc>
          <w:tcPr>
            <w:tcW w:w="929" w:type="dxa"/>
            <w:shd w:val="clear" w:color="auto" w:fill="FFFFFF" w:themeFill="background1"/>
          </w:tcPr>
          <w:p w14:paraId="297CEB36" w14:textId="77777777" w:rsidR="00B949E1" w:rsidRPr="00E70910" w:rsidRDefault="00B949E1" w:rsidP="00B9362B">
            <w:pPr>
              <w:pStyle w:val="Tabletext"/>
              <w:jc w:val="center"/>
              <w:rPr>
                <w:b/>
                <w:bCs/>
                <w:color w:val="6C3D99"/>
                <w:vertAlign w:val="superscript"/>
              </w:rPr>
            </w:pPr>
            <w:r w:rsidRPr="00E70910">
              <w:rPr>
                <w:b/>
                <w:bCs/>
                <w:color w:val="6C3D99"/>
              </w:rPr>
              <w:t>2022</w:t>
            </w:r>
            <w:r w:rsidRPr="00E70910">
              <w:rPr>
                <w:b/>
                <w:bCs/>
                <w:color w:val="6C3D99"/>
                <w:vertAlign w:val="superscript"/>
              </w:rPr>
              <w:t>1</w:t>
            </w:r>
          </w:p>
        </w:tc>
        <w:tc>
          <w:tcPr>
            <w:tcW w:w="929" w:type="dxa"/>
            <w:shd w:val="clear" w:color="auto" w:fill="auto"/>
          </w:tcPr>
          <w:p w14:paraId="3858528E" w14:textId="77777777" w:rsidR="00B949E1" w:rsidRPr="00E70910" w:rsidRDefault="00B949E1" w:rsidP="00B9362B">
            <w:pPr>
              <w:pStyle w:val="Tabletext"/>
              <w:jc w:val="center"/>
              <w:rPr>
                <w:b/>
                <w:bCs/>
                <w:color w:val="006A9F"/>
              </w:rPr>
            </w:pPr>
            <w:r w:rsidRPr="00E70910">
              <w:rPr>
                <w:b/>
                <w:bCs/>
                <w:color w:val="006A9F"/>
              </w:rPr>
              <w:t>2023</w:t>
            </w:r>
            <w:r w:rsidRPr="00E70910">
              <w:rPr>
                <w:b/>
                <w:bCs/>
                <w:color w:val="006A9F"/>
                <w:vertAlign w:val="superscript"/>
              </w:rPr>
              <w:t>1</w:t>
            </w:r>
          </w:p>
        </w:tc>
        <w:tc>
          <w:tcPr>
            <w:tcW w:w="929" w:type="dxa"/>
            <w:shd w:val="clear" w:color="auto" w:fill="FFFFFF" w:themeFill="background1"/>
          </w:tcPr>
          <w:p w14:paraId="2F63E68E" w14:textId="77777777" w:rsidR="00B949E1" w:rsidRPr="00E70910" w:rsidRDefault="00B949E1" w:rsidP="00B9362B">
            <w:pPr>
              <w:pStyle w:val="Tabletext"/>
              <w:jc w:val="center"/>
              <w:rPr>
                <w:b/>
                <w:bCs/>
                <w:color w:val="6C3D99"/>
              </w:rPr>
            </w:pPr>
            <w:r w:rsidRPr="00E70910">
              <w:rPr>
                <w:b/>
                <w:bCs/>
                <w:color w:val="6C3D99"/>
              </w:rPr>
              <w:t>2021</w:t>
            </w:r>
          </w:p>
        </w:tc>
        <w:tc>
          <w:tcPr>
            <w:tcW w:w="929" w:type="dxa"/>
            <w:shd w:val="clear" w:color="auto" w:fill="auto"/>
          </w:tcPr>
          <w:p w14:paraId="2690AEAD" w14:textId="77777777" w:rsidR="00B949E1" w:rsidRPr="00E70910" w:rsidRDefault="00B949E1" w:rsidP="00B9362B">
            <w:pPr>
              <w:pStyle w:val="Tabletext"/>
              <w:jc w:val="center"/>
              <w:rPr>
                <w:b/>
                <w:bCs/>
                <w:color w:val="006A9F"/>
              </w:rPr>
            </w:pPr>
            <w:r w:rsidRPr="00E70910">
              <w:rPr>
                <w:b/>
                <w:bCs/>
                <w:color w:val="006A9F"/>
              </w:rPr>
              <w:t>2023*</w:t>
            </w:r>
          </w:p>
        </w:tc>
        <w:tc>
          <w:tcPr>
            <w:tcW w:w="929" w:type="dxa"/>
            <w:shd w:val="clear" w:color="auto" w:fill="FFFFFF" w:themeFill="background1"/>
          </w:tcPr>
          <w:p w14:paraId="1789FB91" w14:textId="77777777" w:rsidR="00B949E1" w:rsidRPr="00E70910" w:rsidRDefault="00B949E1" w:rsidP="00B9362B">
            <w:pPr>
              <w:pStyle w:val="Tabletext"/>
              <w:jc w:val="center"/>
              <w:rPr>
                <w:b/>
                <w:bCs/>
                <w:color w:val="6C3D99"/>
              </w:rPr>
            </w:pPr>
            <w:r w:rsidRPr="00E70910">
              <w:rPr>
                <w:b/>
                <w:bCs/>
                <w:color w:val="6C3D99"/>
              </w:rPr>
              <w:t>2022</w:t>
            </w:r>
          </w:p>
        </w:tc>
        <w:tc>
          <w:tcPr>
            <w:tcW w:w="929" w:type="dxa"/>
          </w:tcPr>
          <w:p w14:paraId="23849F8D" w14:textId="77777777" w:rsidR="00B949E1" w:rsidRPr="00303337" w:rsidRDefault="00B949E1" w:rsidP="00B9362B">
            <w:pPr>
              <w:pStyle w:val="Tabletext"/>
              <w:jc w:val="center"/>
              <w:rPr>
                <w:b/>
                <w:bCs/>
              </w:rPr>
            </w:pPr>
          </w:p>
        </w:tc>
        <w:tc>
          <w:tcPr>
            <w:tcW w:w="929" w:type="dxa"/>
            <w:shd w:val="clear" w:color="auto" w:fill="auto"/>
          </w:tcPr>
          <w:p w14:paraId="31E9AEB4" w14:textId="77777777" w:rsidR="00B949E1" w:rsidRPr="00E70910" w:rsidRDefault="00B949E1" w:rsidP="00B9362B">
            <w:pPr>
              <w:pStyle w:val="Tabletext"/>
              <w:jc w:val="center"/>
              <w:rPr>
                <w:b/>
                <w:bCs/>
                <w:color w:val="auto"/>
              </w:rPr>
            </w:pPr>
          </w:p>
        </w:tc>
        <w:tc>
          <w:tcPr>
            <w:tcW w:w="929" w:type="dxa"/>
            <w:shd w:val="clear" w:color="auto" w:fill="auto"/>
          </w:tcPr>
          <w:p w14:paraId="6CDFF7FE" w14:textId="77777777" w:rsidR="00B949E1" w:rsidRPr="00E70910" w:rsidRDefault="00B949E1" w:rsidP="00B9362B">
            <w:pPr>
              <w:pStyle w:val="Tabletext"/>
              <w:jc w:val="center"/>
              <w:rPr>
                <w:b/>
                <w:bCs/>
                <w:color w:val="006A9F"/>
              </w:rPr>
            </w:pPr>
            <w:r w:rsidRPr="00E70910">
              <w:rPr>
                <w:b/>
                <w:bCs/>
                <w:color w:val="006A9F"/>
              </w:rPr>
              <w:t>2023*</w:t>
            </w:r>
          </w:p>
        </w:tc>
      </w:tr>
      <w:tr w:rsidR="00B949E1" w14:paraId="59ED4AE8" w14:textId="77777777" w:rsidTr="00B9362B">
        <w:trPr>
          <w:gridBefore w:val="1"/>
          <w:wBefore w:w="454" w:type="dxa"/>
        </w:trPr>
        <w:tc>
          <w:tcPr>
            <w:tcW w:w="2530" w:type="dxa"/>
            <w:gridSpan w:val="2"/>
            <w:shd w:val="clear" w:color="auto" w:fill="auto"/>
          </w:tcPr>
          <w:p w14:paraId="2F4E3859" w14:textId="77777777" w:rsidR="00B949E1" w:rsidRDefault="00B949E1" w:rsidP="00B9362B">
            <w:pPr>
              <w:pStyle w:val="Tabletext"/>
            </w:pPr>
            <w:r w:rsidRPr="007D3386">
              <w:t>SUP bowls</w:t>
            </w:r>
          </w:p>
        </w:tc>
        <w:tc>
          <w:tcPr>
            <w:tcW w:w="929" w:type="dxa"/>
            <w:shd w:val="clear" w:color="auto" w:fill="FFFFFF" w:themeFill="background1"/>
          </w:tcPr>
          <w:p w14:paraId="66D4731D" w14:textId="77777777" w:rsidR="00B949E1" w:rsidRPr="00E70910" w:rsidRDefault="00B949E1" w:rsidP="00B9362B">
            <w:pPr>
              <w:pStyle w:val="Tabletext"/>
              <w:jc w:val="center"/>
              <w:rPr>
                <w:b/>
                <w:bCs/>
                <w:color w:val="6C3D99"/>
              </w:rPr>
            </w:pPr>
            <w:r w:rsidRPr="00E70910">
              <w:rPr>
                <w:b/>
                <w:bCs/>
                <w:color w:val="6C3D99"/>
              </w:rPr>
              <w:t>2022</w:t>
            </w:r>
            <w:r w:rsidRPr="00E70910">
              <w:rPr>
                <w:b/>
                <w:bCs/>
                <w:color w:val="6C3D99"/>
                <w:vertAlign w:val="superscript"/>
              </w:rPr>
              <w:t>1,2</w:t>
            </w:r>
          </w:p>
        </w:tc>
        <w:tc>
          <w:tcPr>
            <w:tcW w:w="929" w:type="dxa"/>
            <w:shd w:val="clear" w:color="auto" w:fill="auto"/>
          </w:tcPr>
          <w:p w14:paraId="7F5115FE" w14:textId="77777777" w:rsidR="00B949E1" w:rsidRPr="00303337" w:rsidRDefault="00B949E1" w:rsidP="00B9362B">
            <w:pPr>
              <w:pStyle w:val="Tabletext"/>
              <w:jc w:val="center"/>
              <w:rPr>
                <w:b/>
                <w:bCs/>
              </w:rPr>
            </w:pPr>
          </w:p>
        </w:tc>
        <w:tc>
          <w:tcPr>
            <w:tcW w:w="929" w:type="dxa"/>
            <w:shd w:val="clear" w:color="auto" w:fill="FFFFFF" w:themeFill="background1"/>
          </w:tcPr>
          <w:p w14:paraId="64C5B824" w14:textId="77777777" w:rsidR="00B949E1" w:rsidRPr="00E70910" w:rsidRDefault="00B949E1" w:rsidP="00B9362B">
            <w:pPr>
              <w:pStyle w:val="Tabletext"/>
              <w:jc w:val="center"/>
              <w:rPr>
                <w:b/>
                <w:bCs/>
                <w:color w:val="6C3D99"/>
              </w:rPr>
            </w:pPr>
            <w:r w:rsidRPr="00E70910">
              <w:rPr>
                <w:b/>
                <w:bCs/>
                <w:color w:val="6C3D99"/>
              </w:rPr>
              <w:t>2021</w:t>
            </w:r>
          </w:p>
        </w:tc>
        <w:tc>
          <w:tcPr>
            <w:tcW w:w="929" w:type="dxa"/>
            <w:shd w:val="clear" w:color="auto" w:fill="auto"/>
          </w:tcPr>
          <w:p w14:paraId="10363B7C" w14:textId="77777777" w:rsidR="00B949E1" w:rsidRPr="00E70910" w:rsidRDefault="00B949E1" w:rsidP="00B9362B">
            <w:pPr>
              <w:pStyle w:val="Tabletext"/>
              <w:jc w:val="center"/>
              <w:rPr>
                <w:b/>
                <w:bCs/>
                <w:color w:val="006A9F"/>
              </w:rPr>
            </w:pPr>
            <w:r w:rsidRPr="00E70910">
              <w:rPr>
                <w:b/>
                <w:bCs/>
                <w:color w:val="006A9F"/>
              </w:rPr>
              <w:t>2023*</w:t>
            </w:r>
          </w:p>
        </w:tc>
        <w:tc>
          <w:tcPr>
            <w:tcW w:w="929" w:type="dxa"/>
            <w:shd w:val="clear" w:color="auto" w:fill="FFFFFF" w:themeFill="background1"/>
          </w:tcPr>
          <w:p w14:paraId="0B94C7EF" w14:textId="77777777" w:rsidR="00B949E1" w:rsidRPr="00E70910" w:rsidRDefault="00B949E1" w:rsidP="00B9362B">
            <w:pPr>
              <w:pStyle w:val="Tabletext"/>
              <w:jc w:val="center"/>
              <w:rPr>
                <w:b/>
                <w:bCs/>
                <w:color w:val="6C3D99"/>
                <w:vertAlign w:val="superscript"/>
              </w:rPr>
            </w:pPr>
            <w:r w:rsidRPr="00E70910">
              <w:rPr>
                <w:b/>
                <w:bCs/>
                <w:color w:val="6C3D99"/>
              </w:rPr>
              <w:t>2022</w:t>
            </w:r>
            <w:r w:rsidRPr="00E70910">
              <w:rPr>
                <w:b/>
                <w:bCs/>
                <w:color w:val="6C3D99"/>
                <w:vertAlign w:val="superscript"/>
              </w:rPr>
              <w:t>2</w:t>
            </w:r>
          </w:p>
        </w:tc>
        <w:tc>
          <w:tcPr>
            <w:tcW w:w="929" w:type="dxa"/>
          </w:tcPr>
          <w:p w14:paraId="65C6E507" w14:textId="77777777" w:rsidR="00B949E1" w:rsidRPr="00303337" w:rsidRDefault="00B949E1" w:rsidP="00B9362B">
            <w:pPr>
              <w:pStyle w:val="Tabletext"/>
              <w:jc w:val="center"/>
              <w:rPr>
                <w:b/>
                <w:bCs/>
              </w:rPr>
            </w:pPr>
          </w:p>
        </w:tc>
        <w:tc>
          <w:tcPr>
            <w:tcW w:w="929" w:type="dxa"/>
            <w:shd w:val="clear" w:color="auto" w:fill="auto"/>
          </w:tcPr>
          <w:p w14:paraId="1A4D2925" w14:textId="77777777" w:rsidR="00B949E1" w:rsidRPr="00E70910" w:rsidRDefault="00B949E1" w:rsidP="00B9362B">
            <w:pPr>
              <w:pStyle w:val="Tabletext"/>
              <w:jc w:val="center"/>
              <w:rPr>
                <w:b/>
                <w:bCs/>
                <w:color w:val="auto"/>
              </w:rPr>
            </w:pPr>
            <w:r w:rsidRPr="00E70910">
              <w:rPr>
                <w:b/>
                <w:bCs/>
                <w:color w:val="502F72"/>
              </w:rPr>
              <w:t>2025*</w:t>
            </w:r>
          </w:p>
        </w:tc>
        <w:tc>
          <w:tcPr>
            <w:tcW w:w="929" w:type="dxa"/>
            <w:shd w:val="clear" w:color="auto" w:fill="auto"/>
          </w:tcPr>
          <w:p w14:paraId="1D301DA0" w14:textId="77777777" w:rsidR="00B949E1" w:rsidRPr="00E70910" w:rsidRDefault="00B949E1" w:rsidP="00B9362B">
            <w:pPr>
              <w:pStyle w:val="Tabletext"/>
              <w:jc w:val="center"/>
              <w:rPr>
                <w:b/>
                <w:bCs/>
                <w:color w:val="006A9F"/>
              </w:rPr>
            </w:pPr>
            <w:r w:rsidRPr="00E70910">
              <w:rPr>
                <w:b/>
                <w:bCs/>
                <w:color w:val="006A9F"/>
              </w:rPr>
              <w:t>2023*</w:t>
            </w:r>
          </w:p>
        </w:tc>
      </w:tr>
      <w:tr w:rsidR="00B949E1" w14:paraId="5AD73C33" w14:textId="77777777" w:rsidTr="00B9362B">
        <w:trPr>
          <w:gridBefore w:val="1"/>
          <w:wBefore w:w="454" w:type="dxa"/>
        </w:trPr>
        <w:tc>
          <w:tcPr>
            <w:tcW w:w="9962" w:type="dxa"/>
            <w:gridSpan w:val="10"/>
            <w:tcBorders>
              <w:bottom w:val="single" w:sz="4" w:space="0" w:color="646464"/>
            </w:tcBorders>
          </w:tcPr>
          <w:p w14:paraId="7F5F8091" w14:textId="77777777" w:rsidR="00B949E1" w:rsidRDefault="00B949E1" w:rsidP="00B9362B">
            <w:pPr>
              <w:pStyle w:val="Source"/>
            </w:pPr>
            <w:r>
              <w:t xml:space="preserve">* </w:t>
            </w:r>
            <w:proofErr w:type="gramStart"/>
            <w:r>
              <w:t>indicates</w:t>
            </w:r>
            <w:proofErr w:type="gramEnd"/>
            <w:r>
              <w:t xml:space="preserve"> proposal for phasing out and have not yet been included in any legislation</w:t>
            </w:r>
          </w:p>
          <w:p w14:paraId="0DD43629" w14:textId="77777777" w:rsidR="00B949E1" w:rsidRDefault="00B949E1" w:rsidP="00B9362B">
            <w:pPr>
              <w:pStyle w:val="Source"/>
            </w:pPr>
            <w:r w:rsidRPr="006C688A">
              <w:rPr>
                <w:vertAlign w:val="superscript"/>
              </w:rPr>
              <w:t>1</w:t>
            </w:r>
            <w:r>
              <w:t xml:space="preserve"> exemption for plastic-lined paper plates or bowls</w:t>
            </w:r>
          </w:p>
          <w:p w14:paraId="212E838F" w14:textId="77777777" w:rsidR="00B949E1" w:rsidRDefault="00B949E1" w:rsidP="00B9362B">
            <w:pPr>
              <w:pStyle w:val="Source"/>
            </w:pPr>
            <w:r w:rsidRPr="006C688A">
              <w:rPr>
                <w:vertAlign w:val="superscript"/>
              </w:rPr>
              <w:t>2</w:t>
            </w:r>
            <w:r>
              <w:t xml:space="preserve"> exemptions for lidded items, lids will be phased-out from 2023 for WA.</w:t>
            </w:r>
          </w:p>
          <w:p w14:paraId="1079D56D" w14:textId="77777777" w:rsidR="00B949E1" w:rsidRDefault="00B949E1" w:rsidP="00B9362B">
            <w:pPr>
              <w:pStyle w:val="Source"/>
            </w:pPr>
            <w:r>
              <w:rPr>
                <w:vertAlign w:val="superscript"/>
              </w:rPr>
              <w:t>3</w:t>
            </w:r>
            <w:r>
              <w:t xml:space="preserve"> possible </w:t>
            </w:r>
            <w:proofErr w:type="gramStart"/>
            <w:r>
              <w:t>ban</w:t>
            </w:r>
            <w:proofErr w:type="gramEnd"/>
            <w:r>
              <w:t xml:space="preserve"> for non-recyclable</w:t>
            </w:r>
          </w:p>
          <w:p w14:paraId="2CFD6D39" w14:textId="77777777" w:rsidR="00B949E1" w:rsidRPr="00291FC5" w:rsidRDefault="00B949E1" w:rsidP="00B9362B">
            <w:pPr>
              <w:pStyle w:val="Source"/>
            </w:pPr>
            <w:r>
              <w:rPr>
                <w:vertAlign w:val="superscript"/>
              </w:rPr>
              <w:t>4</w:t>
            </w:r>
            <w:r>
              <w:t xml:space="preserve"> possible </w:t>
            </w:r>
            <w:proofErr w:type="gramStart"/>
            <w:r>
              <w:t>ban</w:t>
            </w:r>
            <w:proofErr w:type="gramEnd"/>
            <w:r>
              <w:t xml:space="preserve"> for non-compostable</w:t>
            </w:r>
          </w:p>
          <w:p w14:paraId="1153E725" w14:textId="77777777" w:rsidR="00B949E1" w:rsidRDefault="00B949E1" w:rsidP="00B9362B">
            <w:pPr>
              <w:pStyle w:val="Source"/>
            </w:pPr>
            <w:r>
              <w:t>Source: ACIL Allen based on various sources</w:t>
            </w:r>
          </w:p>
        </w:tc>
      </w:tr>
      <w:tr w:rsidR="00B949E1" w14:paraId="6A8E16AA" w14:textId="77777777" w:rsidTr="00B9362B">
        <w:trPr>
          <w:gridBefore w:val="1"/>
          <w:wBefore w:w="454" w:type="dxa"/>
          <w:trHeight w:hRule="exact" w:val="160"/>
        </w:trPr>
        <w:tc>
          <w:tcPr>
            <w:tcW w:w="1053" w:type="dxa"/>
            <w:tcBorders>
              <w:top w:val="single" w:sz="4" w:space="0" w:color="646464"/>
              <w:bottom w:val="nil"/>
            </w:tcBorders>
          </w:tcPr>
          <w:p w14:paraId="0E2D4E7E" w14:textId="77777777" w:rsidR="00B949E1" w:rsidRDefault="00B949E1" w:rsidP="00B9362B">
            <w:pPr>
              <w:pStyle w:val="spacer"/>
            </w:pPr>
          </w:p>
        </w:tc>
        <w:tc>
          <w:tcPr>
            <w:tcW w:w="8909" w:type="dxa"/>
            <w:gridSpan w:val="9"/>
            <w:tcBorders>
              <w:top w:val="single" w:sz="4" w:space="0" w:color="646464"/>
              <w:bottom w:val="nil"/>
            </w:tcBorders>
            <w:shd w:val="clear" w:color="auto" w:fill="auto"/>
          </w:tcPr>
          <w:p w14:paraId="7B28E2B4" w14:textId="77777777" w:rsidR="00B949E1" w:rsidRDefault="00B949E1" w:rsidP="00B9362B">
            <w:pPr>
              <w:pStyle w:val="spacer"/>
            </w:pPr>
          </w:p>
        </w:tc>
      </w:tr>
    </w:tbl>
    <w:p w14:paraId="68085A96" w14:textId="77777777" w:rsidR="00B949E1" w:rsidRDefault="00B949E1" w:rsidP="00B949E1">
      <w:pPr>
        <w:pStyle w:val="Heading3"/>
      </w:pPr>
      <w:bookmarkStart w:id="68" w:name="_Ref131420286"/>
      <w:r>
        <w:t>Government regulation</w:t>
      </w:r>
      <w:bookmarkEnd w:id="68"/>
    </w:p>
    <w:p w14:paraId="23881CBD" w14:textId="77777777" w:rsidR="00B949E1" w:rsidRDefault="00B949E1" w:rsidP="00B949E1">
      <w:pPr>
        <w:pStyle w:val="BodyText"/>
      </w:pPr>
      <w:proofErr w:type="gramStart"/>
      <w:r>
        <w:t xml:space="preserve">It is clear that </w:t>
      </w:r>
      <w:r w:rsidRPr="00C365B9">
        <w:t>in</w:t>
      </w:r>
      <w:proofErr w:type="gramEnd"/>
      <w:r>
        <w:t xml:space="preserve"> </w:t>
      </w:r>
      <w:r w:rsidRPr="00C365B9">
        <w:t>the</w:t>
      </w:r>
      <w:r>
        <w:t xml:space="preserve"> </w:t>
      </w:r>
      <w:r w:rsidRPr="00C365B9">
        <w:t>case</w:t>
      </w:r>
      <w:r>
        <w:t xml:space="preserve"> </w:t>
      </w:r>
      <w:r w:rsidRPr="00C365B9">
        <w:t>of</w:t>
      </w:r>
      <w:r>
        <w:t xml:space="preserve"> the SUPs considered in this RIS (except for microbeads to a certain extent)</w:t>
      </w:r>
      <w:r w:rsidRPr="00C365B9">
        <w:t>,</w:t>
      </w:r>
      <w:r>
        <w:t xml:space="preserve"> several of the conditions for using self-regulation, or quasi-regulation are not met, thus suggesting that regulation is appropriate:</w:t>
      </w:r>
    </w:p>
    <w:p w14:paraId="37C335E2" w14:textId="77777777" w:rsidR="00B949E1" w:rsidRDefault="00B949E1" w:rsidP="00B949E1">
      <w:pPr>
        <w:pStyle w:val="ListBullet"/>
        <w:numPr>
          <w:ilvl w:val="0"/>
          <w:numId w:val="9"/>
        </w:numPr>
      </w:pPr>
      <w:r>
        <w:t xml:space="preserve">the problems caused by single-use and other problematic plastics are of high impact and </w:t>
      </w:r>
      <w:proofErr w:type="gramStart"/>
      <w:r>
        <w:t>significance</w:t>
      </w:r>
      <w:proofErr w:type="gramEnd"/>
    </w:p>
    <w:p w14:paraId="56F6F3EB" w14:textId="77777777" w:rsidR="00B949E1" w:rsidRDefault="00B949E1" w:rsidP="00B949E1">
      <w:pPr>
        <w:pStyle w:val="ListBullet"/>
        <w:numPr>
          <w:ilvl w:val="0"/>
          <w:numId w:val="9"/>
        </w:numPr>
      </w:pPr>
      <w:r>
        <w:t xml:space="preserve">there are limited market incentives for individuals and businesses to comply with self-regulatory </w:t>
      </w:r>
      <w:proofErr w:type="gramStart"/>
      <w:r>
        <w:t>arrangements</w:t>
      </w:r>
      <w:proofErr w:type="gramEnd"/>
    </w:p>
    <w:p w14:paraId="5AF86FE3" w14:textId="77777777" w:rsidR="00B949E1" w:rsidRDefault="00B949E1" w:rsidP="00B949E1">
      <w:pPr>
        <w:pStyle w:val="ListBullet"/>
        <w:numPr>
          <w:ilvl w:val="0"/>
          <w:numId w:val="9"/>
        </w:numPr>
      </w:pPr>
      <w:r>
        <w:t xml:space="preserve">jurisdictions have already moved to ban various plastic items, which is likely to continue in the </w:t>
      </w:r>
      <w:proofErr w:type="gramStart"/>
      <w:r>
        <w:t>future</w:t>
      </w:r>
      <w:proofErr w:type="gramEnd"/>
      <w:r>
        <w:t xml:space="preserve"> </w:t>
      </w:r>
    </w:p>
    <w:p w14:paraId="07E9386D" w14:textId="77777777" w:rsidR="00B949E1" w:rsidRDefault="00B949E1" w:rsidP="00B949E1">
      <w:pPr>
        <w:pStyle w:val="ListBullet"/>
        <w:numPr>
          <w:ilvl w:val="0"/>
          <w:numId w:val="9"/>
        </w:numPr>
      </w:pPr>
      <w:r>
        <w:t xml:space="preserve">there is a strong public interest concern, in particular the significant concerns regarding the harm of SUPs to the environment and human health (as discussed in more detail below). </w:t>
      </w:r>
    </w:p>
    <w:p w14:paraId="192662B9" w14:textId="77777777" w:rsidR="00B949E1" w:rsidRDefault="00B949E1" w:rsidP="001838A8">
      <w:pPr>
        <w:pStyle w:val="Heading4"/>
        <w:numPr>
          <w:ilvl w:val="0"/>
          <w:numId w:val="0"/>
        </w:numPr>
      </w:pPr>
      <w:r>
        <w:t>Strong stakeholder support for future regulation</w:t>
      </w:r>
    </w:p>
    <w:p w14:paraId="70A624BA" w14:textId="77777777" w:rsidR="00B949E1" w:rsidRDefault="00B949E1" w:rsidP="00B949E1">
      <w:pPr>
        <w:pStyle w:val="BodyText"/>
      </w:pPr>
      <w:r w:rsidRPr="001503C8">
        <w:t xml:space="preserve">In addition, there is strong support from stakeholders, including industry, community, and </w:t>
      </w:r>
      <w:r w:rsidRPr="00BD4EF4">
        <w:t>peak bod</w:t>
      </w:r>
      <w:r w:rsidRPr="00303260">
        <w:t>y representatives,</w:t>
      </w:r>
      <w:r>
        <w:t xml:space="preserve"> who were consulted on the proposed phase-outs of tranche 3 items. The detailed justifications underpinning this support are discussed in Appendix E.</w:t>
      </w:r>
    </w:p>
    <w:p w14:paraId="30DBE563" w14:textId="77777777" w:rsidR="00B949E1" w:rsidRDefault="00B949E1" w:rsidP="001838A8">
      <w:pPr>
        <w:pStyle w:val="Heading5"/>
        <w:numPr>
          <w:ilvl w:val="0"/>
          <w:numId w:val="0"/>
        </w:numPr>
      </w:pPr>
      <w:r>
        <w:lastRenderedPageBreak/>
        <w:t>Plastic mi</w:t>
      </w:r>
      <w:r w:rsidRPr="00595B25">
        <w:t>crobeads</w:t>
      </w:r>
    </w:p>
    <w:p w14:paraId="7EFBDD81" w14:textId="77777777" w:rsidR="00B949E1" w:rsidRDefault="00B949E1" w:rsidP="00B949E1">
      <w:pPr>
        <w:pStyle w:val="BodyText"/>
      </w:pPr>
      <w:proofErr w:type="gramStart"/>
      <w:r>
        <w:t>The m</w:t>
      </w:r>
      <w:r w:rsidRPr="00FC5C09">
        <w:t>ajority of</w:t>
      </w:r>
      <w:proofErr w:type="gramEnd"/>
      <w:r w:rsidRPr="00FC5C09">
        <w:t xml:space="preserve"> community submissions (93%) and written submissions (5</w:t>
      </w:r>
      <w:r>
        <w:t>9</w:t>
      </w:r>
      <w:r w:rsidRPr="00FC5C09">
        <w:t xml:space="preserve">%) support </w:t>
      </w:r>
      <w:r>
        <w:t>the phase-out of microbeads</w:t>
      </w:r>
      <w:r w:rsidRPr="00FC5C09">
        <w:t xml:space="preserve">. </w:t>
      </w:r>
      <w:r>
        <w:t xml:space="preserve">The remaining </w:t>
      </w:r>
      <w:r w:rsidRPr="00FC5C09">
        <w:t xml:space="preserve">6.3% </w:t>
      </w:r>
      <w:r>
        <w:t xml:space="preserve">of </w:t>
      </w:r>
      <w:r w:rsidRPr="00FC5C09">
        <w:t xml:space="preserve">community submissions </w:t>
      </w:r>
      <w:r>
        <w:t xml:space="preserve">and </w:t>
      </w:r>
      <w:r w:rsidRPr="00FC5C09">
        <w:t xml:space="preserve">36.3% </w:t>
      </w:r>
      <w:r>
        <w:t xml:space="preserve">of </w:t>
      </w:r>
      <w:r w:rsidRPr="00FC5C09">
        <w:t xml:space="preserve">written submissions </w:t>
      </w:r>
      <w:r>
        <w:t>do not mention microbeads in their submissions.</w:t>
      </w:r>
      <w:r w:rsidRPr="00FC5C09">
        <w:t xml:space="preserve"> </w:t>
      </w:r>
    </w:p>
    <w:p w14:paraId="1F6D9633" w14:textId="77777777" w:rsidR="00B949E1" w:rsidRDefault="00B949E1" w:rsidP="001838A8">
      <w:pPr>
        <w:pStyle w:val="Heading5"/>
        <w:numPr>
          <w:ilvl w:val="0"/>
          <w:numId w:val="0"/>
        </w:numPr>
      </w:pPr>
      <w:r>
        <w:t xml:space="preserve">EPS packaging </w:t>
      </w:r>
    </w:p>
    <w:p w14:paraId="4A27F194" w14:textId="77777777" w:rsidR="00B949E1" w:rsidRPr="00EF33C8" w:rsidRDefault="00B949E1" w:rsidP="00B949E1">
      <w:pPr>
        <w:pStyle w:val="BodyText"/>
      </w:pPr>
      <w:r>
        <w:t xml:space="preserve">Approximately </w:t>
      </w:r>
      <w:r w:rsidRPr="00FC5C09">
        <w:t xml:space="preserve">94.1% </w:t>
      </w:r>
      <w:r>
        <w:t xml:space="preserve">of </w:t>
      </w:r>
      <w:r w:rsidRPr="00FC5C09">
        <w:t>community submission</w:t>
      </w:r>
      <w:r>
        <w:t>s</w:t>
      </w:r>
      <w:r w:rsidRPr="00FC5C09">
        <w:t xml:space="preserve"> support </w:t>
      </w:r>
      <w:r>
        <w:t>some action on EPS packaging</w:t>
      </w:r>
      <w:r w:rsidRPr="00FC5C09">
        <w:t xml:space="preserve">. </w:t>
      </w:r>
      <w:r>
        <w:t xml:space="preserve">Around </w:t>
      </w:r>
      <w:r w:rsidRPr="00FC5C09">
        <w:t xml:space="preserve">72.7% </w:t>
      </w:r>
      <w:r>
        <w:t xml:space="preserve">of </w:t>
      </w:r>
      <w:r w:rsidRPr="00FC5C09">
        <w:t>written submission</w:t>
      </w:r>
      <w:r>
        <w:t>s</w:t>
      </w:r>
      <w:r w:rsidRPr="00FC5C09">
        <w:t xml:space="preserve"> either support or partially support </w:t>
      </w:r>
      <w:r>
        <w:t xml:space="preserve">government </w:t>
      </w:r>
      <w:proofErr w:type="gramStart"/>
      <w:r>
        <w:t>taking action</w:t>
      </w:r>
      <w:proofErr w:type="gramEnd"/>
      <w:r w:rsidRPr="00FC5C09">
        <w:t>.</w:t>
      </w:r>
      <w:r>
        <w:t xml:space="preserve"> The remaining submissions did not comment on banning these EPS products or did </w:t>
      </w:r>
      <w:r w:rsidRPr="00FC5C09">
        <w:t xml:space="preserve">support </w:t>
      </w:r>
      <w:r>
        <w:t>any actions in tranche</w:t>
      </w:r>
      <w:r w:rsidRPr="00FC5C09">
        <w:t xml:space="preserve"> 3</w:t>
      </w:r>
      <w:r>
        <w:t>.</w:t>
      </w:r>
    </w:p>
    <w:p w14:paraId="796B8671" w14:textId="77777777" w:rsidR="00B949E1" w:rsidRPr="00B5456E" w:rsidRDefault="00B949E1" w:rsidP="001838A8">
      <w:pPr>
        <w:pStyle w:val="Heading5"/>
        <w:numPr>
          <w:ilvl w:val="0"/>
          <w:numId w:val="0"/>
        </w:numPr>
      </w:pPr>
      <w:r>
        <w:t xml:space="preserve">SUP take-away </w:t>
      </w:r>
      <w:proofErr w:type="gramStart"/>
      <w:r>
        <w:t>containers</w:t>
      </w:r>
      <w:proofErr w:type="gramEnd"/>
    </w:p>
    <w:p w14:paraId="2D11886D" w14:textId="77777777" w:rsidR="00B949E1" w:rsidRPr="004A63DA" w:rsidRDefault="00B949E1" w:rsidP="00B949E1">
      <w:pPr>
        <w:pStyle w:val="BodyText"/>
      </w:pPr>
      <w:r>
        <w:t xml:space="preserve">Approximately </w:t>
      </w:r>
      <w:r w:rsidRPr="00FC5C09">
        <w:t xml:space="preserve">93.6% </w:t>
      </w:r>
      <w:r>
        <w:t xml:space="preserve">of </w:t>
      </w:r>
      <w:r w:rsidRPr="00FC5C09">
        <w:t xml:space="preserve">community submissions and 45.5% </w:t>
      </w:r>
      <w:r>
        <w:t xml:space="preserve">of </w:t>
      </w:r>
      <w:r w:rsidRPr="00FC5C09">
        <w:t xml:space="preserve">written submissions support action on this item. </w:t>
      </w:r>
      <w:r>
        <w:t xml:space="preserve">Around </w:t>
      </w:r>
      <w:r w:rsidRPr="00FC5C09">
        <w:t xml:space="preserve">22.7% </w:t>
      </w:r>
      <w:r>
        <w:t xml:space="preserve">of </w:t>
      </w:r>
      <w:r w:rsidRPr="00FC5C09">
        <w:t xml:space="preserve">written submissions partially support action on this item. </w:t>
      </w:r>
      <w:r>
        <w:t xml:space="preserve">By contrast, only </w:t>
      </w:r>
      <w:r w:rsidRPr="00FC5C09">
        <w:t xml:space="preserve">4.2% </w:t>
      </w:r>
      <w:r>
        <w:t xml:space="preserve">of </w:t>
      </w:r>
      <w:r w:rsidRPr="00FC5C09">
        <w:t>community submissions</w:t>
      </w:r>
      <w:r>
        <w:t xml:space="preserve">, </w:t>
      </w:r>
      <w:r w:rsidRPr="00FC5C09">
        <w:t>13.</w:t>
      </w:r>
      <w:r>
        <w:t>4</w:t>
      </w:r>
      <w:r w:rsidRPr="00FC5C09">
        <w:t xml:space="preserve">% </w:t>
      </w:r>
      <w:r>
        <w:t xml:space="preserve">of </w:t>
      </w:r>
      <w:r w:rsidRPr="00FC5C09">
        <w:t>written submissions</w:t>
      </w:r>
      <w:r>
        <w:t xml:space="preserve"> and 6.6% representatives of government departments who attended the tranche 3 meetings</w:t>
      </w:r>
      <w:r w:rsidRPr="00FC5C09">
        <w:t xml:space="preserve"> do not support this action</w:t>
      </w:r>
      <w:r w:rsidRPr="00750FD7">
        <w:t>.</w:t>
      </w:r>
      <w:r>
        <w:t xml:space="preserve"> This suggests there is strong support for removing take-away containers from the ACT.</w:t>
      </w:r>
    </w:p>
    <w:p w14:paraId="14AB7C51" w14:textId="77777777" w:rsidR="00B949E1" w:rsidRDefault="00B949E1" w:rsidP="001838A8">
      <w:pPr>
        <w:pStyle w:val="Heading5"/>
        <w:numPr>
          <w:ilvl w:val="0"/>
          <w:numId w:val="0"/>
        </w:numPr>
      </w:pPr>
      <w:r>
        <w:t>SUP plates and bowls</w:t>
      </w:r>
    </w:p>
    <w:p w14:paraId="11CCE42E" w14:textId="77777777" w:rsidR="00B949E1" w:rsidRDefault="00B949E1" w:rsidP="00B949E1">
      <w:pPr>
        <w:pStyle w:val="BodyText"/>
      </w:pPr>
      <w:r>
        <w:t xml:space="preserve">Approximately </w:t>
      </w:r>
      <w:r w:rsidRPr="00FC5C09">
        <w:t xml:space="preserve">92% </w:t>
      </w:r>
      <w:r>
        <w:t xml:space="preserve">of </w:t>
      </w:r>
      <w:r w:rsidRPr="00FC5C09">
        <w:t>community submission</w:t>
      </w:r>
      <w:r>
        <w:t>s</w:t>
      </w:r>
      <w:r w:rsidRPr="00FC5C09">
        <w:t xml:space="preserve"> and 59% </w:t>
      </w:r>
      <w:r>
        <w:t xml:space="preserve">of </w:t>
      </w:r>
      <w:r w:rsidRPr="00FC5C09">
        <w:t xml:space="preserve">written submissions support this action. </w:t>
      </w:r>
      <w:r>
        <w:t xml:space="preserve">Around </w:t>
      </w:r>
      <w:r w:rsidRPr="00FC5C09">
        <w:t xml:space="preserve">18.1% </w:t>
      </w:r>
      <w:r>
        <w:t xml:space="preserve">of </w:t>
      </w:r>
      <w:r w:rsidRPr="00FC5C09">
        <w:t xml:space="preserve">written submissions </w:t>
      </w:r>
      <w:r>
        <w:t xml:space="preserve">and 20% of meeting respondents </w:t>
      </w:r>
      <w:r w:rsidRPr="00FC5C09">
        <w:t xml:space="preserve">partially support action on this item. </w:t>
      </w:r>
      <w:r>
        <w:t xml:space="preserve">Close to </w:t>
      </w:r>
      <w:r w:rsidRPr="00FC5C09">
        <w:t xml:space="preserve">6.9% </w:t>
      </w:r>
      <w:r>
        <w:t xml:space="preserve">of </w:t>
      </w:r>
      <w:r w:rsidRPr="00FC5C09">
        <w:t xml:space="preserve">community submissions and 18.1% </w:t>
      </w:r>
      <w:r>
        <w:t xml:space="preserve">of </w:t>
      </w:r>
      <w:r w:rsidRPr="00FC5C09">
        <w:t xml:space="preserve">written submissions </w:t>
      </w:r>
      <w:r>
        <w:t xml:space="preserve">did not comment on </w:t>
      </w:r>
      <w:r w:rsidRPr="00FC5C09">
        <w:t xml:space="preserve">this item. </w:t>
      </w:r>
      <w:r>
        <w:t>Less than 1</w:t>
      </w:r>
      <w:r w:rsidRPr="00FC5C09">
        <w:t xml:space="preserve">% </w:t>
      </w:r>
      <w:r>
        <w:t xml:space="preserve">of </w:t>
      </w:r>
      <w:r w:rsidRPr="00FC5C09">
        <w:t>community submissions</w:t>
      </w:r>
      <w:r w:rsidRPr="00FC5C09">
        <w:rPr>
          <w:rStyle w:val="cf01"/>
          <w:rFonts w:eastAsiaTheme="majorEastAsia"/>
        </w:rPr>
        <w:t xml:space="preserve"> </w:t>
      </w:r>
      <w:r w:rsidRPr="00FC5C09">
        <w:t xml:space="preserve">and 4.5% </w:t>
      </w:r>
      <w:r>
        <w:t xml:space="preserve">of </w:t>
      </w:r>
      <w:r w:rsidRPr="00FC5C09">
        <w:t xml:space="preserve">written submissions do not support actions </w:t>
      </w:r>
      <w:r>
        <w:t>being taken on this item</w:t>
      </w:r>
      <w:r w:rsidRPr="00750FD7">
        <w:t>.</w:t>
      </w:r>
    </w:p>
    <w:p w14:paraId="7C5A6763" w14:textId="77777777" w:rsidR="00B949E1" w:rsidRDefault="00B949E1" w:rsidP="001838A8">
      <w:pPr>
        <w:pStyle w:val="Heading5"/>
        <w:numPr>
          <w:ilvl w:val="0"/>
          <w:numId w:val="0"/>
        </w:numPr>
      </w:pPr>
      <w:r>
        <w:t>Heavyweight and boutique plastic bags</w:t>
      </w:r>
    </w:p>
    <w:p w14:paraId="333D4763" w14:textId="77777777" w:rsidR="00B949E1" w:rsidRPr="00FC5C09" w:rsidRDefault="00B949E1" w:rsidP="00B949E1">
      <w:pPr>
        <w:pStyle w:val="BodyText"/>
      </w:pPr>
      <w:r>
        <w:t xml:space="preserve">Approximately </w:t>
      </w:r>
      <w:r w:rsidRPr="00FC5C09">
        <w:t xml:space="preserve">94.1% </w:t>
      </w:r>
      <w:r>
        <w:t xml:space="preserve">of </w:t>
      </w:r>
      <w:r w:rsidRPr="00FC5C09">
        <w:t xml:space="preserve">community submission support this action. </w:t>
      </w:r>
      <w:r>
        <w:t xml:space="preserve">While </w:t>
      </w:r>
      <w:r w:rsidRPr="00FC5C09">
        <w:t xml:space="preserve">72.7% </w:t>
      </w:r>
      <w:r>
        <w:t xml:space="preserve">of </w:t>
      </w:r>
      <w:r w:rsidRPr="00FC5C09">
        <w:t>written submission</w:t>
      </w:r>
      <w:r>
        <w:t>s</w:t>
      </w:r>
      <w:r w:rsidRPr="00FC5C09">
        <w:t xml:space="preserve"> either support or partially support this action.</w:t>
      </w:r>
    </w:p>
    <w:p w14:paraId="50E875B5" w14:textId="77777777" w:rsidR="00B949E1" w:rsidRDefault="00B949E1" w:rsidP="00B949E1">
      <w:pPr>
        <w:pStyle w:val="BodyText"/>
      </w:pPr>
      <w:r>
        <w:t xml:space="preserve">Close to </w:t>
      </w:r>
      <w:r w:rsidRPr="00FC5C09">
        <w:t>4.</w:t>
      </w:r>
      <w:r>
        <w:t>8</w:t>
      </w:r>
      <w:r w:rsidRPr="00FC5C09">
        <w:t xml:space="preserve">% </w:t>
      </w:r>
      <w:r>
        <w:t xml:space="preserve">of </w:t>
      </w:r>
      <w:r w:rsidRPr="00FC5C09">
        <w:t>community submission</w:t>
      </w:r>
      <w:r>
        <w:t>s</w:t>
      </w:r>
      <w:r w:rsidRPr="00FC5C09">
        <w:t xml:space="preserve"> and 22.7% </w:t>
      </w:r>
      <w:r>
        <w:t xml:space="preserve">of </w:t>
      </w:r>
      <w:r w:rsidRPr="00FC5C09">
        <w:t xml:space="preserve">written submissions </w:t>
      </w:r>
      <w:r>
        <w:t>did not comment on this</w:t>
      </w:r>
      <w:r w:rsidRPr="00FC5C09">
        <w:t xml:space="preserve"> item. </w:t>
      </w:r>
      <w:r>
        <w:t xml:space="preserve">Less than 2% of community submissions and </w:t>
      </w:r>
      <w:r w:rsidRPr="00FC5C09">
        <w:t xml:space="preserve">4.5% of written submissions do not support action </w:t>
      </w:r>
      <w:r>
        <w:t>being taken on this item.</w:t>
      </w:r>
    </w:p>
    <w:p w14:paraId="00F88B4E" w14:textId="77777777" w:rsidR="00B949E1" w:rsidRDefault="00B949E1" w:rsidP="00B949E1">
      <w:pPr>
        <w:pStyle w:val="Heading2"/>
      </w:pPr>
      <w:bookmarkStart w:id="69" w:name="_Toc136872623"/>
      <w:r>
        <w:t>Summing up</w:t>
      </w:r>
      <w:bookmarkEnd w:id="69"/>
    </w:p>
    <w:p w14:paraId="5A04EE0D" w14:textId="77777777" w:rsidR="00B949E1" w:rsidRDefault="00B949E1" w:rsidP="00B949E1">
      <w:pPr>
        <w:pStyle w:val="BodyText"/>
      </w:pPr>
      <w:r>
        <w:t>The discussion in this chapter suggests that there is a case for phasing out the SUP items in principle based on the following factors:</w:t>
      </w:r>
    </w:p>
    <w:p w14:paraId="0A2D43D7" w14:textId="77777777" w:rsidR="00B949E1" w:rsidRDefault="00B949E1" w:rsidP="00B949E1">
      <w:pPr>
        <w:pStyle w:val="ListBullet"/>
        <w:numPr>
          <w:ilvl w:val="0"/>
          <w:numId w:val="9"/>
        </w:numPr>
      </w:pPr>
      <w:r>
        <w:t>market failures, including negative externalities of plastic litter, information asymmetry and public goods, currently</w:t>
      </w:r>
      <w:r w:rsidRPr="00BE569C">
        <w:t xml:space="preserve"> </w:t>
      </w:r>
      <w:r>
        <w:t xml:space="preserve">preventing production and consumption at social optimal </w:t>
      </w:r>
      <w:proofErr w:type="gramStart"/>
      <w:r>
        <w:t>levels</w:t>
      </w:r>
      <w:proofErr w:type="gramEnd"/>
    </w:p>
    <w:p w14:paraId="05904941" w14:textId="77777777" w:rsidR="00B949E1" w:rsidRDefault="00B949E1" w:rsidP="00B949E1">
      <w:pPr>
        <w:pStyle w:val="ListBullet"/>
        <w:numPr>
          <w:ilvl w:val="0"/>
          <w:numId w:val="9"/>
        </w:numPr>
      </w:pPr>
      <w:r w:rsidRPr="00BE569C">
        <w:t>policy goals and direction</w:t>
      </w:r>
    </w:p>
    <w:p w14:paraId="0B56F44B" w14:textId="77777777" w:rsidR="00B949E1" w:rsidRDefault="00B949E1" w:rsidP="00B949E1">
      <w:pPr>
        <w:pStyle w:val="ListBullet"/>
        <w:numPr>
          <w:ilvl w:val="0"/>
          <w:numId w:val="9"/>
        </w:numPr>
      </w:pPr>
      <w:r w:rsidRPr="00BE569C">
        <w:t xml:space="preserve">community </w:t>
      </w:r>
      <w:r>
        <w:t>support</w:t>
      </w:r>
      <w:r w:rsidRPr="00BE569C">
        <w:t xml:space="preserve">. </w:t>
      </w:r>
    </w:p>
    <w:p w14:paraId="21E6A522" w14:textId="77777777" w:rsidR="00B949E1" w:rsidRDefault="00B949E1" w:rsidP="00B949E1">
      <w:pPr>
        <w:pStyle w:val="BodyText"/>
      </w:pPr>
      <w:r>
        <w:t>The next chapters of this</w:t>
      </w:r>
      <w:r w:rsidRPr="00BE569C">
        <w:t xml:space="preserve"> RIS examine the </w:t>
      </w:r>
      <w:r>
        <w:t>case for</w:t>
      </w:r>
      <w:r w:rsidRPr="00BE569C">
        <w:t xml:space="preserve"> </w:t>
      </w:r>
      <w:r>
        <w:t>phasing out</w:t>
      </w:r>
      <w:r w:rsidRPr="00BE569C">
        <w:t xml:space="preserve"> </w:t>
      </w:r>
      <w:r>
        <w:t>SUP</w:t>
      </w:r>
      <w:r w:rsidRPr="00BE569C">
        <w:t xml:space="preserve"> items in </w:t>
      </w:r>
      <w:r>
        <w:t>the ACT and the costs and benefits of regulation.</w:t>
      </w:r>
    </w:p>
    <w:p w14:paraId="2859D28F" w14:textId="77777777" w:rsidR="00B949E1" w:rsidRDefault="00B949E1" w:rsidP="00B949E1">
      <w:pPr>
        <w:pStyle w:val="BodyText"/>
      </w:pPr>
    </w:p>
    <w:p w14:paraId="18EF7D30" w14:textId="77777777" w:rsidR="00B949E1" w:rsidRDefault="00B949E1" w:rsidP="00B949E1">
      <w:pPr>
        <w:pStyle w:val="BodyText"/>
        <w:sectPr w:rsidR="00B949E1" w:rsidSect="00003C6B">
          <w:headerReference w:type="even" r:id="rId50"/>
          <w:headerReference w:type="default" r:id="rId51"/>
          <w:footerReference w:type="even" r:id="rId52"/>
          <w:footerReference w:type="default" r:id="rId53"/>
          <w:headerReference w:type="first" r:id="rId54"/>
          <w:footerReference w:type="first" r:id="rId55"/>
          <w:pgSz w:w="11906" w:h="16838" w:code="9"/>
          <w:pgMar w:top="1134" w:right="851" w:bottom="1134" w:left="3119" w:header="454" w:footer="454"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1344BCCA" w14:textId="77777777" w:rsidTr="00B9362B">
        <w:trPr>
          <w:trHeight w:hRule="exact" w:val="382"/>
        </w:trPr>
        <w:tc>
          <w:tcPr>
            <w:tcW w:w="5570" w:type="dxa"/>
          </w:tcPr>
          <w:p w14:paraId="36A2479F" w14:textId="77777777" w:rsidR="00B949E1" w:rsidRDefault="00B949E1" w:rsidP="00B9362B">
            <w:pPr>
              <w:pStyle w:val="tagchapterBanner"/>
            </w:pPr>
            <w:r>
              <w:rPr>
                <w:noProof/>
              </w:rPr>
              <w:lastRenderedPageBreak/>
              <w:drawing>
                <wp:anchor distT="0" distB="0" distL="114300" distR="114300" simplePos="0" relativeHeight="251656704" behindDoc="1" locked="1" layoutInCell="1" allowOverlap="1" wp14:anchorId="49B7E119" wp14:editId="2E435672">
                  <wp:simplePos x="0" y="0"/>
                  <wp:positionH relativeFrom="page">
                    <wp:posOffset>0</wp:posOffset>
                  </wp:positionH>
                  <wp:positionV relativeFrom="page">
                    <wp:posOffset>0</wp:posOffset>
                  </wp:positionV>
                  <wp:extent cx="5039360" cy="1995170"/>
                  <wp:effectExtent l="0" t="0" r="8890" b="5080"/>
                  <wp:wrapNone/>
                  <wp:docPr id="41" name="Picture 41"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0AA2668C" w14:textId="77777777" w:rsidR="00B949E1" w:rsidRDefault="00B949E1" w:rsidP="00B9362B">
            <w:pPr>
              <w:pStyle w:val="spacer"/>
            </w:pPr>
          </w:p>
        </w:tc>
      </w:tr>
      <w:tr w:rsidR="00B949E1" w14:paraId="4053FA7F" w14:textId="77777777" w:rsidTr="00B9362B">
        <w:trPr>
          <w:trHeight w:hRule="exact" w:val="2760"/>
        </w:trPr>
        <w:tc>
          <w:tcPr>
            <w:tcW w:w="5570" w:type="dxa"/>
            <w:vAlign w:val="bottom"/>
          </w:tcPr>
          <w:p w14:paraId="4F0B4023" w14:textId="37BEC943" w:rsidR="00B949E1" w:rsidRDefault="00B949E1" w:rsidP="00F008F9">
            <w:pPr>
              <w:pStyle w:val="Heading1"/>
              <w:ind w:left="248" w:hanging="384"/>
            </w:pPr>
            <w:bookmarkStart w:id="70" w:name="_Ref131163125"/>
            <w:bookmarkStart w:id="71" w:name="_Ref131163131"/>
            <w:bookmarkStart w:id="72" w:name="_Toc136872624"/>
            <w:r>
              <w:t>Objectives and options</w:t>
            </w:r>
            <w:bookmarkEnd w:id="70"/>
            <w:bookmarkEnd w:id="71"/>
            <w:bookmarkEnd w:id="72"/>
          </w:p>
        </w:tc>
        <w:tc>
          <w:tcPr>
            <w:tcW w:w="2366" w:type="dxa"/>
            <w:tcMar>
              <w:right w:w="224" w:type="dxa"/>
            </w:tcMar>
            <w:vAlign w:val="bottom"/>
          </w:tcPr>
          <w:p w14:paraId="7DA865BD" w14:textId="77777777" w:rsidR="00B949E1" w:rsidRDefault="00B949E1" w:rsidP="00B9362B">
            <w:pPr>
              <w:pStyle w:val="HeadingChapter"/>
            </w:pPr>
            <w:r>
              <w:t>5</w:t>
            </w:r>
          </w:p>
        </w:tc>
      </w:tr>
      <w:tr w:rsidR="00B949E1" w14:paraId="0646A181" w14:textId="77777777" w:rsidTr="00B9362B">
        <w:trPr>
          <w:trHeight w:hRule="exact" w:val="228"/>
        </w:trPr>
        <w:tc>
          <w:tcPr>
            <w:tcW w:w="5570" w:type="dxa"/>
          </w:tcPr>
          <w:p w14:paraId="70BDB745" w14:textId="77777777" w:rsidR="00B949E1" w:rsidRDefault="00B949E1" w:rsidP="00B9362B">
            <w:pPr>
              <w:pStyle w:val="spacer"/>
            </w:pPr>
          </w:p>
        </w:tc>
        <w:tc>
          <w:tcPr>
            <w:tcW w:w="2366" w:type="dxa"/>
          </w:tcPr>
          <w:p w14:paraId="392CC9CD" w14:textId="77777777" w:rsidR="00B949E1" w:rsidRDefault="00B949E1" w:rsidP="00B9362B">
            <w:pPr>
              <w:pStyle w:val="spacer"/>
            </w:pPr>
          </w:p>
        </w:tc>
      </w:tr>
    </w:tbl>
    <w:p w14:paraId="5EAE9825" w14:textId="77777777" w:rsidR="00B949E1" w:rsidRDefault="00B949E1" w:rsidP="00B949E1">
      <w:pPr>
        <w:pStyle w:val="Heading2"/>
      </w:pPr>
      <w:bookmarkStart w:id="73" w:name="_Toc136872625"/>
      <w:r>
        <w:t>Objectives of government action</w:t>
      </w:r>
      <w:bookmarkEnd w:id="73"/>
    </w:p>
    <w:p w14:paraId="6B0FABD0" w14:textId="77777777" w:rsidR="00B949E1" w:rsidRDefault="00B949E1" w:rsidP="00B949E1">
      <w:pPr>
        <w:pStyle w:val="BodyText"/>
      </w:pPr>
      <w:r>
        <w:t>The proposed Regulation aims to support the objectives of the Act and reduce the:</w:t>
      </w:r>
    </w:p>
    <w:p w14:paraId="533F4BBD" w14:textId="77777777" w:rsidR="00B949E1" w:rsidRDefault="00B949E1" w:rsidP="00B949E1">
      <w:pPr>
        <w:pStyle w:val="ListBullet"/>
        <w:numPr>
          <w:ilvl w:val="0"/>
          <w:numId w:val="9"/>
        </w:numPr>
      </w:pPr>
      <w:r>
        <w:t>use of plastic in the ACT</w:t>
      </w:r>
    </w:p>
    <w:p w14:paraId="3E497132" w14:textId="77777777" w:rsidR="00B949E1" w:rsidRDefault="00B949E1" w:rsidP="00B949E1">
      <w:pPr>
        <w:pStyle w:val="ListBullet"/>
        <w:numPr>
          <w:ilvl w:val="0"/>
          <w:numId w:val="9"/>
        </w:numPr>
      </w:pPr>
      <w:r>
        <w:t>impact of plastic on the environment, including the impact of the production and post-consumption persistence of plastic</w:t>
      </w:r>
    </w:p>
    <w:p w14:paraId="22885558" w14:textId="77777777" w:rsidR="00B949E1" w:rsidRDefault="00B949E1" w:rsidP="00B949E1">
      <w:pPr>
        <w:pStyle w:val="ListBullet"/>
        <w:numPr>
          <w:ilvl w:val="0"/>
          <w:numId w:val="9"/>
        </w:numPr>
      </w:pPr>
      <w:r>
        <w:t>impact of plastic on waste management and resource recovery systems.</w:t>
      </w:r>
    </w:p>
    <w:p w14:paraId="633EE410" w14:textId="77777777" w:rsidR="00B949E1" w:rsidRDefault="00B949E1" w:rsidP="00B949E1">
      <w:pPr>
        <w:pStyle w:val="Heading2"/>
      </w:pPr>
      <w:bookmarkStart w:id="74" w:name="_Ref129005863"/>
      <w:bookmarkStart w:id="75" w:name="_Toc136872626"/>
      <w:r>
        <w:t>Policy options</w:t>
      </w:r>
      <w:bookmarkEnd w:id="74"/>
      <w:bookmarkEnd w:id="75"/>
    </w:p>
    <w:p w14:paraId="7EC02482" w14:textId="77777777" w:rsidR="00B949E1" w:rsidRDefault="00B949E1" w:rsidP="00B949E1">
      <w:pPr>
        <w:pStyle w:val="BodyText"/>
      </w:pPr>
      <w:r>
        <w:t>The RIS considers 2 options; the base case, and the policy case, where each SUP item considered is banned. These options were discussed with ACT NoWaste and given approval for use in this RIS. They also align with the 2022 RIS that the Territory approved.</w:t>
      </w:r>
    </w:p>
    <w:p w14:paraId="2C45823E" w14:textId="77777777" w:rsidR="00B949E1" w:rsidRDefault="00B949E1" w:rsidP="00B949E1">
      <w:pPr>
        <w:pStyle w:val="Heading3"/>
      </w:pPr>
      <w:r>
        <w:t xml:space="preserve">Option 1 (base case): Do not introduce the </w:t>
      </w:r>
      <w:proofErr w:type="gramStart"/>
      <w:r>
        <w:t>regulation</w:t>
      </w:r>
      <w:proofErr w:type="gramEnd"/>
    </w:p>
    <w:p w14:paraId="01A25779" w14:textId="77777777" w:rsidR="00B949E1" w:rsidRDefault="00B949E1" w:rsidP="00B949E1">
      <w:pPr>
        <w:pStyle w:val="BodyText"/>
      </w:pPr>
      <w:r>
        <w:t>Under this option, there will be no new regulation to prohibit the sale and distribution of each of the SUP items considered in this RIS in the ACT.</w:t>
      </w:r>
    </w:p>
    <w:p w14:paraId="4C02735B" w14:textId="77777777" w:rsidR="00B949E1" w:rsidRDefault="00B949E1" w:rsidP="00B949E1">
      <w:pPr>
        <w:pStyle w:val="BodyText"/>
      </w:pPr>
      <w:r>
        <w:t>Instead, the government could introduce voluntary and intermediate approaches to influence the reduction in the consumption of SUP, such as through education campaigns, voluntary industry commitments and procurement processes.</w:t>
      </w:r>
    </w:p>
    <w:p w14:paraId="15103EF5" w14:textId="77777777" w:rsidR="00B949E1" w:rsidRPr="009D4A0B" w:rsidRDefault="00B949E1" w:rsidP="00B949E1">
      <w:pPr>
        <w:pStyle w:val="Heading3"/>
      </w:pPr>
      <w:r>
        <w:t xml:space="preserve">Option 2: Introduce the </w:t>
      </w:r>
      <w:proofErr w:type="gramStart"/>
      <w:r>
        <w:t>regulation</w:t>
      </w:r>
      <w:proofErr w:type="gramEnd"/>
    </w:p>
    <w:p w14:paraId="2B4BF43A" w14:textId="77777777" w:rsidR="00B949E1" w:rsidRDefault="00B949E1" w:rsidP="00B949E1">
      <w:pPr>
        <w:pStyle w:val="BodyText"/>
      </w:pPr>
      <w:r w:rsidRPr="00B23349">
        <w:t xml:space="preserve">If option 2 is pursued, a new </w:t>
      </w:r>
      <w:r>
        <w:t>r</w:t>
      </w:r>
      <w:r w:rsidRPr="00B23349">
        <w:t xml:space="preserve">egulation will be created to introduce an immediate regulatory ban on the sale and distribution </w:t>
      </w:r>
      <w:r>
        <w:t xml:space="preserve">of each SUP item </w:t>
      </w:r>
      <w:r w:rsidRPr="00B23349">
        <w:t>in the ACT.</w:t>
      </w:r>
    </w:p>
    <w:p w14:paraId="1BE529E4" w14:textId="77777777" w:rsidR="00B949E1" w:rsidRDefault="00B949E1" w:rsidP="00B949E1">
      <w:pPr>
        <w:pStyle w:val="BodyText"/>
      </w:pPr>
      <w:r>
        <w:t>It is important to note that each item is analysed independently, with its own costs, benefits, and overall impact. This allows the RIS to recommend options for SUP items should they be different (see Chapter </w:t>
      </w:r>
      <w:r>
        <w:fldChar w:fldCharType="begin"/>
      </w:r>
      <w:r>
        <w:instrText xml:space="preserve"> REF _Ref129854209 \r \h </w:instrText>
      </w:r>
      <w:r>
        <w:fldChar w:fldCharType="separate"/>
      </w:r>
      <w:r>
        <w:t>8</w:t>
      </w:r>
      <w:r>
        <w:fldChar w:fldCharType="end"/>
      </w:r>
      <w:r>
        <w:t xml:space="preserve"> for our recommendations).</w:t>
      </w:r>
    </w:p>
    <w:p w14:paraId="4184DAFB" w14:textId="77777777" w:rsidR="00B949E1" w:rsidRDefault="00B949E1" w:rsidP="00B949E1">
      <w:pPr>
        <w:pStyle w:val="BodyText"/>
      </w:pPr>
      <w:r>
        <w:t>Moreover, option 2 is based on considerable stakeholder feedback about the desirability of banning all tranche 3 items (</w:t>
      </w:r>
      <w:proofErr w:type="gramStart"/>
      <w:r>
        <w:t>i.e.</w:t>
      </w:r>
      <w:proofErr w:type="gramEnd"/>
      <w:r>
        <w:t xml:space="preserve"> all are included in the regulation), as shown in </w:t>
      </w:r>
      <w:r w:rsidRPr="00750FD7">
        <w:rPr>
          <w:b/>
          <w:bCs/>
          <w:highlight w:val="yellow"/>
        </w:rPr>
        <w:fldChar w:fldCharType="begin"/>
      </w:r>
      <w:r w:rsidRPr="00750FD7">
        <w:rPr>
          <w:b/>
          <w:bCs/>
        </w:rPr>
        <w:instrText xml:space="preserve"> REF _Ref131582321 \h </w:instrText>
      </w:r>
      <w:r>
        <w:rPr>
          <w:b/>
          <w:bCs/>
          <w:highlight w:val="yellow"/>
        </w:rPr>
        <w:instrText xml:space="preserve"> \* MERGEFORMAT </w:instrText>
      </w:r>
      <w:r w:rsidRPr="00750FD7">
        <w:rPr>
          <w:b/>
          <w:bCs/>
          <w:highlight w:val="yellow"/>
        </w:rPr>
      </w:r>
      <w:r w:rsidRPr="00750FD7">
        <w:rPr>
          <w:b/>
          <w:bCs/>
          <w:highlight w:val="yellow"/>
        </w:rPr>
        <w:fldChar w:fldCharType="separate"/>
      </w:r>
      <w:r w:rsidRPr="00790266">
        <w:rPr>
          <w:rStyle w:val="CaptionLabel"/>
          <w:b w:val="0"/>
          <w:bCs/>
        </w:rPr>
        <w:t>Table 5.1</w:t>
      </w:r>
      <w:r w:rsidRPr="00750FD7">
        <w:rPr>
          <w:b/>
          <w:bCs/>
          <w:highlight w:val="yellow"/>
        </w:rPr>
        <w:fldChar w:fldCharType="end"/>
      </w:r>
      <w:r>
        <w:t xml:space="preserve"> below and Appendix E</w:t>
      </w:r>
      <w:r w:rsidRPr="00FC5C09">
        <w:t>.</w:t>
      </w:r>
    </w:p>
    <w:p w14:paraId="20D1B025" w14:textId="77777777" w:rsidR="00B949E1" w:rsidRDefault="00B949E1" w:rsidP="00B949E1">
      <w:pPr>
        <w:pStyle w:val="BodyText"/>
      </w:pPr>
    </w:p>
    <w:p w14:paraId="275F3091" w14:textId="77777777" w:rsidR="00B949E1" w:rsidRDefault="00B949E1" w:rsidP="00B949E1">
      <w:pPr>
        <w:pStyle w:val="BodyText"/>
      </w:pPr>
    </w:p>
    <w:p w14:paraId="09D6FC34" w14:textId="77777777" w:rsidR="00B949E1" w:rsidRDefault="00B949E1" w:rsidP="00B949E1">
      <w:pPr>
        <w:pStyle w:val="Caption"/>
      </w:pPr>
      <w:bookmarkStart w:id="76" w:name="_Ref131582321"/>
      <w:bookmarkStart w:id="77" w:name="_Toc134002440"/>
      <w:r w:rsidRPr="000C4B27">
        <w:rPr>
          <w:rStyle w:val="CaptionLabel"/>
        </w:rPr>
        <w:lastRenderedPageBreak/>
        <w:t>Table </w:t>
      </w:r>
      <w:r w:rsidRPr="000C4B27">
        <w:rPr>
          <w:rStyle w:val="CaptionLabel"/>
        </w:rPr>
        <w:fldChar w:fldCharType="begin"/>
      </w:r>
      <w:r w:rsidRPr="000C4B27">
        <w:rPr>
          <w:rStyle w:val="CaptionLabel"/>
        </w:rPr>
        <w:instrText xml:space="preserve"> STYLEREF 1 \S \* MERGEFORMAT </w:instrText>
      </w:r>
      <w:r w:rsidRPr="000C4B27">
        <w:rPr>
          <w:rStyle w:val="CaptionLabel"/>
        </w:rPr>
        <w:fldChar w:fldCharType="separate"/>
      </w:r>
      <w:r>
        <w:rPr>
          <w:rStyle w:val="CaptionLabel"/>
          <w:noProof/>
        </w:rPr>
        <w:t>5</w:t>
      </w:r>
      <w:r w:rsidRPr="000C4B27">
        <w:rPr>
          <w:rStyle w:val="CaptionLabel"/>
        </w:rPr>
        <w:fldChar w:fldCharType="end"/>
      </w:r>
      <w:r w:rsidRPr="000C4B27">
        <w:rPr>
          <w:rStyle w:val="CaptionLabel"/>
        </w:rPr>
        <w:t>.</w:t>
      </w:r>
      <w:r w:rsidRPr="000C4B27">
        <w:rPr>
          <w:rStyle w:val="CaptionLabel"/>
        </w:rPr>
        <w:fldChar w:fldCharType="begin"/>
      </w:r>
      <w:r w:rsidRPr="000C4B27">
        <w:rPr>
          <w:rStyle w:val="CaptionLabel"/>
        </w:rPr>
        <w:instrText xml:space="preserve"> SEQ Table \* ARABIC \S 1 \* MERGEFORMAT </w:instrText>
      </w:r>
      <w:r w:rsidRPr="000C4B27">
        <w:rPr>
          <w:rStyle w:val="CaptionLabel"/>
        </w:rPr>
        <w:fldChar w:fldCharType="separate"/>
      </w:r>
      <w:r>
        <w:rPr>
          <w:rStyle w:val="CaptionLabel"/>
          <w:noProof/>
        </w:rPr>
        <w:t>1</w:t>
      </w:r>
      <w:r w:rsidRPr="000C4B27">
        <w:rPr>
          <w:rStyle w:val="CaptionLabel"/>
        </w:rPr>
        <w:fldChar w:fldCharType="end"/>
      </w:r>
      <w:bookmarkEnd w:id="76"/>
      <w:r>
        <w:tab/>
        <w:t>Stakeholders’ product-specific approach to government action</w:t>
      </w:r>
      <w:bookmarkEnd w:id="77"/>
    </w:p>
    <w:tbl>
      <w:tblPr>
        <w:tblW w:w="83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40" w:type="dxa"/>
          <w:right w:w="0" w:type="dxa"/>
        </w:tblCellMar>
        <w:tblLook w:val="0000" w:firstRow="0" w:lastRow="0" w:firstColumn="0" w:lastColumn="0" w:noHBand="0" w:noVBand="0"/>
      </w:tblPr>
      <w:tblGrid>
        <w:gridCol w:w="454"/>
        <w:gridCol w:w="2830"/>
        <w:gridCol w:w="2268"/>
        <w:gridCol w:w="2838"/>
      </w:tblGrid>
      <w:tr w:rsidR="00B949E1" w14:paraId="7E72B894" w14:textId="77777777" w:rsidTr="00B9362B">
        <w:trPr>
          <w:tblHeader/>
        </w:trPr>
        <w:tc>
          <w:tcPr>
            <w:tcW w:w="3284" w:type="dxa"/>
            <w:gridSpan w:val="2"/>
            <w:shd w:val="clear" w:color="auto" w:fill="140034"/>
            <w:tcMar>
              <w:left w:w="454" w:type="dxa"/>
            </w:tcMar>
          </w:tcPr>
          <w:p w14:paraId="1795FBFC" w14:textId="77777777" w:rsidR="00B949E1" w:rsidRPr="003249B2" w:rsidRDefault="00B949E1" w:rsidP="00B9362B">
            <w:pPr>
              <w:pStyle w:val="Tabletext"/>
              <w:rPr>
                <w:b/>
                <w:bCs/>
                <w:color w:val="FFFFFF" w:themeColor="background1"/>
              </w:rPr>
            </w:pPr>
            <w:r w:rsidRPr="003249B2">
              <w:rPr>
                <w:b/>
                <w:bCs/>
                <w:color w:val="FFFFFF" w:themeColor="background1"/>
              </w:rPr>
              <w:t>Item</w:t>
            </w:r>
          </w:p>
        </w:tc>
        <w:tc>
          <w:tcPr>
            <w:tcW w:w="2268" w:type="dxa"/>
            <w:shd w:val="clear" w:color="auto" w:fill="140034"/>
          </w:tcPr>
          <w:p w14:paraId="6FF0A2A6" w14:textId="77777777" w:rsidR="00B949E1" w:rsidRPr="003249B2" w:rsidRDefault="00B949E1" w:rsidP="00B9362B">
            <w:pPr>
              <w:pStyle w:val="Tabletext"/>
              <w:rPr>
                <w:b/>
                <w:bCs/>
                <w:color w:val="FFFFFF" w:themeColor="background1"/>
              </w:rPr>
            </w:pPr>
            <w:r w:rsidRPr="003249B2">
              <w:rPr>
                <w:b/>
                <w:bCs/>
                <w:color w:val="FFFFFF" w:themeColor="background1"/>
              </w:rPr>
              <w:t>Approach</w:t>
            </w:r>
          </w:p>
        </w:tc>
        <w:tc>
          <w:tcPr>
            <w:tcW w:w="2838" w:type="dxa"/>
            <w:shd w:val="clear" w:color="auto" w:fill="140034"/>
          </w:tcPr>
          <w:p w14:paraId="7D9CABAB" w14:textId="77777777" w:rsidR="00B949E1" w:rsidRPr="003249B2" w:rsidRDefault="00B949E1" w:rsidP="00B9362B">
            <w:pPr>
              <w:pStyle w:val="Tabletext"/>
              <w:rPr>
                <w:b/>
                <w:bCs/>
                <w:color w:val="FFFFFF" w:themeColor="background1"/>
              </w:rPr>
            </w:pPr>
            <w:r w:rsidRPr="003249B2">
              <w:rPr>
                <w:b/>
                <w:bCs/>
                <w:color w:val="FFFFFF" w:themeColor="background1"/>
              </w:rPr>
              <w:t>Stakeholder group</w:t>
            </w:r>
          </w:p>
        </w:tc>
      </w:tr>
      <w:tr w:rsidR="00B949E1" w14:paraId="7FE3E957" w14:textId="77777777" w:rsidTr="00B9362B">
        <w:trPr>
          <w:gridBefore w:val="1"/>
          <w:wBefore w:w="454" w:type="dxa"/>
          <w:trHeight w:val="129"/>
        </w:trPr>
        <w:tc>
          <w:tcPr>
            <w:tcW w:w="2830" w:type="dxa"/>
            <w:tcBorders>
              <w:left w:val="nil"/>
              <w:right w:val="nil"/>
            </w:tcBorders>
            <w:shd w:val="clear" w:color="auto" w:fill="auto"/>
            <w:vAlign w:val="center"/>
          </w:tcPr>
          <w:p w14:paraId="121FF08B" w14:textId="77777777" w:rsidR="00B949E1" w:rsidRPr="006F6CCD" w:rsidRDefault="00B949E1" w:rsidP="00B9362B">
            <w:pPr>
              <w:pStyle w:val="Tabletext"/>
              <w:rPr>
                <w:b/>
                <w:bCs/>
                <w:szCs w:val="20"/>
              </w:rPr>
            </w:pPr>
            <w:r>
              <w:rPr>
                <w:b/>
                <w:bCs/>
                <w:szCs w:val="20"/>
              </w:rPr>
              <w:t>Plastic microbeads</w:t>
            </w:r>
          </w:p>
        </w:tc>
        <w:tc>
          <w:tcPr>
            <w:tcW w:w="2268" w:type="dxa"/>
            <w:tcBorders>
              <w:left w:val="nil"/>
              <w:right w:val="nil"/>
            </w:tcBorders>
            <w:shd w:val="clear" w:color="auto" w:fill="auto"/>
          </w:tcPr>
          <w:p w14:paraId="6E5BB1D3" w14:textId="77777777" w:rsidR="00B949E1" w:rsidRPr="0062576B" w:rsidRDefault="00B949E1" w:rsidP="00B9362B">
            <w:pPr>
              <w:pStyle w:val="Tabletext"/>
              <w:rPr>
                <w:szCs w:val="20"/>
              </w:rPr>
            </w:pPr>
            <w:r>
              <w:rPr>
                <w:szCs w:val="20"/>
              </w:rPr>
              <w:t>R</w:t>
            </w:r>
            <w:r w:rsidRPr="0062576B">
              <w:rPr>
                <w:szCs w:val="20"/>
              </w:rPr>
              <w:t>egulatory</w:t>
            </w:r>
            <w:r>
              <w:rPr>
                <w:szCs w:val="20"/>
              </w:rPr>
              <w:t xml:space="preserve"> </w:t>
            </w:r>
            <w:r w:rsidRPr="0062576B">
              <w:rPr>
                <w:szCs w:val="20"/>
              </w:rPr>
              <w:t>phase</w:t>
            </w:r>
            <w:r>
              <w:rPr>
                <w:szCs w:val="20"/>
              </w:rPr>
              <w:t>-</w:t>
            </w:r>
            <w:r w:rsidRPr="0062576B">
              <w:rPr>
                <w:szCs w:val="20"/>
              </w:rPr>
              <w:t>out</w:t>
            </w:r>
          </w:p>
        </w:tc>
        <w:tc>
          <w:tcPr>
            <w:tcW w:w="2838" w:type="dxa"/>
            <w:tcBorders>
              <w:left w:val="nil"/>
              <w:right w:val="nil"/>
            </w:tcBorders>
            <w:shd w:val="clear" w:color="auto" w:fill="auto"/>
          </w:tcPr>
          <w:p w14:paraId="4EC1E7BC" w14:textId="77777777" w:rsidR="00B949E1" w:rsidRPr="00CC5476" w:rsidRDefault="00B949E1" w:rsidP="00B949E1">
            <w:pPr>
              <w:pStyle w:val="Tablelistbullet"/>
              <w:tabs>
                <w:tab w:val="clear" w:pos="360"/>
              </w:tabs>
            </w:pPr>
            <w:r>
              <w:t>I</w:t>
            </w:r>
            <w:r w:rsidRPr="00CC5476">
              <w:t>ndustry associations</w:t>
            </w:r>
          </w:p>
        </w:tc>
      </w:tr>
      <w:tr w:rsidR="00B949E1" w14:paraId="6D11510E" w14:textId="77777777" w:rsidTr="00B9362B">
        <w:trPr>
          <w:gridBefore w:val="1"/>
          <w:wBefore w:w="454" w:type="dxa"/>
          <w:trHeight w:val="1767"/>
        </w:trPr>
        <w:tc>
          <w:tcPr>
            <w:tcW w:w="2830" w:type="dxa"/>
            <w:tcBorders>
              <w:left w:val="nil"/>
              <w:right w:val="nil"/>
            </w:tcBorders>
            <w:shd w:val="clear" w:color="auto" w:fill="auto"/>
            <w:vAlign w:val="center"/>
          </w:tcPr>
          <w:p w14:paraId="657BAAD6" w14:textId="77777777" w:rsidR="00B949E1" w:rsidRPr="006F6CCD" w:rsidRDefault="00B949E1" w:rsidP="00B9362B">
            <w:pPr>
              <w:pStyle w:val="Tabletext"/>
              <w:rPr>
                <w:b/>
                <w:bCs/>
                <w:szCs w:val="20"/>
              </w:rPr>
            </w:pPr>
            <w:r w:rsidRPr="006F6CCD">
              <w:rPr>
                <w:b/>
                <w:bCs/>
                <w:szCs w:val="20"/>
              </w:rPr>
              <w:t>Expanded polystyrene products and packaging</w:t>
            </w:r>
          </w:p>
        </w:tc>
        <w:tc>
          <w:tcPr>
            <w:tcW w:w="2268" w:type="dxa"/>
            <w:tcBorders>
              <w:left w:val="nil"/>
              <w:right w:val="nil"/>
            </w:tcBorders>
            <w:shd w:val="clear" w:color="auto" w:fill="auto"/>
          </w:tcPr>
          <w:p w14:paraId="5455B3E0" w14:textId="77777777" w:rsidR="00B949E1" w:rsidRPr="0062576B" w:rsidRDefault="00B949E1" w:rsidP="00B9362B">
            <w:pPr>
              <w:pStyle w:val="Tabletext"/>
              <w:rPr>
                <w:szCs w:val="20"/>
              </w:rPr>
            </w:pPr>
            <w:r>
              <w:rPr>
                <w:szCs w:val="20"/>
              </w:rPr>
              <w:t>R</w:t>
            </w:r>
            <w:r w:rsidRPr="0062576B">
              <w:rPr>
                <w:szCs w:val="20"/>
              </w:rPr>
              <w:t>egulatory phase</w:t>
            </w:r>
            <w:r>
              <w:rPr>
                <w:szCs w:val="20"/>
              </w:rPr>
              <w:t>-</w:t>
            </w:r>
            <w:r w:rsidRPr="0062576B">
              <w:rPr>
                <w:szCs w:val="20"/>
              </w:rPr>
              <w:t xml:space="preserve">out </w:t>
            </w:r>
            <w:r>
              <w:rPr>
                <w:szCs w:val="20"/>
              </w:rPr>
              <w:t>(</w:t>
            </w:r>
            <w:r w:rsidRPr="0062576B">
              <w:rPr>
                <w:szCs w:val="20"/>
              </w:rPr>
              <w:t>with exemptions</w:t>
            </w:r>
            <w:r>
              <w:rPr>
                <w:szCs w:val="20"/>
              </w:rPr>
              <w:t>)</w:t>
            </w:r>
          </w:p>
        </w:tc>
        <w:tc>
          <w:tcPr>
            <w:tcW w:w="2838" w:type="dxa"/>
            <w:tcBorders>
              <w:left w:val="nil"/>
              <w:right w:val="nil"/>
            </w:tcBorders>
            <w:shd w:val="clear" w:color="auto" w:fill="auto"/>
          </w:tcPr>
          <w:p w14:paraId="76E273EF" w14:textId="77777777" w:rsidR="00B949E1" w:rsidRPr="00CC5476" w:rsidRDefault="00B949E1" w:rsidP="00B949E1">
            <w:pPr>
              <w:pStyle w:val="Tablelistbullet"/>
              <w:tabs>
                <w:tab w:val="clear" w:pos="360"/>
              </w:tabs>
            </w:pPr>
            <w:r>
              <w:t>R</w:t>
            </w:r>
            <w:r w:rsidRPr="00CC5476">
              <w:t>etail and service industry</w:t>
            </w:r>
          </w:p>
          <w:p w14:paraId="688696AD" w14:textId="77777777" w:rsidR="00B949E1" w:rsidRPr="00CC5476" w:rsidRDefault="00B949E1" w:rsidP="00B949E1">
            <w:pPr>
              <w:pStyle w:val="Tablelistbullet"/>
              <w:tabs>
                <w:tab w:val="clear" w:pos="360"/>
              </w:tabs>
            </w:pPr>
            <w:r>
              <w:t>S</w:t>
            </w:r>
            <w:r w:rsidRPr="00CC5476">
              <w:t>uppliers and distributors</w:t>
            </w:r>
          </w:p>
          <w:p w14:paraId="0E4F589F" w14:textId="77777777" w:rsidR="00B949E1" w:rsidRPr="00CC5476" w:rsidRDefault="00B949E1" w:rsidP="00B949E1">
            <w:pPr>
              <w:pStyle w:val="Tablelistbullet"/>
              <w:tabs>
                <w:tab w:val="clear" w:pos="360"/>
              </w:tabs>
            </w:pPr>
            <w:r>
              <w:t>S</w:t>
            </w:r>
            <w:r w:rsidRPr="00CC5476">
              <w:t>mall retailers, suppliers and farmers</w:t>
            </w:r>
          </w:p>
          <w:p w14:paraId="15078336" w14:textId="77777777" w:rsidR="00B949E1" w:rsidRPr="00CC5476" w:rsidRDefault="00B949E1" w:rsidP="00B949E1">
            <w:pPr>
              <w:pStyle w:val="Tablelistbullet"/>
              <w:tabs>
                <w:tab w:val="clear" w:pos="360"/>
              </w:tabs>
            </w:pPr>
            <w:r>
              <w:t>I</w:t>
            </w:r>
            <w:r w:rsidRPr="00CC5476">
              <w:t>ndustry associations</w:t>
            </w:r>
          </w:p>
          <w:p w14:paraId="5C4171FA" w14:textId="77777777" w:rsidR="00B949E1" w:rsidRPr="00CC5476" w:rsidRDefault="00B949E1" w:rsidP="00B949E1">
            <w:pPr>
              <w:pStyle w:val="Tablelistbullet"/>
              <w:tabs>
                <w:tab w:val="clear" w:pos="360"/>
              </w:tabs>
            </w:pPr>
            <w:r>
              <w:t>W</w:t>
            </w:r>
            <w:r w:rsidRPr="00CC5476">
              <w:t>aste management sector</w:t>
            </w:r>
          </w:p>
          <w:p w14:paraId="55BE68F9" w14:textId="77777777" w:rsidR="00B949E1" w:rsidRPr="00CC5476" w:rsidRDefault="00B949E1" w:rsidP="00B949E1">
            <w:pPr>
              <w:pStyle w:val="Tablelistbullet"/>
              <w:tabs>
                <w:tab w:val="clear" w:pos="360"/>
              </w:tabs>
            </w:pPr>
            <w:r>
              <w:t>A</w:t>
            </w:r>
            <w:r w:rsidRPr="00CC5476">
              <w:t>nimal health products sector</w:t>
            </w:r>
          </w:p>
          <w:p w14:paraId="04CDFA8B" w14:textId="77777777" w:rsidR="00B949E1" w:rsidRPr="00CC5476" w:rsidRDefault="00B949E1" w:rsidP="00B949E1">
            <w:pPr>
              <w:pStyle w:val="Tablelistbullet"/>
              <w:tabs>
                <w:tab w:val="clear" w:pos="360"/>
              </w:tabs>
            </w:pPr>
            <w:r>
              <w:t>C</w:t>
            </w:r>
            <w:r w:rsidRPr="00CC5476">
              <w:t>ommunity</w:t>
            </w:r>
          </w:p>
        </w:tc>
      </w:tr>
      <w:tr w:rsidR="00B949E1" w14:paraId="272E4353" w14:textId="77777777" w:rsidTr="00B9362B">
        <w:trPr>
          <w:gridBefore w:val="1"/>
          <w:wBefore w:w="454" w:type="dxa"/>
          <w:trHeight w:val="157"/>
        </w:trPr>
        <w:tc>
          <w:tcPr>
            <w:tcW w:w="2830" w:type="dxa"/>
            <w:vMerge w:val="restart"/>
            <w:tcBorders>
              <w:left w:val="nil"/>
              <w:right w:val="nil"/>
            </w:tcBorders>
            <w:shd w:val="clear" w:color="auto" w:fill="auto"/>
            <w:vAlign w:val="center"/>
          </w:tcPr>
          <w:p w14:paraId="4C5F6685" w14:textId="77777777" w:rsidR="00B949E1" w:rsidRPr="006F6CCD" w:rsidRDefault="00B949E1" w:rsidP="00B9362B">
            <w:pPr>
              <w:pStyle w:val="Tabletext"/>
              <w:rPr>
                <w:b/>
                <w:bCs/>
                <w:szCs w:val="20"/>
              </w:rPr>
            </w:pPr>
            <w:r>
              <w:rPr>
                <w:b/>
                <w:bCs/>
                <w:szCs w:val="20"/>
              </w:rPr>
              <w:t>SUP</w:t>
            </w:r>
            <w:r w:rsidRPr="006F6CCD">
              <w:rPr>
                <w:b/>
                <w:bCs/>
                <w:szCs w:val="20"/>
              </w:rPr>
              <w:t xml:space="preserve"> take-away containers</w:t>
            </w:r>
          </w:p>
        </w:tc>
        <w:tc>
          <w:tcPr>
            <w:tcW w:w="2268" w:type="dxa"/>
            <w:tcBorders>
              <w:left w:val="nil"/>
              <w:right w:val="nil"/>
            </w:tcBorders>
            <w:shd w:val="clear" w:color="auto" w:fill="auto"/>
          </w:tcPr>
          <w:p w14:paraId="02ECCD78" w14:textId="77777777" w:rsidR="00B949E1" w:rsidRPr="0062576B" w:rsidRDefault="00B949E1" w:rsidP="00B9362B">
            <w:pPr>
              <w:pStyle w:val="Tabletext"/>
              <w:rPr>
                <w:szCs w:val="20"/>
              </w:rPr>
            </w:pPr>
            <w:r>
              <w:rPr>
                <w:szCs w:val="20"/>
              </w:rPr>
              <w:t>R</w:t>
            </w:r>
            <w:r w:rsidRPr="0062576B">
              <w:rPr>
                <w:szCs w:val="20"/>
              </w:rPr>
              <w:t>egulatory phase</w:t>
            </w:r>
            <w:r>
              <w:rPr>
                <w:szCs w:val="20"/>
              </w:rPr>
              <w:t>-</w:t>
            </w:r>
            <w:r w:rsidRPr="0062576B">
              <w:rPr>
                <w:szCs w:val="20"/>
              </w:rPr>
              <w:t xml:space="preserve">out </w:t>
            </w:r>
            <w:r>
              <w:rPr>
                <w:szCs w:val="20"/>
              </w:rPr>
              <w:t>(</w:t>
            </w:r>
            <w:r w:rsidRPr="0062576B">
              <w:rPr>
                <w:szCs w:val="20"/>
              </w:rPr>
              <w:t>with exemptions</w:t>
            </w:r>
            <w:r>
              <w:rPr>
                <w:szCs w:val="20"/>
              </w:rPr>
              <w:t>)</w:t>
            </w:r>
          </w:p>
        </w:tc>
        <w:tc>
          <w:tcPr>
            <w:tcW w:w="2838" w:type="dxa"/>
            <w:tcBorders>
              <w:left w:val="nil"/>
              <w:right w:val="nil"/>
            </w:tcBorders>
            <w:shd w:val="clear" w:color="auto" w:fill="auto"/>
          </w:tcPr>
          <w:p w14:paraId="51931D34" w14:textId="77777777" w:rsidR="00B949E1" w:rsidRPr="00CC5476" w:rsidRDefault="00B949E1" w:rsidP="00B949E1">
            <w:pPr>
              <w:pStyle w:val="Tablelistbullet"/>
              <w:tabs>
                <w:tab w:val="clear" w:pos="360"/>
              </w:tabs>
            </w:pPr>
            <w:r>
              <w:t>R</w:t>
            </w:r>
            <w:r w:rsidRPr="00CC5476">
              <w:t>etailers</w:t>
            </w:r>
          </w:p>
          <w:p w14:paraId="13D43EF8" w14:textId="77777777" w:rsidR="00B949E1" w:rsidRPr="00CC5476" w:rsidRDefault="00B949E1" w:rsidP="00B949E1">
            <w:pPr>
              <w:pStyle w:val="Tablelistbullet"/>
              <w:tabs>
                <w:tab w:val="clear" w:pos="360"/>
              </w:tabs>
            </w:pPr>
            <w:r>
              <w:t>M</w:t>
            </w:r>
            <w:r w:rsidRPr="00CC5476">
              <w:t>anufacturers and suppliers</w:t>
            </w:r>
          </w:p>
          <w:p w14:paraId="508069DD" w14:textId="77777777" w:rsidR="00B949E1" w:rsidRPr="00CC5476" w:rsidRDefault="00B949E1" w:rsidP="00B949E1">
            <w:pPr>
              <w:pStyle w:val="Tablelistbullet"/>
              <w:tabs>
                <w:tab w:val="clear" w:pos="360"/>
              </w:tabs>
            </w:pPr>
            <w:r>
              <w:t>S</w:t>
            </w:r>
            <w:r w:rsidRPr="00CC5476">
              <w:t>mall businesses</w:t>
            </w:r>
          </w:p>
          <w:p w14:paraId="696A1ED8" w14:textId="77777777" w:rsidR="00B949E1" w:rsidRPr="00CC5476" w:rsidRDefault="00B949E1" w:rsidP="00B949E1">
            <w:pPr>
              <w:pStyle w:val="Tablelistbullet"/>
              <w:tabs>
                <w:tab w:val="clear" w:pos="360"/>
              </w:tabs>
            </w:pPr>
            <w:r>
              <w:t>C</w:t>
            </w:r>
            <w:r w:rsidRPr="00CC5476">
              <w:t>harities/volunteer canteens/small restaurants</w:t>
            </w:r>
          </w:p>
        </w:tc>
      </w:tr>
      <w:tr w:rsidR="00B949E1" w14:paraId="5F5723EC" w14:textId="77777777" w:rsidTr="00B9362B">
        <w:trPr>
          <w:gridBefore w:val="1"/>
          <w:wBefore w:w="454" w:type="dxa"/>
          <w:trHeight w:val="129"/>
        </w:trPr>
        <w:tc>
          <w:tcPr>
            <w:tcW w:w="2830" w:type="dxa"/>
            <w:vMerge/>
            <w:tcBorders>
              <w:left w:val="nil"/>
              <w:right w:val="nil"/>
            </w:tcBorders>
            <w:shd w:val="clear" w:color="auto" w:fill="auto"/>
            <w:vAlign w:val="center"/>
          </w:tcPr>
          <w:p w14:paraId="34D98E7C" w14:textId="77777777" w:rsidR="00B949E1" w:rsidRPr="006F6CCD" w:rsidRDefault="00B949E1" w:rsidP="00B9362B">
            <w:pPr>
              <w:pStyle w:val="Tabletext"/>
              <w:rPr>
                <w:b/>
                <w:bCs/>
                <w:szCs w:val="20"/>
              </w:rPr>
            </w:pPr>
          </w:p>
        </w:tc>
        <w:tc>
          <w:tcPr>
            <w:tcW w:w="2268" w:type="dxa"/>
            <w:tcBorders>
              <w:left w:val="nil"/>
              <w:right w:val="nil"/>
            </w:tcBorders>
            <w:shd w:val="clear" w:color="auto" w:fill="auto"/>
          </w:tcPr>
          <w:p w14:paraId="193C01E4" w14:textId="77777777" w:rsidR="00B949E1" w:rsidRPr="0062576B" w:rsidRDefault="00B949E1" w:rsidP="00B9362B">
            <w:pPr>
              <w:pStyle w:val="Tabletext"/>
              <w:rPr>
                <w:szCs w:val="20"/>
              </w:rPr>
            </w:pPr>
            <w:r>
              <w:rPr>
                <w:szCs w:val="20"/>
              </w:rPr>
              <w:t>R</w:t>
            </w:r>
            <w:r w:rsidRPr="0062576B">
              <w:rPr>
                <w:szCs w:val="20"/>
              </w:rPr>
              <w:t>egulatory</w:t>
            </w:r>
            <w:r>
              <w:rPr>
                <w:szCs w:val="20"/>
              </w:rPr>
              <w:t xml:space="preserve"> </w:t>
            </w:r>
            <w:r w:rsidRPr="0062576B">
              <w:rPr>
                <w:szCs w:val="20"/>
              </w:rPr>
              <w:t>phase</w:t>
            </w:r>
            <w:r>
              <w:rPr>
                <w:szCs w:val="20"/>
              </w:rPr>
              <w:t>-</w:t>
            </w:r>
            <w:r w:rsidRPr="0062576B">
              <w:rPr>
                <w:szCs w:val="20"/>
              </w:rPr>
              <w:t>out</w:t>
            </w:r>
          </w:p>
        </w:tc>
        <w:tc>
          <w:tcPr>
            <w:tcW w:w="2838" w:type="dxa"/>
            <w:tcBorders>
              <w:left w:val="nil"/>
              <w:right w:val="nil"/>
            </w:tcBorders>
            <w:shd w:val="clear" w:color="auto" w:fill="auto"/>
          </w:tcPr>
          <w:p w14:paraId="2E214F50" w14:textId="77777777" w:rsidR="00B949E1" w:rsidRPr="00CC5476" w:rsidRDefault="00B949E1" w:rsidP="00B949E1">
            <w:pPr>
              <w:pStyle w:val="Tablelistbullet"/>
              <w:tabs>
                <w:tab w:val="clear" w:pos="360"/>
              </w:tabs>
            </w:pPr>
            <w:r>
              <w:t>C</w:t>
            </w:r>
            <w:r w:rsidRPr="00CC5476">
              <w:t>ommunity</w:t>
            </w:r>
          </w:p>
          <w:p w14:paraId="4EEC6E7A" w14:textId="77777777" w:rsidR="00B949E1" w:rsidRPr="00CC5476" w:rsidRDefault="00B949E1" w:rsidP="00B949E1">
            <w:pPr>
              <w:pStyle w:val="Tablelistbullet"/>
              <w:tabs>
                <w:tab w:val="clear" w:pos="360"/>
              </w:tabs>
            </w:pPr>
            <w:r>
              <w:t>I</w:t>
            </w:r>
            <w:r w:rsidRPr="00CC5476">
              <w:t>ndustry (regulation on non-recyclable plastic take-away containers)</w:t>
            </w:r>
          </w:p>
        </w:tc>
      </w:tr>
      <w:tr w:rsidR="00B949E1" w14:paraId="6242F663" w14:textId="77777777" w:rsidTr="00B9362B">
        <w:trPr>
          <w:gridBefore w:val="1"/>
          <w:wBefore w:w="454" w:type="dxa"/>
          <w:trHeight w:val="157"/>
        </w:trPr>
        <w:tc>
          <w:tcPr>
            <w:tcW w:w="2830" w:type="dxa"/>
            <w:tcBorders>
              <w:left w:val="nil"/>
              <w:right w:val="nil"/>
            </w:tcBorders>
            <w:shd w:val="clear" w:color="auto" w:fill="auto"/>
            <w:vAlign w:val="center"/>
          </w:tcPr>
          <w:p w14:paraId="2D09FA44" w14:textId="77777777" w:rsidR="00B949E1" w:rsidRPr="006F6CCD" w:rsidRDefault="00B949E1" w:rsidP="00B9362B">
            <w:pPr>
              <w:pStyle w:val="Tabletext"/>
              <w:rPr>
                <w:b/>
                <w:bCs/>
                <w:szCs w:val="20"/>
              </w:rPr>
            </w:pPr>
            <w:r>
              <w:rPr>
                <w:b/>
                <w:bCs/>
                <w:szCs w:val="20"/>
              </w:rPr>
              <w:t xml:space="preserve">SUP </w:t>
            </w:r>
            <w:r w:rsidRPr="006F6CCD">
              <w:rPr>
                <w:b/>
                <w:bCs/>
                <w:szCs w:val="20"/>
              </w:rPr>
              <w:t>plates and bowls</w:t>
            </w:r>
          </w:p>
        </w:tc>
        <w:tc>
          <w:tcPr>
            <w:tcW w:w="2268" w:type="dxa"/>
            <w:tcBorders>
              <w:left w:val="nil"/>
              <w:right w:val="nil"/>
            </w:tcBorders>
            <w:shd w:val="clear" w:color="auto" w:fill="auto"/>
          </w:tcPr>
          <w:p w14:paraId="72D2BAE6" w14:textId="77777777" w:rsidR="00B949E1" w:rsidRPr="0062576B" w:rsidRDefault="00B949E1" w:rsidP="00B9362B">
            <w:pPr>
              <w:pStyle w:val="Tabletext"/>
              <w:rPr>
                <w:szCs w:val="20"/>
              </w:rPr>
            </w:pPr>
            <w:r>
              <w:rPr>
                <w:szCs w:val="20"/>
              </w:rPr>
              <w:t>R</w:t>
            </w:r>
            <w:r w:rsidRPr="0062576B">
              <w:rPr>
                <w:szCs w:val="20"/>
              </w:rPr>
              <w:t xml:space="preserve">egulatory </w:t>
            </w:r>
            <w:r>
              <w:rPr>
                <w:szCs w:val="20"/>
              </w:rPr>
              <w:t>phase-out (</w:t>
            </w:r>
            <w:r w:rsidRPr="0062576B">
              <w:rPr>
                <w:szCs w:val="20"/>
              </w:rPr>
              <w:t>with exemptions</w:t>
            </w:r>
            <w:r>
              <w:rPr>
                <w:szCs w:val="20"/>
              </w:rPr>
              <w:t>)</w:t>
            </w:r>
          </w:p>
        </w:tc>
        <w:tc>
          <w:tcPr>
            <w:tcW w:w="2838" w:type="dxa"/>
            <w:tcBorders>
              <w:left w:val="nil"/>
              <w:right w:val="nil"/>
            </w:tcBorders>
            <w:shd w:val="clear" w:color="auto" w:fill="auto"/>
          </w:tcPr>
          <w:p w14:paraId="1958EC3D" w14:textId="77777777" w:rsidR="00B949E1" w:rsidRPr="00CC5476" w:rsidRDefault="00B949E1" w:rsidP="00B949E1">
            <w:pPr>
              <w:pStyle w:val="Tablelistbullet"/>
              <w:tabs>
                <w:tab w:val="clear" w:pos="360"/>
              </w:tabs>
            </w:pPr>
            <w:r>
              <w:t>R</w:t>
            </w:r>
            <w:r w:rsidRPr="00CC5476">
              <w:t>etailer and service industry providers</w:t>
            </w:r>
          </w:p>
          <w:p w14:paraId="036B9C2F" w14:textId="77777777" w:rsidR="00B949E1" w:rsidRPr="00CC5476" w:rsidRDefault="00B949E1" w:rsidP="00B949E1">
            <w:pPr>
              <w:pStyle w:val="Tablelistbullet"/>
              <w:tabs>
                <w:tab w:val="clear" w:pos="360"/>
              </w:tabs>
            </w:pPr>
            <w:r>
              <w:t>I</w:t>
            </w:r>
            <w:r w:rsidRPr="00CC5476">
              <w:t>ndustry associations</w:t>
            </w:r>
          </w:p>
          <w:p w14:paraId="52535725" w14:textId="77777777" w:rsidR="00B949E1" w:rsidRPr="00CC5476" w:rsidRDefault="00B949E1" w:rsidP="00B949E1">
            <w:pPr>
              <w:pStyle w:val="Tablelistbullet"/>
              <w:tabs>
                <w:tab w:val="clear" w:pos="360"/>
              </w:tabs>
            </w:pPr>
            <w:r w:rsidRPr="00CC5476">
              <w:t>Health sector</w:t>
            </w:r>
          </w:p>
        </w:tc>
      </w:tr>
      <w:tr w:rsidR="00B949E1" w14:paraId="503574C5" w14:textId="77777777" w:rsidTr="00B9362B">
        <w:trPr>
          <w:gridBefore w:val="1"/>
          <w:wBefore w:w="454" w:type="dxa"/>
          <w:trHeight w:val="157"/>
        </w:trPr>
        <w:tc>
          <w:tcPr>
            <w:tcW w:w="2830" w:type="dxa"/>
            <w:tcBorders>
              <w:left w:val="nil"/>
              <w:right w:val="nil"/>
            </w:tcBorders>
            <w:shd w:val="clear" w:color="auto" w:fill="auto"/>
            <w:vAlign w:val="center"/>
          </w:tcPr>
          <w:p w14:paraId="3DF32CE6" w14:textId="77777777" w:rsidR="00B949E1" w:rsidRPr="006F6CCD" w:rsidRDefault="00B949E1" w:rsidP="00B9362B">
            <w:pPr>
              <w:pStyle w:val="Tabletext"/>
              <w:rPr>
                <w:b/>
                <w:bCs/>
                <w:szCs w:val="20"/>
              </w:rPr>
            </w:pPr>
            <w:r w:rsidRPr="006F6CCD">
              <w:rPr>
                <w:b/>
                <w:bCs/>
                <w:szCs w:val="20"/>
              </w:rPr>
              <w:t>Heavyweight and boutique plastic bags</w:t>
            </w:r>
          </w:p>
        </w:tc>
        <w:tc>
          <w:tcPr>
            <w:tcW w:w="2268" w:type="dxa"/>
            <w:tcBorders>
              <w:left w:val="nil"/>
              <w:right w:val="nil"/>
            </w:tcBorders>
            <w:shd w:val="clear" w:color="auto" w:fill="auto"/>
          </w:tcPr>
          <w:p w14:paraId="350E53D7" w14:textId="77777777" w:rsidR="00B949E1" w:rsidRDefault="00B949E1" w:rsidP="00B9362B">
            <w:pPr>
              <w:pStyle w:val="Tabletext"/>
              <w:rPr>
                <w:szCs w:val="20"/>
              </w:rPr>
            </w:pPr>
            <w:r>
              <w:rPr>
                <w:szCs w:val="20"/>
              </w:rPr>
              <w:t>R</w:t>
            </w:r>
            <w:r w:rsidRPr="0062576B">
              <w:rPr>
                <w:szCs w:val="20"/>
              </w:rPr>
              <w:t>egulatory</w:t>
            </w:r>
            <w:r>
              <w:rPr>
                <w:szCs w:val="20"/>
              </w:rPr>
              <w:t xml:space="preserve"> </w:t>
            </w:r>
            <w:r w:rsidRPr="0062576B">
              <w:rPr>
                <w:szCs w:val="20"/>
              </w:rPr>
              <w:t>phase</w:t>
            </w:r>
            <w:r>
              <w:rPr>
                <w:szCs w:val="20"/>
              </w:rPr>
              <w:t>-</w:t>
            </w:r>
            <w:r w:rsidRPr="0062576B">
              <w:rPr>
                <w:szCs w:val="20"/>
              </w:rPr>
              <w:t>out</w:t>
            </w:r>
          </w:p>
        </w:tc>
        <w:tc>
          <w:tcPr>
            <w:tcW w:w="2838" w:type="dxa"/>
            <w:tcBorders>
              <w:left w:val="nil"/>
              <w:right w:val="nil"/>
            </w:tcBorders>
            <w:shd w:val="clear" w:color="auto" w:fill="auto"/>
          </w:tcPr>
          <w:p w14:paraId="01B3223F" w14:textId="77777777" w:rsidR="00B949E1" w:rsidRPr="00CC5476" w:rsidRDefault="00B949E1" w:rsidP="00B949E1">
            <w:pPr>
              <w:pStyle w:val="Tablelistbullet"/>
              <w:tabs>
                <w:tab w:val="clear" w:pos="360"/>
              </w:tabs>
            </w:pPr>
            <w:r>
              <w:t>C</w:t>
            </w:r>
            <w:r w:rsidRPr="00CC5476">
              <w:t>ommunity</w:t>
            </w:r>
          </w:p>
        </w:tc>
      </w:tr>
      <w:tr w:rsidR="00B949E1" w14:paraId="434D91E4" w14:textId="77777777" w:rsidTr="00B9362B">
        <w:trPr>
          <w:gridBefore w:val="1"/>
          <w:wBefore w:w="454" w:type="dxa"/>
        </w:trPr>
        <w:tc>
          <w:tcPr>
            <w:tcW w:w="7936" w:type="dxa"/>
            <w:gridSpan w:val="3"/>
            <w:tcBorders>
              <w:top w:val="nil"/>
              <w:left w:val="nil"/>
              <w:right w:val="nil"/>
            </w:tcBorders>
            <w:shd w:val="clear" w:color="auto" w:fill="auto"/>
          </w:tcPr>
          <w:p w14:paraId="2DCD9804" w14:textId="77777777" w:rsidR="00B949E1" w:rsidRPr="00BA44FF" w:rsidRDefault="00B949E1" w:rsidP="00B9362B">
            <w:pPr>
              <w:pStyle w:val="Source"/>
            </w:pPr>
            <w:r w:rsidRPr="00BA44FF">
              <w:t>Source: ACIL Allen</w:t>
            </w:r>
            <w:r>
              <w:t xml:space="preserve"> based on a review of submissions</w:t>
            </w:r>
          </w:p>
        </w:tc>
      </w:tr>
    </w:tbl>
    <w:p w14:paraId="11E2B9C3" w14:textId="77777777" w:rsidR="00B949E1" w:rsidRDefault="00B949E1" w:rsidP="00B949E1">
      <w:pPr>
        <w:pStyle w:val="Heading2"/>
      </w:pPr>
      <w:bookmarkStart w:id="78" w:name="_Toc136872627"/>
      <w:r>
        <w:t>Other options</w:t>
      </w:r>
      <w:bookmarkEnd w:id="78"/>
    </w:p>
    <w:p w14:paraId="41FD30D3" w14:textId="77777777" w:rsidR="00B949E1" w:rsidRDefault="00B949E1" w:rsidP="00B949E1">
      <w:pPr>
        <w:pStyle w:val="BodyText"/>
      </w:pPr>
      <w:r>
        <w:t xml:space="preserve">As discussed in Section </w:t>
      </w:r>
      <w:r>
        <w:fldChar w:fldCharType="begin"/>
      </w:r>
      <w:r>
        <w:instrText xml:space="preserve"> REF _Ref133238717 \r \h </w:instrText>
      </w:r>
      <w:r>
        <w:fldChar w:fldCharType="separate"/>
      </w:r>
      <w:r>
        <w:t>4.2</w:t>
      </w:r>
      <w:r>
        <w:fldChar w:fldCharType="end"/>
      </w:r>
      <w:r>
        <w:t>, self-regulatory, quasi-regulatory and co-regulatory approaches have been considered and explored in detail. It is unlikely that these approaches could address the problem of SUP in the ACT effectively, therefore they have not been considered as an option for the Impact analysis.</w:t>
      </w:r>
    </w:p>
    <w:p w14:paraId="2946F754" w14:textId="77777777" w:rsidR="00B949E1" w:rsidRDefault="00B949E1" w:rsidP="00B949E1">
      <w:pPr>
        <w:pStyle w:val="BodyText"/>
      </w:pPr>
    </w:p>
    <w:p w14:paraId="228B21D7" w14:textId="77777777" w:rsidR="00B949E1" w:rsidRDefault="00B949E1" w:rsidP="00B949E1">
      <w:pPr>
        <w:pStyle w:val="BodyText"/>
      </w:pPr>
    </w:p>
    <w:p w14:paraId="4E9E0427" w14:textId="77777777" w:rsidR="00B949E1" w:rsidRDefault="00B949E1" w:rsidP="00B949E1">
      <w:pPr>
        <w:pStyle w:val="BodyText"/>
      </w:pPr>
    </w:p>
    <w:p w14:paraId="1F123E36" w14:textId="77777777" w:rsidR="00B949E1" w:rsidRDefault="00B949E1" w:rsidP="00B949E1">
      <w:pPr>
        <w:pStyle w:val="BodyText"/>
      </w:pPr>
    </w:p>
    <w:p w14:paraId="19E962A1" w14:textId="77777777" w:rsidR="00B949E1" w:rsidRDefault="00B949E1" w:rsidP="00B949E1">
      <w:pPr>
        <w:pStyle w:val="BodyText"/>
        <w:sectPr w:rsidR="00B949E1" w:rsidSect="00003C6B">
          <w:headerReference w:type="even" r:id="rId56"/>
          <w:headerReference w:type="default" r:id="rId57"/>
          <w:footerReference w:type="even" r:id="rId58"/>
          <w:footerReference w:type="default" r:id="rId59"/>
          <w:headerReference w:type="first" r:id="rId60"/>
          <w:footerReference w:type="first" r:id="rId61"/>
          <w:pgSz w:w="11906" w:h="16838" w:code="9"/>
          <w:pgMar w:top="1134" w:right="851" w:bottom="1134" w:left="3119" w:header="454" w:footer="454"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199FE085" w14:textId="77777777" w:rsidTr="00B9362B">
        <w:trPr>
          <w:trHeight w:hRule="exact" w:val="382"/>
        </w:trPr>
        <w:tc>
          <w:tcPr>
            <w:tcW w:w="5570" w:type="dxa"/>
          </w:tcPr>
          <w:p w14:paraId="29797921" w14:textId="77777777" w:rsidR="00B949E1" w:rsidRDefault="00B949E1" w:rsidP="00B9362B">
            <w:pPr>
              <w:pStyle w:val="tagchapterBanner"/>
            </w:pPr>
            <w:r>
              <w:rPr>
                <w:noProof/>
              </w:rPr>
              <w:lastRenderedPageBreak/>
              <w:drawing>
                <wp:anchor distT="0" distB="0" distL="114300" distR="114300" simplePos="0" relativeHeight="251654656" behindDoc="1" locked="1" layoutInCell="1" allowOverlap="1" wp14:anchorId="68582F80" wp14:editId="1A232468">
                  <wp:simplePos x="0" y="0"/>
                  <wp:positionH relativeFrom="page">
                    <wp:posOffset>0</wp:posOffset>
                  </wp:positionH>
                  <wp:positionV relativeFrom="page">
                    <wp:posOffset>0</wp:posOffset>
                  </wp:positionV>
                  <wp:extent cx="5039360" cy="1995170"/>
                  <wp:effectExtent l="0" t="0" r="8890" b="5080"/>
                  <wp:wrapNone/>
                  <wp:docPr id="124" name="Picture 124"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3428BB22" w14:textId="77777777" w:rsidR="00B949E1" w:rsidRDefault="00B949E1" w:rsidP="00B9362B">
            <w:pPr>
              <w:pStyle w:val="spacer"/>
            </w:pPr>
          </w:p>
        </w:tc>
      </w:tr>
      <w:tr w:rsidR="00B949E1" w14:paraId="07EF17BC" w14:textId="77777777" w:rsidTr="00B9362B">
        <w:trPr>
          <w:trHeight w:hRule="exact" w:val="2760"/>
        </w:trPr>
        <w:tc>
          <w:tcPr>
            <w:tcW w:w="5570" w:type="dxa"/>
            <w:vAlign w:val="bottom"/>
          </w:tcPr>
          <w:p w14:paraId="257507A3" w14:textId="552377F6" w:rsidR="00B949E1" w:rsidRDefault="00B949E1" w:rsidP="00F008F9">
            <w:pPr>
              <w:pStyle w:val="Heading1"/>
              <w:ind w:left="248" w:hanging="384"/>
            </w:pPr>
            <w:bookmarkStart w:id="79" w:name="_Toc136872628"/>
            <w:r>
              <w:t>Framework for impact assessment</w:t>
            </w:r>
            <w:bookmarkEnd w:id="79"/>
          </w:p>
        </w:tc>
        <w:tc>
          <w:tcPr>
            <w:tcW w:w="2366" w:type="dxa"/>
            <w:tcMar>
              <w:right w:w="224" w:type="dxa"/>
            </w:tcMar>
            <w:vAlign w:val="bottom"/>
          </w:tcPr>
          <w:p w14:paraId="15B2D055" w14:textId="77777777" w:rsidR="00B949E1" w:rsidRDefault="00B949E1" w:rsidP="00B9362B">
            <w:pPr>
              <w:pStyle w:val="HeadingChapter"/>
            </w:pPr>
            <w:r>
              <w:t>6</w:t>
            </w:r>
          </w:p>
        </w:tc>
      </w:tr>
      <w:tr w:rsidR="00B949E1" w14:paraId="4A2214B7" w14:textId="77777777" w:rsidTr="00B9362B">
        <w:trPr>
          <w:trHeight w:hRule="exact" w:val="228"/>
        </w:trPr>
        <w:tc>
          <w:tcPr>
            <w:tcW w:w="5570" w:type="dxa"/>
          </w:tcPr>
          <w:p w14:paraId="7A6E4C61" w14:textId="77777777" w:rsidR="00B949E1" w:rsidRDefault="00B949E1" w:rsidP="00B9362B">
            <w:pPr>
              <w:pStyle w:val="spacer"/>
            </w:pPr>
          </w:p>
        </w:tc>
        <w:tc>
          <w:tcPr>
            <w:tcW w:w="2366" w:type="dxa"/>
          </w:tcPr>
          <w:p w14:paraId="74751135" w14:textId="77777777" w:rsidR="00B949E1" w:rsidRDefault="00B949E1" w:rsidP="00B9362B">
            <w:pPr>
              <w:pStyle w:val="spacer"/>
            </w:pPr>
          </w:p>
        </w:tc>
      </w:tr>
    </w:tbl>
    <w:p w14:paraId="18819111" w14:textId="77777777" w:rsidR="00B949E1" w:rsidRDefault="00B949E1" w:rsidP="00B949E1">
      <w:pPr>
        <w:pStyle w:val="Heading2"/>
      </w:pPr>
      <w:bookmarkStart w:id="80" w:name="_Toc136872629"/>
      <w:r>
        <w:t>General framework</w:t>
      </w:r>
      <w:bookmarkEnd w:id="80"/>
    </w:p>
    <w:p w14:paraId="3DA6F1D2" w14:textId="77777777" w:rsidR="00B949E1" w:rsidRPr="00CF47F3" w:rsidRDefault="00B949E1" w:rsidP="00B949E1">
      <w:pPr>
        <w:pStyle w:val="BodyText"/>
      </w:pPr>
      <w:r w:rsidRPr="00CF47F3">
        <w:t>Consistent</w:t>
      </w:r>
      <w:r>
        <w:t xml:space="preserve"> </w:t>
      </w:r>
      <w:r w:rsidRPr="00CF47F3">
        <w:t>with</w:t>
      </w:r>
      <w:r>
        <w:t xml:space="preserve"> </w:t>
      </w:r>
      <w:r w:rsidRPr="00CF47F3">
        <w:t>best</w:t>
      </w:r>
      <w:r>
        <w:t xml:space="preserve"> </w:t>
      </w:r>
      <w:r w:rsidRPr="00CF47F3">
        <w:t>regulatory</w:t>
      </w:r>
      <w:r>
        <w:t xml:space="preserve"> </w:t>
      </w:r>
      <w:r w:rsidRPr="00CF47F3">
        <w:t>practice,</w:t>
      </w:r>
      <w:r>
        <w:t xml:space="preserve"> </w:t>
      </w:r>
      <w:r w:rsidRPr="00CF47F3">
        <w:t>the</w:t>
      </w:r>
      <w:r>
        <w:t xml:space="preserve"> impacts of the proposed policy options have been analysed </w:t>
      </w:r>
      <w:r w:rsidRPr="00CF47F3">
        <w:t>using</w:t>
      </w:r>
      <w:r>
        <w:t xml:space="preserve"> a </w:t>
      </w:r>
      <w:r w:rsidRPr="00CF47F3">
        <w:t>CBA</w:t>
      </w:r>
      <w:r>
        <w:t xml:space="preserve"> framework</w:t>
      </w:r>
      <w:r w:rsidRPr="00CF47F3">
        <w:t>.</w:t>
      </w:r>
      <w:r>
        <w:t xml:space="preserve"> </w:t>
      </w:r>
    </w:p>
    <w:p w14:paraId="4897EB6B" w14:textId="77777777" w:rsidR="00B949E1" w:rsidRDefault="00B949E1" w:rsidP="00B949E1">
      <w:pPr>
        <w:pStyle w:val="BodyText"/>
      </w:pPr>
      <w:r>
        <w:t xml:space="preserve">CBA is a framework for analysing the costs and benefits of regulatory proposals. </w:t>
      </w:r>
      <w:r w:rsidRPr="00AD2444">
        <w:t xml:space="preserve">Costs and benefits are examined from the </w:t>
      </w:r>
      <w:r>
        <w:t>whole community's perspectiv</w:t>
      </w:r>
      <w:r w:rsidRPr="00AD2444">
        <w:t>e to identify the proposal with the highest net benefit</w:t>
      </w:r>
      <w:r>
        <w:t xml:space="preserve">. One of its most important attributes is that it provides a useful framework for consistently organising disparate impacts. The framework considers gains and losses to all affected parties, including social gains and losses that may not be apparent in a financial analysis or business case. </w:t>
      </w:r>
    </w:p>
    <w:p w14:paraId="072F3174" w14:textId="77777777" w:rsidR="00B949E1" w:rsidRDefault="00B949E1" w:rsidP="00B949E1">
      <w:pPr>
        <w:pStyle w:val="BodyText"/>
      </w:pPr>
      <w:r>
        <w:t>A CBA approach applies a comparative analysis using a baseline (</w:t>
      </w:r>
      <w:proofErr w:type="gramStart"/>
      <w:r>
        <w:t>i.e.</w:t>
      </w:r>
      <w:proofErr w:type="gramEnd"/>
      <w:r>
        <w:t xml:space="preserve"> no change) and reasonable alternatives. Estimated benefits and costs are compared with the baseline, representing circumstances expected without the proposed new activity or policy change. Importantly, if an economic impact is identical in the baseline and the alternative, it is not modelled in a CBA.</w:t>
      </w:r>
    </w:p>
    <w:p w14:paraId="3888F0DB" w14:textId="77777777" w:rsidR="00B949E1" w:rsidRDefault="00B949E1" w:rsidP="00B949E1">
      <w:pPr>
        <w:pStyle w:val="BodyText"/>
      </w:pPr>
      <w:r>
        <w:t xml:space="preserve">An excess of benefits over costs in CBA does not imply that everyone has been made better-off. It simply means that the overall economy could be made better-off. Government would have to decide how much weight to place on distributional consequences of (who wins and who loses from) the economic disturbance, the extent to which losers should be compensated, and how distributional issues should be addressed). </w:t>
      </w:r>
    </w:p>
    <w:p w14:paraId="788CC07F" w14:textId="77777777" w:rsidR="00B949E1" w:rsidRDefault="00B949E1" w:rsidP="00B949E1">
      <w:pPr>
        <w:pStyle w:val="BodyText"/>
      </w:pPr>
      <w:r>
        <w:t xml:space="preserve">A fundamental premise of CBA is that values assigned to benefits and costs should be the values of affected individuals. This premise assumes that individuals understand and benefit from their individual preferences that contribute to individual welfare. Another important assumption is that monetary measures of welfare change can be derived from observations of how much individuals are willing to pay for the phase out plastic products or how much they would be prepared to accept (be compensated) to forgo specific alternatives. </w:t>
      </w:r>
    </w:p>
    <w:p w14:paraId="4AC1B827" w14:textId="77777777" w:rsidR="00B949E1" w:rsidRDefault="00B949E1" w:rsidP="00B949E1">
      <w:pPr>
        <w:pStyle w:val="BodyText"/>
      </w:pPr>
      <w:r>
        <w:t>In CBAs, differences in the timing of benefits and costs are addressed by discounting future streams of benefits and costs to present values using an appropriate discount rate or rates. This makes monetary values in different periods comparable and amenable to meaningful aggregation.</w:t>
      </w:r>
    </w:p>
    <w:p w14:paraId="04C29F4A" w14:textId="77777777" w:rsidR="00B949E1" w:rsidRPr="00CF47F3" w:rsidRDefault="00B949E1" w:rsidP="00B949E1">
      <w:pPr>
        <w:pStyle w:val="BodyText"/>
      </w:pPr>
      <w:r w:rsidRPr="00CF47F3">
        <w:t>The</w:t>
      </w:r>
      <w:r>
        <w:t xml:space="preserve"> </w:t>
      </w:r>
      <w:r w:rsidRPr="00CF47F3">
        <w:t>following</w:t>
      </w:r>
      <w:r>
        <w:t xml:space="preserve"> </w:t>
      </w:r>
      <w:r w:rsidRPr="00CF47F3">
        <w:t>sections</w:t>
      </w:r>
      <w:r>
        <w:t xml:space="preserve"> </w:t>
      </w:r>
      <w:r w:rsidRPr="00CF47F3">
        <w:t>outline</w:t>
      </w:r>
      <w:r>
        <w:t xml:space="preserve"> </w:t>
      </w:r>
      <w:r w:rsidRPr="00CF47F3">
        <w:t>our</w:t>
      </w:r>
      <w:r>
        <w:t xml:space="preserve"> </w:t>
      </w:r>
      <w:r w:rsidRPr="00CF47F3">
        <w:t>approach</w:t>
      </w:r>
      <w:r>
        <w:t xml:space="preserve"> </w:t>
      </w:r>
      <w:r w:rsidRPr="00CF47F3">
        <w:t>to</w:t>
      </w:r>
      <w:r>
        <w:t xml:space="preserve"> </w:t>
      </w:r>
      <w:r w:rsidRPr="00CF47F3">
        <w:t>some</w:t>
      </w:r>
      <w:r>
        <w:t xml:space="preserve"> </w:t>
      </w:r>
      <w:r w:rsidRPr="00CF47F3">
        <w:t>general</w:t>
      </w:r>
      <w:r>
        <w:t xml:space="preserve"> </w:t>
      </w:r>
      <w:r w:rsidRPr="00CF47F3">
        <w:t>parameters</w:t>
      </w:r>
      <w:r>
        <w:t xml:space="preserve"> </w:t>
      </w:r>
      <w:r w:rsidRPr="00CF47F3">
        <w:t>used</w:t>
      </w:r>
      <w:r>
        <w:t xml:space="preserve"> </w:t>
      </w:r>
      <w:r w:rsidRPr="00CF47F3">
        <w:t>in</w:t>
      </w:r>
      <w:r>
        <w:t xml:space="preserve"> </w:t>
      </w:r>
      <w:r w:rsidRPr="00CF47F3">
        <w:t>the</w:t>
      </w:r>
      <w:r>
        <w:t xml:space="preserve"> </w:t>
      </w:r>
      <w:r w:rsidRPr="00CF47F3">
        <w:t>CBA.</w:t>
      </w:r>
    </w:p>
    <w:p w14:paraId="39659BAC" w14:textId="77777777" w:rsidR="00B949E1" w:rsidRDefault="00B949E1" w:rsidP="00B949E1">
      <w:pPr>
        <w:pStyle w:val="Heading3"/>
      </w:pPr>
      <w:r w:rsidRPr="001A4775">
        <w:t>Timeframe</w:t>
      </w:r>
      <w:r>
        <w:t xml:space="preserve"> </w:t>
      </w:r>
      <w:r w:rsidRPr="001A4775">
        <w:t>for</w:t>
      </w:r>
      <w:r>
        <w:t xml:space="preserve"> </w:t>
      </w:r>
      <w:r w:rsidRPr="001A4775">
        <w:t>analysis</w:t>
      </w:r>
      <w:r>
        <w:t xml:space="preserve"> </w:t>
      </w:r>
    </w:p>
    <w:p w14:paraId="0A11DB65" w14:textId="77777777" w:rsidR="00B949E1" w:rsidRDefault="00B949E1" w:rsidP="00B949E1">
      <w:pPr>
        <w:pStyle w:val="BodyText"/>
      </w:pPr>
      <w:r>
        <w:t>The timeframe used to model the costs and benefits of the proposed phase-out is based on assumptions about the intervention's life and associated impacts.</w:t>
      </w:r>
    </w:p>
    <w:p w14:paraId="6A1A7739" w14:textId="77777777" w:rsidR="00B949E1" w:rsidRDefault="00B949E1" w:rsidP="00B949E1">
      <w:pPr>
        <w:pStyle w:val="BodyText"/>
      </w:pPr>
      <w:r>
        <w:t xml:space="preserve">Consistent with best practice and previous CBA analyses and mirroring the tranche 2 modelling, it is assumed that actions related to the policy (compliance actions, information campaigns, industry </w:t>
      </w:r>
      <w:r>
        <w:lastRenderedPageBreak/>
        <w:t>training, etc) begin the year the scheme starts (2023) and extend for a period of 20 years (that is, costs associated with the scheme are be modelled for 20 years). The RIS does not propose a phase out for any SUP item as a preferred option.</w:t>
      </w:r>
    </w:p>
    <w:p w14:paraId="145CB521" w14:textId="77777777" w:rsidR="00B949E1" w:rsidRPr="0000232D" w:rsidRDefault="00B949E1" w:rsidP="00B949E1">
      <w:pPr>
        <w:pStyle w:val="BodyText"/>
      </w:pPr>
      <w:r>
        <w:t>After this period, it is assumed that a new CBA results in the policy being superseded, revised or extended in a normal cyclical policy review. As no ongoing investments are associated with the phase out, the modelling will cease in 2043.</w:t>
      </w:r>
    </w:p>
    <w:p w14:paraId="439D6A49" w14:textId="77777777" w:rsidR="00B949E1" w:rsidRDefault="00B949E1" w:rsidP="00B949E1">
      <w:pPr>
        <w:pStyle w:val="Heading3"/>
      </w:pPr>
      <w:r>
        <w:t>Discount rate</w:t>
      </w:r>
    </w:p>
    <w:p w14:paraId="09034E4F" w14:textId="77777777" w:rsidR="00B949E1" w:rsidRDefault="00B949E1" w:rsidP="00B949E1">
      <w:pPr>
        <w:pStyle w:val="BodyText"/>
      </w:pPr>
      <w:r>
        <w:t xml:space="preserve">There is extensive debate around the basis and selection of the appropriate rate to discount the stream of costs and benefits of interventions related to energy efficiency, as the rate used in CBAs has a very significant impact on the value placed on the benefits accumulated in the future over a long period of time. </w:t>
      </w:r>
    </w:p>
    <w:p w14:paraId="5EDFF3BB" w14:textId="77777777" w:rsidR="00B949E1" w:rsidRPr="0000232D" w:rsidRDefault="00B949E1" w:rsidP="00B949E1">
      <w:pPr>
        <w:pStyle w:val="BodyText"/>
      </w:pPr>
      <w:r>
        <w:t>Since the analysis timeframe is 20 years, t</w:t>
      </w:r>
      <w:r w:rsidRPr="00CF47F3">
        <w:t>he</w:t>
      </w:r>
      <w:r>
        <w:t xml:space="preserve"> OIA (Office of Impact Analysis) guidelines </w:t>
      </w:r>
      <w:r w:rsidRPr="00CF47F3">
        <w:t>require</w:t>
      </w:r>
      <w:r>
        <w:t xml:space="preserve"> calculating </w:t>
      </w:r>
      <w:r w:rsidRPr="00CF47F3">
        <w:t>net</w:t>
      </w:r>
      <w:r>
        <w:t xml:space="preserve"> </w:t>
      </w:r>
      <w:r w:rsidRPr="00CF47F3">
        <w:t>present</w:t>
      </w:r>
      <w:r>
        <w:t xml:space="preserve"> </w:t>
      </w:r>
      <w:r w:rsidRPr="00CF47F3">
        <w:t>values</w:t>
      </w:r>
      <w:r>
        <w:t xml:space="preserve"> </w:t>
      </w:r>
      <w:r w:rsidRPr="00CF47F3">
        <w:t>at</w:t>
      </w:r>
      <w:r>
        <w:t xml:space="preserve"> </w:t>
      </w:r>
      <w:r w:rsidRPr="00CF47F3">
        <w:t>an</w:t>
      </w:r>
      <w:r>
        <w:t xml:space="preserve"> </w:t>
      </w:r>
      <w:r w:rsidRPr="00CF47F3">
        <w:t>annual</w:t>
      </w:r>
      <w:r>
        <w:t xml:space="preserve"> </w:t>
      </w:r>
      <w:r w:rsidRPr="00CF47F3">
        <w:t>central</w:t>
      </w:r>
      <w:r>
        <w:t xml:space="preserve"> </w:t>
      </w:r>
      <w:r w:rsidRPr="00CF47F3">
        <w:t>real</w:t>
      </w:r>
      <w:r>
        <w:t xml:space="preserve"> </w:t>
      </w:r>
      <w:r w:rsidRPr="00CF47F3">
        <w:t>discount</w:t>
      </w:r>
      <w:r>
        <w:t xml:space="preserve"> </w:t>
      </w:r>
      <w:r w:rsidRPr="00CF47F3">
        <w:t>rate</w:t>
      </w:r>
      <w:r>
        <w:t xml:space="preserve"> </w:t>
      </w:r>
      <w:r w:rsidRPr="00CF47F3">
        <w:t>of</w:t>
      </w:r>
      <w:r>
        <w:t xml:space="preserve"> </w:t>
      </w:r>
      <w:r w:rsidRPr="00CF47F3">
        <w:t>7</w:t>
      </w:r>
      <w:r>
        <w:t>%</w:t>
      </w:r>
      <w:r w:rsidRPr="00CF47F3">
        <w:t>,</w:t>
      </w:r>
      <w:r>
        <w:t xml:space="preserve"> </w:t>
      </w:r>
      <w:r w:rsidRPr="00CF47F3">
        <w:t>with</w:t>
      </w:r>
      <w:r>
        <w:t xml:space="preserve"> </w:t>
      </w:r>
      <w:r w:rsidRPr="00CF47F3">
        <w:t>sensitivity</w:t>
      </w:r>
      <w:r>
        <w:t xml:space="preserve"> </w:t>
      </w:r>
      <w:r w:rsidRPr="00CF47F3">
        <w:t>analysis</w:t>
      </w:r>
      <w:r>
        <w:t xml:space="preserve"> </w:t>
      </w:r>
      <w:r w:rsidRPr="00CF47F3">
        <w:t>conducted</w:t>
      </w:r>
      <w:r>
        <w:t xml:space="preserve"> </w:t>
      </w:r>
      <w:r w:rsidRPr="00CF47F3">
        <w:t>using</w:t>
      </w:r>
      <w:r>
        <w:t xml:space="preserve"> </w:t>
      </w:r>
      <w:r w:rsidRPr="00CF47F3">
        <w:t>a</w:t>
      </w:r>
      <w:r>
        <w:t xml:space="preserve"> </w:t>
      </w:r>
      <w:r w:rsidRPr="00CF47F3">
        <w:t>lower</w:t>
      </w:r>
      <w:r>
        <w:t xml:space="preserve"> </w:t>
      </w:r>
      <w:r w:rsidRPr="00CF47F3">
        <w:t>bound</w:t>
      </w:r>
      <w:r>
        <w:t xml:space="preserve"> </w:t>
      </w:r>
      <w:r w:rsidRPr="00CF47F3">
        <w:t>discount</w:t>
      </w:r>
      <w:r>
        <w:t xml:space="preserve"> </w:t>
      </w:r>
      <w:r w:rsidRPr="00CF47F3">
        <w:t>rate</w:t>
      </w:r>
      <w:r>
        <w:t xml:space="preserve"> </w:t>
      </w:r>
      <w:r w:rsidRPr="00CF47F3">
        <w:t>of</w:t>
      </w:r>
      <w:r>
        <w:t xml:space="preserve"> </w:t>
      </w:r>
      <w:r w:rsidRPr="00CF47F3">
        <w:t>3</w:t>
      </w:r>
      <w:r>
        <w:t xml:space="preserve">% </w:t>
      </w:r>
      <w:r w:rsidRPr="00CF47F3">
        <w:t>and</w:t>
      </w:r>
      <w:r>
        <w:t xml:space="preserve"> </w:t>
      </w:r>
      <w:r w:rsidRPr="00CF47F3">
        <w:t>an</w:t>
      </w:r>
      <w:r>
        <w:t xml:space="preserve"> </w:t>
      </w:r>
      <w:r w:rsidRPr="00CF47F3">
        <w:t>upper</w:t>
      </w:r>
      <w:r>
        <w:t xml:space="preserve"> </w:t>
      </w:r>
      <w:r w:rsidRPr="00CF47F3">
        <w:t>bound</w:t>
      </w:r>
      <w:r>
        <w:t xml:space="preserve"> </w:t>
      </w:r>
      <w:r w:rsidRPr="00CF47F3">
        <w:t>discount</w:t>
      </w:r>
      <w:r>
        <w:t xml:space="preserve"> </w:t>
      </w:r>
      <w:r w:rsidRPr="00CF47F3">
        <w:t>rate</w:t>
      </w:r>
      <w:r>
        <w:t xml:space="preserve"> </w:t>
      </w:r>
      <w:r w:rsidRPr="00CF47F3">
        <w:t>of</w:t>
      </w:r>
      <w:r>
        <w:t xml:space="preserve"> </w:t>
      </w:r>
      <w:r w:rsidRPr="00CF47F3">
        <w:t>1</w:t>
      </w:r>
      <w:r>
        <w:t>0%</w:t>
      </w:r>
      <w:r w:rsidRPr="00CF47F3">
        <w:t>.</w:t>
      </w:r>
      <w:r>
        <w:rPr>
          <w:rStyle w:val="FootnoteReference"/>
        </w:rPr>
        <w:footnoteReference w:id="74"/>
      </w:r>
      <w:r>
        <w:t xml:space="preserve"> </w:t>
      </w:r>
    </w:p>
    <w:p w14:paraId="50962E44" w14:textId="77777777" w:rsidR="00B949E1" w:rsidRDefault="00B949E1" w:rsidP="00B949E1">
      <w:pPr>
        <w:pStyle w:val="Heading3"/>
      </w:pPr>
      <w:r>
        <w:t xml:space="preserve">Net impact </w:t>
      </w:r>
      <w:r w:rsidRPr="009D1414">
        <w:t>measures</w:t>
      </w:r>
    </w:p>
    <w:p w14:paraId="2C79BEAC" w14:textId="77777777" w:rsidR="00B949E1" w:rsidRDefault="00B949E1" w:rsidP="00B949E1">
      <w:pPr>
        <w:pStyle w:val="BodyText"/>
      </w:pPr>
      <w:r>
        <w:t xml:space="preserve">The results of a CBA should be presented to facilitate the identification of the preferred option. Combining all estimated benefits and costs, we have estimated the net impact of the proposed changes and identify the option that generates the greatest net benefit for the community. </w:t>
      </w:r>
    </w:p>
    <w:p w14:paraId="55948966" w14:textId="77777777" w:rsidR="00B949E1" w:rsidRDefault="00B949E1" w:rsidP="00B949E1">
      <w:pPr>
        <w:pStyle w:val="BodyText"/>
      </w:pPr>
      <w:r>
        <w:t xml:space="preserve">We will provide two measures for each of the policy options, they are outlined in </w:t>
      </w:r>
      <w:r w:rsidRPr="00B91DCC">
        <w:rPr>
          <w:b/>
          <w:bCs/>
        </w:rPr>
        <w:fldChar w:fldCharType="begin"/>
      </w:r>
      <w:r w:rsidRPr="00B91DCC">
        <w:rPr>
          <w:b/>
          <w:bCs/>
        </w:rPr>
        <w:instrText xml:space="preserve"> REF _Ref130824876 \h  \* MERGEFORMAT </w:instrText>
      </w:r>
      <w:r w:rsidRPr="00B91DCC">
        <w:rPr>
          <w:b/>
          <w:bCs/>
        </w:rPr>
      </w:r>
      <w:r w:rsidRPr="00B91DCC">
        <w:rPr>
          <w:b/>
          <w:bCs/>
        </w:rPr>
        <w:fldChar w:fldCharType="separate"/>
      </w:r>
      <w:r w:rsidRPr="00790266">
        <w:rPr>
          <w:rStyle w:val="CaptionLabel"/>
          <w:b w:val="0"/>
          <w:bCs/>
        </w:rPr>
        <w:t>Table 6.1</w:t>
      </w:r>
      <w:r w:rsidRPr="00B91DCC">
        <w:rPr>
          <w:b/>
          <w:bCs/>
        </w:rPr>
        <w:fldChar w:fldCharType="end"/>
      </w:r>
      <w:r>
        <w:rPr>
          <w:b/>
          <w:bCs/>
        </w:rPr>
        <w:t xml:space="preserve"> </w:t>
      </w:r>
      <w:r>
        <w:t xml:space="preserve">below. </w:t>
      </w:r>
    </w:p>
    <w:p w14:paraId="3E6801BF" w14:textId="77777777" w:rsidR="00B949E1" w:rsidRDefault="00B949E1" w:rsidP="00B949E1">
      <w:pPr>
        <w:pStyle w:val="Caption"/>
      </w:pPr>
      <w:bookmarkStart w:id="81" w:name="_Ref130824876"/>
      <w:bookmarkStart w:id="82" w:name="_Toc134002441"/>
      <w:r w:rsidRPr="006E5388">
        <w:rPr>
          <w:rStyle w:val="CaptionLabel"/>
        </w:rPr>
        <w:t>Table </w:t>
      </w:r>
      <w:r w:rsidRPr="006E5388">
        <w:rPr>
          <w:rStyle w:val="CaptionLabel"/>
        </w:rPr>
        <w:fldChar w:fldCharType="begin"/>
      </w:r>
      <w:r w:rsidRPr="006E5388">
        <w:rPr>
          <w:rStyle w:val="CaptionLabel"/>
        </w:rPr>
        <w:instrText xml:space="preserve"> STYLEREF 1 \S \* MERGEFORMAT </w:instrText>
      </w:r>
      <w:r w:rsidRPr="006E5388">
        <w:rPr>
          <w:rStyle w:val="CaptionLabel"/>
        </w:rPr>
        <w:fldChar w:fldCharType="separate"/>
      </w:r>
      <w:r>
        <w:rPr>
          <w:rStyle w:val="CaptionLabel"/>
          <w:noProof/>
        </w:rPr>
        <w:t>6</w:t>
      </w:r>
      <w:r w:rsidRPr="006E5388">
        <w:rPr>
          <w:rStyle w:val="CaptionLabel"/>
        </w:rPr>
        <w:fldChar w:fldCharType="end"/>
      </w:r>
      <w:r w:rsidRPr="006E5388">
        <w:rPr>
          <w:rStyle w:val="CaptionLabel"/>
        </w:rPr>
        <w:t>.</w:t>
      </w:r>
      <w:r w:rsidRPr="006E5388">
        <w:rPr>
          <w:rStyle w:val="CaptionLabel"/>
        </w:rPr>
        <w:fldChar w:fldCharType="begin"/>
      </w:r>
      <w:r w:rsidRPr="006E5388">
        <w:rPr>
          <w:rStyle w:val="CaptionLabel"/>
        </w:rPr>
        <w:instrText xml:space="preserve"> SEQ Table \* ARABIC \S 1 \* MERGEFORMAT </w:instrText>
      </w:r>
      <w:r w:rsidRPr="006E5388">
        <w:rPr>
          <w:rStyle w:val="CaptionLabel"/>
        </w:rPr>
        <w:fldChar w:fldCharType="separate"/>
      </w:r>
      <w:r>
        <w:rPr>
          <w:rStyle w:val="CaptionLabel"/>
          <w:noProof/>
        </w:rPr>
        <w:t>1</w:t>
      </w:r>
      <w:r w:rsidRPr="006E5388">
        <w:rPr>
          <w:rStyle w:val="CaptionLabel"/>
        </w:rPr>
        <w:fldChar w:fldCharType="end"/>
      </w:r>
      <w:bookmarkEnd w:id="81"/>
      <w:r>
        <w:tab/>
        <w:t xml:space="preserve">Summary of measures to be included in the </w:t>
      </w:r>
      <w:proofErr w:type="gramStart"/>
      <w:r>
        <w:t>CBA</w:t>
      </w:r>
      <w:bookmarkEnd w:id="82"/>
      <w:proofErr w:type="gramEnd"/>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276"/>
        <w:gridCol w:w="1701"/>
        <w:gridCol w:w="1418"/>
        <w:gridCol w:w="3541"/>
      </w:tblGrid>
      <w:tr w:rsidR="00B949E1" w14:paraId="464FFABB" w14:textId="77777777" w:rsidTr="00B9362B">
        <w:trPr>
          <w:tblHeader/>
        </w:trPr>
        <w:tc>
          <w:tcPr>
            <w:tcW w:w="1730" w:type="dxa"/>
            <w:gridSpan w:val="2"/>
            <w:tcBorders>
              <w:top w:val="nil"/>
              <w:bottom w:val="nil"/>
            </w:tcBorders>
            <w:shd w:val="clear" w:color="auto" w:fill="140034"/>
            <w:tcMar>
              <w:left w:w="454" w:type="dxa"/>
            </w:tcMar>
            <w:vAlign w:val="center"/>
          </w:tcPr>
          <w:p w14:paraId="3717C13F" w14:textId="77777777" w:rsidR="00B949E1" w:rsidRDefault="00B949E1" w:rsidP="00B9362B">
            <w:pPr>
              <w:pStyle w:val="Tablecolumnheadings"/>
            </w:pPr>
            <w:r w:rsidRPr="00B41357">
              <w:t>Summary</w:t>
            </w:r>
            <w:r>
              <w:t xml:space="preserve"> </w:t>
            </w:r>
            <w:r w:rsidRPr="00B41357">
              <w:t>measure</w:t>
            </w:r>
          </w:p>
        </w:tc>
        <w:tc>
          <w:tcPr>
            <w:tcW w:w="1701" w:type="dxa"/>
            <w:tcBorders>
              <w:top w:val="nil"/>
              <w:bottom w:val="nil"/>
            </w:tcBorders>
            <w:shd w:val="clear" w:color="auto" w:fill="140034"/>
            <w:vAlign w:val="center"/>
          </w:tcPr>
          <w:p w14:paraId="255D64F5" w14:textId="77777777" w:rsidR="00B949E1" w:rsidRDefault="00B949E1" w:rsidP="00B9362B">
            <w:pPr>
              <w:pStyle w:val="Tablecolumnheadings"/>
            </w:pPr>
            <w:r w:rsidRPr="00B41357">
              <w:t>Description</w:t>
            </w:r>
          </w:p>
        </w:tc>
        <w:tc>
          <w:tcPr>
            <w:tcW w:w="1418" w:type="dxa"/>
            <w:tcBorders>
              <w:top w:val="nil"/>
              <w:bottom w:val="nil"/>
            </w:tcBorders>
            <w:shd w:val="clear" w:color="auto" w:fill="140034"/>
            <w:vAlign w:val="center"/>
          </w:tcPr>
          <w:p w14:paraId="0AF6C108" w14:textId="77777777" w:rsidR="00B949E1" w:rsidRDefault="00B949E1" w:rsidP="00B9362B">
            <w:pPr>
              <w:pStyle w:val="Tablecolumnheadings"/>
            </w:pPr>
            <w:r w:rsidRPr="00B41357">
              <w:t>Success</w:t>
            </w:r>
            <w:r>
              <w:t xml:space="preserve"> </w:t>
            </w:r>
            <w:r w:rsidRPr="00B41357">
              <w:t>measurement</w:t>
            </w:r>
          </w:p>
        </w:tc>
        <w:tc>
          <w:tcPr>
            <w:tcW w:w="3541" w:type="dxa"/>
            <w:tcBorders>
              <w:top w:val="nil"/>
              <w:bottom w:val="nil"/>
              <w:right w:val="single" w:sz="6" w:space="0" w:color="140034"/>
            </w:tcBorders>
            <w:shd w:val="clear" w:color="auto" w:fill="140034"/>
            <w:vAlign w:val="center"/>
          </w:tcPr>
          <w:p w14:paraId="375801F6" w14:textId="77777777" w:rsidR="00B949E1" w:rsidRDefault="00B949E1" w:rsidP="00B9362B">
            <w:pPr>
              <w:pStyle w:val="Tablecolumnheadings"/>
            </w:pPr>
            <w:r w:rsidRPr="00B41357">
              <w:t>Comparative</w:t>
            </w:r>
            <w:r>
              <w:t xml:space="preserve"> </w:t>
            </w:r>
            <w:r w:rsidRPr="00B41357">
              <w:t>ability</w:t>
            </w:r>
          </w:p>
        </w:tc>
      </w:tr>
      <w:tr w:rsidR="00B949E1" w14:paraId="4D8AB9E1" w14:textId="77777777" w:rsidTr="00B9362B">
        <w:trPr>
          <w:gridBefore w:val="1"/>
          <w:wBefore w:w="454" w:type="dxa"/>
        </w:trPr>
        <w:tc>
          <w:tcPr>
            <w:tcW w:w="1276" w:type="dxa"/>
            <w:tcBorders>
              <w:top w:val="nil"/>
            </w:tcBorders>
            <w:shd w:val="clear" w:color="auto" w:fill="auto"/>
          </w:tcPr>
          <w:p w14:paraId="0552B2E7" w14:textId="77777777" w:rsidR="00B949E1" w:rsidRDefault="00B949E1" w:rsidP="00B9362B">
            <w:pPr>
              <w:pStyle w:val="Tabletext"/>
            </w:pPr>
            <w:r w:rsidRPr="00B41357">
              <w:t>Net</w:t>
            </w:r>
            <w:r>
              <w:t xml:space="preserve"> </w:t>
            </w:r>
            <w:r w:rsidRPr="00B41357">
              <w:t>present</w:t>
            </w:r>
            <w:r>
              <w:t xml:space="preserve"> </w:t>
            </w:r>
            <w:r w:rsidRPr="00B41357">
              <w:t>value</w:t>
            </w:r>
            <w:r>
              <w:t xml:space="preserve"> </w:t>
            </w:r>
            <w:r w:rsidRPr="00B41357">
              <w:t>(NPV)</w:t>
            </w:r>
          </w:p>
        </w:tc>
        <w:tc>
          <w:tcPr>
            <w:tcW w:w="1701" w:type="dxa"/>
            <w:tcBorders>
              <w:top w:val="nil"/>
            </w:tcBorders>
            <w:shd w:val="clear" w:color="auto" w:fill="auto"/>
          </w:tcPr>
          <w:p w14:paraId="50A5E8A9" w14:textId="77777777" w:rsidR="00B949E1" w:rsidRDefault="00B949E1" w:rsidP="00B9362B">
            <w:pPr>
              <w:pStyle w:val="Tabletext"/>
            </w:pPr>
            <w:r w:rsidRPr="00B41357">
              <w:t>Sum</w:t>
            </w:r>
            <w:r>
              <w:t xml:space="preserve"> </w:t>
            </w:r>
            <w:r w:rsidRPr="00B41357">
              <w:t>of</w:t>
            </w:r>
            <w:r>
              <w:t xml:space="preserve"> </w:t>
            </w:r>
            <w:r w:rsidRPr="00B41357">
              <w:t>discounted</w:t>
            </w:r>
            <w:r>
              <w:t xml:space="preserve"> </w:t>
            </w:r>
            <w:r w:rsidRPr="00B41357">
              <w:t>annual</w:t>
            </w:r>
            <w:r>
              <w:t xml:space="preserve"> </w:t>
            </w:r>
            <w:r w:rsidRPr="00B41357">
              <w:t>net</w:t>
            </w:r>
            <w:r>
              <w:t xml:space="preserve"> </w:t>
            </w:r>
            <w:r w:rsidRPr="00B41357">
              <w:t>benefits</w:t>
            </w:r>
            <w:r>
              <w:t xml:space="preserve"> </w:t>
            </w:r>
            <w:r w:rsidRPr="00B41357">
              <w:t>(benefits</w:t>
            </w:r>
            <w:r>
              <w:t xml:space="preserve"> </w:t>
            </w:r>
            <w:r w:rsidRPr="00B41357">
              <w:t>minus</w:t>
            </w:r>
            <w:r>
              <w:t xml:space="preserve"> </w:t>
            </w:r>
            <w:r w:rsidRPr="00B41357">
              <w:t xml:space="preserve">costs) </w:t>
            </w:r>
          </w:p>
        </w:tc>
        <w:tc>
          <w:tcPr>
            <w:tcW w:w="1418" w:type="dxa"/>
            <w:tcBorders>
              <w:top w:val="nil"/>
            </w:tcBorders>
            <w:shd w:val="clear" w:color="auto" w:fill="auto"/>
          </w:tcPr>
          <w:p w14:paraId="07DB83B3" w14:textId="77777777" w:rsidR="00B949E1" w:rsidRDefault="00B949E1" w:rsidP="00B9362B">
            <w:pPr>
              <w:pStyle w:val="Tabletext"/>
            </w:pPr>
            <w:r>
              <w:t xml:space="preserve">Policy </w:t>
            </w:r>
            <w:r w:rsidRPr="00B41357">
              <w:t>is</w:t>
            </w:r>
            <w:r>
              <w:t xml:space="preserve"> </w:t>
            </w:r>
            <w:r w:rsidRPr="00B41357">
              <w:t>beneficial</w:t>
            </w:r>
            <w:r>
              <w:t xml:space="preserve"> </w:t>
            </w:r>
            <w:r w:rsidRPr="00B41357">
              <w:t>to</w:t>
            </w:r>
            <w:r>
              <w:t xml:space="preserve"> </w:t>
            </w:r>
            <w:r w:rsidRPr="00B41357">
              <w:t>society</w:t>
            </w:r>
            <w:r>
              <w:t xml:space="preserve"> </w:t>
            </w:r>
            <w:r w:rsidRPr="00B41357">
              <w:t>if</w:t>
            </w:r>
            <w:r>
              <w:t xml:space="preserve"> </w:t>
            </w:r>
            <w:r w:rsidRPr="00B41357">
              <w:t>NPV</w:t>
            </w:r>
            <w:r>
              <w:t xml:space="preserve"> </w:t>
            </w:r>
            <w:r w:rsidRPr="00B41357">
              <w:t>is</w:t>
            </w:r>
            <w:r>
              <w:t xml:space="preserve"> </w:t>
            </w:r>
            <w:r w:rsidRPr="00B41357">
              <w:t>greater</w:t>
            </w:r>
            <w:r>
              <w:t xml:space="preserve"> </w:t>
            </w:r>
            <w:r w:rsidRPr="00B41357">
              <w:t>than</w:t>
            </w:r>
            <w:r>
              <w:t xml:space="preserve"> </w:t>
            </w:r>
            <w:r w:rsidRPr="00B41357">
              <w:t>zero</w:t>
            </w:r>
            <w:r>
              <w:t xml:space="preserve"> </w:t>
            </w:r>
          </w:p>
        </w:tc>
        <w:tc>
          <w:tcPr>
            <w:tcW w:w="3541" w:type="dxa"/>
            <w:tcBorders>
              <w:top w:val="nil"/>
            </w:tcBorders>
            <w:shd w:val="clear" w:color="auto" w:fill="auto"/>
          </w:tcPr>
          <w:p w14:paraId="0B581783" w14:textId="77777777" w:rsidR="00B949E1" w:rsidRDefault="00B949E1" w:rsidP="00B9362B">
            <w:pPr>
              <w:pStyle w:val="Tabletext"/>
            </w:pPr>
            <w:r w:rsidRPr="00B41357">
              <w:t>Provides</w:t>
            </w:r>
            <w:r>
              <w:t xml:space="preserve"> </w:t>
            </w:r>
            <w:r w:rsidRPr="00B41357">
              <w:t>the</w:t>
            </w:r>
            <w:r>
              <w:t xml:space="preserve"> </w:t>
            </w:r>
            <w:r w:rsidRPr="00B41357">
              <w:t>ability</w:t>
            </w:r>
            <w:r>
              <w:t xml:space="preserve"> </w:t>
            </w:r>
            <w:r w:rsidRPr="00B41357">
              <w:t>to</w:t>
            </w:r>
            <w:r>
              <w:t xml:space="preserve"> </w:t>
            </w:r>
            <w:r w:rsidRPr="00B41357">
              <w:t>compare</w:t>
            </w:r>
            <w:r>
              <w:t xml:space="preserve"> policy options </w:t>
            </w:r>
            <w:r w:rsidRPr="00B41357">
              <w:t>according</w:t>
            </w:r>
            <w:r>
              <w:t xml:space="preserve"> </w:t>
            </w:r>
            <w:r w:rsidRPr="00B41357">
              <w:t>to</w:t>
            </w:r>
            <w:r>
              <w:t xml:space="preserve"> </w:t>
            </w:r>
            <w:r w:rsidRPr="00B41357">
              <w:t>the</w:t>
            </w:r>
            <w:r>
              <w:t xml:space="preserve"> </w:t>
            </w:r>
            <w:r w:rsidRPr="00B41357">
              <w:t>total</w:t>
            </w:r>
            <w:r>
              <w:t xml:space="preserve"> </w:t>
            </w:r>
            <w:r w:rsidRPr="00B41357">
              <w:t>economic</w:t>
            </w:r>
            <w:r>
              <w:t xml:space="preserve"> </w:t>
            </w:r>
            <w:r w:rsidRPr="00B41357">
              <w:t>return</w:t>
            </w:r>
            <w:r>
              <w:t xml:space="preserve"> </w:t>
            </w:r>
            <w:r w:rsidRPr="00B41357">
              <w:t>of</w:t>
            </w:r>
            <w:r>
              <w:t xml:space="preserve"> </w:t>
            </w:r>
            <w:r w:rsidRPr="00B41357">
              <w:t>each,</w:t>
            </w:r>
            <w:r>
              <w:t xml:space="preserve"> </w:t>
            </w:r>
            <w:r w:rsidRPr="00B41357">
              <w:t>where</w:t>
            </w:r>
            <w:r>
              <w:t xml:space="preserve"> </w:t>
            </w:r>
            <w:r w:rsidRPr="00B41357">
              <w:t>the</w:t>
            </w:r>
            <w:r>
              <w:t xml:space="preserve"> </w:t>
            </w:r>
            <w:r w:rsidRPr="00B41357">
              <w:t>option</w:t>
            </w:r>
            <w:r>
              <w:t xml:space="preserve"> </w:t>
            </w:r>
            <w:r w:rsidRPr="00B41357">
              <w:t>with</w:t>
            </w:r>
            <w:r>
              <w:t xml:space="preserve"> </w:t>
            </w:r>
            <w:r w:rsidRPr="00B41357">
              <w:t>the</w:t>
            </w:r>
            <w:r>
              <w:t xml:space="preserve"> </w:t>
            </w:r>
            <w:r w:rsidRPr="00B41357">
              <w:t>largest</w:t>
            </w:r>
            <w:r>
              <w:t xml:space="preserve"> </w:t>
            </w:r>
            <w:r w:rsidRPr="00B41357">
              <w:t>NPV</w:t>
            </w:r>
            <w:r>
              <w:t xml:space="preserve"> </w:t>
            </w:r>
            <w:r w:rsidRPr="00B41357">
              <w:t>should</w:t>
            </w:r>
            <w:r>
              <w:t xml:space="preserve"> </w:t>
            </w:r>
            <w:r w:rsidRPr="00B41357">
              <w:t>be</w:t>
            </w:r>
            <w:r>
              <w:t xml:space="preserve"> </w:t>
            </w:r>
            <w:r w:rsidRPr="00B41357">
              <w:t>favoured</w:t>
            </w:r>
          </w:p>
        </w:tc>
      </w:tr>
      <w:tr w:rsidR="00B949E1" w14:paraId="6DDF5E23" w14:textId="77777777" w:rsidTr="00B9362B">
        <w:trPr>
          <w:gridBefore w:val="1"/>
          <w:wBefore w:w="454" w:type="dxa"/>
        </w:trPr>
        <w:tc>
          <w:tcPr>
            <w:tcW w:w="1276" w:type="dxa"/>
            <w:shd w:val="clear" w:color="auto" w:fill="auto"/>
          </w:tcPr>
          <w:p w14:paraId="5E09DCE8" w14:textId="77777777" w:rsidR="00B949E1" w:rsidRDefault="00B949E1" w:rsidP="00B9362B">
            <w:pPr>
              <w:pStyle w:val="Tabletext"/>
            </w:pPr>
            <w:r w:rsidRPr="00B41357">
              <w:t>Benefit-cost</w:t>
            </w:r>
            <w:r>
              <w:t xml:space="preserve"> </w:t>
            </w:r>
            <w:r w:rsidRPr="00B41357">
              <w:t>ratio</w:t>
            </w:r>
            <w:r>
              <w:t xml:space="preserve"> </w:t>
            </w:r>
            <w:r w:rsidRPr="00B41357">
              <w:t>(BCR)</w:t>
            </w:r>
          </w:p>
        </w:tc>
        <w:tc>
          <w:tcPr>
            <w:tcW w:w="1701" w:type="dxa"/>
            <w:shd w:val="clear" w:color="auto" w:fill="auto"/>
          </w:tcPr>
          <w:p w14:paraId="3B6C86E6" w14:textId="77777777" w:rsidR="00B949E1" w:rsidRDefault="00B949E1" w:rsidP="00B9362B">
            <w:pPr>
              <w:pStyle w:val="Tabletext"/>
            </w:pPr>
            <w:r w:rsidRPr="00B41357">
              <w:t>Ratio</w:t>
            </w:r>
            <w:r>
              <w:t xml:space="preserve"> </w:t>
            </w:r>
            <w:r w:rsidRPr="00B41357">
              <w:t>of</w:t>
            </w:r>
            <w:r>
              <w:t xml:space="preserve"> </w:t>
            </w:r>
            <w:r w:rsidRPr="00B41357">
              <w:t>the</w:t>
            </w:r>
            <w:r>
              <w:t xml:space="preserve"> </w:t>
            </w:r>
            <w:r w:rsidRPr="00B41357">
              <w:t>present</w:t>
            </w:r>
            <w:r>
              <w:t xml:space="preserve"> </w:t>
            </w:r>
            <w:r w:rsidRPr="00B41357">
              <w:t>value</w:t>
            </w:r>
            <w:r>
              <w:t xml:space="preserve"> </w:t>
            </w:r>
            <w:r w:rsidRPr="00B41357">
              <w:t>of</w:t>
            </w:r>
            <w:r>
              <w:t xml:space="preserve"> </w:t>
            </w:r>
            <w:r w:rsidRPr="00B41357">
              <w:t>total</w:t>
            </w:r>
            <w:r>
              <w:t xml:space="preserve"> </w:t>
            </w:r>
            <w:r w:rsidRPr="00B41357">
              <w:t>costs</w:t>
            </w:r>
            <w:r>
              <w:t xml:space="preserve"> </w:t>
            </w:r>
            <w:r w:rsidRPr="00B41357">
              <w:t>to</w:t>
            </w:r>
            <w:r>
              <w:t xml:space="preserve"> </w:t>
            </w:r>
            <w:r w:rsidRPr="00B41357">
              <w:t>the</w:t>
            </w:r>
            <w:r>
              <w:t xml:space="preserve"> </w:t>
            </w:r>
            <w:r w:rsidRPr="00B41357">
              <w:t>present</w:t>
            </w:r>
            <w:r>
              <w:t xml:space="preserve"> </w:t>
            </w:r>
            <w:r w:rsidRPr="00B41357">
              <w:t>value</w:t>
            </w:r>
            <w:r>
              <w:t xml:space="preserve"> </w:t>
            </w:r>
            <w:r w:rsidRPr="00B41357">
              <w:t>of</w:t>
            </w:r>
            <w:r>
              <w:t xml:space="preserve"> </w:t>
            </w:r>
            <w:r w:rsidRPr="00B41357">
              <w:t>total</w:t>
            </w:r>
            <w:r>
              <w:t xml:space="preserve"> </w:t>
            </w:r>
            <w:r w:rsidRPr="00B41357">
              <w:t>benefits</w:t>
            </w:r>
            <w:r>
              <w:t xml:space="preserve"> </w:t>
            </w:r>
          </w:p>
        </w:tc>
        <w:tc>
          <w:tcPr>
            <w:tcW w:w="1418" w:type="dxa"/>
            <w:shd w:val="clear" w:color="auto" w:fill="auto"/>
          </w:tcPr>
          <w:p w14:paraId="4D7FFE7E" w14:textId="77777777" w:rsidR="00B949E1" w:rsidRDefault="00B949E1" w:rsidP="00B9362B">
            <w:pPr>
              <w:pStyle w:val="Tabletext"/>
            </w:pPr>
            <w:r>
              <w:t xml:space="preserve">Policy </w:t>
            </w:r>
            <w:r w:rsidRPr="00B41357">
              <w:t>is</w:t>
            </w:r>
            <w:r>
              <w:t xml:space="preserve"> </w:t>
            </w:r>
            <w:r w:rsidRPr="00B41357">
              <w:t>beneficial</w:t>
            </w:r>
            <w:r>
              <w:t xml:space="preserve"> </w:t>
            </w:r>
            <w:r w:rsidRPr="00B41357">
              <w:t>to</w:t>
            </w:r>
            <w:r>
              <w:t xml:space="preserve"> </w:t>
            </w:r>
            <w:r w:rsidRPr="00B41357">
              <w:t>society</w:t>
            </w:r>
            <w:r>
              <w:t xml:space="preserve"> </w:t>
            </w:r>
            <w:r w:rsidRPr="00B41357">
              <w:t>if</w:t>
            </w:r>
            <w:r>
              <w:t xml:space="preserve"> </w:t>
            </w:r>
            <w:r w:rsidRPr="00B41357">
              <w:t>BCR</w:t>
            </w:r>
            <w:r>
              <w:t xml:space="preserve"> </w:t>
            </w:r>
            <w:r w:rsidRPr="00B41357">
              <w:t>is</w:t>
            </w:r>
            <w:r>
              <w:t xml:space="preserve"> </w:t>
            </w:r>
            <w:r w:rsidRPr="00B41357">
              <w:t>greater</w:t>
            </w:r>
            <w:r>
              <w:t xml:space="preserve"> </w:t>
            </w:r>
            <w:r w:rsidRPr="00B41357">
              <w:t>than</w:t>
            </w:r>
            <w:r>
              <w:t xml:space="preserve"> </w:t>
            </w:r>
            <w:r w:rsidRPr="00B41357">
              <w:t>one</w:t>
            </w:r>
          </w:p>
        </w:tc>
        <w:tc>
          <w:tcPr>
            <w:tcW w:w="3541" w:type="dxa"/>
            <w:shd w:val="clear" w:color="auto" w:fill="auto"/>
          </w:tcPr>
          <w:p w14:paraId="425318EA" w14:textId="77777777" w:rsidR="00B949E1" w:rsidRDefault="00B949E1" w:rsidP="00B9362B">
            <w:pPr>
              <w:pStyle w:val="Tabletext"/>
            </w:pPr>
            <w:r w:rsidRPr="00B41357">
              <w:t>Provides</w:t>
            </w:r>
            <w:r>
              <w:t xml:space="preserve"> </w:t>
            </w:r>
            <w:r w:rsidRPr="00B41357">
              <w:t>the</w:t>
            </w:r>
            <w:r>
              <w:t xml:space="preserve"> </w:t>
            </w:r>
            <w:r w:rsidRPr="00B41357">
              <w:t>ability</w:t>
            </w:r>
            <w:r>
              <w:t xml:space="preserve"> </w:t>
            </w:r>
            <w:r w:rsidRPr="00B41357">
              <w:t>to</w:t>
            </w:r>
            <w:r>
              <w:t xml:space="preserve"> </w:t>
            </w:r>
            <w:r w:rsidRPr="00B41357">
              <w:t>compare</w:t>
            </w:r>
            <w:r>
              <w:t xml:space="preserve"> policy options </w:t>
            </w:r>
            <w:r w:rsidRPr="00B41357">
              <w:t>according</w:t>
            </w:r>
            <w:r>
              <w:t xml:space="preserve"> </w:t>
            </w:r>
            <w:r w:rsidRPr="00B41357">
              <w:t>to</w:t>
            </w:r>
            <w:r>
              <w:t xml:space="preserve"> </w:t>
            </w:r>
            <w:r w:rsidRPr="00B41357">
              <w:t>the</w:t>
            </w:r>
            <w:r>
              <w:t xml:space="preserve"> </w:t>
            </w:r>
            <w:r w:rsidRPr="00B41357">
              <w:t>degree</w:t>
            </w:r>
            <w:r>
              <w:t xml:space="preserve"> </w:t>
            </w:r>
            <w:r w:rsidRPr="00B41357">
              <w:t>to</w:t>
            </w:r>
            <w:r>
              <w:t xml:space="preserve"> </w:t>
            </w:r>
            <w:r w:rsidRPr="00B41357">
              <w:t>which</w:t>
            </w:r>
            <w:r>
              <w:t xml:space="preserve"> </w:t>
            </w:r>
            <w:r w:rsidRPr="00B41357">
              <w:t>benefits</w:t>
            </w:r>
            <w:r>
              <w:t xml:space="preserve"> </w:t>
            </w:r>
            <w:r w:rsidRPr="00B41357">
              <w:t>outweigh</w:t>
            </w:r>
            <w:r>
              <w:t xml:space="preserve"> </w:t>
            </w:r>
            <w:r w:rsidRPr="00B41357">
              <w:t>costs</w:t>
            </w:r>
            <w:r>
              <w:t xml:space="preserve"> </w:t>
            </w:r>
            <w:r w:rsidRPr="00B41357">
              <w:t>for</w:t>
            </w:r>
            <w:r>
              <w:t xml:space="preserve"> </w:t>
            </w:r>
            <w:r w:rsidRPr="00B41357">
              <w:t>each,</w:t>
            </w:r>
            <w:r>
              <w:t xml:space="preserve"> </w:t>
            </w:r>
            <w:r w:rsidRPr="00B41357">
              <w:t>where</w:t>
            </w:r>
            <w:r>
              <w:t xml:space="preserve"> </w:t>
            </w:r>
            <w:r w:rsidRPr="00B41357">
              <w:t>the</w:t>
            </w:r>
            <w:r>
              <w:t xml:space="preserve"> </w:t>
            </w:r>
            <w:r w:rsidRPr="00B41357">
              <w:t>option</w:t>
            </w:r>
            <w:r>
              <w:t xml:space="preserve"> </w:t>
            </w:r>
            <w:r w:rsidRPr="00B41357">
              <w:t>with</w:t>
            </w:r>
            <w:r>
              <w:t xml:space="preserve"> </w:t>
            </w:r>
            <w:r w:rsidRPr="00B41357">
              <w:t>the</w:t>
            </w:r>
            <w:r>
              <w:t xml:space="preserve"> </w:t>
            </w:r>
            <w:r w:rsidRPr="00B41357">
              <w:t>largest</w:t>
            </w:r>
            <w:r>
              <w:t xml:space="preserve"> </w:t>
            </w:r>
            <w:r w:rsidRPr="00B41357">
              <w:t>BCR</w:t>
            </w:r>
            <w:r>
              <w:t xml:space="preserve"> </w:t>
            </w:r>
            <w:r w:rsidRPr="00B41357">
              <w:t>should</w:t>
            </w:r>
            <w:r>
              <w:t xml:space="preserve"> </w:t>
            </w:r>
            <w:r w:rsidRPr="00B41357">
              <w:t>be</w:t>
            </w:r>
            <w:r>
              <w:t xml:space="preserve"> </w:t>
            </w:r>
            <w:proofErr w:type="gramStart"/>
            <w:r w:rsidRPr="00B41357">
              <w:t>favoured</w:t>
            </w:r>
            <w:proofErr w:type="gramEnd"/>
          </w:p>
          <w:p w14:paraId="08EFAD7E" w14:textId="77777777" w:rsidR="00B949E1" w:rsidRDefault="00B949E1" w:rsidP="00B9362B">
            <w:pPr>
              <w:pStyle w:val="Tabletext"/>
            </w:pPr>
            <w:r>
              <w:t>When costs are negative (i.e., the alternative is cheaper), a BCR cannot be calculated as there is no cost to form the basis of the ratio. This is denoted as N/A CBR.</w:t>
            </w:r>
          </w:p>
        </w:tc>
      </w:tr>
      <w:tr w:rsidR="00B949E1" w14:paraId="73446EB4" w14:textId="77777777" w:rsidTr="00B9362B">
        <w:trPr>
          <w:gridBefore w:val="1"/>
          <w:wBefore w:w="454" w:type="dxa"/>
        </w:trPr>
        <w:tc>
          <w:tcPr>
            <w:tcW w:w="7936" w:type="dxa"/>
            <w:gridSpan w:val="4"/>
            <w:tcBorders>
              <w:bottom w:val="single" w:sz="4" w:space="0" w:color="646464"/>
            </w:tcBorders>
            <w:shd w:val="clear" w:color="auto" w:fill="auto"/>
          </w:tcPr>
          <w:p w14:paraId="2D2B5ABA" w14:textId="77777777" w:rsidR="00B949E1" w:rsidRDefault="00B949E1" w:rsidP="00B9362B">
            <w:pPr>
              <w:pStyle w:val="Source"/>
            </w:pPr>
            <w:r>
              <w:t>Source: ACIL Allen</w:t>
            </w:r>
          </w:p>
        </w:tc>
      </w:tr>
      <w:tr w:rsidR="00B949E1" w14:paraId="7E4A9AA7" w14:textId="77777777" w:rsidTr="00B9362B">
        <w:trPr>
          <w:gridBefore w:val="1"/>
          <w:wBefore w:w="454" w:type="dxa"/>
          <w:trHeight w:hRule="exact" w:val="160"/>
        </w:trPr>
        <w:tc>
          <w:tcPr>
            <w:tcW w:w="7936" w:type="dxa"/>
            <w:gridSpan w:val="4"/>
            <w:tcBorders>
              <w:top w:val="single" w:sz="4" w:space="0" w:color="646464"/>
              <w:bottom w:val="nil"/>
            </w:tcBorders>
            <w:shd w:val="clear" w:color="auto" w:fill="auto"/>
          </w:tcPr>
          <w:p w14:paraId="2357E721" w14:textId="77777777" w:rsidR="00B949E1" w:rsidRDefault="00B949E1" w:rsidP="00B9362B">
            <w:pPr>
              <w:pStyle w:val="spacer"/>
            </w:pPr>
          </w:p>
        </w:tc>
      </w:tr>
    </w:tbl>
    <w:p w14:paraId="0F1BE551" w14:textId="77777777" w:rsidR="00B949E1" w:rsidRDefault="00B949E1" w:rsidP="00B949E1">
      <w:pPr>
        <w:pStyle w:val="BodyText"/>
      </w:pPr>
      <w:r>
        <w:t>Non-quantified benefits and costs will be discussed both as context and a supplement to the final NPV and BCR.</w:t>
      </w:r>
    </w:p>
    <w:p w14:paraId="3C391697" w14:textId="77777777" w:rsidR="00B949E1" w:rsidRDefault="00B949E1" w:rsidP="00B949E1">
      <w:pPr>
        <w:pStyle w:val="BodyText"/>
      </w:pPr>
      <w:r>
        <w:t xml:space="preserve">The RIA Guidelines require that the RIS identifies the best option from those considered. Additional details about the decision rule to identify the best policy option are provided in </w:t>
      </w:r>
      <w:r w:rsidRPr="00992FC2">
        <w:rPr>
          <w:b/>
          <w:bCs/>
        </w:rPr>
        <w:fldChar w:fldCharType="begin"/>
      </w:r>
      <w:r w:rsidRPr="00992FC2">
        <w:rPr>
          <w:b/>
          <w:bCs/>
        </w:rPr>
        <w:instrText xml:space="preserve"> REF _Ref131421708 \h </w:instrText>
      </w:r>
      <w:r>
        <w:rPr>
          <w:b/>
          <w:bCs/>
        </w:rPr>
        <w:instrText xml:space="preserve"> \* MERGEFORMAT </w:instrText>
      </w:r>
      <w:r w:rsidRPr="00992FC2">
        <w:rPr>
          <w:b/>
          <w:bCs/>
        </w:rPr>
      </w:r>
      <w:r w:rsidRPr="00992FC2">
        <w:rPr>
          <w:b/>
          <w:bCs/>
        </w:rPr>
        <w:fldChar w:fldCharType="separate"/>
      </w:r>
      <w:r w:rsidRPr="00790266">
        <w:rPr>
          <w:rStyle w:val="CaptionLabel"/>
          <w:b w:val="0"/>
          <w:bCs/>
        </w:rPr>
        <w:t>Box 6.1</w:t>
      </w:r>
      <w:r w:rsidRPr="00992FC2">
        <w:rPr>
          <w:b/>
          <w:bCs/>
        </w:rPr>
        <w:fldChar w:fldCharType="end"/>
      </w:r>
      <w:r>
        <w:t xml:space="preserve"> below.</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0FB35ED1" w14:textId="77777777" w:rsidTr="00B9362B">
        <w:tc>
          <w:tcPr>
            <w:tcW w:w="7936" w:type="dxa"/>
            <w:shd w:val="clear" w:color="auto" w:fill="auto"/>
            <w:tcMar>
              <w:top w:w="160" w:type="dxa"/>
              <w:bottom w:w="8" w:type="dxa"/>
            </w:tcMar>
          </w:tcPr>
          <w:p w14:paraId="7524613D" w14:textId="77777777" w:rsidR="00B949E1" w:rsidRDefault="00B949E1" w:rsidP="00B9362B">
            <w:pPr>
              <w:pStyle w:val="Caption"/>
            </w:pPr>
            <w:bookmarkStart w:id="83" w:name="_Ref131421708"/>
            <w:bookmarkStart w:id="84" w:name="_Toc134002473"/>
            <w:r w:rsidRPr="00000D0E">
              <w:rPr>
                <w:rStyle w:val="CaptionLabel"/>
              </w:rPr>
              <w:lastRenderedPageBreak/>
              <w:t>Box </w:t>
            </w:r>
            <w:r w:rsidRPr="00000D0E">
              <w:rPr>
                <w:rStyle w:val="CaptionLabel"/>
              </w:rPr>
              <w:fldChar w:fldCharType="begin"/>
            </w:r>
            <w:r w:rsidRPr="00000D0E">
              <w:rPr>
                <w:rStyle w:val="CaptionLabel"/>
              </w:rPr>
              <w:instrText xml:space="preserve"> STYLEREF 1 \S \* MERGEFORMAT </w:instrText>
            </w:r>
            <w:r w:rsidRPr="00000D0E">
              <w:rPr>
                <w:rStyle w:val="CaptionLabel"/>
              </w:rPr>
              <w:fldChar w:fldCharType="separate"/>
            </w:r>
            <w:r>
              <w:rPr>
                <w:rStyle w:val="CaptionLabel"/>
                <w:noProof/>
              </w:rPr>
              <w:t>6</w:t>
            </w:r>
            <w:r w:rsidRPr="00000D0E">
              <w:rPr>
                <w:rStyle w:val="CaptionLabel"/>
              </w:rPr>
              <w:fldChar w:fldCharType="end"/>
            </w:r>
            <w:r w:rsidRPr="00000D0E">
              <w:rPr>
                <w:rStyle w:val="CaptionLabel"/>
              </w:rPr>
              <w:t>.</w:t>
            </w:r>
            <w:r w:rsidRPr="00000D0E">
              <w:rPr>
                <w:rStyle w:val="CaptionLabel"/>
              </w:rPr>
              <w:fldChar w:fldCharType="begin"/>
            </w:r>
            <w:r w:rsidRPr="00000D0E">
              <w:rPr>
                <w:rStyle w:val="CaptionLabel"/>
              </w:rPr>
              <w:instrText xml:space="preserve"> SEQ Box \* ARABIC \S 1 \* MERGEFORMAT </w:instrText>
            </w:r>
            <w:r w:rsidRPr="00000D0E">
              <w:rPr>
                <w:rStyle w:val="CaptionLabel"/>
              </w:rPr>
              <w:fldChar w:fldCharType="separate"/>
            </w:r>
            <w:r>
              <w:rPr>
                <w:rStyle w:val="CaptionLabel"/>
                <w:noProof/>
              </w:rPr>
              <w:t>1</w:t>
            </w:r>
            <w:r w:rsidRPr="00000D0E">
              <w:rPr>
                <w:rStyle w:val="CaptionLabel"/>
              </w:rPr>
              <w:fldChar w:fldCharType="end"/>
            </w:r>
            <w:bookmarkEnd w:id="83"/>
            <w:r>
              <w:tab/>
            </w:r>
            <w:r w:rsidRPr="00000D0E">
              <w:t>What</w:t>
            </w:r>
            <w:r>
              <w:t xml:space="preserve"> </w:t>
            </w:r>
            <w:r w:rsidRPr="00000D0E">
              <w:t>is</w:t>
            </w:r>
            <w:r>
              <w:t xml:space="preserve"> </w:t>
            </w:r>
            <w:r w:rsidRPr="00000D0E">
              <w:t>the</w:t>
            </w:r>
            <w:r>
              <w:t xml:space="preserve"> </w:t>
            </w:r>
            <w:r w:rsidRPr="00000D0E">
              <w:t>best</w:t>
            </w:r>
            <w:r>
              <w:t xml:space="preserve"> </w:t>
            </w:r>
            <w:r w:rsidRPr="00000D0E">
              <w:t>option</w:t>
            </w:r>
            <w:r>
              <w:t xml:space="preserve"> </w:t>
            </w:r>
            <w:r w:rsidRPr="00000D0E">
              <w:t>from</w:t>
            </w:r>
            <w:r>
              <w:t xml:space="preserve"> </w:t>
            </w:r>
            <w:r w:rsidRPr="00000D0E">
              <w:t>those</w:t>
            </w:r>
            <w:r>
              <w:t xml:space="preserve"> </w:t>
            </w:r>
            <w:r w:rsidRPr="00000D0E">
              <w:t>considered?</w:t>
            </w:r>
            <w:bookmarkEnd w:id="84"/>
          </w:p>
        </w:tc>
      </w:tr>
      <w:tr w:rsidR="00B949E1" w14:paraId="552F58A7" w14:textId="77777777" w:rsidTr="00B9362B">
        <w:tc>
          <w:tcPr>
            <w:tcW w:w="7936" w:type="dxa"/>
            <w:shd w:val="clear" w:color="auto" w:fill="E5E5E5"/>
            <w:tcMar>
              <w:top w:w="112" w:type="dxa"/>
              <w:bottom w:w="184" w:type="dxa"/>
              <w:right w:w="120" w:type="dxa"/>
            </w:tcMar>
          </w:tcPr>
          <w:p w14:paraId="6F4942ED" w14:textId="77777777" w:rsidR="00B949E1" w:rsidRDefault="00B949E1" w:rsidP="00B9362B">
            <w:pPr>
              <w:pStyle w:val="BoxText"/>
            </w:pPr>
            <w:r>
              <w:t xml:space="preserve">A </w:t>
            </w:r>
            <w:r w:rsidRPr="0023419A">
              <w:t>RIS</w:t>
            </w:r>
            <w:r>
              <w:t xml:space="preserve"> </w:t>
            </w:r>
            <w:r w:rsidRPr="0023419A">
              <w:t>must</w:t>
            </w:r>
            <w:r>
              <w:t xml:space="preserve"> </w:t>
            </w:r>
            <w:r w:rsidRPr="0023419A">
              <w:t>recommend</w:t>
            </w:r>
            <w:r>
              <w:t xml:space="preserve"> </w:t>
            </w:r>
            <w:r w:rsidRPr="0023419A">
              <w:t>a</w:t>
            </w:r>
            <w:r>
              <w:t xml:space="preserve"> </w:t>
            </w:r>
            <w:r w:rsidRPr="0023419A">
              <w:t>preferred</w:t>
            </w:r>
            <w:r>
              <w:t xml:space="preserve"> </w:t>
            </w:r>
            <w:r w:rsidRPr="0023419A">
              <w:t>option</w:t>
            </w:r>
            <w:r>
              <w:t xml:space="preserve"> </w:t>
            </w:r>
            <w:r w:rsidRPr="0023419A">
              <w:t>from</w:t>
            </w:r>
            <w:r>
              <w:t xml:space="preserve"> </w:t>
            </w:r>
            <w:r w:rsidRPr="0023419A">
              <w:t>among</w:t>
            </w:r>
            <w:r>
              <w:t xml:space="preserve"> </w:t>
            </w:r>
            <w:r w:rsidRPr="0023419A">
              <w:t>those</w:t>
            </w:r>
            <w:r>
              <w:t xml:space="preserve"> </w:t>
            </w:r>
            <w:r w:rsidRPr="0023419A">
              <w:t>presented</w:t>
            </w:r>
            <w:r>
              <w:t xml:space="preserve"> </w:t>
            </w:r>
            <w:r w:rsidRPr="0023419A">
              <w:t>and</w:t>
            </w:r>
            <w:r>
              <w:t xml:space="preserve"> </w:t>
            </w:r>
            <w:r w:rsidRPr="0023419A">
              <w:t>analysed.</w:t>
            </w:r>
            <w:r>
              <w:t xml:space="preserve"> Typically, the decision rule to identify the preferred policy option is to select the option with the highest net benefit to </w:t>
            </w:r>
            <w:proofErr w:type="gramStart"/>
            <w:r>
              <w:t>society as a whole</w:t>
            </w:r>
            <w:proofErr w:type="gramEnd"/>
            <w:r>
              <w:t xml:space="preserve">. However, there are some circumstances where </w:t>
            </w:r>
            <w:r w:rsidRPr="006B335A">
              <w:t>an</w:t>
            </w:r>
            <w:r>
              <w:t xml:space="preserve"> </w:t>
            </w:r>
            <w:r w:rsidRPr="006B335A">
              <w:t>option</w:t>
            </w:r>
            <w:r>
              <w:t xml:space="preserve">, </w:t>
            </w:r>
            <w:r w:rsidRPr="006B335A">
              <w:t>other</w:t>
            </w:r>
            <w:r>
              <w:t xml:space="preserve"> </w:t>
            </w:r>
            <w:r w:rsidRPr="006B335A">
              <w:t>than</w:t>
            </w:r>
            <w:r>
              <w:t xml:space="preserve"> </w:t>
            </w:r>
            <w:r w:rsidRPr="006B335A">
              <w:t>the</w:t>
            </w:r>
            <w:r>
              <w:t xml:space="preserve"> </w:t>
            </w:r>
            <w:r w:rsidRPr="006B335A">
              <w:t>one</w:t>
            </w:r>
            <w:r>
              <w:t xml:space="preserve"> </w:t>
            </w:r>
            <w:r w:rsidRPr="006B335A">
              <w:t>with</w:t>
            </w:r>
            <w:r>
              <w:t xml:space="preserve"> </w:t>
            </w:r>
            <w:r w:rsidRPr="006B335A">
              <w:t>the</w:t>
            </w:r>
            <w:r>
              <w:t xml:space="preserve"> </w:t>
            </w:r>
            <w:r w:rsidRPr="006B335A">
              <w:t>highest</w:t>
            </w:r>
            <w:r>
              <w:t xml:space="preserve"> </w:t>
            </w:r>
            <w:r w:rsidRPr="006B335A">
              <w:t>net</w:t>
            </w:r>
            <w:r>
              <w:t xml:space="preserve"> </w:t>
            </w:r>
            <w:r w:rsidRPr="006B335A">
              <w:t>benefit</w:t>
            </w:r>
            <w:r>
              <w:t xml:space="preserve">, </w:t>
            </w:r>
            <w:r w:rsidRPr="006B335A">
              <w:t>could</w:t>
            </w:r>
            <w:r>
              <w:t xml:space="preserve"> be </w:t>
            </w:r>
            <w:r w:rsidRPr="006B335A">
              <w:t>recommend</w:t>
            </w:r>
            <w:r>
              <w:t>ed. The circumstances where a ‘second best’ option could be recommended include:</w:t>
            </w:r>
          </w:p>
          <w:p w14:paraId="6899777B" w14:textId="77777777" w:rsidR="00B949E1" w:rsidRDefault="00B949E1" w:rsidP="00B9362B">
            <w:pPr>
              <w:pStyle w:val="BoxListBullet"/>
              <w:spacing w:before="100" w:after="100" w:line="280" w:lineRule="atLeast"/>
              <w:ind w:left="561"/>
            </w:pPr>
            <w:r>
              <w:t xml:space="preserve">When the option would deliver </w:t>
            </w:r>
            <w:r w:rsidRPr="00573572">
              <w:t>significant</w:t>
            </w:r>
            <w:r>
              <w:t xml:space="preserve"> </w:t>
            </w:r>
            <w:r w:rsidRPr="00573572">
              <w:t>benefits</w:t>
            </w:r>
            <w:r>
              <w:t xml:space="preserve"> </w:t>
            </w:r>
            <w:r w:rsidRPr="00573572">
              <w:t>that</w:t>
            </w:r>
            <w:r>
              <w:t xml:space="preserve"> </w:t>
            </w:r>
            <w:r w:rsidRPr="00573572">
              <w:t>can</w:t>
            </w:r>
            <w:r>
              <w:t xml:space="preserve">not </w:t>
            </w:r>
            <w:r w:rsidRPr="00573572">
              <w:t>be</w:t>
            </w:r>
            <w:r>
              <w:t xml:space="preserve"> </w:t>
            </w:r>
            <w:r w:rsidRPr="00573572">
              <w:t>monetised</w:t>
            </w:r>
            <w:r>
              <w:t>. The OBPR’s CBA guidance notes that ‘</w:t>
            </w:r>
            <w:r w:rsidRPr="00573572">
              <w:t>if</w:t>
            </w:r>
            <w:r>
              <w:t xml:space="preserve"> </w:t>
            </w:r>
            <w:r w:rsidRPr="00573572">
              <w:t>a</w:t>
            </w:r>
            <w:r>
              <w:t xml:space="preserve"> </w:t>
            </w:r>
            <w:r w:rsidRPr="00573572">
              <w:t>proposal</w:t>
            </w:r>
            <w:r>
              <w:t xml:space="preserve"> </w:t>
            </w:r>
            <w:r w:rsidRPr="00573572">
              <w:t>is</w:t>
            </w:r>
            <w:r>
              <w:t xml:space="preserve"> </w:t>
            </w:r>
            <w:r w:rsidRPr="00573572">
              <w:t>advocated</w:t>
            </w:r>
            <w:r>
              <w:t xml:space="preserve"> </w:t>
            </w:r>
            <w:r w:rsidRPr="00573572">
              <w:t>despite</w:t>
            </w:r>
            <w:r>
              <w:t xml:space="preserve"> </w:t>
            </w:r>
            <w:r w:rsidRPr="00573572">
              <w:t>monetised</w:t>
            </w:r>
            <w:r>
              <w:t xml:space="preserve"> </w:t>
            </w:r>
            <w:r w:rsidRPr="00573572">
              <w:t>benefits</w:t>
            </w:r>
            <w:r>
              <w:t xml:space="preserve"> </w:t>
            </w:r>
            <w:r w:rsidRPr="00573572">
              <w:t>falling</w:t>
            </w:r>
            <w:r>
              <w:t xml:space="preserve"> </w:t>
            </w:r>
            <w:r w:rsidRPr="00573572">
              <w:t>significantly</w:t>
            </w:r>
            <w:r>
              <w:t xml:space="preserve"> </w:t>
            </w:r>
            <w:r w:rsidRPr="00573572">
              <w:t>short</w:t>
            </w:r>
            <w:r>
              <w:t xml:space="preserve"> </w:t>
            </w:r>
            <w:r w:rsidRPr="00573572">
              <w:t>of</w:t>
            </w:r>
            <w:r>
              <w:t xml:space="preserve"> </w:t>
            </w:r>
            <w:r w:rsidRPr="00573572">
              <w:t>monetised</w:t>
            </w:r>
            <w:r>
              <w:t xml:space="preserve"> </w:t>
            </w:r>
            <w:r w:rsidRPr="00573572">
              <w:t>costs,</w:t>
            </w:r>
            <w:r>
              <w:t xml:space="preserve"> </w:t>
            </w:r>
            <w:r w:rsidRPr="00573572">
              <w:t>the</w:t>
            </w:r>
            <w:r>
              <w:t xml:space="preserve"> </w:t>
            </w:r>
            <w:r w:rsidRPr="00573572">
              <w:t>RIS</w:t>
            </w:r>
            <w:r>
              <w:t xml:space="preserve"> </w:t>
            </w:r>
            <w:r w:rsidRPr="00573572">
              <w:t>should</w:t>
            </w:r>
            <w:r>
              <w:t xml:space="preserve"> </w:t>
            </w:r>
            <w:r w:rsidRPr="00573572">
              <w:t>explain</w:t>
            </w:r>
            <w:r>
              <w:t xml:space="preserve"> </w:t>
            </w:r>
            <w:r w:rsidRPr="00573572">
              <w:t>clearly</w:t>
            </w:r>
            <w:r>
              <w:t xml:space="preserve"> </w:t>
            </w:r>
            <w:r w:rsidRPr="00573572">
              <w:t>why</w:t>
            </w:r>
            <w:r>
              <w:t xml:space="preserve"> </w:t>
            </w:r>
            <w:r w:rsidRPr="00573572">
              <w:t>non-monetised</w:t>
            </w:r>
            <w:r>
              <w:t xml:space="preserve"> </w:t>
            </w:r>
            <w:r w:rsidRPr="00573572">
              <w:t>benefits</w:t>
            </w:r>
            <w:r>
              <w:t xml:space="preserve"> </w:t>
            </w:r>
            <w:r w:rsidRPr="00573572">
              <w:t>would</w:t>
            </w:r>
            <w:r>
              <w:t xml:space="preserve"> </w:t>
            </w:r>
            <w:r w:rsidRPr="00573572">
              <w:t>tip</w:t>
            </w:r>
            <w:r>
              <w:t xml:space="preserve"> </w:t>
            </w:r>
            <w:r w:rsidRPr="00573572">
              <w:t>the</w:t>
            </w:r>
            <w:r>
              <w:t xml:space="preserve"> </w:t>
            </w:r>
            <w:r w:rsidRPr="00573572">
              <w:t>balance</w:t>
            </w:r>
            <w:r>
              <w:t xml:space="preserve"> </w:t>
            </w:r>
            <w:r w:rsidRPr="00573572">
              <w:t>and</w:t>
            </w:r>
            <w:r>
              <w:t xml:space="preserve"> </w:t>
            </w:r>
            <w:r w:rsidRPr="00573572">
              <w:t>the</w:t>
            </w:r>
            <w:r>
              <w:t xml:space="preserve"> </w:t>
            </w:r>
            <w:r w:rsidRPr="00573572">
              <w:t>nature</w:t>
            </w:r>
            <w:r>
              <w:t xml:space="preserve"> </w:t>
            </w:r>
            <w:r w:rsidRPr="00573572">
              <w:t>of</w:t>
            </w:r>
            <w:r>
              <w:t xml:space="preserve"> </w:t>
            </w:r>
            <w:r w:rsidRPr="00573572">
              <w:t>the</w:t>
            </w:r>
            <w:r>
              <w:t xml:space="preserve"> </w:t>
            </w:r>
            <w:r w:rsidRPr="00573572">
              <w:t>inherent</w:t>
            </w:r>
            <w:r>
              <w:t xml:space="preserve"> </w:t>
            </w:r>
            <w:r w:rsidRPr="00573572">
              <w:t>uncertainties</w:t>
            </w:r>
            <w:r>
              <w:t xml:space="preserve"> </w:t>
            </w:r>
            <w:r w:rsidRPr="00573572">
              <w:t>in</w:t>
            </w:r>
            <w:r>
              <w:t xml:space="preserve"> </w:t>
            </w:r>
            <w:r w:rsidRPr="00573572">
              <w:t>the</w:t>
            </w:r>
            <w:r>
              <w:t xml:space="preserve"> </w:t>
            </w:r>
            <w:r w:rsidRPr="00573572">
              <w:t>size</w:t>
            </w:r>
            <w:r>
              <w:t xml:space="preserve"> </w:t>
            </w:r>
            <w:r w:rsidRPr="00573572">
              <w:t>of</w:t>
            </w:r>
            <w:r>
              <w:t xml:space="preserve"> </w:t>
            </w:r>
            <w:r w:rsidRPr="00573572">
              <w:t>the</w:t>
            </w:r>
            <w:r>
              <w:t xml:space="preserve"> </w:t>
            </w:r>
            <w:r w:rsidRPr="00573572">
              <w:t>benefits’</w:t>
            </w:r>
            <w:r>
              <w:rPr>
                <w:rStyle w:val="FootnoteReference"/>
              </w:rPr>
              <w:footnoteReference w:id="75"/>
            </w:r>
            <w:r>
              <w:t>.</w:t>
            </w:r>
          </w:p>
          <w:p w14:paraId="62898D69" w14:textId="77777777" w:rsidR="00B949E1" w:rsidRDefault="00B949E1" w:rsidP="00B9362B">
            <w:pPr>
              <w:pStyle w:val="BoxListBullet"/>
              <w:spacing w:before="100" w:after="100" w:line="280" w:lineRule="atLeast"/>
              <w:ind w:left="561"/>
            </w:pPr>
            <w:r>
              <w:t xml:space="preserve">When the option would provide higher resilience in the face of uncertainty. As noted by the OBPR, an option can be recommended that has </w:t>
            </w:r>
            <w:r w:rsidRPr="00074308">
              <w:t>a</w:t>
            </w:r>
            <w:r>
              <w:t xml:space="preserve"> </w:t>
            </w:r>
            <w:r w:rsidRPr="00074308">
              <w:t>lower</w:t>
            </w:r>
            <w:r>
              <w:t xml:space="preserve"> </w:t>
            </w:r>
            <w:r w:rsidRPr="00074308">
              <w:t>expected</w:t>
            </w:r>
            <w:r>
              <w:t xml:space="preserve"> </w:t>
            </w:r>
            <w:r w:rsidRPr="00074308">
              <w:t>value</w:t>
            </w:r>
            <w:r>
              <w:t xml:space="preserve"> </w:t>
            </w:r>
            <w:r w:rsidRPr="00074308">
              <w:t>of</w:t>
            </w:r>
            <w:r>
              <w:t xml:space="preserve"> </w:t>
            </w:r>
            <w:r w:rsidRPr="00074308">
              <w:t>net</w:t>
            </w:r>
            <w:r>
              <w:t xml:space="preserve"> </w:t>
            </w:r>
            <w:r w:rsidRPr="00074308">
              <w:t>benefits,</w:t>
            </w:r>
            <w:r>
              <w:t xml:space="preserve"> </w:t>
            </w:r>
            <w:r w:rsidRPr="00074308">
              <w:t>but</w:t>
            </w:r>
            <w:r>
              <w:t xml:space="preserve"> </w:t>
            </w:r>
            <w:r w:rsidRPr="00074308">
              <w:t>with</w:t>
            </w:r>
            <w:r>
              <w:t xml:space="preserve"> </w:t>
            </w:r>
            <w:r w:rsidRPr="00074308">
              <w:t>a</w:t>
            </w:r>
            <w:r>
              <w:t xml:space="preserve"> </w:t>
            </w:r>
            <w:r w:rsidRPr="00074308">
              <w:t>smaller</w:t>
            </w:r>
            <w:r>
              <w:t xml:space="preserve"> </w:t>
            </w:r>
            <w:r w:rsidRPr="00074308">
              <w:t>chance</w:t>
            </w:r>
            <w:r>
              <w:t xml:space="preserve"> </w:t>
            </w:r>
            <w:r w:rsidRPr="00074308">
              <w:t>of</w:t>
            </w:r>
            <w:r>
              <w:t xml:space="preserve"> </w:t>
            </w:r>
            <w:r w:rsidRPr="00074308">
              <w:t>imposing</w:t>
            </w:r>
            <w:r>
              <w:t xml:space="preserve"> </w:t>
            </w:r>
            <w:r w:rsidRPr="00074308">
              <w:t>a</w:t>
            </w:r>
            <w:r>
              <w:t xml:space="preserve"> </w:t>
            </w:r>
            <w:r w:rsidRPr="00074308">
              <w:t>significant</w:t>
            </w:r>
            <w:r>
              <w:t xml:space="preserve"> </w:t>
            </w:r>
            <w:r w:rsidRPr="00074308">
              <w:t>net</w:t>
            </w:r>
            <w:r>
              <w:t xml:space="preserve"> </w:t>
            </w:r>
            <w:r w:rsidRPr="00074308">
              <w:t>cost</w:t>
            </w:r>
            <w:r>
              <w:t xml:space="preserve"> </w:t>
            </w:r>
            <w:r w:rsidRPr="00074308">
              <w:t>on</w:t>
            </w:r>
            <w:r>
              <w:t xml:space="preserve"> </w:t>
            </w:r>
            <w:r w:rsidRPr="00074308">
              <w:t>the</w:t>
            </w:r>
            <w:r>
              <w:t xml:space="preserve"> </w:t>
            </w:r>
            <w:r w:rsidRPr="00074308">
              <w:t>community</w:t>
            </w:r>
            <w:r>
              <w:t xml:space="preserve"> </w:t>
            </w:r>
            <w:r w:rsidRPr="00074308">
              <w:t>(lower</w:t>
            </w:r>
            <w:r>
              <w:t xml:space="preserve"> </w:t>
            </w:r>
            <w:r w:rsidRPr="00074308">
              <w:t>‘downside</w:t>
            </w:r>
            <w:r>
              <w:t xml:space="preserve"> </w:t>
            </w:r>
            <w:r w:rsidRPr="00074308">
              <w:t>risks’)</w:t>
            </w:r>
            <w:r>
              <w:t>.</w:t>
            </w:r>
            <w:r>
              <w:rPr>
                <w:rStyle w:val="FootnoteReference"/>
              </w:rPr>
              <w:footnoteReference w:id="76"/>
            </w:r>
          </w:p>
          <w:p w14:paraId="5202EC48" w14:textId="77777777" w:rsidR="00B949E1" w:rsidRDefault="00B949E1" w:rsidP="00B9362B">
            <w:pPr>
              <w:pStyle w:val="BoxText"/>
            </w:pPr>
            <w:r>
              <w:t xml:space="preserve">Where the option with the highest net benefit </w:t>
            </w:r>
            <w:r w:rsidRPr="00A703B7">
              <w:t>disproportionately</w:t>
            </w:r>
            <w:r>
              <w:t xml:space="preserve"> </w:t>
            </w:r>
            <w:r w:rsidRPr="00A703B7">
              <w:t>impacts</w:t>
            </w:r>
            <w:r>
              <w:t xml:space="preserve"> </w:t>
            </w:r>
            <w:r w:rsidRPr="00A703B7">
              <w:t>a</w:t>
            </w:r>
            <w:r>
              <w:t xml:space="preserve"> </w:t>
            </w:r>
            <w:r w:rsidRPr="00A703B7">
              <w:t>(vulnerable) sector</w:t>
            </w:r>
            <w:r>
              <w:t xml:space="preserve"> </w:t>
            </w:r>
            <w:r w:rsidRPr="00A703B7">
              <w:t>of</w:t>
            </w:r>
            <w:r>
              <w:t xml:space="preserve"> </w:t>
            </w:r>
            <w:r w:rsidRPr="00A703B7">
              <w:t>the</w:t>
            </w:r>
            <w:r>
              <w:t xml:space="preserve"> </w:t>
            </w:r>
            <w:r w:rsidRPr="00A703B7">
              <w:t>community</w:t>
            </w:r>
            <w:r>
              <w:t xml:space="preserve">. Indeed, the OBPR’s CBA guidance indicates that </w:t>
            </w:r>
            <w:r w:rsidRPr="00A703B7">
              <w:t>decision</w:t>
            </w:r>
            <w:r>
              <w:t xml:space="preserve"> </w:t>
            </w:r>
            <w:r w:rsidRPr="00A703B7">
              <w:t>maker</w:t>
            </w:r>
            <w:r>
              <w:t>s ‘</w:t>
            </w:r>
            <w:r w:rsidRPr="00A703B7">
              <w:t>may</w:t>
            </w:r>
            <w:r>
              <w:t xml:space="preserve"> </w:t>
            </w:r>
            <w:r w:rsidRPr="00A703B7">
              <w:t>decide</w:t>
            </w:r>
            <w:r>
              <w:t xml:space="preserve"> </w:t>
            </w:r>
            <w:r w:rsidRPr="00A703B7">
              <w:t>to</w:t>
            </w:r>
            <w:r>
              <w:t xml:space="preserve"> </w:t>
            </w:r>
            <w:r w:rsidRPr="00A703B7">
              <w:t>reject</w:t>
            </w:r>
            <w:r>
              <w:t xml:space="preserve"> </w:t>
            </w:r>
            <w:r w:rsidRPr="00A703B7">
              <w:t>an</w:t>
            </w:r>
            <w:r>
              <w:t xml:space="preserve"> </w:t>
            </w:r>
            <w:r w:rsidRPr="00A703B7">
              <w:t>option</w:t>
            </w:r>
            <w:r>
              <w:t xml:space="preserve"> </w:t>
            </w:r>
            <w:r w:rsidRPr="00A703B7">
              <w:t>with</w:t>
            </w:r>
            <w:r>
              <w:t xml:space="preserve"> </w:t>
            </w:r>
            <w:r w:rsidRPr="00A703B7">
              <w:t>the</w:t>
            </w:r>
            <w:r>
              <w:t xml:space="preserve"> </w:t>
            </w:r>
            <w:r w:rsidRPr="00A703B7">
              <w:t>largest</w:t>
            </w:r>
            <w:r>
              <w:t xml:space="preserve"> </w:t>
            </w:r>
            <w:r w:rsidRPr="00A703B7">
              <w:t>NPV</w:t>
            </w:r>
            <w:r>
              <w:t xml:space="preserve"> </w:t>
            </w:r>
            <w:r w:rsidRPr="00A703B7">
              <w:t>if</w:t>
            </w:r>
            <w:r>
              <w:t xml:space="preserve"> </w:t>
            </w:r>
            <w:r w:rsidRPr="00A703B7">
              <w:t>it</w:t>
            </w:r>
            <w:r>
              <w:t xml:space="preserve"> </w:t>
            </w:r>
            <w:r w:rsidRPr="00A703B7">
              <w:t>has</w:t>
            </w:r>
            <w:r>
              <w:t xml:space="preserve"> </w:t>
            </w:r>
            <w:r w:rsidRPr="00A703B7">
              <w:t>significant</w:t>
            </w:r>
            <w:r>
              <w:t xml:space="preserve"> </w:t>
            </w:r>
            <w:r w:rsidRPr="00A703B7">
              <w:t>adverse</w:t>
            </w:r>
            <w:r>
              <w:t xml:space="preserve"> </w:t>
            </w:r>
            <w:r w:rsidRPr="00A703B7">
              <w:t>equity</w:t>
            </w:r>
            <w:r>
              <w:t xml:space="preserve"> </w:t>
            </w:r>
            <w:r w:rsidRPr="00A703B7">
              <w:t>impacts.</w:t>
            </w:r>
            <w:r>
              <w:t>’</w:t>
            </w:r>
            <w:r>
              <w:rPr>
                <w:rStyle w:val="FootnoteReference"/>
              </w:rPr>
              <w:footnoteReference w:id="77"/>
            </w:r>
          </w:p>
        </w:tc>
      </w:tr>
      <w:tr w:rsidR="00B949E1" w14:paraId="1532A5CE" w14:textId="77777777" w:rsidTr="00B9362B">
        <w:tc>
          <w:tcPr>
            <w:tcW w:w="7936" w:type="dxa"/>
            <w:shd w:val="clear" w:color="auto" w:fill="auto"/>
            <w:tcMar>
              <w:top w:w="12" w:type="dxa"/>
              <w:bottom w:w="113" w:type="dxa"/>
            </w:tcMar>
          </w:tcPr>
          <w:p w14:paraId="1468D7FC" w14:textId="77777777" w:rsidR="00B949E1" w:rsidRDefault="00B949E1" w:rsidP="00B9362B">
            <w:pPr>
              <w:pStyle w:val="Source"/>
            </w:pPr>
            <w:r>
              <w:t xml:space="preserve">Source: </w:t>
            </w:r>
            <w:r w:rsidRPr="00000D0E">
              <w:t>ACIL</w:t>
            </w:r>
            <w:r>
              <w:t xml:space="preserve"> </w:t>
            </w:r>
            <w:r w:rsidRPr="00000D0E">
              <w:t>Allen</w:t>
            </w:r>
            <w:r>
              <w:t xml:space="preserve"> </w:t>
            </w:r>
            <w:r w:rsidRPr="00000D0E">
              <w:t>based</w:t>
            </w:r>
            <w:r>
              <w:t xml:space="preserve"> </w:t>
            </w:r>
            <w:r w:rsidRPr="00000D0E">
              <w:t>on</w:t>
            </w:r>
            <w:r>
              <w:t xml:space="preserve"> </w:t>
            </w:r>
            <w:r w:rsidRPr="00000D0E">
              <w:t>Commonwealth</w:t>
            </w:r>
            <w:r>
              <w:t xml:space="preserve"> </w:t>
            </w:r>
            <w:r w:rsidRPr="00000D0E">
              <w:t>of</w:t>
            </w:r>
            <w:r>
              <w:t xml:space="preserve"> </w:t>
            </w:r>
            <w:r w:rsidRPr="00000D0E">
              <w:t>Australia,</w:t>
            </w:r>
            <w:r>
              <w:t xml:space="preserve"> </w:t>
            </w:r>
            <w:r w:rsidRPr="00000D0E">
              <w:t>Department</w:t>
            </w:r>
            <w:r>
              <w:t xml:space="preserve"> </w:t>
            </w:r>
            <w:r w:rsidRPr="00000D0E">
              <w:t>of</w:t>
            </w:r>
            <w:r>
              <w:t xml:space="preserve"> </w:t>
            </w:r>
            <w:r w:rsidRPr="00000D0E">
              <w:t>the</w:t>
            </w:r>
            <w:r>
              <w:t xml:space="preserve"> </w:t>
            </w:r>
            <w:r w:rsidRPr="00000D0E">
              <w:t>Prime</w:t>
            </w:r>
            <w:r>
              <w:t xml:space="preserve"> </w:t>
            </w:r>
            <w:r w:rsidRPr="00000D0E">
              <w:t>Minister</w:t>
            </w:r>
            <w:r>
              <w:t xml:space="preserve"> </w:t>
            </w:r>
            <w:r w:rsidRPr="00000D0E">
              <w:t>and</w:t>
            </w:r>
            <w:r>
              <w:t xml:space="preserve"> </w:t>
            </w:r>
            <w:r w:rsidRPr="00000D0E">
              <w:t>Cabinet</w:t>
            </w:r>
            <w:r>
              <w:t xml:space="preserve"> </w:t>
            </w:r>
            <w:r w:rsidRPr="00000D0E">
              <w:t>2020,</w:t>
            </w:r>
            <w:r>
              <w:t xml:space="preserve"> </w:t>
            </w:r>
            <w:r w:rsidRPr="00000D0E">
              <w:t>Cost-benefit</w:t>
            </w:r>
            <w:r>
              <w:t xml:space="preserve"> </w:t>
            </w:r>
            <w:r w:rsidRPr="00000D0E">
              <w:t>analysis</w:t>
            </w:r>
            <w:r>
              <w:t xml:space="preserve"> </w:t>
            </w:r>
            <w:r w:rsidRPr="00000D0E">
              <w:t>guidance</w:t>
            </w:r>
            <w:r>
              <w:t xml:space="preserve"> </w:t>
            </w:r>
            <w:r w:rsidRPr="00000D0E">
              <w:t>note,</w:t>
            </w:r>
            <w:r>
              <w:t xml:space="preserve"> </w:t>
            </w:r>
            <w:r w:rsidRPr="00000D0E">
              <w:t>March.</w:t>
            </w:r>
          </w:p>
        </w:tc>
      </w:tr>
    </w:tbl>
    <w:p w14:paraId="530F9FB5" w14:textId="77777777" w:rsidR="00B949E1" w:rsidRDefault="00B949E1" w:rsidP="00B949E1">
      <w:pPr>
        <w:pStyle w:val="Heading3"/>
      </w:pPr>
      <w:bookmarkStart w:id="85" w:name="_Ref131074030"/>
      <w:r>
        <w:t>Compliance and cost pass through</w:t>
      </w:r>
      <w:bookmarkEnd w:id="85"/>
    </w:p>
    <w:p w14:paraId="196ED4B9" w14:textId="77777777" w:rsidR="00B949E1" w:rsidRDefault="00B949E1" w:rsidP="00B949E1">
      <w:pPr>
        <w:pStyle w:val="BodyText"/>
      </w:pPr>
      <w:r w:rsidRPr="00CF47F3">
        <w:t>The</w:t>
      </w:r>
      <w:r>
        <w:t xml:space="preserve"> </w:t>
      </w:r>
      <w:r w:rsidRPr="00CF47F3">
        <w:t>analysis</w:t>
      </w:r>
      <w:r>
        <w:t xml:space="preserve"> </w:t>
      </w:r>
      <w:r w:rsidRPr="00CF47F3">
        <w:t>assume</w:t>
      </w:r>
      <w:r>
        <w:t xml:space="preserve">s </w:t>
      </w:r>
      <w:r w:rsidRPr="00CF47F3">
        <w:t>full</w:t>
      </w:r>
      <w:r>
        <w:t xml:space="preserve"> </w:t>
      </w:r>
      <w:r w:rsidRPr="00CF47F3">
        <w:t>compliance</w:t>
      </w:r>
      <w:r>
        <w:t xml:space="preserve"> </w:t>
      </w:r>
      <w:r w:rsidRPr="00CF47F3">
        <w:t>with</w:t>
      </w:r>
      <w:r>
        <w:t xml:space="preserve"> </w:t>
      </w:r>
      <w:r w:rsidRPr="00CF47F3">
        <w:t>the</w:t>
      </w:r>
      <w:r>
        <w:t xml:space="preserve"> </w:t>
      </w:r>
      <w:r w:rsidRPr="00CF47F3">
        <w:t>new</w:t>
      </w:r>
      <w:r>
        <w:t xml:space="preserve"> SUP </w:t>
      </w:r>
      <w:r w:rsidRPr="00CF47F3">
        <w:t>requirements.</w:t>
      </w:r>
      <w:r>
        <w:t xml:space="preserve"> </w:t>
      </w:r>
      <w:r w:rsidRPr="00CF47F3">
        <w:t>While</w:t>
      </w:r>
      <w:r>
        <w:t xml:space="preserve"> there may be some level of under-compliance</w:t>
      </w:r>
      <w:r w:rsidRPr="00CF47F3">
        <w:t>,</w:t>
      </w:r>
      <w:r>
        <w:t xml:space="preserve"> </w:t>
      </w:r>
      <w:r w:rsidRPr="00CF47F3">
        <w:t>this</w:t>
      </w:r>
      <w:r>
        <w:t xml:space="preserve"> </w:t>
      </w:r>
      <w:r w:rsidRPr="00CF47F3">
        <w:t>is</w:t>
      </w:r>
      <w:r>
        <w:t xml:space="preserve"> </w:t>
      </w:r>
      <w:r w:rsidRPr="00CF47F3">
        <w:t>a</w:t>
      </w:r>
      <w:r>
        <w:t xml:space="preserve"> </w:t>
      </w:r>
      <w:r w:rsidRPr="00CF47F3">
        <w:t>standard</w:t>
      </w:r>
      <w:r>
        <w:t xml:space="preserve"> </w:t>
      </w:r>
      <w:r w:rsidRPr="00CF47F3">
        <w:t>assumption</w:t>
      </w:r>
      <w:r>
        <w:t xml:space="preserve"> </w:t>
      </w:r>
      <w:r w:rsidRPr="00CF47F3">
        <w:t>in</w:t>
      </w:r>
      <w:r>
        <w:t xml:space="preserve"> </w:t>
      </w:r>
      <w:r w:rsidRPr="00CF47F3">
        <w:t>regulatory</w:t>
      </w:r>
      <w:r>
        <w:t xml:space="preserve"> </w:t>
      </w:r>
      <w:r w:rsidRPr="00CF47F3">
        <w:t>analysis</w:t>
      </w:r>
      <w:r>
        <w:t>.</w:t>
      </w:r>
    </w:p>
    <w:p w14:paraId="4BE37B3F" w14:textId="77777777" w:rsidR="00B949E1" w:rsidRDefault="00B949E1" w:rsidP="00B949E1">
      <w:pPr>
        <w:pStyle w:val="BodyText"/>
      </w:pPr>
      <w:r w:rsidRPr="009368AE">
        <w:t>The extent to which this price change will eventually be passed on to consumer</w:t>
      </w:r>
      <w:r>
        <w:t>s</w:t>
      </w:r>
      <w:r w:rsidRPr="009368AE">
        <w:t xml:space="preserve"> is </w:t>
      </w:r>
      <w:r>
        <w:t>based on</w:t>
      </w:r>
      <w:r w:rsidRPr="009368AE">
        <w:t xml:space="preserve"> the relative elasticities of demand and supply. </w:t>
      </w:r>
      <w:r>
        <w:t xml:space="preserve">There is insufficient data and research on this matter in SUP, both in Australia and the ACT. Therefore, in this analysis, it will be assumed that the cost of the price increases will be assessed on a case-by-case basis. Where the products are sold at wholesale, the cost will be attributed to businesses, whereas in instances where products are sold at retail, the cost will be attributed to the consumers. </w:t>
      </w:r>
    </w:p>
    <w:p w14:paraId="70FC0902" w14:textId="77777777" w:rsidR="00B949E1" w:rsidRPr="001E153F" w:rsidRDefault="00B949E1" w:rsidP="00B949E1">
      <w:pPr>
        <w:pStyle w:val="BodyText"/>
      </w:pPr>
      <w:r>
        <w:t>This assumption will reflect the initial costs borne by each party, but not the final costs attribution after costs transfers. As this is an economy-wide analysis, the overall economy's final costs and benefits will remain constant whether costs from businesses will ultimately transfer to consumers or not.</w:t>
      </w:r>
    </w:p>
    <w:p w14:paraId="0FF28BDD" w14:textId="77777777" w:rsidR="00B949E1" w:rsidRDefault="00B949E1" w:rsidP="00B949E1">
      <w:pPr>
        <w:pStyle w:val="Heading3"/>
      </w:pPr>
      <w:r>
        <w:t>Base case</w:t>
      </w:r>
    </w:p>
    <w:p w14:paraId="66EC53C2" w14:textId="77777777" w:rsidR="00B949E1" w:rsidRPr="00CF47F3" w:rsidRDefault="00B949E1" w:rsidP="00B949E1">
      <w:pPr>
        <w:pStyle w:val="BodyText"/>
      </w:pPr>
      <w:r>
        <w:t>T</w:t>
      </w:r>
      <w:r w:rsidRPr="00CF47F3">
        <w:t>he</w:t>
      </w:r>
      <w:r>
        <w:t xml:space="preserve"> </w:t>
      </w:r>
      <w:r w:rsidRPr="00CF47F3">
        <w:t>effects</w:t>
      </w:r>
      <w:r>
        <w:t xml:space="preserve"> </w:t>
      </w:r>
      <w:r w:rsidRPr="00CF47F3">
        <w:t>of</w:t>
      </w:r>
      <w:r>
        <w:t xml:space="preserve"> </w:t>
      </w:r>
      <w:r w:rsidRPr="00CF47F3">
        <w:t>the</w:t>
      </w:r>
      <w:r>
        <w:t xml:space="preserve"> </w:t>
      </w:r>
      <w:r w:rsidRPr="00CF47F3">
        <w:t>proposed</w:t>
      </w:r>
      <w:r>
        <w:t xml:space="preserve"> </w:t>
      </w:r>
      <w:r w:rsidRPr="00CF47F3">
        <w:t>policy</w:t>
      </w:r>
      <w:r>
        <w:t xml:space="preserve"> </w:t>
      </w:r>
      <w:r w:rsidRPr="00CF47F3">
        <w:t>options</w:t>
      </w:r>
      <w:r>
        <w:t xml:space="preserve"> are </w:t>
      </w:r>
      <w:r w:rsidRPr="00CF47F3">
        <w:t>estimated</w:t>
      </w:r>
      <w:r>
        <w:t xml:space="preserve"> </w:t>
      </w:r>
      <w:r w:rsidRPr="00CF47F3">
        <w:t>by</w:t>
      </w:r>
      <w:r>
        <w:t xml:space="preserve"> </w:t>
      </w:r>
      <w:r w:rsidRPr="00CF47F3">
        <w:t>comparing</w:t>
      </w:r>
      <w:r>
        <w:t xml:space="preserve"> </w:t>
      </w:r>
      <w:r w:rsidRPr="00CF47F3">
        <w:t>their</w:t>
      </w:r>
      <w:r>
        <w:t xml:space="preserve"> </w:t>
      </w:r>
      <w:r w:rsidRPr="00CF47F3">
        <w:t>impacts</w:t>
      </w:r>
      <w:r>
        <w:t xml:space="preserve"> with </w:t>
      </w:r>
      <w:r w:rsidRPr="00CF47F3">
        <w:t>the</w:t>
      </w:r>
      <w:r>
        <w:t xml:space="preserve"> </w:t>
      </w:r>
      <w:r w:rsidRPr="00CF47F3">
        <w:t>baseline</w:t>
      </w:r>
      <w:r>
        <w:t xml:space="preserve"> </w:t>
      </w:r>
      <w:r w:rsidRPr="00CF47F3">
        <w:t>or</w:t>
      </w:r>
      <w:r>
        <w:t xml:space="preserve"> base case (baseline) </w:t>
      </w:r>
      <w:r w:rsidRPr="00CF47F3">
        <w:t>scenario</w:t>
      </w:r>
      <w:r>
        <w:t xml:space="preserve"> (see Section </w:t>
      </w:r>
      <w:r>
        <w:fldChar w:fldCharType="begin"/>
      </w:r>
      <w:r>
        <w:instrText xml:space="preserve"> REF _Ref129005863 \r \h </w:instrText>
      </w:r>
      <w:r>
        <w:fldChar w:fldCharType="separate"/>
      </w:r>
      <w:r>
        <w:t>5.2</w:t>
      </w:r>
      <w:r>
        <w:fldChar w:fldCharType="end"/>
      </w:r>
      <w:r>
        <w:t>)</w:t>
      </w:r>
      <w:r w:rsidRPr="00CF47F3">
        <w:t>.</w:t>
      </w:r>
      <w:r>
        <w:t xml:space="preserve"> </w:t>
      </w:r>
      <w:r w:rsidRPr="00CF47F3">
        <w:t>The</w:t>
      </w:r>
      <w:r>
        <w:t xml:space="preserve"> </w:t>
      </w:r>
      <w:r w:rsidRPr="00CF47F3">
        <w:t>baseline</w:t>
      </w:r>
      <w:r>
        <w:t xml:space="preserve"> </w:t>
      </w:r>
      <w:r w:rsidRPr="00CF47F3">
        <w:t>is</w:t>
      </w:r>
      <w:r>
        <w:t xml:space="preserve"> </w:t>
      </w:r>
      <w:r w:rsidRPr="00CF47F3">
        <w:t>a</w:t>
      </w:r>
      <w:r>
        <w:t xml:space="preserve"> </w:t>
      </w:r>
      <w:r w:rsidRPr="00CF47F3">
        <w:t>projection</w:t>
      </w:r>
      <w:r>
        <w:t xml:space="preserve"> </w:t>
      </w:r>
      <w:r w:rsidRPr="00CF47F3">
        <w:t>of</w:t>
      </w:r>
      <w:r>
        <w:t xml:space="preserve"> </w:t>
      </w:r>
      <w:r w:rsidRPr="00CF47F3">
        <w:t>the</w:t>
      </w:r>
      <w:r>
        <w:t xml:space="preserve"> </w:t>
      </w:r>
      <w:r w:rsidRPr="00CF47F3">
        <w:t>future</w:t>
      </w:r>
      <w:r>
        <w:t xml:space="preserve"> </w:t>
      </w:r>
      <w:r w:rsidRPr="00CF47F3">
        <w:t>state</w:t>
      </w:r>
      <w:r>
        <w:t xml:space="preserve"> </w:t>
      </w:r>
      <w:r w:rsidRPr="00CF47F3">
        <w:t>of</w:t>
      </w:r>
      <w:r>
        <w:t xml:space="preserve"> </w:t>
      </w:r>
      <w:r w:rsidRPr="00CF47F3">
        <w:t>the</w:t>
      </w:r>
      <w:r>
        <w:t xml:space="preserve"> </w:t>
      </w:r>
      <w:r w:rsidRPr="00CF47F3">
        <w:t>world</w:t>
      </w:r>
      <w:r>
        <w:t xml:space="preserve"> </w:t>
      </w:r>
      <w:r w:rsidRPr="00CF47F3">
        <w:t>in</w:t>
      </w:r>
      <w:r>
        <w:t xml:space="preserve"> </w:t>
      </w:r>
      <w:r w:rsidRPr="00CF47F3">
        <w:t>the</w:t>
      </w:r>
      <w:r>
        <w:t xml:space="preserve"> </w:t>
      </w:r>
      <w:r w:rsidRPr="00CF47F3">
        <w:t>absence</w:t>
      </w:r>
      <w:r>
        <w:t xml:space="preserve"> </w:t>
      </w:r>
      <w:r w:rsidRPr="00CF47F3">
        <w:t>of</w:t>
      </w:r>
      <w:r>
        <w:t xml:space="preserve"> </w:t>
      </w:r>
      <w:r w:rsidRPr="00CF47F3">
        <w:t>any</w:t>
      </w:r>
      <w:r>
        <w:t xml:space="preserve"> </w:t>
      </w:r>
      <w:r w:rsidRPr="00CF47F3">
        <w:t>policy</w:t>
      </w:r>
      <w:r>
        <w:t xml:space="preserve"> </w:t>
      </w:r>
      <w:r w:rsidRPr="00CF47F3">
        <w:t>or</w:t>
      </w:r>
      <w:r>
        <w:t xml:space="preserve"> </w:t>
      </w:r>
      <w:r w:rsidRPr="00CF47F3">
        <w:t>regulatory</w:t>
      </w:r>
      <w:r>
        <w:t xml:space="preserve"> </w:t>
      </w:r>
      <w:r w:rsidRPr="00CF47F3">
        <w:t>change</w:t>
      </w:r>
      <w:r>
        <w:t>, given the currently available information and data</w:t>
      </w:r>
      <w:r w:rsidRPr="00CF47F3">
        <w:t>.</w:t>
      </w:r>
      <w:r>
        <w:t xml:space="preserve"> </w:t>
      </w:r>
    </w:p>
    <w:p w14:paraId="13561557" w14:textId="77777777" w:rsidR="00B949E1" w:rsidRPr="00074594" w:rsidRDefault="00B949E1" w:rsidP="00B949E1">
      <w:pPr>
        <w:pStyle w:val="BodyText"/>
      </w:pPr>
      <w:r w:rsidRPr="00CF47F3">
        <w:t>The</w:t>
      </w:r>
      <w:r>
        <w:t xml:space="preserve"> </w:t>
      </w:r>
      <w:r w:rsidRPr="00CF47F3">
        <w:t>objective</w:t>
      </w:r>
      <w:r>
        <w:t xml:space="preserve"> </w:t>
      </w:r>
      <w:r w:rsidRPr="00CF47F3">
        <w:t>of</w:t>
      </w:r>
      <w:r>
        <w:t xml:space="preserve"> </w:t>
      </w:r>
      <w:r w:rsidRPr="00CF47F3">
        <w:t>the</w:t>
      </w:r>
      <w:r>
        <w:t xml:space="preserve"> </w:t>
      </w:r>
      <w:r w:rsidRPr="00CF47F3">
        <w:t>CBA</w:t>
      </w:r>
      <w:r>
        <w:t xml:space="preserve"> </w:t>
      </w:r>
      <w:r w:rsidRPr="00CF47F3">
        <w:t>is</w:t>
      </w:r>
      <w:r>
        <w:t xml:space="preserve"> </w:t>
      </w:r>
      <w:r w:rsidRPr="00CF47F3">
        <w:t>to</w:t>
      </w:r>
      <w:r>
        <w:t xml:space="preserve"> </w:t>
      </w:r>
      <w:r w:rsidRPr="00CF47F3">
        <w:t>assess</w:t>
      </w:r>
      <w:r>
        <w:t xml:space="preserve"> </w:t>
      </w:r>
      <w:r w:rsidRPr="00CF47F3">
        <w:t>the</w:t>
      </w:r>
      <w:r>
        <w:t xml:space="preserve"> change caused by </w:t>
      </w:r>
      <w:r w:rsidRPr="00CF47F3">
        <w:t>the</w:t>
      </w:r>
      <w:r>
        <w:t xml:space="preserve"> </w:t>
      </w:r>
      <w:r w:rsidRPr="00CF47F3">
        <w:t>proposed</w:t>
      </w:r>
      <w:r>
        <w:t xml:space="preserve"> SUP bans</w:t>
      </w:r>
      <w:r w:rsidRPr="00CF47F3">
        <w:t>.</w:t>
      </w:r>
      <w:r>
        <w:t xml:space="preserve"> Therefore</w:t>
      </w:r>
      <w:r w:rsidRPr="00CF47F3">
        <w:t>,</w:t>
      </w:r>
      <w:r>
        <w:t xml:space="preserve"> </w:t>
      </w:r>
      <w:r w:rsidRPr="00CF47F3">
        <w:t>the</w:t>
      </w:r>
      <w:r>
        <w:t xml:space="preserve"> </w:t>
      </w:r>
      <w:r w:rsidRPr="00CF47F3">
        <w:t>baseline</w:t>
      </w:r>
      <w:r>
        <w:t xml:space="preserve"> </w:t>
      </w:r>
      <w:r w:rsidRPr="00CF47F3">
        <w:t>should</w:t>
      </w:r>
      <w:r>
        <w:t xml:space="preserve"> </w:t>
      </w:r>
      <w:r w:rsidRPr="00CF47F3">
        <w:t>make</w:t>
      </w:r>
      <w:r>
        <w:t xml:space="preserve"> </w:t>
      </w:r>
      <w:r w:rsidRPr="00CF47F3">
        <w:t>specific</w:t>
      </w:r>
      <w:r>
        <w:t xml:space="preserve"> </w:t>
      </w:r>
      <w:r w:rsidRPr="00CF47F3">
        <w:t>reference</w:t>
      </w:r>
      <w:r>
        <w:t xml:space="preserve"> </w:t>
      </w:r>
      <w:r w:rsidRPr="00CF47F3">
        <w:t>to</w:t>
      </w:r>
      <w:r>
        <w:t xml:space="preserve"> </w:t>
      </w:r>
      <w:r w:rsidRPr="00CF47F3">
        <w:t>those</w:t>
      </w:r>
      <w:r>
        <w:t xml:space="preserve"> </w:t>
      </w:r>
      <w:r w:rsidRPr="00CF47F3">
        <w:t>factors</w:t>
      </w:r>
      <w:r>
        <w:t xml:space="preserve"> </w:t>
      </w:r>
      <w:r w:rsidRPr="00CF47F3">
        <w:t>which</w:t>
      </w:r>
      <w:r>
        <w:t xml:space="preserve"> </w:t>
      </w:r>
      <w:r w:rsidRPr="00CF47F3">
        <w:t>will</w:t>
      </w:r>
      <w:r>
        <w:t xml:space="preserve"> </w:t>
      </w:r>
      <w:r w:rsidRPr="00CF47F3">
        <w:t>be</w:t>
      </w:r>
      <w:r>
        <w:t xml:space="preserve"> </w:t>
      </w:r>
      <w:r w:rsidRPr="00CF47F3">
        <w:t>affected</w:t>
      </w:r>
      <w:r>
        <w:t xml:space="preserve"> </w:t>
      </w:r>
      <w:r w:rsidRPr="00CF47F3">
        <w:t>by</w:t>
      </w:r>
      <w:r>
        <w:t xml:space="preserve"> </w:t>
      </w:r>
      <w:r w:rsidRPr="00CF47F3">
        <w:t>the</w:t>
      </w:r>
      <w:r>
        <w:t xml:space="preserve"> </w:t>
      </w:r>
      <w:r w:rsidRPr="00CF47F3">
        <w:t>regulation,</w:t>
      </w:r>
      <w:r>
        <w:t xml:space="preserve"> </w:t>
      </w:r>
      <w:r w:rsidRPr="00CF47F3">
        <w:t>and</w:t>
      </w:r>
      <w:r>
        <w:t xml:space="preserve"> </w:t>
      </w:r>
      <w:r w:rsidRPr="00CF47F3">
        <w:t>which</w:t>
      </w:r>
      <w:r>
        <w:t xml:space="preserve"> </w:t>
      </w:r>
      <w:r w:rsidRPr="00CF47F3">
        <w:t>will</w:t>
      </w:r>
      <w:r>
        <w:t xml:space="preserve"> </w:t>
      </w:r>
      <w:r w:rsidRPr="00CF47F3">
        <w:t>affect</w:t>
      </w:r>
      <w:r>
        <w:t xml:space="preserve"> </w:t>
      </w:r>
      <w:r w:rsidRPr="00CF47F3">
        <w:t>the</w:t>
      </w:r>
      <w:r>
        <w:t xml:space="preserve"> </w:t>
      </w:r>
      <w:r w:rsidRPr="00CF47F3">
        <w:t>estimates</w:t>
      </w:r>
      <w:r>
        <w:t xml:space="preserve"> </w:t>
      </w:r>
      <w:r w:rsidRPr="00CF47F3">
        <w:t>of</w:t>
      </w:r>
      <w:r>
        <w:t xml:space="preserve"> </w:t>
      </w:r>
      <w:r w:rsidRPr="00CF47F3">
        <w:t>its</w:t>
      </w:r>
      <w:r>
        <w:t xml:space="preserve"> </w:t>
      </w:r>
      <w:r w:rsidRPr="00CF47F3">
        <w:t>impact.</w:t>
      </w:r>
      <w:r>
        <w:t xml:space="preserve"> T</w:t>
      </w:r>
      <w:r w:rsidRPr="00CF47F3">
        <w:t>o</w:t>
      </w:r>
      <w:r>
        <w:t xml:space="preserve"> </w:t>
      </w:r>
      <w:r w:rsidRPr="00074594">
        <w:t>establish</w:t>
      </w:r>
      <w:r>
        <w:t xml:space="preserve"> </w:t>
      </w:r>
      <w:r w:rsidRPr="00074594">
        <w:t>the</w:t>
      </w:r>
      <w:r>
        <w:t xml:space="preserve"> </w:t>
      </w:r>
      <w:r w:rsidRPr="00074594">
        <w:t>baseline</w:t>
      </w:r>
      <w:r>
        <w:t xml:space="preserve"> </w:t>
      </w:r>
      <w:r w:rsidRPr="00074594">
        <w:t>for</w:t>
      </w:r>
      <w:r>
        <w:t xml:space="preserve"> </w:t>
      </w:r>
      <w:r w:rsidRPr="00074594">
        <w:t>the</w:t>
      </w:r>
      <w:r>
        <w:t xml:space="preserve"> </w:t>
      </w:r>
      <w:r w:rsidRPr="00074594">
        <w:t>analysis</w:t>
      </w:r>
      <w:r>
        <w:t xml:space="preserve"> </w:t>
      </w:r>
      <w:r w:rsidRPr="00074594">
        <w:t>in</w:t>
      </w:r>
      <w:r>
        <w:t xml:space="preserve"> </w:t>
      </w:r>
      <w:r w:rsidRPr="00074594">
        <w:t>the</w:t>
      </w:r>
      <w:r>
        <w:t xml:space="preserve"> </w:t>
      </w:r>
      <w:r w:rsidRPr="00074594">
        <w:t>RIS</w:t>
      </w:r>
      <w:r>
        <w:t xml:space="preserve"> </w:t>
      </w:r>
      <w:r w:rsidRPr="00074594">
        <w:t>we</w:t>
      </w:r>
      <w:r>
        <w:t xml:space="preserve"> </w:t>
      </w:r>
      <w:r w:rsidRPr="00074594">
        <w:t>considered:</w:t>
      </w:r>
    </w:p>
    <w:p w14:paraId="687D789B" w14:textId="77777777" w:rsidR="00B949E1" w:rsidRPr="00074594" w:rsidRDefault="00B949E1" w:rsidP="00B949E1">
      <w:pPr>
        <w:pStyle w:val="ListBullet"/>
        <w:numPr>
          <w:ilvl w:val="0"/>
          <w:numId w:val="9"/>
        </w:numPr>
      </w:pPr>
      <w:r w:rsidRPr="00074594">
        <w:lastRenderedPageBreak/>
        <w:t>the</w:t>
      </w:r>
      <w:r>
        <w:t xml:space="preserve"> current consumption of SUP items in the ACT</w:t>
      </w:r>
    </w:p>
    <w:p w14:paraId="3088AF85" w14:textId="77777777" w:rsidR="00B949E1" w:rsidRPr="00074594" w:rsidRDefault="00B949E1" w:rsidP="00B949E1">
      <w:pPr>
        <w:pStyle w:val="ListBullet"/>
        <w:numPr>
          <w:ilvl w:val="0"/>
          <w:numId w:val="9"/>
        </w:numPr>
      </w:pPr>
      <w:r w:rsidRPr="00074594">
        <w:t>changes</w:t>
      </w:r>
      <w:r>
        <w:t xml:space="preserve"> </w:t>
      </w:r>
      <w:r w:rsidRPr="00074594">
        <w:t>in</w:t>
      </w:r>
      <w:r>
        <w:t xml:space="preserve"> </w:t>
      </w:r>
      <w:r w:rsidRPr="00074594">
        <w:t>consumption</w:t>
      </w:r>
      <w:r>
        <w:t xml:space="preserve"> of SUPs</w:t>
      </w:r>
      <w:r w:rsidRPr="00074594">
        <w:t>.</w:t>
      </w:r>
    </w:p>
    <w:p w14:paraId="06C259A9" w14:textId="77777777" w:rsidR="00B949E1" w:rsidRPr="00CF47F3" w:rsidRDefault="00B949E1" w:rsidP="00B949E1">
      <w:pPr>
        <w:pStyle w:val="BodyText"/>
      </w:pPr>
      <w:r w:rsidRPr="00CF47F3">
        <w:t>Additional</w:t>
      </w:r>
      <w:r>
        <w:t xml:space="preserve"> </w:t>
      </w:r>
      <w:r w:rsidRPr="00CF47F3">
        <w:t>information</w:t>
      </w:r>
      <w:r>
        <w:t xml:space="preserve"> </w:t>
      </w:r>
      <w:r w:rsidRPr="00CF47F3">
        <w:t>about</w:t>
      </w:r>
      <w:r>
        <w:t xml:space="preserve"> </w:t>
      </w:r>
      <w:r w:rsidRPr="00CF47F3">
        <w:t>each</w:t>
      </w:r>
      <w:r>
        <w:t xml:space="preserve"> </w:t>
      </w:r>
      <w:r w:rsidRPr="00CF47F3">
        <w:t>of</w:t>
      </w:r>
      <w:r>
        <w:t xml:space="preserve"> </w:t>
      </w:r>
      <w:r w:rsidRPr="00CF47F3">
        <w:t>the</w:t>
      </w:r>
      <w:r>
        <w:t xml:space="preserve">se </w:t>
      </w:r>
      <w:r w:rsidRPr="00CF47F3">
        <w:t>elements</w:t>
      </w:r>
      <w:r>
        <w:t xml:space="preserve"> </w:t>
      </w:r>
      <w:r w:rsidRPr="00CF47F3">
        <w:t>is</w:t>
      </w:r>
      <w:r>
        <w:t xml:space="preserve"> </w:t>
      </w:r>
      <w:r w:rsidRPr="00CF47F3">
        <w:t>provided</w:t>
      </w:r>
      <w:r>
        <w:t xml:space="preserve"> </w:t>
      </w:r>
      <w:r w:rsidRPr="00CF47F3">
        <w:t>in</w:t>
      </w:r>
      <w:r>
        <w:t xml:space="preserve"> </w:t>
      </w:r>
      <w:r w:rsidRPr="00CF47F3">
        <w:t>the</w:t>
      </w:r>
      <w:r>
        <w:t xml:space="preserve"> </w:t>
      </w:r>
      <w:r w:rsidRPr="00CF47F3">
        <w:t>sections</w:t>
      </w:r>
      <w:r>
        <w:t xml:space="preserve"> </w:t>
      </w:r>
      <w:r w:rsidRPr="00CF47F3">
        <w:t>below.</w:t>
      </w:r>
      <w:r>
        <w:t xml:space="preserve"> </w:t>
      </w:r>
    </w:p>
    <w:p w14:paraId="68F661CA" w14:textId="77777777" w:rsidR="00B949E1" w:rsidRDefault="00B949E1" w:rsidP="00A42F85">
      <w:pPr>
        <w:pStyle w:val="Heading4"/>
        <w:numPr>
          <w:ilvl w:val="0"/>
          <w:numId w:val="0"/>
        </w:numPr>
      </w:pPr>
      <w:r>
        <w:t>Current consumption of SUP items in ACT</w:t>
      </w:r>
    </w:p>
    <w:p w14:paraId="4F126177" w14:textId="77777777" w:rsidR="00B949E1" w:rsidRDefault="00B949E1" w:rsidP="00B949E1">
      <w:pPr>
        <w:pStyle w:val="BodyText"/>
      </w:pPr>
      <w:r>
        <w:t>There are no published data on the level of consumption of SUPs for the proposed items in the ACT. As such, we have used other studies to determine the per capita SUP consumption, which is assumed to be the same in the ACT as in other jurisdictions. Without any consumption data, we have used conservative assumptions with the support of the ACT NoWaste team.</w:t>
      </w:r>
    </w:p>
    <w:p w14:paraId="0F31FF54" w14:textId="77777777" w:rsidR="00B949E1" w:rsidRDefault="00B949E1" w:rsidP="00B949E1">
      <w:pPr>
        <w:pStyle w:val="BodyText"/>
      </w:pPr>
      <w:r w:rsidRPr="00B91DCC">
        <w:rPr>
          <w:b/>
          <w:bCs/>
        </w:rPr>
        <w:fldChar w:fldCharType="begin"/>
      </w:r>
      <w:r w:rsidRPr="00B91DCC">
        <w:rPr>
          <w:b/>
          <w:bCs/>
        </w:rPr>
        <w:instrText xml:space="preserve"> REF _Ref130824855 \h  \* MERGEFORMAT </w:instrText>
      </w:r>
      <w:r w:rsidRPr="00B91DCC">
        <w:rPr>
          <w:b/>
          <w:bCs/>
        </w:rPr>
      </w:r>
      <w:r w:rsidRPr="00B91DCC">
        <w:rPr>
          <w:b/>
          <w:bCs/>
        </w:rPr>
        <w:fldChar w:fldCharType="separate"/>
      </w:r>
      <w:r w:rsidRPr="00790266">
        <w:rPr>
          <w:rStyle w:val="CaptionLabel"/>
          <w:b w:val="0"/>
          <w:bCs/>
        </w:rPr>
        <w:t>Table 6.2</w:t>
      </w:r>
      <w:r w:rsidRPr="00B91DCC">
        <w:rPr>
          <w:b/>
          <w:bCs/>
        </w:rPr>
        <w:fldChar w:fldCharType="end"/>
      </w:r>
      <w:r>
        <w:rPr>
          <w:b/>
          <w:bCs/>
        </w:rPr>
        <w:t xml:space="preserve"> </w:t>
      </w:r>
      <w:r>
        <w:t>shows the estimated annual consumption</w:t>
      </w:r>
      <w:r w:rsidRPr="00F82214">
        <w:t xml:space="preserve"> </w:t>
      </w:r>
      <w:r w:rsidRPr="001A27E3">
        <w:t>of</w:t>
      </w:r>
      <w:r>
        <w:t xml:space="preserve"> SUP </w:t>
      </w:r>
      <w:r w:rsidRPr="001A27E3">
        <w:t>items</w:t>
      </w:r>
      <w:r>
        <w:t xml:space="preserve"> in the ACT, forming the baseline for this analysis.</w:t>
      </w:r>
    </w:p>
    <w:p w14:paraId="0C1CFEFA" w14:textId="77777777" w:rsidR="00B949E1" w:rsidRDefault="00B949E1" w:rsidP="00B949E1">
      <w:pPr>
        <w:pStyle w:val="BodyText"/>
      </w:pPr>
    </w:p>
    <w:p w14:paraId="4F6E7EE8" w14:textId="77777777" w:rsidR="00B949E1" w:rsidRDefault="00B949E1" w:rsidP="00B949E1">
      <w:pPr>
        <w:pStyle w:val="BodyText"/>
      </w:pPr>
    </w:p>
    <w:p w14:paraId="5D076C10" w14:textId="77777777" w:rsidR="00B949E1" w:rsidRDefault="00B949E1" w:rsidP="00B949E1">
      <w:pPr>
        <w:pStyle w:val="BodyText"/>
        <w:sectPr w:rsidR="00B949E1" w:rsidSect="00003C6B">
          <w:headerReference w:type="even" r:id="rId62"/>
          <w:headerReference w:type="default" r:id="rId63"/>
          <w:footerReference w:type="even" r:id="rId64"/>
          <w:footerReference w:type="default" r:id="rId65"/>
          <w:headerReference w:type="first" r:id="rId66"/>
          <w:footerReference w:type="first" r:id="rId67"/>
          <w:pgSz w:w="11906" w:h="16838" w:code="9"/>
          <w:pgMar w:top="1134" w:right="851" w:bottom="1134" w:left="3119" w:header="454" w:footer="454" w:gutter="0"/>
          <w:cols w:space="708"/>
          <w:docGrid w:linePitch="360"/>
        </w:sectPr>
      </w:pPr>
    </w:p>
    <w:p w14:paraId="00C97D3B" w14:textId="77777777" w:rsidR="00B949E1" w:rsidRDefault="00B949E1" w:rsidP="00B949E1">
      <w:pPr>
        <w:pStyle w:val="Caption"/>
        <w:ind w:left="-790"/>
      </w:pPr>
      <w:bookmarkStart w:id="86" w:name="_Ref130824855"/>
      <w:bookmarkStart w:id="87" w:name="_Toc134002442"/>
      <w:r w:rsidRPr="002D7E4E">
        <w:rPr>
          <w:rStyle w:val="CaptionLabel"/>
        </w:rPr>
        <w:lastRenderedPageBreak/>
        <w:t>Table </w:t>
      </w:r>
      <w:r w:rsidRPr="002D7E4E">
        <w:rPr>
          <w:rStyle w:val="CaptionLabel"/>
        </w:rPr>
        <w:fldChar w:fldCharType="begin"/>
      </w:r>
      <w:r w:rsidRPr="002D7E4E">
        <w:rPr>
          <w:rStyle w:val="CaptionLabel"/>
        </w:rPr>
        <w:instrText xml:space="preserve"> STYLEREF 1 \S \* MERGEFORMAT </w:instrText>
      </w:r>
      <w:r w:rsidRPr="002D7E4E">
        <w:rPr>
          <w:rStyle w:val="CaptionLabel"/>
        </w:rPr>
        <w:fldChar w:fldCharType="separate"/>
      </w:r>
      <w:r>
        <w:rPr>
          <w:rStyle w:val="CaptionLabel"/>
          <w:noProof/>
        </w:rPr>
        <w:t>6</w:t>
      </w:r>
      <w:r w:rsidRPr="002D7E4E">
        <w:rPr>
          <w:rStyle w:val="CaptionLabel"/>
        </w:rPr>
        <w:fldChar w:fldCharType="end"/>
      </w:r>
      <w:r w:rsidRPr="002D7E4E">
        <w:rPr>
          <w:rStyle w:val="CaptionLabel"/>
        </w:rPr>
        <w:t>.</w:t>
      </w:r>
      <w:r w:rsidRPr="002D7E4E">
        <w:rPr>
          <w:rStyle w:val="CaptionLabel"/>
        </w:rPr>
        <w:fldChar w:fldCharType="begin"/>
      </w:r>
      <w:r w:rsidRPr="002D7E4E">
        <w:rPr>
          <w:rStyle w:val="CaptionLabel"/>
        </w:rPr>
        <w:instrText xml:space="preserve"> SEQ Table \* ARABIC \S 1 \* MERGEFORMAT </w:instrText>
      </w:r>
      <w:r w:rsidRPr="002D7E4E">
        <w:rPr>
          <w:rStyle w:val="CaptionLabel"/>
        </w:rPr>
        <w:fldChar w:fldCharType="separate"/>
      </w:r>
      <w:r>
        <w:rPr>
          <w:rStyle w:val="CaptionLabel"/>
          <w:noProof/>
        </w:rPr>
        <w:t>2</w:t>
      </w:r>
      <w:r w:rsidRPr="002D7E4E">
        <w:rPr>
          <w:rStyle w:val="CaptionLabel"/>
        </w:rPr>
        <w:fldChar w:fldCharType="end"/>
      </w:r>
      <w:bookmarkEnd w:id="86"/>
      <w:r>
        <w:tab/>
      </w:r>
      <w:r w:rsidRPr="001A27E3">
        <w:t>Estimated</w:t>
      </w:r>
      <w:r>
        <w:t xml:space="preserve"> </w:t>
      </w:r>
      <w:r w:rsidRPr="001A27E3">
        <w:t>annual</w:t>
      </w:r>
      <w:r>
        <w:t xml:space="preserve"> </w:t>
      </w:r>
      <w:r w:rsidRPr="001A27E3">
        <w:t>consumption</w:t>
      </w:r>
      <w:r>
        <w:t xml:space="preserve"> </w:t>
      </w:r>
      <w:r w:rsidRPr="001A27E3">
        <w:t>of</w:t>
      </w:r>
      <w:r>
        <w:t xml:space="preserve"> SUP </w:t>
      </w:r>
      <w:r w:rsidRPr="001A27E3">
        <w:t>items</w:t>
      </w:r>
      <w:r>
        <w:t xml:space="preserve"> </w:t>
      </w:r>
      <w:r w:rsidRPr="001A27E3">
        <w:t>in</w:t>
      </w:r>
      <w:r>
        <w:t xml:space="preserve"> the Australian Capital Territory</w:t>
      </w:r>
      <w:r w:rsidRPr="001A27E3">
        <w:t>,</w:t>
      </w:r>
      <w:r>
        <w:t xml:space="preserve"> 2023</w:t>
      </w:r>
      <w:bookmarkEnd w:id="87"/>
    </w:p>
    <w:tbl>
      <w:tblPr>
        <w:tblW w:w="15323" w:type="dxa"/>
        <w:tblInd w:w="-2423"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454"/>
        <w:gridCol w:w="11"/>
        <w:gridCol w:w="4085"/>
        <w:gridCol w:w="1417"/>
        <w:gridCol w:w="1885"/>
        <w:gridCol w:w="1651"/>
        <w:gridCol w:w="1652"/>
        <w:gridCol w:w="2084"/>
        <w:gridCol w:w="2052"/>
        <w:gridCol w:w="32"/>
      </w:tblGrid>
      <w:tr w:rsidR="00B949E1" w:rsidRPr="00776822" w14:paraId="570A7DD2" w14:textId="77777777" w:rsidTr="00B9362B">
        <w:trPr>
          <w:tblHeader/>
        </w:trPr>
        <w:tc>
          <w:tcPr>
            <w:tcW w:w="4550" w:type="dxa"/>
            <w:gridSpan w:val="3"/>
            <w:vMerge w:val="restart"/>
            <w:tcBorders>
              <w:top w:val="nil"/>
            </w:tcBorders>
            <w:shd w:val="clear" w:color="auto" w:fill="140034"/>
            <w:noWrap/>
            <w:tcMar>
              <w:left w:w="454" w:type="dxa"/>
            </w:tcMar>
            <w:vAlign w:val="center"/>
          </w:tcPr>
          <w:p w14:paraId="4CD5E4A0" w14:textId="77777777" w:rsidR="00B949E1" w:rsidRPr="00776822" w:rsidRDefault="00B949E1" w:rsidP="00B9362B">
            <w:pPr>
              <w:pStyle w:val="Tablecolumnheadings"/>
              <w:rPr>
                <w:lang w:eastAsia="en-AU"/>
              </w:rPr>
            </w:pPr>
            <w:r w:rsidRPr="00227B3A">
              <w:t>Item</w:t>
            </w:r>
          </w:p>
        </w:tc>
        <w:tc>
          <w:tcPr>
            <w:tcW w:w="6605" w:type="dxa"/>
            <w:gridSpan w:val="4"/>
            <w:tcBorders>
              <w:top w:val="nil"/>
              <w:bottom w:val="nil"/>
            </w:tcBorders>
            <w:shd w:val="clear" w:color="auto" w:fill="140034"/>
            <w:noWrap/>
          </w:tcPr>
          <w:p w14:paraId="44B09DB3" w14:textId="77777777" w:rsidR="00B949E1" w:rsidRPr="00776822" w:rsidRDefault="00B949E1" w:rsidP="00B9362B">
            <w:pPr>
              <w:pStyle w:val="Tablecolumnheadings"/>
              <w:jc w:val="center"/>
              <w:rPr>
                <w:lang w:eastAsia="en-AU"/>
              </w:rPr>
            </w:pPr>
            <w:r>
              <w:t xml:space="preserve">ACT </w:t>
            </w:r>
            <w:r w:rsidRPr="00227B3A">
              <w:t>annual</w:t>
            </w:r>
            <w:r>
              <w:t xml:space="preserve"> </w:t>
            </w:r>
            <w:r w:rsidRPr="00227B3A">
              <w:t>consumption</w:t>
            </w:r>
            <w:r>
              <w:t xml:space="preserve"> </w:t>
            </w:r>
            <w:r w:rsidRPr="00CD50C0">
              <w:t>(No.</w:t>
            </w:r>
            <w:r>
              <w:t xml:space="preserve"> </w:t>
            </w:r>
            <w:r w:rsidRPr="00CD50C0">
              <w:t>items,</w:t>
            </w:r>
            <w:r>
              <w:t xml:space="preserve"> </w:t>
            </w:r>
            <w:r w:rsidRPr="00CD50C0">
              <w:t>millions)</w:t>
            </w:r>
          </w:p>
        </w:tc>
        <w:tc>
          <w:tcPr>
            <w:tcW w:w="2084" w:type="dxa"/>
            <w:vMerge w:val="restart"/>
            <w:tcBorders>
              <w:top w:val="nil"/>
            </w:tcBorders>
            <w:shd w:val="clear" w:color="auto" w:fill="140034"/>
            <w:noWrap/>
            <w:vAlign w:val="center"/>
          </w:tcPr>
          <w:p w14:paraId="469EBD95" w14:textId="77777777" w:rsidR="00B949E1" w:rsidRDefault="00B949E1" w:rsidP="00B9362B">
            <w:pPr>
              <w:pStyle w:val="Tablecolumnheadings"/>
              <w:jc w:val="center"/>
            </w:pPr>
            <w:r w:rsidRPr="00227B3A">
              <w:t>Per</w:t>
            </w:r>
            <w:r>
              <w:t xml:space="preserve"> </w:t>
            </w:r>
            <w:r w:rsidRPr="00227B3A">
              <w:t>capita</w:t>
            </w:r>
            <w:r>
              <w:t xml:space="preserve"> </w:t>
            </w:r>
            <w:r w:rsidRPr="00227B3A">
              <w:t>consumption</w:t>
            </w:r>
          </w:p>
          <w:p w14:paraId="52DBEA00" w14:textId="77777777" w:rsidR="00B949E1" w:rsidRPr="00776822" w:rsidRDefault="00B949E1" w:rsidP="00B9362B">
            <w:pPr>
              <w:pStyle w:val="Tablecolumnheadings"/>
              <w:jc w:val="center"/>
              <w:rPr>
                <w:lang w:eastAsia="en-AU"/>
              </w:rPr>
            </w:pPr>
            <w:r w:rsidRPr="00227B3A">
              <w:t>(No.</w:t>
            </w:r>
            <w:r>
              <w:t xml:space="preserve"> </w:t>
            </w:r>
            <w:r w:rsidRPr="00227B3A">
              <w:t>items</w:t>
            </w:r>
            <w:r>
              <w:t>/yr</w:t>
            </w:r>
            <w:r w:rsidRPr="00227B3A">
              <w:t>)</w:t>
            </w:r>
          </w:p>
        </w:tc>
        <w:tc>
          <w:tcPr>
            <w:tcW w:w="2084" w:type="dxa"/>
            <w:gridSpan w:val="2"/>
            <w:vMerge w:val="restart"/>
            <w:tcBorders>
              <w:top w:val="nil"/>
            </w:tcBorders>
            <w:shd w:val="clear" w:color="auto" w:fill="140034"/>
            <w:noWrap/>
            <w:vAlign w:val="center"/>
          </w:tcPr>
          <w:p w14:paraId="59ACD8EA" w14:textId="77777777" w:rsidR="00B949E1" w:rsidRPr="00776822" w:rsidRDefault="00B949E1" w:rsidP="00B9362B">
            <w:pPr>
              <w:pStyle w:val="Tablecolumnheadings"/>
              <w:jc w:val="center"/>
              <w:rPr>
                <w:lang w:eastAsia="en-AU"/>
              </w:rPr>
            </w:pPr>
            <w:r>
              <w:t xml:space="preserve">ACT </w:t>
            </w:r>
            <w:r w:rsidRPr="0023154C">
              <w:t>annual</w:t>
            </w:r>
            <w:r>
              <w:t xml:space="preserve"> </w:t>
            </w:r>
            <w:r w:rsidRPr="0023154C">
              <w:t>consumption</w:t>
            </w:r>
            <w:r>
              <w:t xml:space="preserve"> </w:t>
            </w:r>
            <w:r w:rsidRPr="0023154C">
              <w:t>- weight</w:t>
            </w:r>
            <w:r>
              <w:t xml:space="preserve"> </w:t>
            </w:r>
            <w:r w:rsidRPr="0023154C">
              <w:t>(Tonnes)</w:t>
            </w:r>
          </w:p>
        </w:tc>
      </w:tr>
      <w:tr w:rsidR="00B949E1" w:rsidRPr="00776822" w14:paraId="595A7E64" w14:textId="77777777" w:rsidTr="00B9362B">
        <w:trPr>
          <w:tblHeader/>
        </w:trPr>
        <w:tc>
          <w:tcPr>
            <w:tcW w:w="4550" w:type="dxa"/>
            <w:gridSpan w:val="3"/>
            <w:vMerge/>
            <w:tcBorders>
              <w:bottom w:val="nil"/>
            </w:tcBorders>
            <w:shd w:val="clear" w:color="auto" w:fill="140034"/>
            <w:noWrap/>
            <w:tcMar>
              <w:left w:w="454" w:type="dxa"/>
            </w:tcMar>
          </w:tcPr>
          <w:p w14:paraId="4889C1F2" w14:textId="77777777" w:rsidR="00B949E1" w:rsidRPr="00776822" w:rsidRDefault="00B949E1" w:rsidP="00B9362B">
            <w:pPr>
              <w:pStyle w:val="Tablecolumnheadings"/>
              <w:rPr>
                <w:lang w:eastAsia="en-AU"/>
              </w:rPr>
            </w:pPr>
          </w:p>
        </w:tc>
        <w:tc>
          <w:tcPr>
            <w:tcW w:w="1417" w:type="dxa"/>
            <w:tcBorders>
              <w:top w:val="nil"/>
              <w:bottom w:val="nil"/>
            </w:tcBorders>
            <w:shd w:val="clear" w:color="auto" w:fill="140034"/>
            <w:noWrap/>
          </w:tcPr>
          <w:p w14:paraId="67E246E4" w14:textId="77777777" w:rsidR="00B949E1" w:rsidRPr="00776822" w:rsidRDefault="00B949E1" w:rsidP="00B9362B">
            <w:pPr>
              <w:pStyle w:val="Tablecolumnheadings"/>
              <w:jc w:val="center"/>
              <w:rPr>
                <w:lang w:eastAsia="en-AU"/>
              </w:rPr>
            </w:pPr>
            <w:r w:rsidRPr="00227B3A">
              <w:t>Retail</w:t>
            </w:r>
          </w:p>
        </w:tc>
        <w:tc>
          <w:tcPr>
            <w:tcW w:w="1885" w:type="dxa"/>
            <w:tcBorders>
              <w:top w:val="nil"/>
              <w:bottom w:val="nil"/>
            </w:tcBorders>
            <w:shd w:val="clear" w:color="auto" w:fill="140034"/>
            <w:noWrap/>
          </w:tcPr>
          <w:p w14:paraId="6EC67AD5" w14:textId="77777777" w:rsidR="00B949E1" w:rsidRPr="00776822" w:rsidRDefault="00B949E1" w:rsidP="00B9362B">
            <w:pPr>
              <w:pStyle w:val="Tablecolumnheadings"/>
              <w:jc w:val="center"/>
              <w:rPr>
                <w:lang w:eastAsia="en-AU"/>
              </w:rPr>
            </w:pPr>
            <w:r w:rsidRPr="00227B3A">
              <w:t>Hospitality</w:t>
            </w:r>
            <w:r>
              <w:t xml:space="preserve"> &amp; other sectors (wholesale) </w:t>
            </w:r>
            <w:r>
              <w:rPr>
                <w:vertAlign w:val="superscript"/>
              </w:rPr>
              <w:t>b</w:t>
            </w:r>
          </w:p>
        </w:tc>
        <w:tc>
          <w:tcPr>
            <w:tcW w:w="1651" w:type="dxa"/>
            <w:tcBorders>
              <w:top w:val="nil"/>
              <w:bottom w:val="nil"/>
            </w:tcBorders>
            <w:shd w:val="clear" w:color="auto" w:fill="140034"/>
            <w:noWrap/>
          </w:tcPr>
          <w:p w14:paraId="4F632DB2" w14:textId="77777777" w:rsidR="00B949E1" w:rsidRPr="00776822" w:rsidRDefault="00B949E1" w:rsidP="00B9362B">
            <w:pPr>
              <w:pStyle w:val="Tablecolumnheadings"/>
              <w:jc w:val="center"/>
              <w:rPr>
                <w:lang w:eastAsia="en-AU"/>
              </w:rPr>
            </w:pPr>
            <w:r w:rsidRPr="00227B3A">
              <w:t>Medical</w:t>
            </w:r>
            <w:r>
              <w:t xml:space="preserve"> </w:t>
            </w:r>
            <w:r w:rsidRPr="00227B3A">
              <w:t>&amp; other</w:t>
            </w:r>
            <w:r>
              <w:t xml:space="preserve"> </w:t>
            </w:r>
            <w:r w:rsidRPr="00227B3A">
              <w:t>exempted</w:t>
            </w:r>
            <w:r>
              <w:t xml:space="preserve"> </w:t>
            </w:r>
            <w:r w:rsidRPr="00227B3A">
              <w:t>sectors</w:t>
            </w:r>
          </w:p>
        </w:tc>
        <w:tc>
          <w:tcPr>
            <w:tcW w:w="1652" w:type="dxa"/>
            <w:tcBorders>
              <w:bottom w:val="nil"/>
            </w:tcBorders>
            <w:shd w:val="clear" w:color="auto" w:fill="140034"/>
            <w:noWrap/>
          </w:tcPr>
          <w:p w14:paraId="2ADCEA4B" w14:textId="77777777" w:rsidR="00B949E1" w:rsidRPr="00776822" w:rsidRDefault="00B949E1" w:rsidP="00B9362B">
            <w:pPr>
              <w:pStyle w:val="Tablecolumnheadings"/>
              <w:jc w:val="center"/>
              <w:rPr>
                <w:lang w:eastAsia="en-AU"/>
              </w:rPr>
            </w:pPr>
            <w:r>
              <w:rPr>
                <w:lang w:eastAsia="en-AU"/>
              </w:rPr>
              <w:t>Total</w:t>
            </w:r>
          </w:p>
        </w:tc>
        <w:tc>
          <w:tcPr>
            <w:tcW w:w="2084" w:type="dxa"/>
            <w:vMerge/>
            <w:tcBorders>
              <w:bottom w:val="nil"/>
            </w:tcBorders>
            <w:shd w:val="clear" w:color="auto" w:fill="140034"/>
            <w:noWrap/>
          </w:tcPr>
          <w:p w14:paraId="781516E9" w14:textId="77777777" w:rsidR="00B949E1" w:rsidRPr="00776822" w:rsidRDefault="00B949E1" w:rsidP="00B9362B">
            <w:pPr>
              <w:pStyle w:val="Tablecolumnheadings"/>
              <w:jc w:val="center"/>
              <w:rPr>
                <w:lang w:eastAsia="en-AU"/>
              </w:rPr>
            </w:pPr>
          </w:p>
        </w:tc>
        <w:tc>
          <w:tcPr>
            <w:tcW w:w="2084" w:type="dxa"/>
            <w:gridSpan w:val="2"/>
            <w:vMerge/>
            <w:tcBorders>
              <w:bottom w:val="nil"/>
            </w:tcBorders>
            <w:shd w:val="clear" w:color="auto" w:fill="140034"/>
            <w:noWrap/>
          </w:tcPr>
          <w:p w14:paraId="5C1CD66A" w14:textId="77777777" w:rsidR="00B949E1" w:rsidRPr="00776822" w:rsidRDefault="00B949E1" w:rsidP="00B9362B">
            <w:pPr>
              <w:pStyle w:val="Tablecolumnheadings"/>
              <w:jc w:val="center"/>
              <w:rPr>
                <w:lang w:eastAsia="en-AU"/>
              </w:rPr>
            </w:pPr>
          </w:p>
        </w:tc>
      </w:tr>
      <w:tr w:rsidR="00B949E1" w:rsidRPr="00776822" w14:paraId="39BAEA89" w14:textId="77777777" w:rsidTr="003E2764">
        <w:trPr>
          <w:gridBefore w:val="1"/>
          <w:wBefore w:w="454" w:type="dxa"/>
        </w:trPr>
        <w:tc>
          <w:tcPr>
            <w:tcW w:w="4096" w:type="dxa"/>
            <w:gridSpan w:val="2"/>
            <w:tcBorders>
              <w:top w:val="single" w:sz="4" w:space="0" w:color="646464"/>
            </w:tcBorders>
            <w:shd w:val="clear" w:color="auto" w:fill="C8C8C8"/>
            <w:noWrap/>
            <w:hideMark/>
          </w:tcPr>
          <w:p w14:paraId="7FAFB304" w14:textId="77777777" w:rsidR="00B949E1" w:rsidRPr="00616C8A" w:rsidRDefault="00B949E1" w:rsidP="00B9362B">
            <w:pPr>
              <w:pStyle w:val="Tabletext"/>
              <w:rPr>
                <w:b/>
                <w:bCs/>
                <w:lang w:eastAsia="en-AU"/>
              </w:rPr>
            </w:pPr>
            <w:r>
              <w:rPr>
                <w:b/>
                <w:bCs/>
                <w:lang w:eastAsia="en-AU"/>
              </w:rPr>
              <w:t>Option 1 (base case)</w:t>
            </w:r>
          </w:p>
        </w:tc>
        <w:tc>
          <w:tcPr>
            <w:tcW w:w="1417" w:type="dxa"/>
            <w:tcBorders>
              <w:top w:val="single" w:sz="4" w:space="0" w:color="646464"/>
            </w:tcBorders>
            <w:shd w:val="clear" w:color="auto" w:fill="C8C8C8"/>
            <w:noWrap/>
            <w:hideMark/>
          </w:tcPr>
          <w:p w14:paraId="1273A7DA" w14:textId="77777777" w:rsidR="00B949E1" w:rsidRPr="00616C8A" w:rsidRDefault="00B949E1" w:rsidP="00B9362B">
            <w:pPr>
              <w:pStyle w:val="Tabletext"/>
              <w:jc w:val="center"/>
              <w:rPr>
                <w:b/>
                <w:bCs/>
                <w:lang w:eastAsia="en-AU"/>
              </w:rPr>
            </w:pPr>
          </w:p>
        </w:tc>
        <w:tc>
          <w:tcPr>
            <w:tcW w:w="1885" w:type="dxa"/>
            <w:tcBorders>
              <w:top w:val="single" w:sz="4" w:space="0" w:color="646464"/>
            </w:tcBorders>
            <w:shd w:val="clear" w:color="auto" w:fill="C8C8C8"/>
            <w:noWrap/>
            <w:hideMark/>
          </w:tcPr>
          <w:p w14:paraId="79FB125C" w14:textId="77777777" w:rsidR="00B949E1" w:rsidRPr="00616C8A" w:rsidRDefault="00B949E1" w:rsidP="00B9362B">
            <w:pPr>
              <w:pStyle w:val="Tabletext"/>
              <w:jc w:val="center"/>
              <w:rPr>
                <w:b/>
                <w:bCs/>
                <w:lang w:eastAsia="en-AU"/>
              </w:rPr>
            </w:pPr>
          </w:p>
        </w:tc>
        <w:tc>
          <w:tcPr>
            <w:tcW w:w="1651" w:type="dxa"/>
            <w:tcBorders>
              <w:top w:val="single" w:sz="4" w:space="0" w:color="646464"/>
            </w:tcBorders>
            <w:shd w:val="clear" w:color="auto" w:fill="C8C8C8"/>
            <w:noWrap/>
            <w:hideMark/>
          </w:tcPr>
          <w:p w14:paraId="2FFC4E28" w14:textId="77777777" w:rsidR="00B949E1" w:rsidRPr="00616C8A" w:rsidRDefault="00B949E1" w:rsidP="00B9362B">
            <w:pPr>
              <w:pStyle w:val="Tabletext"/>
              <w:jc w:val="center"/>
              <w:rPr>
                <w:b/>
                <w:bCs/>
                <w:lang w:eastAsia="en-AU"/>
              </w:rPr>
            </w:pPr>
          </w:p>
        </w:tc>
        <w:tc>
          <w:tcPr>
            <w:tcW w:w="1652" w:type="dxa"/>
            <w:tcBorders>
              <w:top w:val="single" w:sz="4" w:space="0" w:color="646464"/>
            </w:tcBorders>
            <w:shd w:val="clear" w:color="auto" w:fill="C8C8C8"/>
            <w:noWrap/>
            <w:hideMark/>
          </w:tcPr>
          <w:p w14:paraId="7D4F1C62" w14:textId="77777777" w:rsidR="00B949E1" w:rsidRPr="00616C8A" w:rsidRDefault="00B949E1" w:rsidP="00B9362B">
            <w:pPr>
              <w:pStyle w:val="Tabletext"/>
              <w:jc w:val="center"/>
              <w:rPr>
                <w:b/>
                <w:bCs/>
                <w:lang w:eastAsia="en-AU"/>
              </w:rPr>
            </w:pPr>
          </w:p>
        </w:tc>
        <w:tc>
          <w:tcPr>
            <w:tcW w:w="2084" w:type="dxa"/>
            <w:tcBorders>
              <w:top w:val="single" w:sz="4" w:space="0" w:color="646464"/>
            </w:tcBorders>
            <w:shd w:val="clear" w:color="auto" w:fill="C8C8C8"/>
            <w:noWrap/>
            <w:hideMark/>
          </w:tcPr>
          <w:p w14:paraId="5F00E338" w14:textId="77777777" w:rsidR="00B949E1" w:rsidRPr="00616C8A" w:rsidRDefault="00B949E1" w:rsidP="00B9362B">
            <w:pPr>
              <w:pStyle w:val="Tabletext"/>
              <w:jc w:val="center"/>
              <w:rPr>
                <w:b/>
                <w:bCs/>
                <w:lang w:eastAsia="en-AU"/>
              </w:rPr>
            </w:pPr>
          </w:p>
        </w:tc>
        <w:tc>
          <w:tcPr>
            <w:tcW w:w="2084" w:type="dxa"/>
            <w:gridSpan w:val="2"/>
            <w:tcBorders>
              <w:top w:val="single" w:sz="4" w:space="0" w:color="646464"/>
            </w:tcBorders>
            <w:shd w:val="clear" w:color="auto" w:fill="C8C8C8"/>
            <w:noWrap/>
            <w:hideMark/>
          </w:tcPr>
          <w:p w14:paraId="4019D2DB" w14:textId="77777777" w:rsidR="00B949E1" w:rsidRPr="00616C8A" w:rsidRDefault="00B949E1" w:rsidP="00B9362B">
            <w:pPr>
              <w:pStyle w:val="Tabletext"/>
              <w:jc w:val="center"/>
              <w:rPr>
                <w:b/>
                <w:bCs/>
                <w:lang w:eastAsia="en-AU"/>
              </w:rPr>
            </w:pPr>
          </w:p>
        </w:tc>
      </w:tr>
      <w:tr w:rsidR="00B949E1" w:rsidRPr="004F425B" w14:paraId="598500E3" w14:textId="77777777" w:rsidTr="00B9362B">
        <w:trPr>
          <w:gridBefore w:val="1"/>
          <w:wBefore w:w="454" w:type="dxa"/>
        </w:trPr>
        <w:tc>
          <w:tcPr>
            <w:tcW w:w="4096" w:type="dxa"/>
            <w:gridSpan w:val="2"/>
            <w:tcBorders>
              <w:bottom w:val="single" w:sz="4" w:space="0" w:color="646464"/>
            </w:tcBorders>
            <w:shd w:val="clear" w:color="auto" w:fill="auto"/>
            <w:noWrap/>
            <w:hideMark/>
          </w:tcPr>
          <w:p w14:paraId="52C44E7A" w14:textId="77777777" w:rsidR="00B949E1" w:rsidRPr="00776822" w:rsidRDefault="00B949E1" w:rsidP="00B9362B">
            <w:pPr>
              <w:pStyle w:val="Tabletext"/>
              <w:ind w:left="127"/>
              <w:rPr>
                <w:lang w:eastAsia="en-AU"/>
              </w:rPr>
            </w:pPr>
            <w:r w:rsidRPr="00770BE0">
              <w:t>Plastic bowls</w:t>
            </w:r>
          </w:p>
        </w:tc>
        <w:tc>
          <w:tcPr>
            <w:tcW w:w="1417" w:type="dxa"/>
            <w:tcBorders>
              <w:bottom w:val="single" w:sz="4" w:space="0" w:color="646464"/>
            </w:tcBorders>
            <w:shd w:val="clear" w:color="auto" w:fill="auto"/>
            <w:noWrap/>
          </w:tcPr>
          <w:p w14:paraId="50038DD0" w14:textId="77777777" w:rsidR="00B949E1" w:rsidRPr="00FB6783" w:rsidRDefault="00B949E1" w:rsidP="00B9362B">
            <w:pPr>
              <w:pStyle w:val="Tabletext"/>
              <w:jc w:val="center"/>
              <w:rPr>
                <w:szCs w:val="20"/>
                <w:lang w:eastAsia="en-AU"/>
              </w:rPr>
            </w:pPr>
            <w:r w:rsidRPr="00122170">
              <w:t xml:space="preserve"> 0.1 </w:t>
            </w:r>
          </w:p>
        </w:tc>
        <w:tc>
          <w:tcPr>
            <w:tcW w:w="1885" w:type="dxa"/>
            <w:tcBorders>
              <w:bottom w:val="single" w:sz="4" w:space="0" w:color="646464"/>
            </w:tcBorders>
            <w:shd w:val="clear" w:color="auto" w:fill="auto"/>
            <w:noWrap/>
          </w:tcPr>
          <w:p w14:paraId="33644931" w14:textId="77777777" w:rsidR="00B949E1" w:rsidRPr="00FB6783" w:rsidRDefault="00B949E1" w:rsidP="00B9362B">
            <w:pPr>
              <w:pStyle w:val="Tabletext"/>
              <w:jc w:val="center"/>
              <w:rPr>
                <w:szCs w:val="20"/>
                <w:lang w:eastAsia="en-AU"/>
              </w:rPr>
            </w:pPr>
            <w:r w:rsidRPr="00122170">
              <w:t xml:space="preserve"> 0.5 </w:t>
            </w:r>
          </w:p>
        </w:tc>
        <w:tc>
          <w:tcPr>
            <w:tcW w:w="1651" w:type="dxa"/>
            <w:tcBorders>
              <w:bottom w:val="single" w:sz="4" w:space="0" w:color="646464"/>
            </w:tcBorders>
            <w:shd w:val="clear" w:color="auto" w:fill="auto"/>
            <w:noWrap/>
          </w:tcPr>
          <w:p w14:paraId="2958B478" w14:textId="77777777" w:rsidR="00B949E1" w:rsidRPr="00FB6783" w:rsidRDefault="00B949E1" w:rsidP="00B9362B">
            <w:pPr>
              <w:pStyle w:val="Tabletext"/>
              <w:jc w:val="center"/>
              <w:rPr>
                <w:szCs w:val="20"/>
                <w:lang w:eastAsia="en-AU"/>
              </w:rPr>
            </w:pPr>
            <w:r w:rsidRPr="00122170">
              <w:t xml:space="preserve"> 0.0 </w:t>
            </w:r>
          </w:p>
        </w:tc>
        <w:tc>
          <w:tcPr>
            <w:tcW w:w="1652" w:type="dxa"/>
            <w:tcBorders>
              <w:bottom w:val="single" w:sz="4" w:space="0" w:color="646464"/>
            </w:tcBorders>
            <w:shd w:val="clear" w:color="auto" w:fill="auto"/>
            <w:noWrap/>
          </w:tcPr>
          <w:p w14:paraId="4B102700" w14:textId="77777777" w:rsidR="00B949E1" w:rsidRPr="00FB6783" w:rsidRDefault="00B949E1" w:rsidP="00B9362B">
            <w:pPr>
              <w:pStyle w:val="Tabletext"/>
              <w:jc w:val="center"/>
              <w:rPr>
                <w:szCs w:val="20"/>
                <w:lang w:eastAsia="en-AU"/>
              </w:rPr>
            </w:pPr>
            <w:r w:rsidRPr="00B954B1">
              <w:t xml:space="preserve"> 0.7 </w:t>
            </w:r>
          </w:p>
        </w:tc>
        <w:tc>
          <w:tcPr>
            <w:tcW w:w="2084" w:type="dxa"/>
            <w:tcBorders>
              <w:bottom w:val="single" w:sz="4" w:space="0" w:color="646464"/>
            </w:tcBorders>
            <w:shd w:val="clear" w:color="auto" w:fill="auto"/>
            <w:noWrap/>
          </w:tcPr>
          <w:p w14:paraId="45B508CF" w14:textId="77777777" w:rsidR="00B949E1" w:rsidRPr="00FB6783" w:rsidRDefault="00B949E1" w:rsidP="00B9362B">
            <w:pPr>
              <w:pStyle w:val="Tabletext"/>
              <w:jc w:val="center"/>
              <w:rPr>
                <w:szCs w:val="20"/>
                <w:lang w:eastAsia="en-AU"/>
              </w:rPr>
            </w:pPr>
            <w:r w:rsidRPr="00770BE0">
              <w:t xml:space="preserve"> 2 </w:t>
            </w:r>
          </w:p>
        </w:tc>
        <w:tc>
          <w:tcPr>
            <w:tcW w:w="2084" w:type="dxa"/>
            <w:gridSpan w:val="2"/>
            <w:tcBorders>
              <w:bottom w:val="single" w:sz="4" w:space="0" w:color="646464"/>
            </w:tcBorders>
            <w:shd w:val="clear" w:color="auto" w:fill="auto"/>
            <w:noWrap/>
          </w:tcPr>
          <w:p w14:paraId="4D1FD6EC" w14:textId="77777777" w:rsidR="00B949E1" w:rsidRPr="00FB6783" w:rsidRDefault="00B949E1" w:rsidP="00B9362B">
            <w:pPr>
              <w:pStyle w:val="Tabletext"/>
              <w:jc w:val="center"/>
              <w:rPr>
                <w:szCs w:val="20"/>
                <w:lang w:eastAsia="en-AU"/>
              </w:rPr>
            </w:pPr>
            <w:r w:rsidRPr="00770BE0">
              <w:t xml:space="preserve"> 7.2 </w:t>
            </w:r>
          </w:p>
        </w:tc>
      </w:tr>
      <w:tr w:rsidR="00B949E1" w:rsidRPr="004F425B" w14:paraId="7C64A0B6"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5E7FE68B" w14:textId="77777777" w:rsidR="00B949E1" w:rsidRPr="00776822" w:rsidRDefault="00B949E1" w:rsidP="00B9362B">
            <w:pPr>
              <w:pStyle w:val="Tabletext"/>
              <w:ind w:left="127"/>
              <w:rPr>
                <w:lang w:eastAsia="en-AU"/>
              </w:rPr>
            </w:pPr>
            <w:r w:rsidRPr="00770BE0">
              <w:t>Bowl lids</w:t>
            </w:r>
          </w:p>
        </w:tc>
        <w:tc>
          <w:tcPr>
            <w:tcW w:w="1417" w:type="dxa"/>
            <w:tcBorders>
              <w:top w:val="single" w:sz="4" w:space="0" w:color="646464"/>
              <w:bottom w:val="single" w:sz="4" w:space="0" w:color="646464"/>
            </w:tcBorders>
            <w:shd w:val="clear" w:color="auto" w:fill="auto"/>
            <w:noWrap/>
          </w:tcPr>
          <w:p w14:paraId="6BBC59C8" w14:textId="77777777" w:rsidR="00B949E1" w:rsidRPr="00FB6783" w:rsidRDefault="00B949E1" w:rsidP="00B9362B">
            <w:pPr>
              <w:pStyle w:val="Tabletext"/>
              <w:jc w:val="center"/>
              <w:rPr>
                <w:szCs w:val="20"/>
                <w:lang w:eastAsia="en-AU"/>
              </w:rPr>
            </w:pPr>
            <w:r w:rsidRPr="00122170">
              <w:t xml:space="preserve"> 0.1 </w:t>
            </w:r>
          </w:p>
        </w:tc>
        <w:tc>
          <w:tcPr>
            <w:tcW w:w="1885" w:type="dxa"/>
            <w:tcBorders>
              <w:top w:val="single" w:sz="4" w:space="0" w:color="646464"/>
              <w:bottom w:val="single" w:sz="4" w:space="0" w:color="646464"/>
            </w:tcBorders>
            <w:shd w:val="clear" w:color="auto" w:fill="auto"/>
            <w:noWrap/>
          </w:tcPr>
          <w:p w14:paraId="33CD2E17" w14:textId="77777777" w:rsidR="00B949E1" w:rsidRPr="00FB6783" w:rsidRDefault="00B949E1" w:rsidP="00B9362B">
            <w:pPr>
              <w:pStyle w:val="Tabletext"/>
              <w:jc w:val="center"/>
              <w:rPr>
                <w:szCs w:val="20"/>
                <w:lang w:eastAsia="en-AU"/>
              </w:rPr>
            </w:pPr>
            <w:r w:rsidRPr="00122170">
              <w:t xml:space="preserve"> 0.3 </w:t>
            </w:r>
          </w:p>
        </w:tc>
        <w:tc>
          <w:tcPr>
            <w:tcW w:w="1651" w:type="dxa"/>
            <w:tcBorders>
              <w:top w:val="single" w:sz="4" w:space="0" w:color="646464"/>
              <w:bottom w:val="single" w:sz="4" w:space="0" w:color="646464"/>
            </w:tcBorders>
            <w:shd w:val="clear" w:color="auto" w:fill="auto"/>
            <w:noWrap/>
          </w:tcPr>
          <w:p w14:paraId="616DF980" w14:textId="77777777" w:rsidR="00B949E1" w:rsidRPr="00FB6783" w:rsidRDefault="00B949E1" w:rsidP="00B9362B">
            <w:pPr>
              <w:pStyle w:val="Tabletext"/>
              <w:jc w:val="center"/>
              <w:rPr>
                <w:szCs w:val="20"/>
                <w:lang w:eastAsia="en-AU"/>
              </w:rPr>
            </w:pPr>
            <w:r w:rsidRPr="00122170">
              <w:t xml:space="preserve"> 0.0 </w:t>
            </w:r>
          </w:p>
        </w:tc>
        <w:tc>
          <w:tcPr>
            <w:tcW w:w="1652" w:type="dxa"/>
            <w:tcBorders>
              <w:top w:val="single" w:sz="4" w:space="0" w:color="646464"/>
              <w:bottom w:val="single" w:sz="4" w:space="0" w:color="646464"/>
            </w:tcBorders>
            <w:shd w:val="clear" w:color="auto" w:fill="auto"/>
            <w:noWrap/>
          </w:tcPr>
          <w:p w14:paraId="530998D6" w14:textId="77777777" w:rsidR="00B949E1" w:rsidRPr="00FB6783" w:rsidRDefault="00B949E1" w:rsidP="00B9362B">
            <w:pPr>
              <w:pStyle w:val="Tabletext"/>
              <w:jc w:val="center"/>
              <w:rPr>
                <w:szCs w:val="20"/>
                <w:lang w:eastAsia="en-AU"/>
              </w:rPr>
            </w:pPr>
            <w:r w:rsidRPr="00B954B1">
              <w:t xml:space="preserve"> 0.4 </w:t>
            </w:r>
          </w:p>
        </w:tc>
        <w:tc>
          <w:tcPr>
            <w:tcW w:w="2084" w:type="dxa"/>
            <w:tcBorders>
              <w:top w:val="single" w:sz="4" w:space="0" w:color="646464"/>
              <w:bottom w:val="single" w:sz="4" w:space="0" w:color="646464"/>
            </w:tcBorders>
            <w:shd w:val="clear" w:color="auto" w:fill="auto"/>
            <w:noWrap/>
          </w:tcPr>
          <w:p w14:paraId="323934D1" w14:textId="77777777" w:rsidR="00B949E1" w:rsidRPr="00FB6783" w:rsidRDefault="00B949E1" w:rsidP="00B9362B">
            <w:pPr>
              <w:pStyle w:val="Tabletext"/>
              <w:jc w:val="center"/>
              <w:rPr>
                <w:szCs w:val="20"/>
                <w:lang w:eastAsia="en-AU"/>
              </w:rPr>
            </w:pPr>
            <w:r w:rsidRPr="00770BE0">
              <w:t xml:space="preserve"> 1 </w:t>
            </w:r>
          </w:p>
        </w:tc>
        <w:tc>
          <w:tcPr>
            <w:tcW w:w="2084" w:type="dxa"/>
            <w:gridSpan w:val="2"/>
            <w:tcBorders>
              <w:top w:val="single" w:sz="4" w:space="0" w:color="646464"/>
              <w:bottom w:val="single" w:sz="4" w:space="0" w:color="646464"/>
            </w:tcBorders>
            <w:shd w:val="clear" w:color="auto" w:fill="auto"/>
            <w:noWrap/>
          </w:tcPr>
          <w:p w14:paraId="57ABFF0E" w14:textId="77777777" w:rsidR="00B949E1" w:rsidRPr="00FB6783" w:rsidRDefault="00B949E1" w:rsidP="00B9362B">
            <w:pPr>
              <w:pStyle w:val="Tabletext"/>
              <w:jc w:val="center"/>
              <w:rPr>
                <w:szCs w:val="20"/>
                <w:lang w:eastAsia="en-AU"/>
              </w:rPr>
            </w:pPr>
            <w:r w:rsidRPr="00770BE0">
              <w:t xml:space="preserve"> 3.6 </w:t>
            </w:r>
          </w:p>
        </w:tc>
      </w:tr>
      <w:tr w:rsidR="00B949E1" w:rsidRPr="004F425B" w14:paraId="049CC9AD"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3B766426" w14:textId="77777777" w:rsidR="00B949E1" w:rsidRPr="00776822" w:rsidRDefault="00B949E1" w:rsidP="00B9362B">
            <w:pPr>
              <w:pStyle w:val="Tabletext"/>
              <w:ind w:left="127"/>
              <w:rPr>
                <w:lang w:eastAsia="en-AU"/>
              </w:rPr>
            </w:pPr>
            <w:r w:rsidRPr="00770BE0">
              <w:t>Plastic plates</w:t>
            </w:r>
          </w:p>
        </w:tc>
        <w:tc>
          <w:tcPr>
            <w:tcW w:w="1417" w:type="dxa"/>
            <w:tcBorders>
              <w:top w:val="single" w:sz="4" w:space="0" w:color="646464"/>
              <w:bottom w:val="single" w:sz="4" w:space="0" w:color="646464"/>
            </w:tcBorders>
            <w:shd w:val="clear" w:color="auto" w:fill="auto"/>
            <w:noWrap/>
          </w:tcPr>
          <w:p w14:paraId="47ECCD5C" w14:textId="77777777" w:rsidR="00B949E1" w:rsidRPr="00FB6783" w:rsidRDefault="00B949E1" w:rsidP="00B9362B">
            <w:pPr>
              <w:pStyle w:val="Tabletext"/>
              <w:jc w:val="center"/>
              <w:rPr>
                <w:szCs w:val="20"/>
                <w:lang w:eastAsia="en-AU"/>
              </w:rPr>
            </w:pPr>
            <w:r w:rsidRPr="00122170">
              <w:t xml:space="preserve"> 0.1 </w:t>
            </w:r>
          </w:p>
        </w:tc>
        <w:tc>
          <w:tcPr>
            <w:tcW w:w="1885" w:type="dxa"/>
            <w:tcBorders>
              <w:top w:val="single" w:sz="4" w:space="0" w:color="646464"/>
              <w:bottom w:val="single" w:sz="4" w:space="0" w:color="646464"/>
            </w:tcBorders>
            <w:shd w:val="clear" w:color="auto" w:fill="auto"/>
            <w:noWrap/>
          </w:tcPr>
          <w:p w14:paraId="628F2E2B" w14:textId="77777777" w:rsidR="00B949E1" w:rsidRPr="00FB6783" w:rsidRDefault="00B949E1" w:rsidP="00B9362B">
            <w:pPr>
              <w:pStyle w:val="Tabletext"/>
              <w:jc w:val="center"/>
              <w:rPr>
                <w:szCs w:val="20"/>
                <w:lang w:eastAsia="en-AU"/>
              </w:rPr>
            </w:pPr>
            <w:r w:rsidRPr="00122170">
              <w:t xml:space="preserve"> 0.5 </w:t>
            </w:r>
          </w:p>
        </w:tc>
        <w:tc>
          <w:tcPr>
            <w:tcW w:w="1651" w:type="dxa"/>
            <w:tcBorders>
              <w:top w:val="single" w:sz="4" w:space="0" w:color="646464"/>
              <w:bottom w:val="single" w:sz="4" w:space="0" w:color="646464"/>
            </w:tcBorders>
            <w:shd w:val="clear" w:color="auto" w:fill="auto"/>
            <w:noWrap/>
          </w:tcPr>
          <w:p w14:paraId="29EB091B" w14:textId="77777777" w:rsidR="00B949E1" w:rsidRPr="00FB6783" w:rsidRDefault="00B949E1" w:rsidP="00B9362B">
            <w:pPr>
              <w:pStyle w:val="Tabletext"/>
              <w:jc w:val="center"/>
              <w:rPr>
                <w:szCs w:val="20"/>
                <w:lang w:eastAsia="en-AU"/>
              </w:rPr>
            </w:pPr>
            <w:r w:rsidRPr="00122170">
              <w:t xml:space="preserve"> 0.0 </w:t>
            </w:r>
          </w:p>
        </w:tc>
        <w:tc>
          <w:tcPr>
            <w:tcW w:w="1652" w:type="dxa"/>
            <w:tcBorders>
              <w:top w:val="single" w:sz="4" w:space="0" w:color="646464"/>
              <w:bottom w:val="single" w:sz="4" w:space="0" w:color="646464"/>
            </w:tcBorders>
            <w:shd w:val="clear" w:color="auto" w:fill="auto"/>
            <w:noWrap/>
          </w:tcPr>
          <w:p w14:paraId="38C91059" w14:textId="77777777" w:rsidR="00B949E1" w:rsidRPr="00FB6783" w:rsidRDefault="00B949E1" w:rsidP="00B9362B">
            <w:pPr>
              <w:pStyle w:val="Tabletext"/>
              <w:jc w:val="center"/>
              <w:rPr>
                <w:szCs w:val="20"/>
                <w:lang w:eastAsia="en-AU"/>
              </w:rPr>
            </w:pPr>
            <w:r w:rsidRPr="00B954B1">
              <w:t xml:space="preserve"> 0.7 </w:t>
            </w:r>
          </w:p>
        </w:tc>
        <w:tc>
          <w:tcPr>
            <w:tcW w:w="2084" w:type="dxa"/>
            <w:tcBorders>
              <w:top w:val="single" w:sz="4" w:space="0" w:color="646464"/>
              <w:bottom w:val="single" w:sz="4" w:space="0" w:color="646464"/>
            </w:tcBorders>
            <w:shd w:val="clear" w:color="auto" w:fill="auto"/>
            <w:noWrap/>
          </w:tcPr>
          <w:p w14:paraId="1485015F" w14:textId="77777777" w:rsidR="00B949E1" w:rsidRPr="00FB6783" w:rsidRDefault="00B949E1" w:rsidP="00B9362B">
            <w:pPr>
              <w:pStyle w:val="Tabletext"/>
              <w:jc w:val="center"/>
              <w:rPr>
                <w:szCs w:val="20"/>
                <w:lang w:eastAsia="en-AU"/>
              </w:rPr>
            </w:pPr>
            <w:r w:rsidRPr="00770BE0">
              <w:t xml:space="preserve"> 2 </w:t>
            </w:r>
          </w:p>
        </w:tc>
        <w:tc>
          <w:tcPr>
            <w:tcW w:w="2084" w:type="dxa"/>
            <w:gridSpan w:val="2"/>
            <w:tcBorders>
              <w:top w:val="single" w:sz="4" w:space="0" w:color="646464"/>
              <w:bottom w:val="single" w:sz="4" w:space="0" w:color="646464"/>
            </w:tcBorders>
            <w:shd w:val="clear" w:color="auto" w:fill="auto"/>
            <w:noWrap/>
          </w:tcPr>
          <w:p w14:paraId="4D926796" w14:textId="77777777" w:rsidR="00B949E1" w:rsidRPr="00FB6783" w:rsidRDefault="00B949E1" w:rsidP="00B9362B">
            <w:pPr>
              <w:pStyle w:val="Tabletext"/>
              <w:jc w:val="center"/>
              <w:rPr>
                <w:szCs w:val="20"/>
                <w:lang w:eastAsia="en-AU"/>
              </w:rPr>
            </w:pPr>
            <w:r w:rsidRPr="00770BE0">
              <w:t xml:space="preserve"> 9.5 </w:t>
            </w:r>
          </w:p>
        </w:tc>
      </w:tr>
      <w:tr w:rsidR="00B949E1" w:rsidRPr="004F425B" w14:paraId="07AFB123"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0DF19FB5" w14:textId="77777777" w:rsidR="00B949E1" w:rsidRPr="00776822" w:rsidRDefault="00B949E1" w:rsidP="00B9362B">
            <w:pPr>
              <w:pStyle w:val="Tabletext"/>
              <w:ind w:left="127"/>
              <w:rPr>
                <w:lang w:eastAsia="en-AU"/>
              </w:rPr>
            </w:pPr>
            <w:r>
              <w:t>Boutique and heavyweight plastic bags</w:t>
            </w:r>
          </w:p>
        </w:tc>
        <w:tc>
          <w:tcPr>
            <w:tcW w:w="1417" w:type="dxa"/>
            <w:tcBorders>
              <w:top w:val="single" w:sz="4" w:space="0" w:color="646464"/>
              <w:bottom w:val="single" w:sz="4" w:space="0" w:color="646464"/>
            </w:tcBorders>
            <w:shd w:val="clear" w:color="auto" w:fill="auto"/>
            <w:noWrap/>
          </w:tcPr>
          <w:p w14:paraId="09889C87" w14:textId="77777777" w:rsidR="00B949E1" w:rsidRPr="00FB6783" w:rsidRDefault="00B949E1" w:rsidP="00B9362B">
            <w:pPr>
              <w:pStyle w:val="Tabletext"/>
              <w:jc w:val="center"/>
              <w:rPr>
                <w:szCs w:val="20"/>
                <w:lang w:eastAsia="en-AU"/>
              </w:rPr>
            </w:pPr>
            <w:r w:rsidRPr="00122170">
              <w:t xml:space="preserve"> -   </w:t>
            </w:r>
          </w:p>
        </w:tc>
        <w:tc>
          <w:tcPr>
            <w:tcW w:w="1885" w:type="dxa"/>
            <w:tcBorders>
              <w:top w:val="single" w:sz="4" w:space="0" w:color="646464"/>
              <w:bottom w:val="single" w:sz="4" w:space="0" w:color="646464"/>
            </w:tcBorders>
            <w:shd w:val="clear" w:color="auto" w:fill="auto"/>
            <w:noWrap/>
          </w:tcPr>
          <w:p w14:paraId="58E99C3E" w14:textId="77777777" w:rsidR="00B949E1" w:rsidRPr="00FB6783" w:rsidRDefault="00B949E1" w:rsidP="00B9362B">
            <w:pPr>
              <w:pStyle w:val="Tabletext"/>
              <w:jc w:val="center"/>
              <w:rPr>
                <w:szCs w:val="20"/>
                <w:lang w:eastAsia="en-AU"/>
              </w:rPr>
            </w:pPr>
            <w:r w:rsidRPr="00122170">
              <w:t xml:space="preserve"> 8.8 </w:t>
            </w:r>
          </w:p>
        </w:tc>
        <w:tc>
          <w:tcPr>
            <w:tcW w:w="1651" w:type="dxa"/>
            <w:tcBorders>
              <w:top w:val="single" w:sz="4" w:space="0" w:color="646464"/>
              <w:bottom w:val="single" w:sz="4" w:space="0" w:color="646464"/>
            </w:tcBorders>
            <w:shd w:val="clear" w:color="auto" w:fill="auto"/>
            <w:noWrap/>
          </w:tcPr>
          <w:p w14:paraId="151BCF04" w14:textId="77777777" w:rsidR="00B949E1" w:rsidRPr="00FB6783" w:rsidRDefault="00B949E1" w:rsidP="00B9362B">
            <w:pPr>
              <w:pStyle w:val="Tabletext"/>
              <w:jc w:val="center"/>
              <w:rPr>
                <w:szCs w:val="20"/>
                <w:lang w:eastAsia="en-AU"/>
              </w:rPr>
            </w:pPr>
            <w:r w:rsidRPr="00122170">
              <w:t xml:space="preserve"> -   </w:t>
            </w:r>
          </w:p>
        </w:tc>
        <w:tc>
          <w:tcPr>
            <w:tcW w:w="1652" w:type="dxa"/>
            <w:tcBorders>
              <w:top w:val="single" w:sz="4" w:space="0" w:color="646464"/>
              <w:bottom w:val="single" w:sz="4" w:space="0" w:color="646464"/>
            </w:tcBorders>
            <w:shd w:val="clear" w:color="auto" w:fill="auto"/>
            <w:noWrap/>
          </w:tcPr>
          <w:p w14:paraId="66E193C8" w14:textId="77777777" w:rsidR="00B949E1" w:rsidRPr="00FB6783" w:rsidRDefault="00B949E1" w:rsidP="00B9362B">
            <w:pPr>
              <w:pStyle w:val="Tabletext"/>
              <w:jc w:val="center"/>
              <w:rPr>
                <w:szCs w:val="20"/>
                <w:lang w:eastAsia="en-AU"/>
              </w:rPr>
            </w:pPr>
            <w:r w:rsidRPr="00B954B1">
              <w:t xml:space="preserve"> 8.8 </w:t>
            </w:r>
          </w:p>
        </w:tc>
        <w:tc>
          <w:tcPr>
            <w:tcW w:w="2084" w:type="dxa"/>
            <w:tcBorders>
              <w:top w:val="single" w:sz="4" w:space="0" w:color="646464"/>
              <w:bottom w:val="single" w:sz="4" w:space="0" w:color="646464"/>
            </w:tcBorders>
            <w:shd w:val="clear" w:color="auto" w:fill="auto"/>
            <w:noWrap/>
          </w:tcPr>
          <w:p w14:paraId="76EF5CDC" w14:textId="77777777" w:rsidR="00B949E1" w:rsidRPr="00FB6783" w:rsidRDefault="00B949E1" w:rsidP="00B9362B">
            <w:pPr>
              <w:pStyle w:val="Tabletext"/>
              <w:jc w:val="center"/>
              <w:rPr>
                <w:szCs w:val="20"/>
                <w:lang w:eastAsia="en-AU"/>
              </w:rPr>
            </w:pPr>
            <w:r w:rsidRPr="00770BE0">
              <w:t xml:space="preserve"> 19 </w:t>
            </w:r>
          </w:p>
        </w:tc>
        <w:tc>
          <w:tcPr>
            <w:tcW w:w="2084" w:type="dxa"/>
            <w:gridSpan w:val="2"/>
            <w:tcBorders>
              <w:top w:val="single" w:sz="4" w:space="0" w:color="646464"/>
              <w:bottom w:val="single" w:sz="4" w:space="0" w:color="646464"/>
            </w:tcBorders>
            <w:shd w:val="clear" w:color="auto" w:fill="auto"/>
            <w:noWrap/>
          </w:tcPr>
          <w:p w14:paraId="57CA51C4" w14:textId="77777777" w:rsidR="00B949E1" w:rsidRPr="00FB6783" w:rsidRDefault="00B949E1" w:rsidP="00B9362B">
            <w:pPr>
              <w:pStyle w:val="Tabletext"/>
              <w:jc w:val="center"/>
              <w:rPr>
                <w:szCs w:val="20"/>
                <w:lang w:eastAsia="en-AU"/>
              </w:rPr>
            </w:pPr>
            <w:r w:rsidRPr="00770BE0">
              <w:t xml:space="preserve"> 388.1 </w:t>
            </w:r>
          </w:p>
        </w:tc>
      </w:tr>
      <w:tr w:rsidR="00B949E1" w:rsidRPr="004F425B" w14:paraId="64899653"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7A2B3286" w14:textId="77777777" w:rsidR="00B949E1" w:rsidRPr="00776822" w:rsidRDefault="00B949E1" w:rsidP="00B9362B">
            <w:pPr>
              <w:pStyle w:val="Tabletext"/>
              <w:ind w:left="127"/>
              <w:rPr>
                <w:lang w:eastAsia="en-AU"/>
              </w:rPr>
            </w:pPr>
            <w:r>
              <w:t>Take-away</w:t>
            </w:r>
            <w:r w:rsidRPr="00770BE0">
              <w:t xml:space="preserve"> containers</w:t>
            </w:r>
          </w:p>
        </w:tc>
        <w:tc>
          <w:tcPr>
            <w:tcW w:w="1417" w:type="dxa"/>
            <w:tcBorders>
              <w:top w:val="single" w:sz="4" w:space="0" w:color="646464"/>
              <w:bottom w:val="single" w:sz="4" w:space="0" w:color="646464"/>
            </w:tcBorders>
            <w:shd w:val="clear" w:color="auto" w:fill="auto"/>
            <w:noWrap/>
          </w:tcPr>
          <w:p w14:paraId="663E4254" w14:textId="77777777" w:rsidR="00B949E1" w:rsidRPr="00FB6783" w:rsidRDefault="00B949E1" w:rsidP="00B9362B">
            <w:pPr>
              <w:pStyle w:val="Tabletext"/>
              <w:jc w:val="center"/>
              <w:rPr>
                <w:szCs w:val="20"/>
                <w:lang w:eastAsia="en-AU"/>
              </w:rPr>
            </w:pPr>
            <w:r w:rsidRPr="00122170">
              <w:t xml:space="preserve"> 2.2 </w:t>
            </w:r>
          </w:p>
        </w:tc>
        <w:tc>
          <w:tcPr>
            <w:tcW w:w="1885" w:type="dxa"/>
            <w:tcBorders>
              <w:top w:val="single" w:sz="4" w:space="0" w:color="646464"/>
              <w:bottom w:val="single" w:sz="4" w:space="0" w:color="646464"/>
            </w:tcBorders>
            <w:shd w:val="clear" w:color="auto" w:fill="auto"/>
            <w:noWrap/>
          </w:tcPr>
          <w:p w14:paraId="7D836FE5" w14:textId="77777777" w:rsidR="00B949E1" w:rsidRPr="00FB6783" w:rsidRDefault="00B949E1" w:rsidP="00B9362B">
            <w:pPr>
              <w:pStyle w:val="Tabletext"/>
              <w:jc w:val="center"/>
              <w:rPr>
                <w:szCs w:val="20"/>
                <w:lang w:eastAsia="en-AU"/>
              </w:rPr>
            </w:pPr>
            <w:r w:rsidRPr="00122170">
              <w:t xml:space="preserve"> 8.7 </w:t>
            </w:r>
          </w:p>
        </w:tc>
        <w:tc>
          <w:tcPr>
            <w:tcW w:w="1651" w:type="dxa"/>
            <w:tcBorders>
              <w:top w:val="single" w:sz="4" w:space="0" w:color="646464"/>
              <w:bottom w:val="single" w:sz="4" w:space="0" w:color="646464"/>
            </w:tcBorders>
            <w:shd w:val="clear" w:color="auto" w:fill="auto"/>
            <w:noWrap/>
          </w:tcPr>
          <w:p w14:paraId="3668AD29" w14:textId="77777777" w:rsidR="00B949E1" w:rsidRPr="00FB6783" w:rsidRDefault="00B949E1" w:rsidP="00B9362B">
            <w:pPr>
              <w:pStyle w:val="Tabletext"/>
              <w:jc w:val="center"/>
              <w:rPr>
                <w:szCs w:val="20"/>
                <w:lang w:eastAsia="en-AU"/>
              </w:rPr>
            </w:pPr>
            <w:r w:rsidRPr="00122170">
              <w:t xml:space="preserve"> -   </w:t>
            </w:r>
          </w:p>
        </w:tc>
        <w:tc>
          <w:tcPr>
            <w:tcW w:w="1652" w:type="dxa"/>
            <w:tcBorders>
              <w:top w:val="single" w:sz="4" w:space="0" w:color="646464"/>
              <w:bottom w:val="single" w:sz="4" w:space="0" w:color="646464"/>
            </w:tcBorders>
            <w:shd w:val="clear" w:color="auto" w:fill="auto"/>
            <w:noWrap/>
          </w:tcPr>
          <w:p w14:paraId="68C7D93B" w14:textId="77777777" w:rsidR="00B949E1" w:rsidRPr="00FB6783" w:rsidRDefault="00B949E1" w:rsidP="00B9362B">
            <w:pPr>
              <w:pStyle w:val="Tabletext"/>
              <w:jc w:val="center"/>
              <w:rPr>
                <w:szCs w:val="20"/>
                <w:lang w:eastAsia="en-AU"/>
              </w:rPr>
            </w:pPr>
            <w:r w:rsidRPr="00B954B1">
              <w:t xml:space="preserve"> 10.9 </w:t>
            </w:r>
          </w:p>
        </w:tc>
        <w:tc>
          <w:tcPr>
            <w:tcW w:w="2084" w:type="dxa"/>
            <w:tcBorders>
              <w:top w:val="single" w:sz="4" w:space="0" w:color="646464"/>
              <w:bottom w:val="single" w:sz="4" w:space="0" w:color="646464"/>
            </w:tcBorders>
            <w:shd w:val="clear" w:color="auto" w:fill="auto"/>
            <w:noWrap/>
          </w:tcPr>
          <w:p w14:paraId="55E59662" w14:textId="77777777" w:rsidR="00B949E1" w:rsidRPr="00FB6783" w:rsidRDefault="00B949E1" w:rsidP="00B9362B">
            <w:pPr>
              <w:pStyle w:val="Tabletext"/>
              <w:jc w:val="center"/>
              <w:rPr>
                <w:szCs w:val="20"/>
                <w:lang w:eastAsia="en-AU"/>
              </w:rPr>
            </w:pPr>
            <w:r w:rsidRPr="00770BE0">
              <w:t xml:space="preserve"> 23 </w:t>
            </w:r>
          </w:p>
        </w:tc>
        <w:tc>
          <w:tcPr>
            <w:tcW w:w="2084" w:type="dxa"/>
            <w:gridSpan w:val="2"/>
            <w:tcBorders>
              <w:top w:val="single" w:sz="4" w:space="0" w:color="646464"/>
              <w:bottom w:val="single" w:sz="4" w:space="0" w:color="646464"/>
            </w:tcBorders>
            <w:shd w:val="clear" w:color="auto" w:fill="auto"/>
            <w:noWrap/>
          </w:tcPr>
          <w:p w14:paraId="63C7014B" w14:textId="77777777" w:rsidR="00B949E1" w:rsidRPr="00FB6783" w:rsidRDefault="00B949E1" w:rsidP="00B9362B">
            <w:pPr>
              <w:pStyle w:val="Tabletext"/>
              <w:jc w:val="center"/>
              <w:rPr>
                <w:szCs w:val="20"/>
                <w:lang w:eastAsia="en-AU"/>
              </w:rPr>
            </w:pPr>
            <w:r w:rsidRPr="00770BE0">
              <w:t xml:space="preserve"> 240.2 </w:t>
            </w:r>
          </w:p>
        </w:tc>
      </w:tr>
      <w:tr w:rsidR="00B949E1" w:rsidRPr="004F425B" w14:paraId="1431F9C3"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0D58E691" w14:textId="77777777" w:rsidR="00B949E1" w:rsidRPr="00776822" w:rsidRDefault="00B949E1" w:rsidP="00B9362B">
            <w:pPr>
              <w:pStyle w:val="Tabletext"/>
              <w:ind w:left="127"/>
              <w:rPr>
                <w:lang w:eastAsia="en-AU"/>
              </w:rPr>
            </w:pPr>
            <w:r>
              <w:t>Take-away</w:t>
            </w:r>
            <w:r w:rsidRPr="00770BE0">
              <w:t xml:space="preserve"> container lids</w:t>
            </w:r>
          </w:p>
        </w:tc>
        <w:tc>
          <w:tcPr>
            <w:tcW w:w="1417" w:type="dxa"/>
            <w:tcBorders>
              <w:top w:val="single" w:sz="4" w:space="0" w:color="646464"/>
              <w:bottom w:val="single" w:sz="4" w:space="0" w:color="646464"/>
            </w:tcBorders>
            <w:shd w:val="clear" w:color="auto" w:fill="auto"/>
            <w:noWrap/>
          </w:tcPr>
          <w:p w14:paraId="2691F82F" w14:textId="77777777" w:rsidR="00B949E1" w:rsidRPr="00FB6783" w:rsidRDefault="00B949E1" w:rsidP="00B9362B">
            <w:pPr>
              <w:pStyle w:val="Tabletext"/>
              <w:jc w:val="center"/>
              <w:rPr>
                <w:szCs w:val="20"/>
                <w:lang w:eastAsia="en-AU"/>
              </w:rPr>
            </w:pPr>
            <w:r w:rsidRPr="00122170">
              <w:t xml:space="preserve"> 1.1 </w:t>
            </w:r>
          </w:p>
        </w:tc>
        <w:tc>
          <w:tcPr>
            <w:tcW w:w="1885" w:type="dxa"/>
            <w:tcBorders>
              <w:top w:val="single" w:sz="4" w:space="0" w:color="646464"/>
              <w:bottom w:val="single" w:sz="4" w:space="0" w:color="646464"/>
            </w:tcBorders>
            <w:shd w:val="clear" w:color="auto" w:fill="auto"/>
            <w:noWrap/>
          </w:tcPr>
          <w:p w14:paraId="48EADCB2" w14:textId="77777777" w:rsidR="00B949E1" w:rsidRPr="00FB6783" w:rsidRDefault="00B949E1" w:rsidP="00B9362B">
            <w:pPr>
              <w:pStyle w:val="Tabletext"/>
              <w:jc w:val="center"/>
              <w:rPr>
                <w:szCs w:val="20"/>
                <w:lang w:eastAsia="en-AU"/>
              </w:rPr>
            </w:pPr>
            <w:r w:rsidRPr="00122170">
              <w:t xml:space="preserve"> 4.4 </w:t>
            </w:r>
          </w:p>
        </w:tc>
        <w:tc>
          <w:tcPr>
            <w:tcW w:w="1651" w:type="dxa"/>
            <w:tcBorders>
              <w:top w:val="single" w:sz="4" w:space="0" w:color="646464"/>
              <w:bottom w:val="single" w:sz="4" w:space="0" w:color="646464"/>
            </w:tcBorders>
            <w:shd w:val="clear" w:color="auto" w:fill="auto"/>
            <w:noWrap/>
          </w:tcPr>
          <w:p w14:paraId="75216649" w14:textId="77777777" w:rsidR="00B949E1" w:rsidRPr="00FB6783" w:rsidRDefault="00B949E1" w:rsidP="00B9362B">
            <w:pPr>
              <w:pStyle w:val="Tabletext"/>
              <w:jc w:val="center"/>
              <w:rPr>
                <w:szCs w:val="20"/>
                <w:lang w:eastAsia="en-AU"/>
              </w:rPr>
            </w:pPr>
            <w:r w:rsidRPr="00122170">
              <w:t xml:space="preserve"> -   </w:t>
            </w:r>
          </w:p>
        </w:tc>
        <w:tc>
          <w:tcPr>
            <w:tcW w:w="1652" w:type="dxa"/>
            <w:tcBorders>
              <w:top w:val="single" w:sz="4" w:space="0" w:color="646464"/>
              <w:bottom w:val="single" w:sz="4" w:space="0" w:color="646464"/>
            </w:tcBorders>
            <w:shd w:val="clear" w:color="auto" w:fill="auto"/>
            <w:noWrap/>
          </w:tcPr>
          <w:p w14:paraId="1D5E059E" w14:textId="77777777" w:rsidR="00B949E1" w:rsidRPr="00FB6783" w:rsidRDefault="00B949E1" w:rsidP="00B9362B">
            <w:pPr>
              <w:pStyle w:val="Tabletext"/>
              <w:jc w:val="center"/>
              <w:rPr>
                <w:szCs w:val="20"/>
                <w:lang w:eastAsia="en-AU"/>
              </w:rPr>
            </w:pPr>
            <w:r w:rsidRPr="00B954B1">
              <w:t xml:space="preserve"> 5.5 </w:t>
            </w:r>
          </w:p>
        </w:tc>
        <w:tc>
          <w:tcPr>
            <w:tcW w:w="2084" w:type="dxa"/>
            <w:tcBorders>
              <w:top w:val="single" w:sz="4" w:space="0" w:color="646464"/>
              <w:bottom w:val="single" w:sz="4" w:space="0" w:color="646464"/>
            </w:tcBorders>
            <w:shd w:val="clear" w:color="auto" w:fill="auto"/>
            <w:noWrap/>
          </w:tcPr>
          <w:p w14:paraId="3B0A450E" w14:textId="77777777" w:rsidR="00B949E1" w:rsidRPr="00FB6783" w:rsidRDefault="00B949E1" w:rsidP="00B9362B">
            <w:pPr>
              <w:pStyle w:val="Tabletext"/>
              <w:jc w:val="center"/>
              <w:rPr>
                <w:szCs w:val="20"/>
                <w:lang w:eastAsia="en-AU"/>
              </w:rPr>
            </w:pPr>
            <w:r w:rsidRPr="00770BE0">
              <w:t xml:space="preserve"> 18 </w:t>
            </w:r>
          </w:p>
        </w:tc>
        <w:tc>
          <w:tcPr>
            <w:tcW w:w="2084" w:type="dxa"/>
            <w:gridSpan w:val="2"/>
            <w:tcBorders>
              <w:top w:val="single" w:sz="4" w:space="0" w:color="646464"/>
              <w:bottom w:val="single" w:sz="4" w:space="0" w:color="646464"/>
            </w:tcBorders>
            <w:shd w:val="clear" w:color="auto" w:fill="auto"/>
            <w:noWrap/>
          </w:tcPr>
          <w:p w14:paraId="14080EF1" w14:textId="77777777" w:rsidR="00B949E1" w:rsidRPr="00FB6783" w:rsidRDefault="00B949E1" w:rsidP="00B9362B">
            <w:pPr>
              <w:pStyle w:val="Tabletext"/>
              <w:jc w:val="center"/>
              <w:rPr>
                <w:szCs w:val="20"/>
                <w:lang w:eastAsia="en-AU"/>
              </w:rPr>
            </w:pPr>
            <w:r w:rsidRPr="00770BE0">
              <w:t xml:space="preserve"> 27.3 </w:t>
            </w:r>
          </w:p>
        </w:tc>
      </w:tr>
      <w:tr w:rsidR="00B949E1" w:rsidRPr="004F425B" w14:paraId="3182616F"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5C4768E2" w14:textId="77777777" w:rsidR="00B949E1" w:rsidRPr="00776822" w:rsidRDefault="00B949E1" w:rsidP="00B9362B">
            <w:pPr>
              <w:pStyle w:val="Tabletext"/>
              <w:ind w:left="127"/>
              <w:rPr>
                <w:lang w:eastAsia="en-AU"/>
              </w:rPr>
            </w:pPr>
            <w:r>
              <w:t>EPS</w:t>
            </w:r>
            <w:r w:rsidRPr="00770BE0">
              <w:t xml:space="preserve"> loose</w:t>
            </w:r>
            <w:r>
              <w:t>-</w:t>
            </w:r>
            <w:r w:rsidRPr="00770BE0">
              <w:t>fill packaging</w:t>
            </w:r>
          </w:p>
        </w:tc>
        <w:tc>
          <w:tcPr>
            <w:tcW w:w="1417" w:type="dxa"/>
            <w:tcBorders>
              <w:top w:val="single" w:sz="4" w:space="0" w:color="646464"/>
              <w:bottom w:val="single" w:sz="4" w:space="0" w:color="646464"/>
            </w:tcBorders>
            <w:shd w:val="clear" w:color="auto" w:fill="auto"/>
            <w:noWrap/>
          </w:tcPr>
          <w:p w14:paraId="3A8F8509" w14:textId="77777777" w:rsidR="00B949E1" w:rsidRPr="00FB6783" w:rsidRDefault="00B949E1" w:rsidP="00B9362B">
            <w:pPr>
              <w:pStyle w:val="Tabletext"/>
              <w:jc w:val="center"/>
              <w:rPr>
                <w:szCs w:val="20"/>
                <w:lang w:eastAsia="en-AU"/>
              </w:rPr>
            </w:pPr>
            <w:r w:rsidRPr="00122170">
              <w:t xml:space="preserve"> -   </w:t>
            </w:r>
          </w:p>
        </w:tc>
        <w:tc>
          <w:tcPr>
            <w:tcW w:w="1885" w:type="dxa"/>
            <w:tcBorders>
              <w:top w:val="single" w:sz="4" w:space="0" w:color="646464"/>
              <w:bottom w:val="single" w:sz="4" w:space="0" w:color="646464"/>
            </w:tcBorders>
            <w:shd w:val="clear" w:color="auto" w:fill="auto"/>
            <w:noWrap/>
          </w:tcPr>
          <w:p w14:paraId="2EEF896E" w14:textId="77777777" w:rsidR="00B949E1" w:rsidRPr="00FB6783" w:rsidRDefault="00B949E1" w:rsidP="00B9362B">
            <w:pPr>
              <w:pStyle w:val="Tabletext"/>
              <w:jc w:val="center"/>
              <w:rPr>
                <w:szCs w:val="20"/>
                <w:lang w:eastAsia="en-AU"/>
              </w:rPr>
            </w:pPr>
            <w:r w:rsidRPr="00122170">
              <w:t xml:space="preserve"> 2.5 </w:t>
            </w:r>
          </w:p>
        </w:tc>
        <w:tc>
          <w:tcPr>
            <w:tcW w:w="1651" w:type="dxa"/>
            <w:tcBorders>
              <w:top w:val="single" w:sz="4" w:space="0" w:color="646464"/>
              <w:bottom w:val="single" w:sz="4" w:space="0" w:color="646464"/>
            </w:tcBorders>
            <w:shd w:val="clear" w:color="auto" w:fill="auto"/>
            <w:noWrap/>
          </w:tcPr>
          <w:p w14:paraId="36780EAA" w14:textId="77777777" w:rsidR="00B949E1" w:rsidRPr="00FB6783" w:rsidRDefault="00B949E1" w:rsidP="00B9362B">
            <w:pPr>
              <w:pStyle w:val="Tabletext"/>
              <w:jc w:val="center"/>
              <w:rPr>
                <w:szCs w:val="20"/>
                <w:lang w:eastAsia="en-AU"/>
              </w:rPr>
            </w:pPr>
            <w:r w:rsidRPr="00122170">
              <w:t xml:space="preserve"> -   </w:t>
            </w:r>
          </w:p>
        </w:tc>
        <w:tc>
          <w:tcPr>
            <w:tcW w:w="1652" w:type="dxa"/>
            <w:tcBorders>
              <w:top w:val="single" w:sz="4" w:space="0" w:color="646464"/>
              <w:bottom w:val="single" w:sz="4" w:space="0" w:color="646464"/>
            </w:tcBorders>
            <w:shd w:val="clear" w:color="auto" w:fill="auto"/>
            <w:noWrap/>
          </w:tcPr>
          <w:p w14:paraId="36D75119" w14:textId="77777777" w:rsidR="00B949E1" w:rsidRPr="00FB6783" w:rsidRDefault="00B949E1" w:rsidP="00B9362B">
            <w:pPr>
              <w:pStyle w:val="Tabletext"/>
              <w:jc w:val="center"/>
              <w:rPr>
                <w:szCs w:val="20"/>
                <w:lang w:eastAsia="en-AU"/>
              </w:rPr>
            </w:pPr>
            <w:r w:rsidRPr="00B954B1">
              <w:t xml:space="preserve"> 2.5 </w:t>
            </w:r>
          </w:p>
        </w:tc>
        <w:tc>
          <w:tcPr>
            <w:tcW w:w="2084" w:type="dxa"/>
            <w:tcBorders>
              <w:top w:val="single" w:sz="4" w:space="0" w:color="646464"/>
              <w:bottom w:val="single" w:sz="4" w:space="0" w:color="646464"/>
            </w:tcBorders>
            <w:shd w:val="clear" w:color="auto" w:fill="auto"/>
            <w:noWrap/>
          </w:tcPr>
          <w:p w14:paraId="7D4EEE8A" w14:textId="77777777" w:rsidR="00B949E1" w:rsidRPr="00FB6783" w:rsidRDefault="00B949E1" w:rsidP="00B9362B">
            <w:pPr>
              <w:pStyle w:val="Tabletext"/>
              <w:jc w:val="center"/>
              <w:rPr>
                <w:szCs w:val="20"/>
                <w:lang w:eastAsia="en-AU"/>
              </w:rPr>
            </w:pPr>
            <w:r w:rsidRPr="00770BE0">
              <w:t xml:space="preserve"> 5 </w:t>
            </w:r>
          </w:p>
        </w:tc>
        <w:tc>
          <w:tcPr>
            <w:tcW w:w="2084" w:type="dxa"/>
            <w:gridSpan w:val="2"/>
            <w:tcBorders>
              <w:top w:val="single" w:sz="4" w:space="0" w:color="646464"/>
              <w:bottom w:val="single" w:sz="4" w:space="0" w:color="646464"/>
            </w:tcBorders>
            <w:shd w:val="clear" w:color="auto" w:fill="auto"/>
            <w:noWrap/>
          </w:tcPr>
          <w:p w14:paraId="582228C1" w14:textId="77777777" w:rsidR="00B949E1" w:rsidRPr="00FB6783" w:rsidRDefault="00B949E1" w:rsidP="00B9362B">
            <w:pPr>
              <w:pStyle w:val="Tabletext"/>
              <w:jc w:val="center"/>
              <w:rPr>
                <w:szCs w:val="20"/>
                <w:lang w:eastAsia="en-AU"/>
              </w:rPr>
            </w:pPr>
            <w:r w:rsidRPr="00770BE0">
              <w:t xml:space="preserve"> 63.6 </w:t>
            </w:r>
          </w:p>
        </w:tc>
      </w:tr>
      <w:tr w:rsidR="00B949E1" w:rsidRPr="004F425B" w14:paraId="2F575138" w14:textId="77777777" w:rsidTr="00B9362B">
        <w:trPr>
          <w:gridBefore w:val="1"/>
          <w:wBefore w:w="454" w:type="dxa"/>
        </w:trPr>
        <w:tc>
          <w:tcPr>
            <w:tcW w:w="4096" w:type="dxa"/>
            <w:gridSpan w:val="2"/>
            <w:tcBorders>
              <w:top w:val="single" w:sz="4" w:space="0" w:color="646464"/>
              <w:bottom w:val="single" w:sz="4" w:space="0" w:color="646464"/>
            </w:tcBorders>
            <w:shd w:val="clear" w:color="auto" w:fill="auto"/>
            <w:noWrap/>
            <w:hideMark/>
          </w:tcPr>
          <w:p w14:paraId="71E0B9AF" w14:textId="77777777" w:rsidR="00B949E1" w:rsidRPr="00776822" w:rsidRDefault="00B949E1" w:rsidP="00B9362B">
            <w:pPr>
              <w:pStyle w:val="Tabletext"/>
              <w:ind w:left="127"/>
              <w:rPr>
                <w:lang w:eastAsia="en-AU"/>
              </w:rPr>
            </w:pPr>
            <w:r w:rsidRPr="00770BE0">
              <w:t>EPS trays used for meat, fruit and other items for retail sale</w:t>
            </w:r>
          </w:p>
        </w:tc>
        <w:tc>
          <w:tcPr>
            <w:tcW w:w="1417" w:type="dxa"/>
            <w:tcBorders>
              <w:top w:val="single" w:sz="4" w:space="0" w:color="646464"/>
              <w:bottom w:val="single" w:sz="4" w:space="0" w:color="646464"/>
            </w:tcBorders>
            <w:shd w:val="clear" w:color="auto" w:fill="auto"/>
            <w:noWrap/>
          </w:tcPr>
          <w:p w14:paraId="55407106" w14:textId="77777777" w:rsidR="00B949E1" w:rsidRPr="00FB6783" w:rsidRDefault="00B949E1" w:rsidP="00B9362B">
            <w:pPr>
              <w:pStyle w:val="Tabletext"/>
              <w:jc w:val="center"/>
              <w:rPr>
                <w:szCs w:val="20"/>
                <w:lang w:eastAsia="en-AU"/>
              </w:rPr>
            </w:pPr>
            <w:r w:rsidRPr="00122170">
              <w:t xml:space="preserve"> -   </w:t>
            </w:r>
          </w:p>
        </w:tc>
        <w:tc>
          <w:tcPr>
            <w:tcW w:w="1885" w:type="dxa"/>
            <w:tcBorders>
              <w:top w:val="single" w:sz="4" w:space="0" w:color="646464"/>
              <w:bottom w:val="single" w:sz="4" w:space="0" w:color="646464"/>
            </w:tcBorders>
            <w:shd w:val="clear" w:color="auto" w:fill="auto"/>
            <w:noWrap/>
          </w:tcPr>
          <w:p w14:paraId="243CD629" w14:textId="77777777" w:rsidR="00B949E1" w:rsidRPr="00FB6783" w:rsidRDefault="00B949E1" w:rsidP="00B9362B">
            <w:pPr>
              <w:pStyle w:val="Tabletext"/>
              <w:jc w:val="center"/>
              <w:rPr>
                <w:szCs w:val="20"/>
                <w:lang w:eastAsia="en-AU"/>
              </w:rPr>
            </w:pPr>
            <w:r w:rsidRPr="00122170">
              <w:t xml:space="preserve"> 3.4 </w:t>
            </w:r>
          </w:p>
        </w:tc>
        <w:tc>
          <w:tcPr>
            <w:tcW w:w="1651" w:type="dxa"/>
            <w:tcBorders>
              <w:top w:val="single" w:sz="4" w:space="0" w:color="646464"/>
              <w:bottom w:val="single" w:sz="4" w:space="0" w:color="646464"/>
            </w:tcBorders>
            <w:shd w:val="clear" w:color="auto" w:fill="auto"/>
            <w:noWrap/>
          </w:tcPr>
          <w:p w14:paraId="4CF0BAB6" w14:textId="77777777" w:rsidR="00B949E1" w:rsidRPr="00FB6783" w:rsidRDefault="00B949E1" w:rsidP="00B9362B">
            <w:pPr>
              <w:pStyle w:val="Tabletext"/>
              <w:jc w:val="center"/>
              <w:rPr>
                <w:szCs w:val="20"/>
                <w:lang w:eastAsia="en-AU"/>
              </w:rPr>
            </w:pPr>
            <w:r w:rsidRPr="00122170">
              <w:t xml:space="preserve"> -   </w:t>
            </w:r>
          </w:p>
        </w:tc>
        <w:tc>
          <w:tcPr>
            <w:tcW w:w="1652" w:type="dxa"/>
            <w:tcBorders>
              <w:top w:val="single" w:sz="4" w:space="0" w:color="646464"/>
              <w:bottom w:val="single" w:sz="4" w:space="0" w:color="646464"/>
            </w:tcBorders>
            <w:shd w:val="clear" w:color="auto" w:fill="auto"/>
            <w:noWrap/>
          </w:tcPr>
          <w:p w14:paraId="4A37AD76" w14:textId="77777777" w:rsidR="00B949E1" w:rsidRPr="00FB6783" w:rsidRDefault="00B949E1" w:rsidP="00B9362B">
            <w:pPr>
              <w:pStyle w:val="Tabletext"/>
              <w:jc w:val="center"/>
              <w:rPr>
                <w:szCs w:val="20"/>
                <w:lang w:eastAsia="en-AU"/>
              </w:rPr>
            </w:pPr>
            <w:r w:rsidRPr="00B954B1">
              <w:t xml:space="preserve"> 3.4 </w:t>
            </w:r>
          </w:p>
        </w:tc>
        <w:tc>
          <w:tcPr>
            <w:tcW w:w="2084" w:type="dxa"/>
            <w:tcBorders>
              <w:top w:val="single" w:sz="4" w:space="0" w:color="646464"/>
              <w:bottom w:val="single" w:sz="4" w:space="0" w:color="646464"/>
            </w:tcBorders>
            <w:shd w:val="clear" w:color="auto" w:fill="auto"/>
            <w:noWrap/>
          </w:tcPr>
          <w:p w14:paraId="55065D6F" w14:textId="77777777" w:rsidR="00B949E1" w:rsidRPr="00FB6783" w:rsidRDefault="00B949E1" w:rsidP="00B9362B">
            <w:pPr>
              <w:pStyle w:val="Tabletext"/>
              <w:jc w:val="center"/>
              <w:rPr>
                <w:szCs w:val="20"/>
                <w:lang w:eastAsia="en-AU"/>
              </w:rPr>
            </w:pPr>
            <w:r w:rsidRPr="00770BE0">
              <w:t xml:space="preserve"> 7 </w:t>
            </w:r>
          </w:p>
        </w:tc>
        <w:tc>
          <w:tcPr>
            <w:tcW w:w="2084" w:type="dxa"/>
            <w:gridSpan w:val="2"/>
            <w:tcBorders>
              <w:top w:val="single" w:sz="4" w:space="0" w:color="646464"/>
              <w:bottom w:val="single" w:sz="4" w:space="0" w:color="646464"/>
            </w:tcBorders>
            <w:shd w:val="clear" w:color="auto" w:fill="auto"/>
            <w:noWrap/>
          </w:tcPr>
          <w:p w14:paraId="703B55CB" w14:textId="77777777" w:rsidR="00B949E1" w:rsidRPr="00FB6783" w:rsidRDefault="00B949E1" w:rsidP="00B9362B">
            <w:pPr>
              <w:pStyle w:val="Tabletext"/>
              <w:jc w:val="center"/>
              <w:rPr>
                <w:szCs w:val="20"/>
                <w:lang w:eastAsia="en-AU"/>
              </w:rPr>
            </w:pPr>
            <w:r w:rsidRPr="00770BE0">
              <w:t xml:space="preserve"> 20.5 </w:t>
            </w:r>
          </w:p>
        </w:tc>
      </w:tr>
      <w:tr w:rsidR="00B949E1" w14:paraId="2B29F270" w14:textId="77777777" w:rsidTr="00B9362B">
        <w:tblPrEx>
          <w:tblBorders>
            <w:bottom w:val="none" w:sz="0" w:space="0" w:color="auto"/>
            <w:insideH w:val="none" w:sz="0" w:space="0" w:color="auto"/>
          </w:tblBorders>
          <w:tblCellMar>
            <w:top w:w="40" w:type="dxa"/>
          </w:tblCellMar>
          <w:tblLook w:val="0000" w:firstRow="0" w:lastRow="0" w:firstColumn="0" w:lastColumn="0" w:noHBand="0" w:noVBand="0"/>
        </w:tblPrEx>
        <w:trPr>
          <w:gridBefore w:val="2"/>
          <w:gridAfter w:val="1"/>
          <w:wBefore w:w="465" w:type="dxa"/>
          <w:wAfter w:w="32" w:type="dxa"/>
        </w:trPr>
        <w:tc>
          <w:tcPr>
            <w:tcW w:w="14826" w:type="dxa"/>
            <w:gridSpan w:val="7"/>
            <w:tcBorders>
              <w:top w:val="single" w:sz="4" w:space="0" w:color="000100"/>
              <w:bottom w:val="single" w:sz="4" w:space="0" w:color="000100"/>
            </w:tcBorders>
            <w:shd w:val="clear" w:color="auto" w:fill="auto"/>
          </w:tcPr>
          <w:p w14:paraId="43D3B094" w14:textId="77777777" w:rsidR="00B949E1" w:rsidRDefault="00B949E1" w:rsidP="00B9362B">
            <w:pPr>
              <w:pStyle w:val="Source"/>
            </w:pPr>
            <w:r>
              <w:t>Source: ACIL Allen.</w:t>
            </w:r>
          </w:p>
        </w:tc>
      </w:tr>
      <w:tr w:rsidR="00B949E1" w14:paraId="403FDA1E" w14:textId="77777777" w:rsidTr="00B9362B">
        <w:tblPrEx>
          <w:tblBorders>
            <w:bottom w:val="none" w:sz="0" w:space="0" w:color="auto"/>
            <w:insideH w:val="none" w:sz="0" w:space="0" w:color="auto"/>
          </w:tblBorders>
          <w:tblCellMar>
            <w:top w:w="40" w:type="dxa"/>
          </w:tblCellMar>
          <w:tblLook w:val="0000" w:firstRow="0" w:lastRow="0" w:firstColumn="0" w:lastColumn="0" w:noHBand="0" w:noVBand="0"/>
        </w:tblPrEx>
        <w:trPr>
          <w:gridBefore w:val="2"/>
          <w:gridAfter w:val="1"/>
          <w:wBefore w:w="465" w:type="dxa"/>
          <w:wAfter w:w="32" w:type="dxa"/>
          <w:trHeight w:hRule="exact" w:val="120"/>
        </w:trPr>
        <w:tc>
          <w:tcPr>
            <w:tcW w:w="14826" w:type="dxa"/>
            <w:gridSpan w:val="7"/>
            <w:tcBorders>
              <w:top w:val="single" w:sz="4" w:space="0" w:color="000100"/>
            </w:tcBorders>
            <w:shd w:val="clear" w:color="auto" w:fill="auto"/>
          </w:tcPr>
          <w:p w14:paraId="03466FE8" w14:textId="77777777" w:rsidR="00B949E1" w:rsidRDefault="00B949E1" w:rsidP="00B9362B">
            <w:pPr>
              <w:pStyle w:val="spacer"/>
            </w:pPr>
          </w:p>
        </w:tc>
      </w:tr>
    </w:tbl>
    <w:p w14:paraId="6C9F8BA3" w14:textId="77777777" w:rsidR="00B949E1" w:rsidRDefault="00B949E1" w:rsidP="00B949E1">
      <w:pPr>
        <w:pStyle w:val="BodyText"/>
      </w:pPr>
    </w:p>
    <w:p w14:paraId="3FBCDBC9" w14:textId="77777777" w:rsidR="00B949E1" w:rsidRDefault="00B949E1" w:rsidP="00B949E1">
      <w:pPr>
        <w:pStyle w:val="BodyText"/>
      </w:pPr>
    </w:p>
    <w:p w14:paraId="4B487354" w14:textId="77777777" w:rsidR="00B949E1" w:rsidRDefault="00B949E1" w:rsidP="00B949E1">
      <w:pPr>
        <w:pStyle w:val="BodyText"/>
      </w:pPr>
    </w:p>
    <w:p w14:paraId="357D3808" w14:textId="77777777" w:rsidR="00B949E1" w:rsidRDefault="00B949E1" w:rsidP="00B949E1">
      <w:pPr>
        <w:pStyle w:val="BodyText"/>
        <w:sectPr w:rsidR="00B949E1" w:rsidSect="00003C6B">
          <w:headerReference w:type="even" r:id="rId68"/>
          <w:headerReference w:type="default" r:id="rId69"/>
          <w:footerReference w:type="even" r:id="rId70"/>
          <w:footerReference w:type="default" r:id="rId71"/>
          <w:headerReference w:type="first" r:id="rId72"/>
          <w:footerReference w:type="first" r:id="rId73"/>
          <w:pgSz w:w="16838" w:h="11906" w:orient="landscape" w:code="9"/>
          <w:pgMar w:top="1134" w:right="851" w:bottom="1134" w:left="3119" w:header="454" w:footer="454" w:gutter="0"/>
          <w:cols w:space="708"/>
          <w:docGrid w:linePitch="360"/>
        </w:sectPr>
      </w:pPr>
    </w:p>
    <w:p w14:paraId="1FDB4E92" w14:textId="77777777" w:rsidR="00B949E1" w:rsidRDefault="00B949E1" w:rsidP="00A42F85">
      <w:pPr>
        <w:pStyle w:val="Heading4"/>
        <w:numPr>
          <w:ilvl w:val="0"/>
          <w:numId w:val="0"/>
        </w:numPr>
      </w:pPr>
      <w:r>
        <w:lastRenderedPageBreak/>
        <w:t>Changes in consumption of SUPs</w:t>
      </w:r>
    </w:p>
    <w:p w14:paraId="3B61EB57" w14:textId="77777777" w:rsidR="00B949E1" w:rsidRDefault="00B949E1" w:rsidP="00B949E1">
      <w:pPr>
        <w:pStyle w:val="BodyText"/>
      </w:pPr>
      <w:r>
        <w:t>In the baseline, it is assumed that the consumption of SUPs will increase in line with population growth projections. At the same time, there is a smaller countervailing trend where consumers choose to use SUPs less as public consciousness of their impact increases and the price of alternatives decreases. For this analysis, we have assumed that:</w:t>
      </w:r>
    </w:p>
    <w:p w14:paraId="368E3A34" w14:textId="77777777" w:rsidR="00B949E1" w:rsidRPr="0010397D" w:rsidRDefault="00B949E1" w:rsidP="00B949E1">
      <w:pPr>
        <w:pStyle w:val="ListBullet"/>
        <w:numPr>
          <w:ilvl w:val="0"/>
          <w:numId w:val="9"/>
        </w:numPr>
      </w:pPr>
      <w:r w:rsidRPr="0010397D">
        <w:t>Population will increase in line with the ACT</w:t>
      </w:r>
      <w:r>
        <w:t xml:space="preserve"> government population</w:t>
      </w:r>
      <w:r w:rsidRPr="0010397D">
        <w:t xml:space="preserve"> projections</w:t>
      </w:r>
      <w:r>
        <w:t>.</w:t>
      </w:r>
    </w:p>
    <w:p w14:paraId="095BAF51" w14:textId="77777777" w:rsidR="00B949E1" w:rsidRPr="0010397D" w:rsidRDefault="00B949E1" w:rsidP="00B949E1">
      <w:pPr>
        <w:pStyle w:val="ListBullet"/>
        <w:numPr>
          <w:ilvl w:val="0"/>
          <w:numId w:val="9"/>
        </w:numPr>
      </w:pPr>
      <w:r w:rsidRPr="0010397D">
        <w:t xml:space="preserve">Consumers will voluntarily switch from SUPs at </w:t>
      </w:r>
      <w:r>
        <w:t>one-fifth of the annual population growth rate</w:t>
      </w:r>
      <w:r w:rsidRPr="0010397D">
        <w:t>.</w:t>
      </w:r>
    </w:p>
    <w:p w14:paraId="1D616269" w14:textId="509C42C7" w:rsidR="00B949E1" w:rsidRDefault="00B949E1" w:rsidP="00B949E1">
      <w:pPr>
        <w:pStyle w:val="BodyText"/>
      </w:pPr>
      <w:r>
        <w:t xml:space="preserve">The net result of these two effects is that consumption of SUP will increase in the future, but not as fast as would be expected by the population alone. The resulting estimates are </w:t>
      </w:r>
      <w:r w:rsidRPr="00FB6783">
        <w:t>shown</w:t>
      </w:r>
      <w:r>
        <w:t xml:space="preserve"> </w:t>
      </w:r>
      <w:r w:rsidRPr="00FB6783">
        <w:t>in</w:t>
      </w:r>
      <w:r>
        <w:rPr>
          <w:b/>
          <w:bCs/>
        </w:rPr>
        <w:t xml:space="preserve"> </w:t>
      </w:r>
      <w:r w:rsidRPr="009E2716">
        <w:rPr>
          <w:b/>
          <w:bCs/>
        </w:rPr>
        <w:fldChar w:fldCharType="begin"/>
      </w:r>
      <w:r w:rsidRPr="009E2716">
        <w:rPr>
          <w:b/>
          <w:bCs/>
        </w:rPr>
        <w:instrText xml:space="preserve"> REF _Ref130566208 \h  \* MERGEFORMAT </w:instrText>
      </w:r>
      <w:r w:rsidRPr="009E2716">
        <w:rPr>
          <w:b/>
          <w:bCs/>
        </w:rPr>
      </w:r>
      <w:r w:rsidRPr="009E2716">
        <w:rPr>
          <w:b/>
          <w:bCs/>
        </w:rPr>
        <w:fldChar w:fldCharType="separate"/>
      </w:r>
      <w:r w:rsidRPr="00790266">
        <w:rPr>
          <w:rStyle w:val="CaptionLabel"/>
          <w:b w:val="0"/>
          <w:bCs/>
        </w:rPr>
        <w:t>Figure 6.1</w:t>
      </w:r>
      <w:r w:rsidRPr="009E2716">
        <w:rPr>
          <w:b/>
          <w:bCs/>
        </w:rPr>
        <w:fldChar w:fldCharType="end"/>
      </w:r>
      <w:r>
        <w:t>.</w:t>
      </w:r>
    </w:p>
    <w:tbl>
      <w:tblPr>
        <w:tblW w:w="0" w:type="auto"/>
        <w:tblLayout w:type="fixed"/>
        <w:tblCellMar>
          <w:left w:w="0" w:type="dxa"/>
          <w:right w:w="0" w:type="dxa"/>
        </w:tblCellMar>
        <w:tblLook w:val="0000" w:firstRow="0" w:lastRow="0" w:firstColumn="0" w:lastColumn="0" w:noHBand="0" w:noVBand="0"/>
      </w:tblPr>
      <w:tblGrid>
        <w:gridCol w:w="7936"/>
      </w:tblGrid>
      <w:tr w:rsidR="007E1D93" w:rsidRPr="00CC5F36" w14:paraId="72EF328A" w14:textId="77777777" w:rsidTr="00B9362B">
        <w:tc>
          <w:tcPr>
            <w:tcW w:w="7936" w:type="dxa"/>
            <w:tcBorders>
              <w:bottom w:val="single" w:sz="4" w:space="0" w:color="000100"/>
            </w:tcBorders>
            <w:shd w:val="clear" w:color="auto" w:fill="auto"/>
            <w:tcMar>
              <w:top w:w="160" w:type="dxa"/>
              <w:bottom w:w="8" w:type="dxa"/>
            </w:tcMar>
          </w:tcPr>
          <w:p w14:paraId="2606EE42" w14:textId="77777777" w:rsidR="007E1D93" w:rsidRPr="00CC5F36" w:rsidRDefault="007E1D93" w:rsidP="007E1D93">
            <w:pPr>
              <w:keepNext/>
              <w:spacing w:before="0" w:after="120" w:line="240" w:lineRule="auto"/>
              <w:ind w:left="1179" w:hanging="1179"/>
              <w:rPr>
                <w:rFonts w:eastAsia="Arial Narrow"/>
                <w:iCs/>
                <w:color w:val="000100"/>
                <w:szCs w:val="18"/>
              </w:rPr>
            </w:pPr>
            <w:bookmarkStart w:id="88" w:name="_Ref130566208"/>
            <w:bookmarkStart w:id="89" w:name="_Ref130566207"/>
            <w:bookmarkStart w:id="90" w:name="_Toc134002432"/>
            <w:r w:rsidRPr="00CC5F36">
              <w:rPr>
                <w:rFonts w:eastAsia="Arial Narrow"/>
                <w:b/>
                <w:iCs/>
                <w:color w:val="000100"/>
                <w:szCs w:val="18"/>
              </w:rPr>
              <w:t>Figure </w:t>
            </w:r>
            <w:r w:rsidRPr="00CC5F36">
              <w:rPr>
                <w:rFonts w:eastAsia="Arial Narrow"/>
                <w:b/>
                <w:iCs/>
                <w:color w:val="000100"/>
                <w:szCs w:val="18"/>
              </w:rPr>
              <w:fldChar w:fldCharType="begin"/>
            </w:r>
            <w:r w:rsidRPr="00CC5F36">
              <w:rPr>
                <w:rFonts w:eastAsia="Arial Narrow"/>
                <w:b/>
                <w:iCs/>
                <w:color w:val="000100"/>
                <w:szCs w:val="18"/>
              </w:rPr>
              <w:instrText xml:space="preserve"> STYLEREF 1 \S \* MERGEFORMAT </w:instrText>
            </w:r>
            <w:r w:rsidRPr="00CC5F36">
              <w:rPr>
                <w:rFonts w:eastAsia="Arial Narrow"/>
                <w:b/>
                <w:iCs/>
                <w:color w:val="000100"/>
                <w:szCs w:val="18"/>
              </w:rPr>
              <w:fldChar w:fldCharType="separate"/>
            </w:r>
            <w:r w:rsidRPr="00CC5F36">
              <w:rPr>
                <w:rFonts w:eastAsia="Arial Narrow"/>
                <w:b/>
                <w:iCs/>
                <w:noProof/>
                <w:color w:val="000100"/>
                <w:szCs w:val="18"/>
              </w:rPr>
              <w:t>6</w:t>
            </w:r>
            <w:r w:rsidRPr="00CC5F36">
              <w:rPr>
                <w:rFonts w:eastAsia="Arial Narrow"/>
                <w:b/>
                <w:iCs/>
                <w:color w:val="000100"/>
                <w:szCs w:val="18"/>
              </w:rPr>
              <w:fldChar w:fldCharType="end"/>
            </w:r>
            <w:r w:rsidRPr="00CC5F36">
              <w:rPr>
                <w:rFonts w:eastAsia="Arial Narrow"/>
                <w:b/>
                <w:iCs/>
                <w:color w:val="000100"/>
                <w:szCs w:val="18"/>
              </w:rPr>
              <w:t>.</w:t>
            </w:r>
            <w:r w:rsidRPr="00CC5F36">
              <w:rPr>
                <w:rFonts w:eastAsia="Arial Narrow"/>
                <w:b/>
                <w:iCs/>
                <w:color w:val="000100"/>
                <w:szCs w:val="18"/>
              </w:rPr>
              <w:fldChar w:fldCharType="begin"/>
            </w:r>
            <w:r w:rsidRPr="00CC5F36">
              <w:rPr>
                <w:rFonts w:eastAsia="Arial Narrow"/>
                <w:b/>
                <w:iCs/>
                <w:color w:val="000100"/>
                <w:szCs w:val="18"/>
              </w:rPr>
              <w:instrText xml:space="preserve"> SEQ Figure \* ARABIC \S 1 \* MERGEFORMAT </w:instrText>
            </w:r>
            <w:r w:rsidRPr="00CC5F36">
              <w:rPr>
                <w:rFonts w:eastAsia="Arial Narrow"/>
                <w:b/>
                <w:iCs/>
                <w:color w:val="000100"/>
                <w:szCs w:val="18"/>
              </w:rPr>
              <w:fldChar w:fldCharType="separate"/>
            </w:r>
            <w:r w:rsidRPr="00CC5F36">
              <w:rPr>
                <w:rFonts w:eastAsia="Arial Narrow"/>
                <w:b/>
                <w:iCs/>
                <w:noProof/>
                <w:color w:val="000100"/>
                <w:szCs w:val="18"/>
              </w:rPr>
              <w:t>1</w:t>
            </w:r>
            <w:r w:rsidRPr="00CC5F36">
              <w:rPr>
                <w:rFonts w:eastAsia="Arial Narrow"/>
                <w:b/>
                <w:iCs/>
                <w:color w:val="000100"/>
                <w:szCs w:val="18"/>
              </w:rPr>
              <w:fldChar w:fldCharType="end"/>
            </w:r>
            <w:bookmarkEnd w:id="88"/>
            <w:r w:rsidRPr="00CC5F36">
              <w:rPr>
                <w:rFonts w:eastAsia="Arial Narrow"/>
                <w:iCs/>
                <w:color w:val="000100"/>
                <w:szCs w:val="18"/>
              </w:rPr>
              <w:tab/>
              <w:t>Consumption of SUPs in the ACT over time</w:t>
            </w:r>
            <w:bookmarkEnd w:id="89"/>
            <w:bookmarkEnd w:id="90"/>
          </w:p>
        </w:tc>
      </w:tr>
      <w:tr w:rsidR="007E1D93" w:rsidRPr="00CC5F36" w14:paraId="3E89131B" w14:textId="77777777" w:rsidTr="00B9362B">
        <w:tblPrEx>
          <w:tblCellMar>
            <w:left w:w="108" w:type="dxa"/>
            <w:right w:w="108" w:type="dxa"/>
          </w:tblCellMar>
        </w:tblPrEx>
        <w:tc>
          <w:tcPr>
            <w:tcW w:w="7936" w:type="dxa"/>
            <w:tcBorders>
              <w:top w:val="single" w:sz="4" w:space="0" w:color="000100"/>
            </w:tcBorders>
            <w:shd w:val="clear" w:color="auto" w:fill="auto"/>
          </w:tcPr>
          <w:p w14:paraId="5D72CCCB" w14:textId="77777777" w:rsidR="007E1D93" w:rsidRPr="00CC5F36" w:rsidRDefault="007E1D93" w:rsidP="007E1D93">
            <w:pPr>
              <w:keepNext/>
              <w:spacing w:before="0" w:after="0" w:line="240" w:lineRule="auto"/>
              <w:jc w:val="center"/>
              <w:rPr>
                <w:rFonts w:eastAsia="Arial Narrow"/>
                <w:b/>
                <w:bCs/>
                <w:noProof/>
                <w:color w:val="000100"/>
                <w:sz w:val="20"/>
                <w:szCs w:val="20"/>
              </w:rPr>
            </w:pPr>
            <w:r w:rsidRPr="00CC5F36">
              <w:rPr>
                <w:rFonts w:eastAsia="Arial Narrow"/>
                <w:b/>
                <w:bCs/>
                <w:noProof/>
                <w:color w:val="000100"/>
                <w:sz w:val="20"/>
                <w:szCs w:val="20"/>
              </w:rPr>
              <w:t>Total annual SUP consumption in ACT (tonnes)</w:t>
            </w:r>
          </w:p>
          <w:p w14:paraId="182780E8" w14:textId="77777777" w:rsidR="007E1D93" w:rsidRPr="00CC5F36" w:rsidRDefault="007E1D93" w:rsidP="007E1D93">
            <w:pPr>
              <w:keepNext/>
              <w:spacing w:before="0" w:after="0" w:line="240" w:lineRule="auto"/>
              <w:rPr>
                <w:rFonts w:eastAsia="Arial Narrow"/>
                <w:color w:val="000100"/>
                <w:sz w:val="16"/>
              </w:rPr>
            </w:pPr>
            <w:r w:rsidRPr="00CC5F36">
              <w:rPr>
                <w:rFonts w:eastAsia="Arial Narrow"/>
                <w:noProof/>
                <w:color w:val="000100"/>
                <w:sz w:val="16"/>
              </w:rPr>
              <w:drawing>
                <wp:inline distT="0" distB="0" distL="0" distR="0" wp14:anchorId="1BB94AD6" wp14:editId="2E78B6CE">
                  <wp:extent cx="4902200" cy="2089150"/>
                  <wp:effectExtent l="0" t="0" r="0" b="6350"/>
                  <wp:docPr id="1" name="Chart 1">
                    <a:extLst xmlns:a="http://schemas.openxmlformats.org/drawingml/2006/main">
                      <a:ext uri="{FF2B5EF4-FFF2-40B4-BE49-F238E27FC236}">
                        <a16:creationId xmlns:a16="http://schemas.microsoft.com/office/drawing/2014/main" id="{4B94148E-7F9C-B250-0D1E-43D406170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7E1D93" w:rsidRPr="00CC5F36" w14:paraId="111DFC67" w14:textId="77777777" w:rsidTr="00B9362B">
        <w:tblPrEx>
          <w:tblCellMar>
            <w:left w:w="108" w:type="dxa"/>
            <w:right w:w="108" w:type="dxa"/>
          </w:tblCellMar>
        </w:tblPrEx>
        <w:tc>
          <w:tcPr>
            <w:tcW w:w="7936" w:type="dxa"/>
            <w:tcBorders>
              <w:top w:val="single" w:sz="4" w:space="0" w:color="000100"/>
            </w:tcBorders>
            <w:shd w:val="clear" w:color="auto" w:fill="auto"/>
          </w:tcPr>
          <w:p w14:paraId="2BAECFF2" w14:textId="77777777" w:rsidR="007E1D93" w:rsidRPr="00CC5F36" w:rsidRDefault="007E1D93" w:rsidP="007E1D93">
            <w:pPr>
              <w:keepNext/>
              <w:spacing w:before="0" w:after="0" w:line="240" w:lineRule="auto"/>
              <w:jc w:val="center"/>
              <w:rPr>
                <w:rFonts w:eastAsia="Arial Narrow"/>
                <w:noProof/>
                <w:color w:val="000100"/>
                <w:sz w:val="16"/>
              </w:rPr>
            </w:pPr>
            <w:r w:rsidRPr="00CC5F36">
              <w:rPr>
                <w:rFonts w:eastAsia="Arial Narrow"/>
                <w:b/>
                <w:bCs/>
                <w:color w:val="000100"/>
                <w:sz w:val="20"/>
                <w:szCs w:val="20"/>
              </w:rPr>
              <w:t>Annual per capita SUP consumption in ACT (kilograms)</w:t>
            </w:r>
          </w:p>
          <w:p w14:paraId="6C6C4849" w14:textId="77777777" w:rsidR="007E1D93" w:rsidRPr="00CC5F36" w:rsidRDefault="007E1D93" w:rsidP="007E1D93">
            <w:pPr>
              <w:keepNext/>
              <w:spacing w:before="0" w:after="0" w:line="240" w:lineRule="auto"/>
              <w:jc w:val="center"/>
              <w:rPr>
                <w:rFonts w:eastAsia="Arial Narrow"/>
                <w:noProof/>
                <w:color w:val="000100"/>
                <w:sz w:val="16"/>
              </w:rPr>
            </w:pPr>
            <w:r w:rsidRPr="00CC5F36">
              <w:rPr>
                <w:rFonts w:eastAsia="Arial Narrow"/>
                <w:noProof/>
                <w:color w:val="000100"/>
                <w:sz w:val="16"/>
              </w:rPr>
              <w:drawing>
                <wp:inline distT="0" distB="0" distL="0" distR="0" wp14:anchorId="6809C61D" wp14:editId="5A023919">
                  <wp:extent cx="4902200" cy="2089150"/>
                  <wp:effectExtent l="0" t="0" r="0" b="6350"/>
                  <wp:docPr id="19" name="Chart 19">
                    <a:extLst xmlns:a="http://schemas.openxmlformats.org/drawingml/2006/main">
                      <a:ext uri="{FF2B5EF4-FFF2-40B4-BE49-F238E27FC236}">
                        <a16:creationId xmlns:a16="http://schemas.microsoft.com/office/drawing/2014/main" id="{C67205B8-9C8C-31B3-B16F-B0E222D54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7E1D93" w:rsidRPr="00CC5F36" w14:paraId="4B273C75" w14:textId="77777777" w:rsidTr="00B9362B">
        <w:trPr>
          <w:trHeight w:val="125"/>
        </w:trPr>
        <w:tc>
          <w:tcPr>
            <w:tcW w:w="7936" w:type="dxa"/>
            <w:tcBorders>
              <w:bottom w:val="single" w:sz="4" w:space="0" w:color="000100"/>
            </w:tcBorders>
            <w:shd w:val="clear" w:color="auto" w:fill="auto"/>
            <w:tcMar>
              <w:top w:w="12" w:type="dxa"/>
              <w:bottom w:w="113" w:type="dxa"/>
            </w:tcMar>
          </w:tcPr>
          <w:p w14:paraId="4668B3D7" w14:textId="77777777" w:rsidR="007E1D93" w:rsidRPr="00CC5F36" w:rsidRDefault="007E1D93" w:rsidP="00B9362B">
            <w:pPr>
              <w:spacing w:before="52" w:after="0" w:line="240" w:lineRule="auto"/>
              <w:rPr>
                <w:rFonts w:eastAsia="Arial Narrow"/>
                <w:iCs/>
                <w:color w:val="000100"/>
                <w:sz w:val="16"/>
              </w:rPr>
            </w:pPr>
            <w:r w:rsidRPr="00CC5F36">
              <w:rPr>
                <w:rFonts w:eastAsia="Arial Narrow"/>
                <w:iCs/>
                <w:color w:val="000100"/>
                <w:sz w:val="16"/>
              </w:rPr>
              <w:t>Notes: only includes consumption of SUPs considered under the proposed bans.</w:t>
            </w:r>
          </w:p>
          <w:p w14:paraId="39C81054" w14:textId="77777777" w:rsidR="007E1D93" w:rsidRPr="00CC5F36" w:rsidRDefault="007E1D93" w:rsidP="00B9362B">
            <w:pPr>
              <w:spacing w:before="52" w:after="0" w:line="240" w:lineRule="auto"/>
              <w:rPr>
                <w:rFonts w:eastAsia="Arial Narrow"/>
                <w:i/>
                <w:color w:val="000100"/>
                <w:sz w:val="16"/>
              </w:rPr>
            </w:pPr>
            <w:r w:rsidRPr="00CC5F36">
              <w:rPr>
                <w:rFonts w:eastAsia="Arial Narrow"/>
                <w:i/>
                <w:color w:val="000100"/>
                <w:sz w:val="16"/>
              </w:rPr>
              <w:t>Source: ACIL Allen</w:t>
            </w:r>
          </w:p>
        </w:tc>
      </w:tr>
      <w:tr w:rsidR="007E1D93" w:rsidRPr="00CC5F36" w14:paraId="36C0C102"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3B473B75" w14:textId="77777777" w:rsidR="007E1D93" w:rsidRPr="00CC5F36" w:rsidRDefault="007E1D93" w:rsidP="00B9362B">
            <w:pPr>
              <w:spacing w:after="0" w:line="240" w:lineRule="auto"/>
              <w:rPr>
                <w:rFonts w:eastAsia="Arial Narrow"/>
                <w:color w:val="000100"/>
                <w:sz w:val="4"/>
              </w:rPr>
            </w:pPr>
          </w:p>
        </w:tc>
      </w:tr>
    </w:tbl>
    <w:p w14:paraId="5612D648" w14:textId="77777777" w:rsidR="00B949E1" w:rsidRDefault="00B949E1" w:rsidP="00B949E1">
      <w:pPr>
        <w:pStyle w:val="Heading2"/>
      </w:pPr>
      <w:bookmarkStart w:id="91" w:name="_Toc136872630"/>
      <w:r>
        <w:t>Impact assessment</w:t>
      </w:r>
      <w:bookmarkEnd w:id="91"/>
    </w:p>
    <w:p w14:paraId="2BB3763A" w14:textId="77777777" w:rsidR="00B949E1" w:rsidRDefault="00B949E1" w:rsidP="00B949E1">
      <w:pPr>
        <w:pStyle w:val="Heading3"/>
      </w:pPr>
      <w:r>
        <w:t xml:space="preserve">Identified costs and </w:t>
      </w:r>
      <w:proofErr w:type="gramStart"/>
      <w:r>
        <w:t>benefits</w:t>
      </w:r>
      <w:proofErr w:type="gramEnd"/>
    </w:p>
    <w:p w14:paraId="1ECB6265" w14:textId="77777777" w:rsidR="00B949E1" w:rsidRDefault="00B949E1" w:rsidP="00B949E1">
      <w:pPr>
        <w:pStyle w:val="BodyText"/>
      </w:pPr>
      <w:r>
        <w:t>Stakeholders identified a range of costs and benefits throughout the consultation process, which is detailed in Appendix E. These costs and benefits have been categorised as either impacting government, consumers or business, and are listed in</w:t>
      </w:r>
      <w:r>
        <w:rPr>
          <w:b/>
          <w:bCs/>
        </w:rPr>
        <w:t xml:space="preserve"> </w:t>
      </w:r>
      <w:r w:rsidRPr="004A06F6">
        <w:rPr>
          <w:b/>
          <w:bCs/>
        </w:rPr>
        <w:fldChar w:fldCharType="begin"/>
      </w:r>
      <w:r w:rsidRPr="004A06F6">
        <w:rPr>
          <w:b/>
          <w:bCs/>
        </w:rPr>
        <w:instrText xml:space="preserve"> REF _Ref130826119 \h  \* MERGEFORMAT </w:instrText>
      </w:r>
      <w:r w:rsidRPr="004A06F6">
        <w:rPr>
          <w:b/>
          <w:bCs/>
        </w:rPr>
      </w:r>
      <w:r w:rsidRPr="004A06F6">
        <w:rPr>
          <w:b/>
          <w:bCs/>
        </w:rPr>
        <w:fldChar w:fldCharType="separate"/>
      </w:r>
      <w:r w:rsidRPr="00790266">
        <w:rPr>
          <w:rStyle w:val="CaptionLabel"/>
          <w:b w:val="0"/>
          <w:bCs/>
        </w:rPr>
        <w:t>Table 6.3</w:t>
      </w:r>
      <w:r w:rsidRPr="004A06F6">
        <w:rPr>
          <w:b/>
          <w:bCs/>
        </w:rPr>
        <w:fldChar w:fldCharType="end"/>
      </w:r>
      <w:r>
        <w:t>.</w:t>
      </w:r>
    </w:p>
    <w:p w14:paraId="7B8A6F90" w14:textId="77777777" w:rsidR="00B949E1" w:rsidRDefault="00B949E1" w:rsidP="00B949E1">
      <w:pPr>
        <w:pStyle w:val="Caption"/>
      </w:pPr>
      <w:bookmarkStart w:id="92" w:name="_Ref130826119"/>
      <w:bookmarkStart w:id="93" w:name="_Toc134002443"/>
      <w:r w:rsidRPr="003A5283">
        <w:rPr>
          <w:rStyle w:val="CaptionLabel"/>
        </w:rPr>
        <w:lastRenderedPageBreak/>
        <w:t>Table </w:t>
      </w:r>
      <w:r w:rsidRPr="003A5283">
        <w:rPr>
          <w:rStyle w:val="CaptionLabel"/>
        </w:rPr>
        <w:fldChar w:fldCharType="begin"/>
      </w:r>
      <w:r w:rsidRPr="003A5283">
        <w:rPr>
          <w:rStyle w:val="CaptionLabel"/>
        </w:rPr>
        <w:instrText xml:space="preserve"> STYLEREF 1 \S \* MERGEFORMAT </w:instrText>
      </w:r>
      <w:r w:rsidRPr="003A5283">
        <w:rPr>
          <w:rStyle w:val="CaptionLabel"/>
        </w:rPr>
        <w:fldChar w:fldCharType="separate"/>
      </w:r>
      <w:r>
        <w:rPr>
          <w:rStyle w:val="CaptionLabel"/>
          <w:noProof/>
        </w:rPr>
        <w:t>6</w:t>
      </w:r>
      <w:r w:rsidRPr="003A5283">
        <w:rPr>
          <w:rStyle w:val="CaptionLabel"/>
        </w:rPr>
        <w:fldChar w:fldCharType="end"/>
      </w:r>
      <w:r w:rsidRPr="003A5283">
        <w:rPr>
          <w:rStyle w:val="CaptionLabel"/>
        </w:rPr>
        <w:t>.</w:t>
      </w:r>
      <w:r w:rsidRPr="003A5283">
        <w:rPr>
          <w:rStyle w:val="CaptionLabel"/>
        </w:rPr>
        <w:fldChar w:fldCharType="begin"/>
      </w:r>
      <w:r w:rsidRPr="003A5283">
        <w:rPr>
          <w:rStyle w:val="CaptionLabel"/>
        </w:rPr>
        <w:instrText xml:space="preserve"> SEQ Table \* ARABIC \S 1 \* MERGEFORMAT </w:instrText>
      </w:r>
      <w:r w:rsidRPr="003A5283">
        <w:rPr>
          <w:rStyle w:val="CaptionLabel"/>
        </w:rPr>
        <w:fldChar w:fldCharType="separate"/>
      </w:r>
      <w:r>
        <w:rPr>
          <w:rStyle w:val="CaptionLabel"/>
          <w:noProof/>
        </w:rPr>
        <w:t>3</w:t>
      </w:r>
      <w:r w:rsidRPr="003A5283">
        <w:rPr>
          <w:rStyle w:val="CaptionLabel"/>
        </w:rPr>
        <w:fldChar w:fldCharType="end"/>
      </w:r>
      <w:bookmarkEnd w:id="92"/>
      <w:r w:rsidRPr="003A5283">
        <w:tab/>
        <w:t>Summary</w:t>
      </w:r>
      <w:r>
        <w:t xml:space="preserve"> </w:t>
      </w:r>
      <w:r w:rsidRPr="003A5283">
        <w:t>table</w:t>
      </w:r>
      <w:r>
        <w:t xml:space="preserve"> </w:t>
      </w:r>
      <w:r w:rsidRPr="003A5283">
        <w:t>of</w:t>
      </w:r>
      <w:r>
        <w:t xml:space="preserve"> </w:t>
      </w:r>
      <w:r w:rsidRPr="003A5283">
        <w:t>costs</w:t>
      </w:r>
      <w:r>
        <w:t xml:space="preserve"> </w:t>
      </w:r>
      <w:r w:rsidRPr="003A5283">
        <w:t>and</w:t>
      </w:r>
      <w:r>
        <w:t xml:space="preserve"> </w:t>
      </w:r>
      <w:r w:rsidRPr="003A5283">
        <w:t>benefits</w:t>
      </w:r>
      <w:r>
        <w:t xml:space="preserve"> </w:t>
      </w:r>
      <w:r w:rsidRPr="003A5283">
        <w:t>that</w:t>
      </w:r>
      <w:r>
        <w:t xml:space="preserve"> have been </w:t>
      </w:r>
      <w:r w:rsidRPr="003A5283">
        <w:t>considered</w:t>
      </w:r>
      <w:r>
        <w:t xml:space="preserve"> </w:t>
      </w:r>
      <w:r w:rsidRPr="003A5283">
        <w:t>in</w:t>
      </w:r>
      <w:r>
        <w:t xml:space="preserve"> </w:t>
      </w:r>
      <w:r w:rsidRPr="003A5283">
        <w:t>the</w:t>
      </w:r>
      <w:r>
        <w:t xml:space="preserve"> </w:t>
      </w:r>
      <w:proofErr w:type="gramStart"/>
      <w:r w:rsidRPr="003A5283">
        <w:t>RIS</w:t>
      </w:r>
      <w:bookmarkEnd w:id="93"/>
      <w:proofErr w:type="gramEnd"/>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418"/>
        <w:gridCol w:w="3260"/>
        <w:gridCol w:w="3258"/>
      </w:tblGrid>
      <w:tr w:rsidR="00B949E1" w14:paraId="79E147A1" w14:textId="77777777" w:rsidTr="00B9362B">
        <w:trPr>
          <w:tblHeader/>
        </w:trPr>
        <w:tc>
          <w:tcPr>
            <w:tcW w:w="1872" w:type="dxa"/>
            <w:gridSpan w:val="2"/>
            <w:tcBorders>
              <w:top w:val="nil"/>
              <w:bottom w:val="nil"/>
            </w:tcBorders>
            <w:shd w:val="clear" w:color="auto" w:fill="140034"/>
            <w:tcMar>
              <w:left w:w="454" w:type="dxa"/>
            </w:tcMar>
          </w:tcPr>
          <w:p w14:paraId="08E6F455" w14:textId="77777777" w:rsidR="00B949E1" w:rsidRDefault="00B949E1" w:rsidP="00B9362B">
            <w:pPr>
              <w:pStyle w:val="Tablecolumnheadings"/>
            </w:pPr>
            <w:r>
              <w:t>Group</w:t>
            </w:r>
          </w:p>
        </w:tc>
        <w:tc>
          <w:tcPr>
            <w:tcW w:w="3260" w:type="dxa"/>
            <w:tcBorders>
              <w:top w:val="nil"/>
              <w:bottom w:val="nil"/>
            </w:tcBorders>
            <w:shd w:val="clear" w:color="auto" w:fill="140034"/>
          </w:tcPr>
          <w:p w14:paraId="1F380EAA" w14:textId="77777777" w:rsidR="00B949E1" w:rsidRDefault="00B949E1" w:rsidP="00B9362B">
            <w:pPr>
              <w:pStyle w:val="Tablecolumnheadings"/>
            </w:pPr>
            <w:r>
              <w:t>Costs</w:t>
            </w:r>
          </w:p>
        </w:tc>
        <w:tc>
          <w:tcPr>
            <w:tcW w:w="3258" w:type="dxa"/>
            <w:tcBorders>
              <w:top w:val="nil"/>
              <w:bottom w:val="nil"/>
              <w:right w:val="single" w:sz="6" w:space="0" w:color="140034"/>
            </w:tcBorders>
            <w:shd w:val="clear" w:color="auto" w:fill="140034"/>
          </w:tcPr>
          <w:p w14:paraId="4497428F" w14:textId="77777777" w:rsidR="00B949E1" w:rsidRDefault="00B949E1" w:rsidP="00B9362B">
            <w:pPr>
              <w:pStyle w:val="Tablecolumnheadings"/>
            </w:pPr>
            <w:r>
              <w:t>Benefits</w:t>
            </w:r>
          </w:p>
        </w:tc>
      </w:tr>
      <w:tr w:rsidR="00B949E1" w14:paraId="1B17F4CE" w14:textId="77777777" w:rsidTr="00B9362B">
        <w:trPr>
          <w:gridBefore w:val="1"/>
          <w:wBefore w:w="454" w:type="dxa"/>
          <w:trHeight w:val="990"/>
        </w:trPr>
        <w:tc>
          <w:tcPr>
            <w:tcW w:w="1418" w:type="dxa"/>
            <w:tcBorders>
              <w:top w:val="nil"/>
            </w:tcBorders>
            <w:shd w:val="clear" w:color="auto" w:fill="auto"/>
            <w:vAlign w:val="center"/>
          </w:tcPr>
          <w:p w14:paraId="5285E9F7" w14:textId="77777777" w:rsidR="00B949E1" w:rsidRPr="004555EC" w:rsidRDefault="00B949E1" w:rsidP="00B9362B">
            <w:pPr>
              <w:pStyle w:val="Tabletext"/>
              <w:rPr>
                <w:b/>
                <w:bCs/>
              </w:rPr>
            </w:pPr>
            <w:r w:rsidRPr="004555EC">
              <w:rPr>
                <w:b/>
                <w:bCs/>
              </w:rPr>
              <w:t>Territory Government</w:t>
            </w:r>
          </w:p>
        </w:tc>
        <w:tc>
          <w:tcPr>
            <w:tcW w:w="3260" w:type="dxa"/>
            <w:tcBorders>
              <w:top w:val="nil"/>
            </w:tcBorders>
            <w:shd w:val="clear" w:color="auto" w:fill="auto"/>
            <w:vAlign w:val="center"/>
          </w:tcPr>
          <w:p w14:paraId="766D99F2" w14:textId="77777777" w:rsidR="00B949E1" w:rsidRPr="009D2461" w:rsidRDefault="00B949E1" w:rsidP="00B949E1">
            <w:pPr>
              <w:pStyle w:val="Tablelistbullet"/>
              <w:tabs>
                <w:tab w:val="clear" w:pos="360"/>
              </w:tabs>
              <w:ind w:left="280" w:hanging="280"/>
            </w:pPr>
            <w:r w:rsidRPr="009D2461">
              <w:t>Implementation costs</w:t>
            </w:r>
          </w:p>
          <w:p w14:paraId="65B7C45C" w14:textId="77777777" w:rsidR="00B949E1" w:rsidRPr="009D2461" w:rsidRDefault="00B949E1" w:rsidP="00B949E1">
            <w:pPr>
              <w:pStyle w:val="Tablelistbullet"/>
              <w:tabs>
                <w:tab w:val="clear" w:pos="360"/>
              </w:tabs>
              <w:ind w:left="280" w:hanging="280"/>
            </w:pPr>
            <w:r w:rsidRPr="009D2461">
              <w:t>Community education and communication costs</w:t>
            </w:r>
          </w:p>
        </w:tc>
        <w:tc>
          <w:tcPr>
            <w:tcW w:w="3258" w:type="dxa"/>
            <w:tcBorders>
              <w:top w:val="nil"/>
            </w:tcBorders>
            <w:shd w:val="clear" w:color="auto" w:fill="auto"/>
            <w:vAlign w:val="center"/>
          </w:tcPr>
          <w:p w14:paraId="55F4E98B" w14:textId="77777777" w:rsidR="00B949E1" w:rsidRPr="009D2461" w:rsidRDefault="00B949E1" w:rsidP="00B949E1">
            <w:pPr>
              <w:pStyle w:val="Tablelistbullet"/>
              <w:tabs>
                <w:tab w:val="clear" w:pos="360"/>
              </w:tabs>
              <w:ind w:left="280" w:hanging="280"/>
            </w:pPr>
            <w:r w:rsidRPr="009D2461">
              <w:t xml:space="preserve">Meet state, national and international goals and </w:t>
            </w:r>
            <w:proofErr w:type="gramStart"/>
            <w:r w:rsidRPr="009D2461">
              <w:t>commitments</w:t>
            </w:r>
            <w:proofErr w:type="gramEnd"/>
          </w:p>
          <w:p w14:paraId="2FB05775" w14:textId="77777777" w:rsidR="00B949E1" w:rsidRPr="009D2461" w:rsidRDefault="00B949E1" w:rsidP="00B949E1">
            <w:pPr>
              <w:pStyle w:val="Tablelistbullet"/>
              <w:tabs>
                <w:tab w:val="clear" w:pos="360"/>
              </w:tabs>
              <w:ind w:left="280" w:hanging="280"/>
            </w:pPr>
            <w:r w:rsidRPr="009D2461">
              <w:t xml:space="preserve">Opportunity to influence community behaviour </w:t>
            </w:r>
          </w:p>
        </w:tc>
      </w:tr>
      <w:tr w:rsidR="00B949E1" w14:paraId="0938AF05" w14:textId="77777777" w:rsidTr="00B9362B">
        <w:trPr>
          <w:gridBefore w:val="1"/>
          <w:wBefore w:w="454" w:type="dxa"/>
          <w:trHeight w:val="590"/>
        </w:trPr>
        <w:tc>
          <w:tcPr>
            <w:tcW w:w="1418" w:type="dxa"/>
            <w:tcBorders>
              <w:top w:val="nil"/>
            </w:tcBorders>
            <w:shd w:val="clear" w:color="auto" w:fill="auto"/>
            <w:vAlign w:val="center"/>
          </w:tcPr>
          <w:p w14:paraId="01173963" w14:textId="77777777" w:rsidR="00B949E1" w:rsidRPr="004555EC" w:rsidRDefault="00B949E1" w:rsidP="00B9362B">
            <w:pPr>
              <w:pStyle w:val="Tabletext"/>
              <w:rPr>
                <w:b/>
                <w:bCs/>
              </w:rPr>
            </w:pPr>
            <w:r w:rsidRPr="004555EC">
              <w:rPr>
                <w:b/>
                <w:bCs/>
              </w:rPr>
              <w:t>Local Government</w:t>
            </w:r>
          </w:p>
        </w:tc>
        <w:tc>
          <w:tcPr>
            <w:tcW w:w="3260" w:type="dxa"/>
            <w:tcBorders>
              <w:top w:val="nil"/>
            </w:tcBorders>
            <w:shd w:val="clear" w:color="auto" w:fill="auto"/>
            <w:vAlign w:val="center"/>
          </w:tcPr>
          <w:p w14:paraId="7301476E" w14:textId="77777777" w:rsidR="00B949E1" w:rsidRPr="009D2461" w:rsidRDefault="00B949E1" w:rsidP="00B9362B">
            <w:pPr>
              <w:pStyle w:val="Tablelistbullet"/>
              <w:numPr>
                <w:ilvl w:val="0"/>
                <w:numId w:val="0"/>
              </w:numPr>
              <w:ind w:left="278" w:hanging="278"/>
            </w:pPr>
          </w:p>
        </w:tc>
        <w:tc>
          <w:tcPr>
            <w:tcW w:w="3258" w:type="dxa"/>
            <w:tcBorders>
              <w:top w:val="nil"/>
            </w:tcBorders>
            <w:shd w:val="clear" w:color="auto" w:fill="auto"/>
            <w:vAlign w:val="center"/>
          </w:tcPr>
          <w:p w14:paraId="131E3735" w14:textId="77777777" w:rsidR="00B949E1" w:rsidRPr="009D2461" w:rsidRDefault="00B949E1" w:rsidP="00B949E1">
            <w:pPr>
              <w:pStyle w:val="Tablelistbullet"/>
              <w:tabs>
                <w:tab w:val="clear" w:pos="360"/>
              </w:tabs>
              <w:ind w:left="280" w:hanging="280"/>
            </w:pPr>
            <w:r w:rsidRPr="009D2461">
              <w:t>Waste disposal costs (avoided landfill costs)</w:t>
            </w:r>
          </w:p>
        </w:tc>
      </w:tr>
      <w:tr w:rsidR="00B949E1" w14:paraId="2D0B4BF8" w14:textId="77777777" w:rsidTr="00B9362B">
        <w:trPr>
          <w:gridBefore w:val="1"/>
          <w:wBefore w:w="454" w:type="dxa"/>
          <w:trHeight w:val="1120"/>
        </w:trPr>
        <w:tc>
          <w:tcPr>
            <w:tcW w:w="1418" w:type="dxa"/>
            <w:vMerge w:val="restart"/>
            <w:shd w:val="clear" w:color="auto" w:fill="auto"/>
            <w:vAlign w:val="center"/>
          </w:tcPr>
          <w:p w14:paraId="5E9F0039" w14:textId="77777777" w:rsidR="00B949E1" w:rsidRPr="004555EC" w:rsidRDefault="00B949E1" w:rsidP="00B9362B">
            <w:pPr>
              <w:pStyle w:val="Tabletext"/>
              <w:jc w:val="center"/>
              <w:rPr>
                <w:b/>
                <w:bCs/>
              </w:rPr>
            </w:pPr>
            <w:r w:rsidRPr="004555EC">
              <w:rPr>
                <w:b/>
                <w:bCs/>
              </w:rPr>
              <w:t>Industry</w:t>
            </w:r>
          </w:p>
        </w:tc>
        <w:tc>
          <w:tcPr>
            <w:tcW w:w="3260" w:type="dxa"/>
            <w:shd w:val="clear" w:color="auto" w:fill="auto"/>
            <w:vAlign w:val="center"/>
          </w:tcPr>
          <w:p w14:paraId="14D86765" w14:textId="77777777" w:rsidR="00B949E1" w:rsidRPr="009D2461" w:rsidRDefault="00B949E1" w:rsidP="00B9362B">
            <w:pPr>
              <w:pStyle w:val="Tabletext"/>
              <w:rPr>
                <w:i/>
                <w:iCs/>
              </w:rPr>
            </w:pPr>
            <w:r w:rsidRPr="009D2461">
              <w:rPr>
                <w:i/>
                <w:iCs/>
              </w:rPr>
              <w:t xml:space="preserve">Australian-based </w:t>
            </w:r>
            <w:r>
              <w:rPr>
                <w:i/>
                <w:iCs/>
              </w:rPr>
              <w:t>SUP</w:t>
            </w:r>
            <w:r w:rsidRPr="009D2461">
              <w:rPr>
                <w:i/>
                <w:iCs/>
              </w:rPr>
              <w:t xml:space="preserve"> manufacturers, wholesalers and distributors </w:t>
            </w:r>
          </w:p>
          <w:p w14:paraId="4D035B9E" w14:textId="77777777" w:rsidR="00B949E1" w:rsidRPr="009D2461" w:rsidRDefault="00B949E1" w:rsidP="00B949E1">
            <w:pPr>
              <w:pStyle w:val="Tablelistbullet"/>
              <w:tabs>
                <w:tab w:val="clear" w:pos="360"/>
              </w:tabs>
              <w:ind w:left="280" w:hanging="280"/>
            </w:pPr>
            <w:r w:rsidRPr="009D2461">
              <w:t xml:space="preserve">Lost profits </w:t>
            </w:r>
          </w:p>
          <w:p w14:paraId="14DE92A5" w14:textId="77777777" w:rsidR="00B949E1" w:rsidRPr="009D2461" w:rsidRDefault="00B949E1" w:rsidP="00B949E1">
            <w:pPr>
              <w:pStyle w:val="Tablelistbullet2"/>
              <w:tabs>
                <w:tab w:val="clear" w:pos="360"/>
              </w:tabs>
            </w:pPr>
            <w:r w:rsidRPr="009D2461">
              <w:t xml:space="preserve">Cost to find new </w:t>
            </w:r>
            <w:proofErr w:type="gramStart"/>
            <w:r w:rsidRPr="009D2461">
              <w:t>channels</w:t>
            </w:r>
            <w:proofErr w:type="gramEnd"/>
          </w:p>
          <w:p w14:paraId="39AC7A0A" w14:textId="77777777" w:rsidR="00B949E1" w:rsidRPr="009D2461" w:rsidRDefault="00B949E1" w:rsidP="00B949E1">
            <w:pPr>
              <w:pStyle w:val="Tablelistbullet2"/>
              <w:tabs>
                <w:tab w:val="clear" w:pos="360"/>
              </w:tabs>
            </w:pPr>
            <w:r w:rsidRPr="009D2461">
              <w:t>Compliance costs</w:t>
            </w:r>
          </w:p>
          <w:p w14:paraId="28D2B105" w14:textId="77777777" w:rsidR="00B949E1" w:rsidRPr="009D2461" w:rsidRDefault="00B949E1" w:rsidP="00B949E1">
            <w:pPr>
              <w:pStyle w:val="Tablelistbullet2"/>
              <w:tabs>
                <w:tab w:val="clear" w:pos="360"/>
              </w:tabs>
            </w:pPr>
            <w:r w:rsidRPr="009D2461">
              <w:t>R&amp;D costs</w:t>
            </w:r>
          </w:p>
        </w:tc>
        <w:tc>
          <w:tcPr>
            <w:tcW w:w="3258" w:type="dxa"/>
            <w:shd w:val="clear" w:color="auto" w:fill="auto"/>
            <w:vAlign w:val="center"/>
          </w:tcPr>
          <w:p w14:paraId="35DDC90F" w14:textId="77777777" w:rsidR="00B949E1" w:rsidRPr="009D2461" w:rsidRDefault="00B949E1" w:rsidP="00B949E1">
            <w:pPr>
              <w:pStyle w:val="Tablelistbullet"/>
              <w:tabs>
                <w:tab w:val="clear" w:pos="360"/>
              </w:tabs>
              <w:ind w:left="280" w:hanging="280"/>
            </w:pPr>
            <w:r w:rsidRPr="009D2461">
              <w:t>Increased business for producers of alternative products</w:t>
            </w:r>
          </w:p>
          <w:p w14:paraId="18771FCA" w14:textId="77777777" w:rsidR="00B949E1" w:rsidRPr="009D2461" w:rsidRDefault="00B949E1" w:rsidP="00B949E1">
            <w:pPr>
              <w:pStyle w:val="Tablelistbullet"/>
              <w:tabs>
                <w:tab w:val="clear" w:pos="360"/>
              </w:tabs>
              <w:ind w:left="280" w:hanging="280"/>
            </w:pPr>
            <w:r w:rsidRPr="009D2461">
              <w:t>Meeting community expectations and positive reputational impacts</w:t>
            </w:r>
          </w:p>
        </w:tc>
      </w:tr>
      <w:tr w:rsidR="00B949E1" w14:paraId="2A222090" w14:textId="77777777" w:rsidTr="00B9362B">
        <w:trPr>
          <w:gridBefore w:val="1"/>
          <w:wBefore w:w="454" w:type="dxa"/>
          <w:trHeight w:val="830"/>
        </w:trPr>
        <w:tc>
          <w:tcPr>
            <w:tcW w:w="1418" w:type="dxa"/>
            <w:vMerge/>
            <w:shd w:val="clear" w:color="auto" w:fill="auto"/>
            <w:vAlign w:val="center"/>
          </w:tcPr>
          <w:p w14:paraId="256E3CCA" w14:textId="77777777" w:rsidR="00B949E1" w:rsidRPr="004555EC" w:rsidRDefault="00B949E1" w:rsidP="00B9362B">
            <w:pPr>
              <w:pStyle w:val="Tabletext"/>
              <w:jc w:val="center"/>
              <w:rPr>
                <w:b/>
                <w:bCs/>
              </w:rPr>
            </w:pPr>
          </w:p>
        </w:tc>
        <w:tc>
          <w:tcPr>
            <w:tcW w:w="3260" w:type="dxa"/>
            <w:shd w:val="clear" w:color="auto" w:fill="auto"/>
            <w:vAlign w:val="center"/>
          </w:tcPr>
          <w:p w14:paraId="111EE71B" w14:textId="77777777" w:rsidR="00B949E1" w:rsidRPr="009D2461" w:rsidRDefault="00B949E1" w:rsidP="00B9362B">
            <w:pPr>
              <w:pStyle w:val="Tabletext"/>
              <w:rPr>
                <w:i/>
                <w:iCs/>
              </w:rPr>
            </w:pPr>
            <w:r w:rsidRPr="009D2461">
              <w:rPr>
                <w:i/>
                <w:iCs/>
              </w:rPr>
              <w:t>Retailers</w:t>
            </w:r>
          </w:p>
          <w:p w14:paraId="6994A27D" w14:textId="77777777" w:rsidR="00B949E1" w:rsidRPr="009D2461" w:rsidRDefault="00B949E1" w:rsidP="00B949E1">
            <w:pPr>
              <w:pStyle w:val="Tablelistbullet"/>
              <w:tabs>
                <w:tab w:val="clear" w:pos="360"/>
              </w:tabs>
              <w:ind w:left="280" w:hanging="280"/>
              <w:rPr>
                <w:i/>
                <w:iCs/>
              </w:rPr>
            </w:pPr>
            <w:r w:rsidRPr="009D2461">
              <w:t>Compliance and transition costs (incl. unused stock)</w:t>
            </w:r>
          </w:p>
        </w:tc>
        <w:tc>
          <w:tcPr>
            <w:tcW w:w="3258" w:type="dxa"/>
            <w:shd w:val="clear" w:color="auto" w:fill="auto"/>
            <w:vAlign w:val="center"/>
          </w:tcPr>
          <w:p w14:paraId="062A91A5" w14:textId="77777777" w:rsidR="00B949E1" w:rsidRPr="009D2461" w:rsidRDefault="00B949E1" w:rsidP="00B9362B">
            <w:pPr>
              <w:pStyle w:val="BodyText"/>
            </w:pPr>
          </w:p>
        </w:tc>
      </w:tr>
      <w:tr w:rsidR="00B949E1" w14:paraId="6C276990" w14:textId="77777777" w:rsidTr="00B9362B">
        <w:trPr>
          <w:gridBefore w:val="1"/>
          <w:wBefore w:w="454" w:type="dxa"/>
          <w:trHeight w:val="830"/>
        </w:trPr>
        <w:tc>
          <w:tcPr>
            <w:tcW w:w="1418" w:type="dxa"/>
            <w:vMerge/>
            <w:shd w:val="clear" w:color="auto" w:fill="auto"/>
            <w:vAlign w:val="center"/>
          </w:tcPr>
          <w:p w14:paraId="7A4801EF" w14:textId="77777777" w:rsidR="00B949E1" w:rsidRPr="004555EC" w:rsidRDefault="00B949E1" w:rsidP="00B9362B">
            <w:pPr>
              <w:pStyle w:val="Tabletext"/>
              <w:jc w:val="center"/>
              <w:rPr>
                <w:b/>
                <w:bCs/>
              </w:rPr>
            </w:pPr>
          </w:p>
        </w:tc>
        <w:tc>
          <w:tcPr>
            <w:tcW w:w="3260" w:type="dxa"/>
            <w:shd w:val="clear" w:color="auto" w:fill="auto"/>
            <w:vAlign w:val="center"/>
          </w:tcPr>
          <w:p w14:paraId="377F34EC" w14:textId="77777777" w:rsidR="00B949E1" w:rsidRPr="009D2461" w:rsidRDefault="00B949E1" w:rsidP="00B9362B">
            <w:pPr>
              <w:pStyle w:val="Tabletext"/>
              <w:rPr>
                <w:i/>
                <w:iCs/>
              </w:rPr>
            </w:pPr>
            <w:r w:rsidRPr="009D2461">
              <w:rPr>
                <w:i/>
                <w:iCs/>
              </w:rPr>
              <w:t>Food and hospitality outlets (</w:t>
            </w:r>
            <w:proofErr w:type="gramStart"/>
            <w:r w:rsidRPr="009D2461">
              <w:rPr>
                <w:i/>
                <w:iCs/>
              </w:rPr>
              <w:t>i.e.</w:t>
            </w:r>
            <w:proofErr w:type="gramEnd"/>
            <w:r w:rsidRPr="009D2461">
              <w:rPr>
                <w:i/>
                <w:iCs/>
              </w:rPr>
              <w:t xml:space="preserve"> business purchasing SUPs)</w:t>
            </w:r>
          </w:p>
          <w:p w14:paraId="261E0865" w14:textId="77777777" w:rsidR="00B949E1" w:rsidRPr="009D2461" w:rsidRDefault="00B949E1" w:rsidP="00B949E1">
            <w:pPr>
              <w:pStyle w:val="Tablelistbullet"/>
              <w:tabs>
                <w:tab w:val="clear" w:pos="360"/>
              </w:tabs>
              <w:ind w:left="280" w:hanging="280"/>
            </w:pPr>
            <w:r w:rsidRPr="009D2461">
              <w:t xml:space="preserve">Additional (operational) cost of alternatives </w:t>
            </w:r>
          </w:p>
          <w:p w14:paraId="6934C92E" w14:textId="77777777" w:rsidR="00B949E1" w:rsidRPr="009D2461" w:rsidRDefault="00B949E1" w:rsidP="00B949E1">
            <w:pPr>
              <w:pStyle w:val="Tablelistbullet"/>
              <w:tabs>
                <w:tab w:val="clear" w:pos="360"/>
              </w:tabs>
              <w:ind w:left="280" w:hanging="280"/>
            </w:pPr>
            <w:r w:rsidRPr="009D2461">
              <w:t>Compliance and transition costs (incl. unused stock)</w:t>
            </w:r>
          </w:p>
        </w:tc>
        <w:tc>
          <w:tcPr>
            <w:tcW w:w="3258" w:type="dxa"/>
            <w:shd w:val="clear" w:color="auto" w:fill="auto"/>
            <w:vAlign w:val="center"/>
          </w:tcPr>
          <w:p w14:paraId="2916D649" w14:textId="77777777" w:rsidR="00B949E1" w:rsidRPr="009D2461" w:rsidRDefault="00B949E1" w:rsidP="00B9362B">
            <w:pPr>
              <w:pStyle w:val="BodyText"/>
            </w:pPr>
          </w:p>
        </w:tc>
      </w:tr>
      <w:tr w:rsidR="00B949E1" w14:paraId="57C56793" w14:textId="77777777" w:rsidTr="00B9362B">
        <w:trPr>
          <w:gridBefore w:val="1"/>
          <w:wBefore w:w="454" w:type="dxa"/>
          <w:trHeight w:val="830"/>
        </w:trPr>
        <w:tc>
          <w:tcPr>
            <w:tcW w:w="1418" w:type="dxa"/>
            <w:vMerge/>
            <w:shd w:val="clear" w:color="auto" w:fill="auto"/>
            <w:vAlign w:val="center"/>
          </w:tcPr>
          <w:p w14:paraId="3F09983F" w14:textId="77777777" w:rsidR="00B949E1" w:rsidRPr="004555EC" w:rsidRDefault="00B949E1" w:rsidP="00B9362B">
            <w:pPr>
              <w:pStyle w:val="Tabletext"/>
              <w:jc w:val="center"/>
              <w:rPr>
                <w:b/>
                <w:bCs/>
              </w:rPr>
            </w:pPr>
          </w:p>
        </w:tc>
        <w:tc>
          <w:tcPr>
            <w:tcW w:w="3260" w:type="dxa"/>
            <w:shd w:val="clear" w:color="auto" w:fill="auto"/>
            <w:vAlign w:val="center"/>
          </w:tcPr>
          <w:p w14:paraId="6E22881E" w14:textId="77777777" w:rsidR="00B949E1" w:rsidRPr="00215A06" w:rsidRDefault="00B949E1" w:rsidP="00B9362B">
            <w:pPr>
              <w:pStyle w:val="Tablelistbullet"/>
              <w:numPr>
                <w:ilvl w:val="0"/>
                <w:numId w:val="0"/>
              </w:numPr>
              <w:ind w:left="278" w:hanging="278"/>
              <w:rPr>
                <w:i/>
                <w:iCs/>
              </w:rPr>
            </w:pPr>
            <w:r w:rsidRPr="00215A06">
              <w:rPr>
                <w:i/>
                <w:iCs/>
              </w:rPr>
              <w:t xml:space="preserve">Medical </w:t>
            </w:r>
            <w:r>
              <w:rPr>
                <w:i/>
                <w:iCs/>
              </w:rPr>
              <w:t xml:space="preserve">and other exempt </w:t>
            </w:r>
            <w:r w:rsidRPr="00215A06">
              <w:rPr>
                <w:i/>
                <w:iCs/>
              </w:rPr>
              <w:t>sector</w:t>
            </w:r>
            <w:r>
              <w:rPr>
                <w:i/>
                <w:iCs/>
              </w:rPr>
              <w:t>s</w:t>
            </w:r>
          </w:p>
          <w:p w14:paraId="3DCCE1EE" w14:textId="77777777" w:rsidR="00B949E1" w:rsidRPr="00215A06" w:rsidRDefault="00B949E1" w:rsidP="00B949E1">
            <w:pPr>
              <w:pStyle w:val="Tablelistbullet"/>
              <w:tabs>
                <w:tab w:val="clear" w:pos="360"/>
              </w:tabs>
              <w:ind w:left="280" w:hanging="280"/>
            </w:pPr>
            <w:r w:rsidRPr="009D2461">
              <w:t xml:space="preserve">Increased cost of </w:t>
            </w:r>
            <w:r>
              <w:t xml:space="preserve">plastic items </w:t>
            </w:r>
            <w:r w:rsidRPr="009D2461">
              <w:t>for those who need them and difficulty acquiring them</w:t>
            </w:r>
            <w:r>
              <w:t>, including those with disabilities</w:t>
            </w:r>
          </w:p>
        </w:tc>
        <w:tc>
          <w:tcPr>
            <w:tcW w:w="3258" w:type="dxa"/>
            <w:shd w:val="clear" w:color="auto" w:fill="auto"/>
            <w:vAlign w:val="center"/>
          </w:tcPr>
          <w:p w14:paraId="78044B30" w14:textId="77777777" w:rsidR="00B949E1" w:rsidRPr="009D2461" w:rsidRDefault="00B949E1" w:rsidP="00B949E1">
            <w:pPr>
              <w:pStyle w:val="Tablelistbullet"/>
              <w:tabs>
                <w:tab w:val="clear" w:pos="360"/>
              </w:tabs>
              <w:ind w:left="280" w:hanging="280"/>
            </w:pPr>
            <w:r w:rsidRPr="009D2461">
              <w:t xml:space="preserve">Savings from </w:t>
            </w:r>
            <w:r>
              <w:t xml:space="preserve">the </w:t>
            </w:r>
            <w:r w:rsidRPr="009D2461">
              <w:t>cost of</w:t>
            </w:r>
            <w:r>
              <w:t xml:space="preserve"> single-use</w:t>
            </w:r>
            <w:r w:rsidRPr="009D2461">
              <w:t xml:space="preserve"> alternatives (if alternative products are cheaper)</w:t>
            </w:r>
          </w:p>
        </w:tc>
      </w:tr>
      <w:tr w:rsidR="00B949E1" w14:paraId="0CA5CB7A" w14:textId="77777777" w:rsidTr="00B9362B">
        <w:trPr>
          <w:gridBefore w:val="1"/>
          <w:wBefore w:w="454" w:type="dxa"/>
          <w:trHeight w:val="1238"/>
        </w:trPr>
        <w:tc>
          <w:tcPr>
            <w:tcW w:w="1418" w:type="dxa"/>
            <w:shd w:val="clear" w:color="auto" w:fill="auto"/>
            <w:vAlign w:val="center"/>
          </w:tcPr>
          <w:p w14:paraId="4B23450C" w14:textId="77777777" w:rsidR="00B949E1" w:rsidRPr="004555EC" w:rsidRDefault="00B949E1" w:rsidP="00B9362B">
            <w:pPr>
              <w:pStyle w:val="Tabletext"/>
              <w:jc w:val="center"/>
              <w:rPr>
                <w:b/>
                <w:bCs/>
              </w:rPr>
            </w:pPr>
            <w:r w:rsidRPr="004555EC">
              <w:rPr>
                <w:b/>
                <w:bCs/>
              </w:rPr>
              <w:t>Consumers</w:t>
            </w:r>
          </w:p>
        </w:tc>
        <w:tc>
          <w:tcPr>
            <w:tcW w:w="3260" w:type="dxa"/>
            <w:shd w:val="clear" w:color="auto" w:fill="auto"/>
            <w:vAlign w:val="center"/>
          </w:tcPr>
          <w:p w14:paraId="231CC49D" w14:textId="77777777" w:rsidR="00B949E1" w:rsidRPr="009D2461" w:rsidRDefault="00B949E1" w:rsidP="00B949E1">
            <w:pPr>
              <w:pStyle w:val="Tablelistbullet"/>
              <w:tabs>
                <w:tab w:val="clear" w:pos="360"/>
              </w:tabs>
              <w:ind w:left="280" w:hanging="280"/>
            </w:pPr>
            <w:r w:rsidRPr="009D2461">
              <w:t xml:space="preserve">Additional cost of alternatives in retail settings </w:t>
            </w:r>
          </w:p>
          <w:p w14:paraId="21AF7A0D" w14:textId="77777777" w:rsidR="00B949E1" w:rsidRPr="009D2461" w:rsidRDefault="00B949E1" w:rsidP="00B949E1">
            <w:pPr>
              <w:pStyle w:val="Tablelistbullet"/>
              <w:tabs>
                <w:tab w:val="clear" w:pos="360"/>
              </w:tabs>
              <w:ind w:left="280" w:hanging="280"/>
            </w:pPr>
            <w:r w:rsidRPr="009D2461">
              <w:t>Perceived quality of alternatives</w:t>
            </w:r>
          </w:p>
          <w:p w14:paraId="63EA1558" w14:textId="77777777" w:rsidR="00B949E1" w:rsidRPr="009D2461" w:rsidRDefault="00B949E1" w:rsidP="00B9362B">
            <w:pPr>
              <w:pStyle w:val="Tablelistbullet"/>
              <w:numPr>
                <w:ilvl w:val="0"/>
                <w:numId w:val="0"/>
              </w:numPr>
              <w:ind w:left="280"/>
            </w:pPr>
          </w:p>
        </w:tc>
        <w:tc>
          <w:tcPr>
            <w:tcW w:w="3258" w:type="dxa"/>
            <w:shd w:val="clear" w:color="auto" w:fill="auto"/>
            <w:vAlign w:val="center"/>
          </w:tcPr>
          <w:p w14:paraId="2641BBE5" w14:textId="77777777" w:rsidR="00B949E1" w:rsidRPr="009D2461" w:rsidRDefault="00B949E1" w:rsidP="00B949E1">
            <w:pPr>
              <w:pStyle w:val="Tablelistbullet"/>
              <w:tabs>
                <w:tab w:val="clear" w:pos="360"/>
              </w:tabs>
              <w:ind w:left="280" w:hanging="280"/>
            </w:pPr>
            <w:r w:rsidRPr="009D2461">
              <w:t xml:space="preserve">Savings from </w:t>
            </w:r>
            <w:r>
              <w:t xml:space="preserve">the </w:t>
            </w:r>
            <w:r w:rsidRPr="009D2461">
              <w:t>cost of alternatives in retail settings (if alternative products are cheaper)</w:t>
            </w:r>
          </w:p>
          <w:p w14:paraId="42D1FB63" w14:textId="77777777" w:rsidR="00B949E1" w:rsidRPr="009D2461" w:rsidRDefault="00B949E1" w:rsidP="00B949E1">
            <w:pPr>
              <w:pStyle w:val="Tablelistbullet"/>
              <w:tabs>
                <w:tab w:val="clear" w:pos="360"/>
              </w:tabs>
              <w:ind w:left="280" w:hanging="280"/>
            </w:pPr>
            <w:r w:rsidRPr="009D2461">
              <w:t>See community benefits below</w:t>
            </w:r>
          </w:p>
        </w:tc>
      </w:tr>
      <w:tr w:rsidR="00B949E1" w14:paraId="5280C025" w14:textId="77777777" w:rsidTr="00B9362B">
        <w:trPr>
          <w:gridBefore w:val="1"/>
          <w:wBefore w:w="454" w:type="dxa"/>
          <w:trHeight w:val="207"/>
        </w:trPr>
        <w:tc>
          <w:tcPr>
            <w:tcW w:w="1418" w:type="dxa"/>
            <w:shd w:val="clear" w:color="auto" w:fill="auto"/>
            <w:vAlign w:val="center"/>
          </w:tcPr>
          <w:p w14:paraId="4F7BB7E0" w14:textId="77777777" w:rsidR="00B949E1" w:rsidRPr="004555EC" w:rsidRDefault="00B949E1" w:rsidP="00B9362B">
            <w:pPr>
              <w:pStyle w:val="Tabletext"/>
              <w:jc w:val="center"/>
              <w:rPr>
                <w:b/>
                <w:bCs/>
              </w:rPr>
            </w:pPr>
            <w:r w:rsidRPr="004555EC">
              <w:rPr>
                <w:b/>
                <w:bCs/>
              </w:rPr>
              <w:t>Community overall</w:t>
            </w:r>
          </w:p>
        </w:tc>
        <w:tc>
          <w:tcPr>
            <w:tcW w:w="3260" w:type="dxa"/>
            <w:shd w:val="clear" w:color="auto" w:fill="auto"/>
            <w:vAlign w:val="center"/>
          </w:tcPr>
          <w:p w14:paraId="5849DAD3" w14:textId="77777777" w:rsidR="00B949E1" w:rsidRPr="009D2461" w:rsidRDefault="00B949E1" w:rsidP="00B9362B">
            <w:pPr>
              <w:pStyle w:val="Tablelistbullet"/>
              <w:numPr>
                <w:ilvl w:val="0"/>
                <w:numId w:val="0"/>
              </w:numPr>
              <w:ind w:left="280"/>
            </w:pPr>
          </w:p>
        </w:tc>
        <w:tc>
          <w:tcPr>
            <w:tcW w:w="3258" w:type="dxa"/>
            <w:shd w:val="clear" w:color="auto" w:fill="auto"/>
            <w:vAlign w:val="center"/>
          </w:tcPr>
          <w:p w14:paraId="245CB150" w14:textId="77777777" w:rsidR="00B949E1" w:rsidRPr="009D2461" w:rsidRDefault="00B949E1" w:rsidP="00B949E1">
            <w:pPr>
              <w:pStyle w:val="Tablelistbullet"/>
              <w:tabs>
                <w:tab w:val="clear" w:pos="360"/>
              </w:tabs>
              <w:ind w:left="280" w:hanging="280"/>
            </w:pPr>
            <w:r w:rsidRPr="009D2461">
              <w:t>Reduced</w:t>
            </w:r>
            <w:r>
              <w:t xml:space="preserve"> plastic</w:t>
            </w:r>
            <w:r w:rsidRPr="009D2461">
              <w:t xml:space="preserve"> </w:t>
            </w:r>
            <w:proofErr w:type="gramStart"/>
            <w:r w:rsidRPr="009D2461">
              <w:t>litter</w:t>
            </w:r>
            <w:proofErr w:type="gramEnd"/>
            <w:r w:rsidRPr="009D2461">
              <w:t xml:space="preserve"> </w:t>
            </w:r>
          </w:p>
          <w:p w14:paraId="130B09AE" w14:textId="77777777" w:rsidR="00B949E1" w:rsidRPr="009D2461" w:rsidRDefault="00B949E1" w:rsidP="00B949E1">
            <w:pPr>
              <w:pStyle w:val="Tablelistbullet"/>
              <w:tabs>
                <w:tab w:val="clear" w:pos="360"/>
              </w:tabs>
              <w:ind w:left="280" w:hanging="280"/>
            </w:pPr>
            <w:r w:rsidRPr="009D2461">
              <w:t>Reduced contamination of recycling streams</w:t>
            </w:r>
          </w:p>
          <w:p w14:paraId="297F13DB" w14:textId="77777777" w:rsidR="00B949E1" w:rsidRPr="009D2461" w:rsidRDefault="00B949E1" w:rsidP="00B949E1">
            <w:pPr>
              <w:pStyle w:val="Tablelistbullet"/>
              <w:tabs>
                <w:tab w:val="clear" w:pos="360"/>
              </w:tabs>
              <w:ind w:left="280" w:hanging="280"/>
            </w:pPr>
            <w:r w:rsidRPr="009D2461">
              <w:t>Reduction in consumption of microplastics</w:t>
            </w:r>
          </w:p>
          <w:p w14:paraId="0B298284" w14:textId="77777777" w:rsidR="00B949E1" w:rsidRPr="009D2461" w:rsidRDefault="00B949E1" w:rsidP="00B949E1">
            <w:pPr>
              <w:pStyle w:val="Tablelistbullet"/>
              <w:tabs>
                <w:tab w:val="clear" w:pos="360"/>
              </w:tabs>
              <w:ind w:left="280" w:hanging="280"/>
            </w:pPr>
            <w:r w:rsidRPr="009D2461">
              <w:t xml:space="preserve">Reduced impact on biodiversity </w:t>
            </w:r>
          </w:p>
        </w:tc>
      </w:tr>
      <w:tr w:rsidR="00B949E1" w14:paraId="3F3C5C9B" w14:textId="77777777" w:rsidTr="00B9362B">
        <w:trPr>
          <w:gridBefore w:val="1"/>
          <w:wBefore w:w="454" w:type="dxa"/>
        </w:trPr>
        <w:tc>
          <w:tcPr>
            <w:tcW w:w="7936" w:type="dxa"/>
            <w:gridSpan w:val="3"/>
            <w:tcBorders>
              <w:bottom w:val="single" w:sz="4" w:space="0" w:color="646464"/>
            </w:tcBorders>
            <w:shd w:val="clear" w:color="auto" w:fill="auto"/>
          </w:tcPr>
          <w:p w14:paraId="30581C24" w14:textId="77777777" w:rsidR="00B949E1" w:rsidRDefault="00B949E1" w:rsidP="00B9362B">
            <w:pPr>
              <w:pStyle w:val="Source"/>
            </w:pPr>
            <w:r>
              <w:t>Source: ACIL Allen</w:t>
            </w:r>
          </w:p>
        </w:tc>
      </w:tr>
      <w:tr w:rsidR="00B949E1" w14:paraId="2CFFFD45" w14:textId="77777777" w:rsidTr="00B9362B">
        <w:trPr>
          <w:gridBefore w:val="1"/>
          <w:wBefore w:w="454" w:type="dxa"/>
          <w:trHeight w:hRule="exact" w:val="160"/>
        </w:trPr>
        <w:tc>
          <w:tcPr>
            <w:tcW w:w="7936" w:type="dxa"/>
            <w:gridSpan w:val="3"/>
            <w:tcBorders>
              <w:top w:val="single" w:sz="4" w:space="0" w:color="646464"/>
              <w:bottom w:val="nil"/>
            </w:tcBorders>
            <w:shd w:val="clear" w:color="auto" w:fill="auto"/>
          </w:tcPr>
          <w:p w14:paraId="09B983BF" w14:textId="77777777" w:rsidR="00B949E1" w:rsidRDefault="00B949E1" w:rsidP="00B9362B">
            <w:pPr>
              <w:pStyle w:val="spacer"/>
            </w:pPr>
          </w:p>
        </w:tc>
      </w:tr>
    </w:tbl>
    <w:p w14:paraId="73A41375" w14:textId="77777777" w:rsidR="00B949E1" w:rsidRPr="00E342C7" w:rsidRDefault="00B949E1" w:rsidP="00B949E1">
      <w:pPr>
        <w:pStyle w:val="Heading3"/>
      </w:pPr>
      <w:r>
        <w:t xml:space="preserve">Assumed response to the </w:t>
      </w:r>
      <w:proofErr w:type="gramStart"/>
      <w:r>
        <w:t>bans</w:t>
      </w:r>
      <w:proofErr w:type="gramEnd"/>
    </w:p>
    <w:p w14:paraId="788B7612" w14:textId="77777777" w:rsidR="00B949E1" w:rsidRDefault="00B949E1" w:rsidP="00B949E1">
      <w:pPr>
        <w:pStyle w:val="BodyText"/>
      </w:pPr>
      <w:r>
        <w:t xml:space="preserve">Different groups may respond to a ban in different ways, which will impact the cost and benefits that accrue to each group for each product. Three courses of action are considered in this model: </w:t>
      </w:r>
    </w:p>
    <w:p w14:paraId="193D9970" w14:textId="77777777" w:rsidR="00B949E1" w:rsidRDefault="00B949E1" w:rsidP="00B949E1">
      <w:pPr>
        <w:pStyle w:val="ListBullet"/>
        <w:numPr>
          <w:ilvl w:val="0"/>
          <w:numId w:val="9"/>
        </w:numPr>
        <w:ind w:left="360" w:hanging="360"/>
      </w:pPr>
      <w:r w:rsidRPr="008300C4">
        <w:rPr>
          <w:b/>
          <w:bCs/>
        </w:rPr>
        <w:t>Switch to alternative non-plastic single-use items</w:t>
      </w:r>
      <w:r>
        <w:t xml:space="preserve"> (</w:t>
      </w:r>
      <w:proofErr w:type="gramStart"/>
      <w:r>
        <w:t>e.g.</w:t>
      </w:r>
      <w:proofErr w:type="gramEnd"/>
      <w:r>
        <w:t xml:space="preserve"> </w:t>
      </w:r>
      <w:r w:rsidRPr="005D5993">
        <w:t>Forest</w:t>
      </w:r>
      <w:r>
        <w:t xml:space="preserve"> </w:t>
      </w:r>
      <w:r w:rsidRPr="005D5993">
        <w:t>Stewardship</w:t>
      </w:r>
      <w:r>
        <w:t xml:space="preserve"> </w:t>
      </w:r>
      <w:r w:rsidRPr="005D5993">
        <w:t>Council</w:t>
      </w:r>
      <w:r>
        <w:t xml:space="preserve"> (FSC) certified paper, wood, bamboo, etc.) — this would involve a one-for-one switch to the alternative single-use item.</w:t>
      </w:r>
    </w:p>
    <w:p w14:paraId="6B340BC4" w14:textId="77777777" w:rsidR="00B949E1" w:rsidRDefault="00B949E1" w:rsidP="00B949E1">
      <w:pPr>
        <w:pStyle w:val="ListBullet"/>
        <w:numPr>
          <w:ilvl w:val="0"/>
          <w:numId w:val="9"/>
        </w:numPr>
        <w:ind w:left="360" w:hanging="360"/>
      </w:pPr>
      <w:r w:rsidRPr="008300C4">
        <w:rPr>
          <w:b/>
          <w:bCs/>
        </w:rPr>
        <w:lastRenderedPageBreak/>
        <w:t>Switch to reusable items</w:t>
      </w:r>
      <w:r>
        <w:t xml:space="preserve"> (</w:t>
      </w:r>
      <w:proofErr w:type="gramStart"/>
      <w:r>
        <w:t>e.g.</w:t>
      </w:r>
      <w:proofErr w:type="gramEnd"/>
      <w:r>
        <w:t xml:space="preserve"> metal take-away containers, etc.) — this would involve a capital investment into reusable items. Each reusable item is expected to replace a significant number of SUP items (based on the lifespan of reusable items). </w:t>
      </w:r>
    </w:p>
    <w:p w14:paraId="46B4533E" w14:textId="77777777" w:rsidR="00B949E1" w:rsidRDefault="00B949E1" w:rsidP="00B949E1">
      <w:pPr>
        <w:pStyle w:val="ListBullet"/>
        <w:numPr>
          <w:ilvl w:val="0"/>
          <w:numId w:val="9"/>
        </w:numPr>
        <w:ind w:left="360" w:hanging="360"/>
      </w:pPr>
      <w:r w:rsidRPr="008300C4">
        <w:rPr>
          <w:b/>
          <w:bCs/>
        </w:rPr>
        <w:t>Removal from the market</w:t>
      </w:r>
      <w:r>
        <w:t xml:space="preserve"> — businesses may choose not to offer or may reduce the volume of single-use items supplied to customers (</w:t>
      </w:r>
      <w:proofErr w:type="gramStart"/>
      <w:r>
        <w:t>e.g.</w:t>
      </w:r>
      <w:proofErr w:type="gramEnd"/>
      <w:r>
        <w:t xml:space="preserve"> by not offering take-away containers). Equally, consumers may choose not to use these items.</w:t>
      </w:r>
    </w:p>
    <w:p w14:paraId="0EEA40E0" w14:textId="77777777" w:rsidR="00B949E1" w:rsidRDefault="00B949E1" w:rsidP="00B949E1">
      <w:pPr>
        <w:pStyle w:val="BodyText"/>
      </w:pPr>
      <w:r>
        <w:t>The Victorian RIS</w:t>
      </w:r>
      <w:r>
        <w:rPr>
          <w:rStyle w:val="FootnoteReference"/>
        </w:rPr>
        <w:footnoteReference w:id="78"/>
      </w:r>
      <w:r>
        <w:t xml:space="preserve"> estimated the behaviour changes in response to the proposed bans based on findings from stakeholder consultations and several assumptions. A review of other jurisdictions’ analyses reveals no other estimates for this data. In lieu of any additional consultation conducted for this pr</w:t>
      </w:r>
      <w:r w:rsidRPr="00F35F3C">
        <w:t>oject,</w:t>
      </w:r>
      <w:r>
        <w:t xml:space="preserve"> </w:t>
      </w:r>
      <w:r w:rsidRPr="00F35F3C">
        <w:t>we</w:t>
      </w:r>
      <w:r>
        <w:t xml:space="preserve"> </w:t>
      </w:r>
      <w:r w:rsidRPr="00F35F3C">
        <w:t>have</w:t>
      </w:r>
      <w:r>
        <w:t xml:space="preserve"> </w:t>
      </w:r>
      <w:r w:rsidRPr="00F35F3C">
        <w:t>developed</w:t>
      </w:r>
      <w:r>
        <w:t xml:space="preserve"> </w:t>
      </w:r>
      <w:r w:rsidRPr="00F35F3C">
        <w:t>assumptions</w:t>
      </w:r>
      <w:r>
        <w:t xml:space="preserve"> </w:t>
      </w:r>
      <w:r w:rsidRPr="00F35F3C">
        <w:t>for</w:t>
      </w:r>
      <w:r>
        <w:t xml:space="preserve"> </w:t>
      </w:r>
      <w:r w:rsidRPr="00F35F3C">
        <w:t>each</w:t>
      </w:r>
      <w:r>
        <w:t xml:space="preserve"> </w:t>
      </w:r>
      <w:r w:rsidRPr="00F35F3C">
        <w:t>product</w:t>
      </w:r>
      <w:r>
        <w:t xml:space="preserve"> </w:t>
      </w:r>
      <w:r w:rsidRPr="00F35F3C">
        <w:t>based</w:t>
      </w:r>
      <w:r>
        <w:t xml:space="preserve"> </w:t>
      </w:r>
      <w:r w:rsidRPr="00F35F3C">
        <w:t>on</w:t>
      </w:r>
      <w:r>
        <w:t xml:space="preserve"> </w:t>
      </w:r>
      <w:r w:rsidRPr="00F35F3C">
        <w:t>the</w:t>
      </w:r>
      <w:r>
        <w:t xml:space="preserve"> </w:t>
      </w:r>
      <w:r w:rsidRPr="00F35F3C">
        <w:t>Victorian</w:t>
      </w:r>
      <w:r>
        <w:t xml:space="preserve"> </w:t>
      </w:r>
      <w:r w:rsidRPr="00F35F3C">
        <w:t>estimates</w:t>
      </w:r>
      <w:r>
        <w:t xml:space="preserve"> </w:t>
      </w:r>
      <w:r w:rsidRPr="00F35F3C">
        <w:t>and</w:t>
      </w:r>
      <w:r>
        <w:t xml:space="preserve"> </w:t>
      </w:r>
      <w:r w:rsidRPr="00F35F3C">
        <w:t>discussions</w:t>
      </w:r>
      <w:r>
        <w:t xml:space="preserve"> </w:t>
      </w:r>
      <w:r w:rsidRPr="00F35F3C">
        <w:t>with</w:t>
      </w:r>
      <w:r>
        <w:t xml:space="preserve"> ACT NoWaste</w:t>
      </w:r>
      <w:r w:rsidRPr="00F35F3C">
        <w:t>.</w:t>
      </w:r>
      <w:r>
        <w:t xml:space="preserve"> </w:t>
      </w:r>
      <w:r w:rsidRPr="00F35F3C">
        <w:t>These</w:t>
      </w:r>
      <w:r>
        <w:t xml:space="preserve"> </w:t>
      </w:r>
      <w:r w:rsidRPr="00F35F3C">
        <w:t>estimates</w:t>
      </w:r>
      <w:r>
        <w:t xml:space="preserve"> </w:t>
      </w:r>
      <w:r w:rsidRPr="00F35F3C">
        <w:t>are</w:t>
      </w:r>
      <w:r>
        <w:t xml:space="preserve"> </w:t>
      </w:r>
      <w:r w:rsidRPr="00F35F3C">
        <w:t>presented</w:t>
      </w:r>
      <w:r>
        <w:t xml:space="preserve"> </w:t>
      </w:r>
      <w:r w:rsidRPr="00F35F3C">
        <w:t>i</w:t>
      </w:r>
      <w:r>
        <w:t xml:space="preserve">n </w:t>
      </w:r>
      <w:r w:rsidRPr="000A587E">
        <w:rPr>
          <w:b/>
          <w:bCs/>
        </w:rPr>
        <w:fldChar w:fldCharType="begin"/>
      </w:r>
      <w:r w:rsidRPr="000A587E">
        <w:rPr>
          <w:b/>
          <w:bCs/>
        </w:rPr>
        <w:instrText xml:space="preserve"> REF _Ref130824742 \h </w:instrText>
      </w:r>
      <w:r>
        <w:rPr>
          <w:b/>
          <w:bCs/>
        </w:rPr>
        <w:instrText xml:space="preserve"> \* MERGEFORMAT </w:instrText>
      </w:r>
      <w:r w:rsidRPr="000A587E">
        <w:rPr>
          <w:b/>
          <w:bCs/>
        </w:rPr>
      </w:r>
      <w:r w:rsidRPr="000A587E">
        <w:rPr>
          <w:b/>
          <w:bCs/>
        </w:rPr>
        <w:fldChar w:fldCharType="separate"/>
      </w:r>
      <w:r w:rsidRPr="00790266">
        <w:rPr>
          <w:rStyle w:val="CaptionLabel"/>
          <w:b w:val="0"/>
          <w:bCs/>
        </w:rPr>
        <w:t>Table 6.4</w:t>
      </w:r>
      <w:r w:rsidRPr="000A587E">
        <w:rPr>
          <w:b/>
          <w:bCs/>
        </w:rPr>
        <w:fldChar w:fldCharType="end"/>
      </w:r>
      <w:r w:rsidRPr="00F35F3C">
        <w:t>.</w:t>
      </w:r>
    </w:p>
    <w:p w14:paraId="4BC79290" w14:textId="77777777" w:rsidR="00B949E1" w:rsidRDefault="00B949E1" w:rsidP="00B949E1">
      <w:pPr>
        <w:pStyle w:val="BodyText"/>
      </w:pPr>
      <w:r>
        <w:t xml:space="preserve">The alternatives that consumers and businesses will switch to are unclear; however, </w:t>
      </w:r>
      <w:r w:rsidRPr="00790266">
        <w:t>Table B.1</w:t>
      </w:r>
      <w:r w:rsidRPr="00AE487D">
        <w:rPr>
          <w:b/>
          <w:bCs/>
        </w:rPr>
        <w:t xml:space="preserve"> </w:t>
      </w:r>
      <w:r w:rsidRPr="00AE487D">
        <w:t>and</w:t>
      </w:r>
      <w:r>
        <w:t xml:space="preserve"> Table B.2 in Appendix B </w:t>
      </w:r>
      <w:r w:rsidRPr="00F35F3C">
        <w:t>outline</w:t>
      </w:r>
      <w:r>
        <w:t xml:space="preserve"> </w:t>
      </w:r>
      <w:r w:rsidRPr="00F35F3C">
        <w:t>the</w:t>
      </w:r>
      <w:r>
        <w:t xml:space="preserve"> </w:t>
      </w:r>
      <w:r w:rsidRPr="00F35F3C">
        <w:t>assumptions</w:t>
      </w:r>
      <w:r>
        <w:t xml:space="preserve"> </w:t>
      </w:r>
      <w:r w:rsidRPr="00F35F3C">
        <w:t>used</w:t>
      </w:r>
      <w:r>
        <w:t xml:space="preserve"> for this model. These assumptions have been primarily driven by price and availability, such that cheaper alternatives are more likely to be used as substitutes, subject to the widespread availability of that alternative. Table B.4 also outlines the assumptions used to calculate the number of times that a reusable item will be used (these assumptions are used to calculate the </w:t>
      </w:r>
      <w:r w:rsidRPr="006623D4">
        <w:t>cost</w:t>
      </w:r>
      <w:r>
        <w:t xml:space="preserve"> </w:t>
      </w:r>
      <w:r w:rsidRPr="006623D4">
        <w:t>per</w:t>
      </w:r>
      <w:r>
        <w:t xml:space="preserve"> </w:t>
      </w:r>
      <w:r w:rsidRPr="006623D4">
        <w:t>use</w:t>
      </w:r>
      <w:r>
        <w:t xml:space="preserve"> </w:t>
      </w:r>
      <w:r w:rsidRPr="006623D4">
        <w:t>of</w:t>
      </w:r>
      <w:r>
        <w:t xml:space="preserve"> </w:t>
      </w:r>
      <w:r w:rsidRPr="006623D4">
        <w:t>a</w:t>
      </w:r>
      <w:r>
        <w:t xml:space="preserve"> </w:t>
      </w:r>
      <w:r w:rsidRPr="006623D4">
        <w:t>reusable</w:t>
      </w:r>
      <w:r>
        <w:t xml:space="preserve"> </w:t>
      </w:r>
      <w:r w:rsidRPr="006623D4">
        <w:t>item</w:t>
      </w:r>
      <w:r>
        <w:t xml:space="preserve"> </w:t>
      </w:r>
      <w:r w:rsidRPr="006623D4">
        <w:t>to</w:t>
      </w:r>
      <w:r>
        <w:t xml:space="preserve"> </w:t>
      </w:r>
      <w:r w:rsidRPr="006623D4">
        <w:t>determine</w:t>
      </w:r>
      <w:r>
        <w:t xml:space="preserve"> </w:t>
      </w:r>
      <w:r w:rsidRPr="006623D4">
        <w:t>the</w:t>
      </w:r>
      <w:r>
        <w:t xml:space="preserve"> </w:t>
      </w:r>
      <w:r w:rsidRPr="006623D4">
        <w:t>differential</w:t>
      </w:r>
      <w:r>
        <w:t xml:space="preserve"> costs </w:t>
      </w:r>
      <w:r w:rsidRPr="006623D4">
        <w:t>of</w:t>
      </w:r>
      <w:r>
        <w:t xml:space="preserve"> </w:t>
      </w:r>
      <w:r w:rsidRPr="006623D4">
        <w:t>replacing</w:t>
      </w:r>
      <w:r>
        <w:t xml:space="preserve"> </w:t>
      </w:r>
      <w:r w:rsidRPr="006623D4">
        <w:t>a</w:t>
      </w:r>
      <w:r>
        <w:t xml:space="preserve"> </w:t>
      </w:r>
      <w:r w:rsidRPr="006623D4">
        <w:t>reusable</w:t>
      </w:r>
      <w:r>
        <w:t xml:space="preserve"> </w:t>
      </w:r>
      <w:r w:rsidRPr="006623D4">
        <w:t>item</w:t>
      </w:r>
      <w:r>
        <w:t xml:space="preserve"> </w:t>
      </w:r>
      <w:r w:rsidRPr="006623D4">
        <w:t>for</w:t>
      </w:r>
      <w:r>
        <w:t xml:space="preserve"> </w:t>
      </w:r>
      <w:r w:rsidRPr="006623D4">
        <w:t>a</w:t>
      </w:r>
      <w:r>
        <w:t xml:space="preserve"> SUP).</w:t>
      </w:r>
    </w:p>
    <w:p w14:paraId="424E7933" w14:textId="77777777" w:rsidR="00B949E1" w:rsidRDefault="00B949E1" w:rsidP="00B949E1">
      <w:pPr>
        <w:pStyle w:val="BodyText"/>
      </w:pPr>
    </w:p>
    <w:p w14:paraId="578C8007" w14:textId="77777777" w:rsidR="00B949E1" w:rsidRDefault="00B949E1" w:rsidP="00B949E1">
      <w:pPr>
        <w:pStyle w:val="BodyText"/>
        <w:sectPr w:rsidR="00B949E1" w:rsidSect="00003C6B">
          <w:headerReference w:type="even" r:id="rId76"/>
          <w:headerReference w:type="default" r:id="rId77"/>
          <w:footerReference w:type="even" r:id="rId78"/>
          <w:footerReference w:type="default" r:id="rId79"/>
          <w:headerReference w:type="first" r:id="rId80"/>
          <w:footerReference w:type="first" r:id="rId81"/>
          <w:pgSz w:w="11906" w:h="16838" w:code="9"/>
          <w:pgMar w:top="1134" w:right="851" w:bottom="1134" w:left="3119" w:header="454" w:footer="454" w:gutter="0"/>
          <w:cols w:space="708"/>
          <w:docGrid w:linePitch="360"/>
        </w:sectPr>
      </w:pPr>
    </w:p>
    <w:p w14:paraId="441878F7" w14:textId="77777777" w:rsidR="00B949E1" w:rsidRPr="006722EA" w:rsidRDefault="00B949E1" w:rsidP="00B949E1">
      <w:pPr>
        <w:pStyle w:val="Caption"/>
        <w:ind w:left="-790"/>
        <w:rPr>
          <w:highlight w:val="yellow"/>
        </w:rPr>
      </w:pPr>
      <w:bookmarkStart w:id="94" w:name="_Ref130824742"/>
      <w:bookmarkStart w:id="95" w:name="_Toc134002444"/>
      <w:r w:rsidRPr="00D11120">
        <w:rPr>
          <w:rStyle w:val="CaptionLabel"/>
        </w:rPr>
        <w:lastRenderedPageBreak/>
        <w:t>Table </w:t>
      </w:r>
      <w:r w:rsidRPr="00D11120">
        <w:rPr>
          <w:rStyle w:val="CaptionLabel"/>
        </w:rPr>
        <w:fldChar w:fldCharType="begin"/>
      </w:r>
      <w:r w:rsidRPr="00D11120">
        <w:rPr>
          <w:rStyle w:val="CaptionLabel"/>
        </w:rPr>
        <w:instrText xml:space="preserve"> STYLEREF 1 \S \* MERGEFORMAT </w:instrText>
      </w:r>
      <w:r w:rsidRPr="00D11120">
        <w:rPr>
          <w:rStyle w:val="CaptionLabel"/>
        </w:rPr>
        <w:fldChar w:fldCharType="separate"/>
      </w:r>
      <w:r>
        <w:rPr>
          <w:rStyle w:val="CaptionLabel"/>
          <w:noProof/>
        </w:rPr>
        <w:t>6</w:t>
      </w:r>
      <w:r w:rsidRPr="00D11120">
        <w:rPr>
          <w:rStyle w:val="CaptionLabel"/>
        </w:rPr>
        <w:fldChar w:fldCharType="end"/>
      </w:r>
      <w:r w:rsidRPr="00D11120">
        <w:rPr>
          <w:rStyle w:val="CaptionLabel"/>
        </w:rPr>
        <w:t>.</w:t>
      </w:r>
      <w:r w:rsidRPr="00D11120">
        <w:rPr>
          <w:rStyle w:val="CaptionLabel"/>
        </w:rPr>
        <w:fldChar w:fldCharType="begin"/>
      </w:r>
      <w:r w:rsidRPr="00D11120">
        <w:rPr>
          <w:rStyle w:val="CaptionLabel"/>
        </w:rPr>
        <w:instrText xml:space="preserve"> SEQ Table \* ARABIC \S 1 \* MERGEFORMAT </w:instrText>
      </w:r>
      <w:r w:rsidRPr="00D11120">
        <w:rPr>
          <w:rStyle w:val="CaptionLabel"/>
        </w:rPr>
        <w:fldChar w:fldCharType="separate"/>
      </w:r>
      <w:r>
        <w:rPr>
          <w:rStyle w:val="CaptionLabel"/>
          <w:noProof/>
        </w:rPr>
        <w:t>4</w:t>
      </w:r>
      <w:r w:rsidRPr="00D11120">
        <w:rPr>
          <w:rStyle w:val="CaptionLabel"/>
        </w:rPr>
        <w:fldChar w:fldCharType="end"/>
      </w:r>
      <w:bookmarkEnd w:id="94"/>
      <w:r>
        <w:tab/>
      </w:r>
      <w:r w:rsidRPr="00FF253A">
        <w:t xml:space="preserve">Assumed response to the proposed </w:t>
      </w:r>
      <w:r>
        <w:t>SUP</w:t>
      </w:r>
      <w:r w:rsidRPr="00FF253A">
        <w:t xml:space="preserve"> </w:t>
      </w:r>
      <w:proofErr w:type="gramStart"/>
      <w:r>
        <w:t>phase-out</w:t>
      </w:r>
      <w:bookmarkEnd w:id="95"/>
      <w:proofErr w:type="gramEnd"/>
    </w:p>
    <w:tbl>
      <w:tblPr>
        <w:tblW w:w="15606" w:type="dxa"/>
        <w:tblInd w:w="-2423"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454"/>
        <w:gridCol w:w="3245"/>
        <w:gridCol w:w="992"/>
        <w:gridCol w:w="992"/>
        <w:gridCol w:w="992"/>
        <w:gridCol w:w="993"/>
        <w:gridCol w:w="992"/>
        <w:gridCol w:w="992"/>
        <w:gridCol w:w="992"/>
        <w:gridCol w:w="993"/>
        <w:gridCol w:w="992"/>
        <w:gridCol w:w="992"/>
        <w:gridCol w:w="992"/>
        <w:gridCol w:w="993"/>
      </w:tblGrid>
      <w:tr w:rsidR="00B949E1" w:rsidRPr="006722EA" w14:paraId="5D18D04A" w14:textId="77777777" w:rsidTr="00B9362B">
        <w:trPr>
          <w:tblHeader/>
        </w:trPr>
        <w:tc>
          <w:tcPr>
            <w:tcW w:w="3699" w:type="dxa"/>
            <w:gridSpan w:val="2"/>
            <w:tcBorders>
              <w:top w:val="nil"/>
              <w:bottom w:val="nil"/>
            </w:tcBorders>
            <w:shd w:val="clear" w:color="000000" w:fill="140034"/>
            <w:noWrap/>
            <w:tcMar>
              <w:left w:w="454" w:type="dxa"/>
            </w:tcMar>
          </w:tcPr>
          <w:p w14:paraId="79E56F33" w14:textId="77777777" w:rsidR="00B949E1" w:rsidRPr="005051C6" w:rsidRDefault="00B949E1" w:rsidP="00B9362B">
            <w:pPr>
              <w:pStyle w:val="Tablecolumnheadings"/>
              <w:rPr>
                <w:lang w:eastAsia="en-AU"/>
              </w:rPr>
            </w:pPr>
          </w:p>
        </w:tc>
        <w:tc>
          <w:tcPr>
            <w:tcW w:w="3969" w:type="dxa"/>
            <w:gridSpan w:val="4"/>
            <w:tcBorders>
              <w:top w:val="nil"/>
              <w:bottom w:val="nil"/>
            </w:tcBorders>
            <w:shd w:val="clear" w:color="000000" w:fill="140034"/>
            <w:noWrap/>
          </w:tcPr>
          <w:p w14:paraId="71E7DEB3" w14:textId="77777777" w:rsidR="00B949E1" w:rsidRPr="005051C6" w:rsidRDefault="00B949E1" w:rsidP="00B9362B">
            <w:pPr>
              <w:pStyle w:val="Tablecolumnheadings"/>
              <w:jc w:val="center"/>
              <w:rPr>
                <w:color w:val="FFFFFF"/>
                <w:lang w:eastAsia="en-AU"/>
              </w:rPr>
            </w:pPr>
            <w:r w:rsidRPr="005051C6">
              <w:t>Retail</w:t>
            </w:r>
          </w:p>
        </w:tc>
        <w:tc>
          <w:tcPr>
            <w:tcW w:w="3969" w:type="dxa"/>
            <w:gridSpan w:val="4"/>
            <w:tcBorders>
              <w:top w:val="nil"/>
              <w:bottom w:val="nil"/>
            </w:tcBorders>
            <w:shd w:val="clear" w:color="000000" w:fill="140034"/>
            <w:noWrap/>
          </w:tcPr>
          <w:p w14:paraId="67577DE0" w14:textId="77777777" w:rsidR="00B949E1" w:rsidRPr="005051C6" w:rsidRDefault="00B949E1" w:rsidP="00B9362B">
            <w:pPr>
              <w:pStyle w:val="Tablecolumnheadings"/>
              <w:jc w:val="center"/>
              <w:rPr>
                <w:color w:val="FFFFFF"/>
                <w:lang w:eastAsia="en-AU"/>
              </w:rPr>
            </w:pPr>
            <w:r w:rsidRPr="005051C6">
              <w:t xml:space="preserve">Hospitality &amp; other sectors (wholesale) </w:t>
            </w:r>
            <w:r w:rsidRPr="005051C6">
              <w:rPr>
                <w:vertAlign w:val="superscript"/>
              </w:rPr>
              <w:t>a</w:t>
            </w:r>
          </w:p>
        </w:tc>
        <w:tc>
          <w:tcPr>
            <w:tcW w:w="3969" w:type="dxa"/>
            <w:gridSpan w:val="4"/>
            <w:tcBorders>
              <w:top w:val="nil"/>
              <w:bottom w:val="nil"/>
              <w:right w:val="single" w:sz="6" w:space="0" w:color="140034"/>
            </w:tcBorders>
            <w:shd w:val="clear" w:color="000000" w:fill="140034"/>
            <w:noWrap/>
          </w:tcPr>
          <w:p w14:paraId="2284D62A" w14:textId="77777777" w:rsidR="00B949E1" w:rsidRPr="005051C6" w:rsidRDefault="00B949E1" w:rsidP="00B9362B">
            <w:pPr>
              <w:pStyle w:val="Tablecolumnheadings"/>
              <w:jc w:val="center"/>
              <w:rPr>
                <w:color w:val="FFFFFF"/>
                <w:lang w:eastAsia="en-AU"/>
              </w:rPr>
            </w:pPr>
            <w:r w:rsidRPr="005051C6">
              <w:t>Medical &amp; other exempted sectors</w:t>
            </w:r>
          </w:p>
        </w:tc>
      </w:tr>
      <w:tr w:rsidR="00B949E1" w:rsidRPr="006722EA" w14:paraId="4178F6E2" w14:textId="77777777" w:rsidTr="00B9362B">
        <w:trPr>
          <w:tblHeader/>
        </w:trPr>
        <w:tc>
          <w:tcPr>
            <w:tcW w:w="3699" w:type="dxa"/>
            <w:gridSpan w:val="2"/>
            <w:tcBorders>
              <w:top w:val="nil"/>
              <w:bottom w:val="nil"/>
            </w:tcBorders>
            <w:shd w:val="clear" w:color="000000" w:fill="140034"/>
            <w:noWrap/>
            <w:tcMar>
              <w:left w:w="454" w:type="dxa"/>
            </w:tcMar>
          </w:tcPr>
          <w:p w14:paraId="1BFB8838" w14:textId="77777777" w:rsidR="00B949E1" w:rsidRPr="005051C6" w:rsidRDefault="00B949E1" w:rsidP="00B9362B">
            <w:pPr>
              <w:pStyle w:val="Tablecolumnheadings"/>
              <w:rPr>
                <w:lang w:eastAsia="en-AU"/>
              </w:rPr>
            </w:pPr>
            <w:r w:rsidRPr="005051C6">
              <w:rPr>
                <w:lang w:eastAsia="en-AU"/>
              </w:rPr>
              <w:t>Product</w:t>
            </w:r>
          </w:p>
        </w:tc>
        <w:tc>
          <w:tcPr>
            <w:tcW w:w="992" w:type="dxa"/>
            <w:tcBorders>
              <w:top w:val="nil"/>
              <w:bottom w:val="nil"/>
            </w:tcBorders>
            <w:shd w:val="clear" w:color="000000" w:fill="140034"/>
            <w:noWrap/>
          </w:tcPr>
          <w:p w14:paraId="1BA57DF3" w14:textId="77777777" w:rsidR="00B949E1" w:rsidRPr="005051C6" w:rsidRDefault="00B949E1" w:rsidP="00B9362B">
            <w:pPr>
              <w:pStyle w:val="Tablecolumnheadings"/>
              <w:jc w:val="center"/>
              <w:rPr>
                <w:color w:val="FFFFFF"/>
                <w:lang w:eastAsia="en-AU"/>
              </w:rPr>
            </w:pPr>
            <w:r w:rsidRPr="005051C6">
              <w:t>Single-use plastic item</w:t>
            </w:r>
          </w:p>
        </w:tc>
        <w:tc>
          <w:tcPr>
            <w:tcW w:w="992" w:type="dxa"/>
            <w:tcBorders>
              <w:top w:val="nil"/>
              <w:bottom w:val="nil"/>
            </w:tcBorders>
            <w:shd w:val="clear" w:color="000000" w:fill="140034"/>
            <w:noWrap/>
          </w:tcPr>
          <w:p w14:paraId="36DD9032" w14:textId="77777777" w:rsidR="00B949E1" w:rsidRPr="005051C6" w:rsidRDefault="00B949E1" w:rsidP="00B9362B">
            <w:pPr>
              <w:pStyle w:val="Tablecolumnheadings"/>
              <w:jc w:val="center"/>
              <w:rPr>
                <w:color w:val="FFFFFF"/>
                <w:lang w:eastAsia="en-AU"/>
              </w:rPr>
            </w:pPr>
            <w:r w:rsidRPr="005051C6">
              <w:t>Single-use alternative</w:t>
            </w:r>
          </w:p>
        </w:tc>
        <w:tc>
          <w:tcPr>
            <w:tcW w:w="992" w:type="dxa"/>
            <w:tcBorders>
              <w:top w:val="nil"/>
              <w:bottom w:val="nil"/>
            </w:tcBorders>
            <w:shd w:val="clear" w:color="000000" w:fill="140034"/>
            <w:noWrap/>
          </w:tcPr>
          <w:p w14:paraId="6CF19B7D" w14:textId="77777777" w:rsidR="00B949E1" w:rsidRPr="005051C6" w:rsidRDefault="00B949E1" w:rsidP="00B9362B">
            <w:pPr>
              <w:pStyle w:val="Tablecolumnheadings"/>
              <w:jc w:val="center"/>
              <w:rPr>
                <w:color w:val="FFFFFF"/>
                <w:lang w:eastAsia="en-AU"/>
              </w:rPr>
            </w:pPr>
            <w:r w:rsidRPr="005051C6">
              <w:t>Reusable</w:t>
            </w:r>
          </w:p>
        </w:tc>
        <w:tc>
          <w:tcPr>
            <w:tcW w:w="993" w:type="dxa"/>
            <w:tcBorders>
              <w:top w:val="nil"/>
              <w:bottom w:val="nil"/>
            </w:tcBorders>
            <w:shd w:val="clear" w:color="000000" w:fill="140034"/>
            <w:noWrap/>
          </w:tcPr>
          <w:p w14:paraId="0BE6F5A3" w14:textId="77777777" w:rsidR="00B949E1" w:rsidRPr="005051C6" w:rsidRDefault="00B949E1" w:rsidP="00B9362B">
            <w:pPr>
              <w:pStyle w:val="Tablecolumnheadings"/>
              <w:jc w:val="center"/>
              <w:rPr>
                <w:color w:val="FFFFFF"/>
                <w:lang w:eastAsia="en-AU"/>
              </w:rPr>
            </w:pPr>
            <w:r w:rsidRPr="005051C6">
              <w:t>Removed from the market</w:t>
            </w:r>
          </w:p>
        </w:tc>
        <w:tc>
          <w:tcPr>
            <w:tcW w:w="992" w:type="dxa"/>
            <w:tcBorders>
              <w:top w:val="nil"/>
              <w:bottom w:val="nil"/>
            </w:tcBorders>
            <w:shd w:val="clear" w:color="000000" w:fill="140034"/>
            <w:noWrap/>
          </w:tcPr>
          <w:p w14:paraId="366A1EFE" w14:textId="77777777" w:rsidR="00B949E1" w:rsidRPr="005051C6" w:rsidRDefault="00B949E1" w:rsidP="00B9362B">
            <w:pPr>
              <w:pStyle w:val="Tablecolumnheadings"/>
              <w:jc w:val="center"/>
              <w:rPr>
                <w:color w:val="FFFFFF"/>
                <w:lang w:eastAsia="en-AU"/>
              </w:rPr>
            </w:pPr>
            <w:r w:rsidRPr="005051C6">
              <w:t>Single-use plastic item</w:t>
            </w:r>
          </w:p>
        </w:tc>
        <w:tc>
          <w:tcPr>
            <w:tcW w:w="992" w:type="dxa"/>
            <w:tcBorders>
              <w:top w:val="nil"/>
              <w:bottom w:val="nil"/>
            </w:tcBorders>
            <w:shd w:val="clear" w:color="000000" w:fill="140034"/>
            <w:noWrap/>
          </w:tcPr>
          <w:p w14:paraId="2033D9A1" w14:textId="77777777" w:rsidR="00B949E1" w:rsidRPr="005051C6" w:rsidRDefault="00B949E1" w:rsidP="00B9362B">
            <w:pPr>
              <w:pStyle w:val="Tablecolumnheadings"/>
              <w:jc w:val="center"/>
              <w:rPr>
                <w:color w:val="FFFFFF"/>
                <w:lang w:eastAsia="en-AU"/>
              </w:rPr>
            </w:pPr>
            <w:r w:rsidRPr="005051C6">
              <w:t>Single-use alternative</w:t>
            </w:r>
          </w:p>
        </w:tc>
        <w:tc>
          <w:tcPr>
            <w:tcW w:w="992" w:type="dxa"/>
            <w:tcBorders>
              <w:top w:val="nil"/>
              <w:bottom w:val="nil"/>
            </w:tcBorders>
            <w:shd w:val="clear" w:color="000000" w:fill="140034"/>
            <w:noWrap/>
          </w:tcPr>
          <w:p w14:paraId="0030C9C9" w14:textId="77777777" w:rsidR="00B949E1" w:rsidRPr="005051C6" w:rsidRDefault="00B949E1" w:rsidP="00B9362B">
            <w:pPr>
              <w:pStyle w:val="Tablecolumnheadings"/>
              <w:jc w:val="center"/>
              <w:rPr>
                <w:color w:val="FFFFFF"/>
                <w:lang w:eastAsia="en-AU"/>
              </w:rPr>
            </w:pPr>
            <w:r w:rsidRPr="005051C6">
              <w:t>Reusable</w:t>
            </w:r>
          </w:p>
        </w:tc>
        <w:tc>
          <w:tcPr>
            <w:tcW w:w="993" w:type="dxa"/>
            <w:tcBorders>
              <w:top w:val="nil"/>
              <w:bottom w:val="nil"/>
            </w:tcBorders>
            <w:shd w:val="clear" w:color="000000" w:fill="140034"/>
            <w:noWrap/>
          </w:tcPr>
          <w:p w14:paraId="6AB9E4C1" w14:textId="77777777" w:rsidR="00B949E1" w:rsidRPr="005051C6" w:rsidRDefault="00B949E1" w:rsidP="00B9362B">
            <w:pPr>
              <w:pStyle w:val="Tablecolumnheadings"/>
              <w:jc w:val="center"/>
              <w:rPr>
                <w:color w:val="FFFFFF"/>
                <w:lang w:eastAsia="en-AU"/>
              </w:rPr>
            </w:pPr>
            <w:r w:rsidRPr="005051C6">
              <w:t>Removed from the market</w:t>
            </w:r>
          </w:p>
        </w:tc>
        <w:tc>
          <w:tcPr>
            <w:tcW w:w="992" w:type="dxa"/>
            <w:tcBorders>
              <w:top w:val="nil"/>
              <w:bottom w:val="nil"/>
            </w:tcBorders>
            <w:shd w:val="clear" w:color="000000" w:fill="140034"/>
            <w:noWrap/>
          </w:tcPr>
          <w:p w14:paraId="7889BDEB" w14:textId="77777777" w:rsidR="00B949E1" w:rsidRPr="005051C6" w:rsidRDefault="00B949E1" w:rsidP="00B9362B">
            <w:pPr>
              <w:pStyle w:val="Tablecolumnheadings"/>
              <w:jc w:val="center"/>
              <w:rPr>
                <w:color w:val="FFFFFF"/>
                <w:lang w:eastAsia="en-AU"/>
              </w:rPr>
            </w:pPr>
            <w:r w:rsidRPr="005051C6">
              <w:t>Single-use plastic item</w:t>
            </w:r>
          </w:p>
        </w:tc>
        <w:tc>
          <w:tcPr>
            <w:tcW w:w="992" w:type="dxa"/>
            <w:tcBorders>
              <w:top w:val="nil"/>
              <w:bottom w:val="nil"/>
            </w:tcBorders>
            <w:shd w:val="clear" w:color="000000" w:fill="140034"/>
            <w:noWrap/>
          </w:tcPr>
          <w:p w14:paraId="5747C79F" w14:textId="77777777" w:rsidR="00B949E1" w:rsidRPr="005051C6" w:rsidRDefault="00B949E1" w:rsidP="00B9362B">
            <w:pPr>
              <w:pStyle w:val="Tablecolumnheadings"/>
              <w:jc w:val="center"/>
              <w:rPr>
                <w:color w:val="FFFFFF"/>
                <w:lang w:eastAsia="en-AU"/>
              </w:rPr>
            </w:pPr>
            <w:r w:rsidRPr="005051C6">
              <w:t>Single-use alternative</w:t>
            </w:r>
          </w:p>
        </w:tc>
        <w:tc>
          <w:tcPr>
            <w:tcW w:w="992" w:type="dxa"/>
            <w:tcBorders>
              <w:top w:val="nil"/>
              <w:bottom w:val="nil"/>
            </w:tcBorders>
            <w:shd w:val="clear" w:color="000000" w:fill="140034"/>
            <w:noWrap/>
          </w:tcPr>
          <w:p w14:paraId="77C20449" w14:textId="77777777" w:rsidR="00B949E1" w:rsidRPr="005051C6" w:rsidRDefault="00B949E1" w:rsidP="00B9362B">
            <w:pPr>
              <w:pStyle w:val="Tablecolumnheadings"/>
              <w:jc w:val="center"/>
              <w:rPr>
                <w:color w:val="FFFFFF"/>
                <w:lang w:eastAsia="en-AU"/>
              </w:rPr>
            </w:pPr>
            <w:r w:rsidRPr="005051C6">
              <w:t>Reusable</w:t>
            </w:r>
          </w:p>
        </w:tc>
        <w:tc>
          <w:tcPr>
            <w:tcW w:w="993" w:type="dxa"/>
            <w:tcBorders>
              <w:top w:val="nil"/>
              <w:bottom w:val="nil"/>
              <w:right w:val="single" w:sz="6" w:space="0" w:color="140034"/>
            </w:tcBorders>
            <w:shd w:val="clear" w:color="000000" w:fill="140034"/>
            <w:noWrap/>
          </w:tcPr>
          <w:p w14:paraId="692B6971" w14:textId="77777777" w:rsidR="00B949E1" w:rsidRPr="005051C6" w:rsidRDefault="00B949E1" w:rsidP="00B9362B">
            <w:pPr>
              <w:pStyle w:val="Tablecolumnheadings"/>
              <w:jc w:val="center"/>
              <w:rPr>
                <w:color w:val="FFFFFF"/>
                <w:lang w:eastAsia="en-AU"/>
              </w:rPr>
            </w:pPr>
            <w:r w:rsidRPr="005051C6">
              <w:t>Removed from the market</w:t>
            </w:r>
          </w:p>
        </w:tc>
      </w:tr>
      <w:tr w:rsidR="003E2764" w:rsidRPr="006722EA" w14:paraId="47C8E820" w14:textId="77777777" w:rsidTr="003E2764">
        <w:trPr>
          <w:gridBefore w:val="1"/>
          <w:wBefore w:w="454" w:type="dxa"/>
        </w:trPr>
        <w:tc>
          <w:tcPr>
            <w:tcW w:w="3245" w:type="dxa"/>
            <w:tcBorders>
              <w:top w:val="single" w:sz="4" w:space="0" w:color="646464"/>
              <w:bottom w:val="single" w:sz="4" w:space="0" w:color="646464"/>
            </w:tcBorders>
            <w:shd w:val="clear" w:color="auto" w:fill="C8C8C8"/>
            <w:noWrap/>
            <w:hideMark/>
          </w:tcPr>
          <w:p w14:paraId="58A405FB" w14:textId="77777777" w:rsidR="00B949E1" w:rsidRPr="006722EA" w:rsidRDefault="00B949E1" w:rsidP="00B9362B">
            <w:pPr>
              <w:pStyle w:val="Tabletext"/>
              <w:rPr>
                <w:b/>
                <w:bCs/>
                <w:color w:val="000000"/>
                <w:highlight w:val="yellow"/>
                <w:lang w:eastAsia="en-AU"/>
              </w:rPr>
            </w:pPr>
            <w:r w:rsidRPr="00074AE7">
              <w:rPr>
                <w:b/>
                <w:bCs/>
                <w:color w:val="000000"/>
                <w:lang w:eastAsia="en-AU"/>
              </w:rPr>
              <w:t>Option 2</w:t>
            </w:r>
          </w:p>
        </w:tc>
        <w:tc>
          <w:tcPr>
            <w:tcW w:w="992" w:type="dxa"/>
            <w:tcBorders>
              <w:top w:val="single" w:sz="4" w:space="0" w:color="646464"/>
              <w:bottom w:val="single" w:sz="4" w:space="0" w:color="646464"/>
            </w:tcBorders>
            <w:shd w:val="clear" w:color="auto" w:fill="C8C8C8"/>
            <w:noWrap/>
            <w:hideMark/>
          </w:tcPr>
          <w:p w14:paraId="27864BC5" w14:textId="77777777" w:rsidR="00B949E1" w:rsidRPr="006722EA" w:rsidRDefault="00B949E1" w:rsidP="00B9362B">
            <w:pPr>
              <w:pStyle w:val="Tabletext"/>
              <w:jc w:val="center"/>
              <w:rPr>
                <w:b/>
                <w:bCs/>
                <w:color w:val="000000"/>
                <w:highlight w:val="yellow"/>
                <w:lang w:eastAsia="en-AU"/>
              </w:rPr>
            </w:pPr>
          </w:p>
        </w:tc>
        <w:tc>
          <w:tcPr>
            <w:tcW w:w="992" w:type="dxa"/>
            <w:tcBorders>
              <w:top w:val="single" w:sz="4" w:space="0" w:color="646464"/>
              <w:bottom w:val="single" w:sz="4" w:space="0" w:color="646464"/>
            </w:tcBorders>
            <w:shd w:val="clear" w:color="auto" w:fill="C8C8C8"/>
            <w:noWrap/>
            <w:hideMark/>
          </w:tcPr>
          <w:p w14:paraId="66159962" w14:textId="77777777" w:rsidR="00B949E1" w:rsidRPr="006722EA" w:rsidRDefault="00B949E1" w:rsidP="00B9362B">
            <w:pPr>
              <w:pStyle w:val="Tabletext"/>
              <w:jc w:val="center"/>
              <w:rPr>
                <w:b/>
                <w:bCs/>
                <w:color w:val="000000"/>
                <w:highlight w:val="yellow"/>
                <w:lang w:eastAsia="en-AU"/>
              </w:rPr>
            </w:pPr>
          </w:p>
        </w:tc>
        <w:tc>
          <w:tcPr>
            <w:tcW w:w="992" w:type="dxa"/>
            <w:tcBorders>
              <w:top w:val="single" w:sz="4" w:space="0" w:color="646464"/>
              <w:bottom w:val="single" w:sz="4" w:space="0" w:color="646464"/>
            </w:tcBorders>
            <w:shd w:val="clear" w:color="auto" w:fill="C8C8C8"/>
            <w:noWrap/>
            <w:hideMark/>
          </w:tcPr>
          <w:p w14:paraId="65AA361E" w14:textId="77777777" w:rsidR="00B949E1" w:rsidRPr="006722EA" w:rsidRDefault="00B949E1" w:rsidP="00B9362B">
            <w:pPr>
              <w:pStyle w:val="Tabletext"/>
              <w:jc w:val="center"/>
              <w:rPr>
                <w:b/>
                <w:bCs/>
                <w:color w:val="000000"/>
                <w:highlight w:val="yellow"/>
                <w:lang w:eastAsia="en-AU"/>
              </w:rPr>
            </w:pPr>
          </w:p>
        </w:tc>
        <w:tc>
          <w:tcPr>
            <w:tcW w:w="993" w:type="dxa"/>
            <w:tcBorders>
              <w:top w:val="single" w:sz="4" w:space="0" w:color="646464"/>
              <w:bottom w:val="single" w:sz="4" w:space="0" w:color="646464"/>
            </w:tcBorders>
            <w:shd w:val="clear" w:color="auto" w:fill="C8C8C8"/>
            <w:noWrap/>
            <w:hideMark/>
          </w:tcPr>
          <w:p w14:paraId="4DEAFDDB" w14:textId="77777777" w:rsidR="00B949E1" w:rsidRPr="006722EA" w:rsidRDefault="00B949E1" w:rsidP="00B9362B">
            <w:pPr>
              <w:pStyle w:val="Tabletext"/>
              <w:jc w:val="center"/>
              <w:rPr>
                <w:b/>
                <w:bCs/>
                <w:color w:val="000000"/>
                <w:highlight w:val="yellow"/>
                <w:lang w:eastAsia="en-AU"/>
              </w:rPr>
            </w:pPr>
          </w:p>
        </w:tc>
        <w:tc>
          <w:tcPr>
            <w:tcW w:w="992" w:type="dxa"/>
            <w:tcBorders>
              <w:top w:val="single" w:sz="4" w:space="0" w:color="646464"/>
              <w:bottom w:val="single" w:sz="4" w:space="0" w:color="646464"/>
            </w:tcBorders>
            <w:shd w:val="clear" w:color="auto" w:fill="C8C8C8"/>
            <w:noWrap/>
            <w:hideMark/>
          </w:tcPr>
          <w:p w14:paraId="4B19960C"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2" w:type="dxa"/>
            <w:tcBorders>
              <w:top w:val="single" w:sz="4" w:space="0" w:color="646464"/>
              <w:bottom w:val="single" w:sz="4" w:space="0" w:color="646464"/>
            </w:tcBorders>
            <w:shd w:val="clear" w:color="auto" w:fill="C8C8C8"/>
            <w:noWrap/>
            <w:hideMark/>
          </w:tcPr>
          <w:p w14:paraId="2F9E1BE2"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2" w:type="dxa"/>
            <w:tcBorders>
              <w:top w:val="single" w:sz="4" w:space="0" w:color="646464"/>
              <w:bottom w:val="single" w:sz="4" w:space="0" w:color="646464"/>
            </w:tcBorders>
            <w:shd w:val="clear" w:color="auto" w:fill="C8C8C8"/>
            <w:noWrap/>
            <w:hideMark/>
          </w:tcPr>
          <w:p w14:paraId="5FA0788E"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3" w:type="dxa"/>
            <w:tcBorders>
              <w:top w:val="single" w:sz="4" w:space="0" w:color="646464"/>
              <w:bottom w:val="single" w:sz="4" w:space="0" w:color="646464"/>
            </w:tcBorders>
            <w:shd w:val="clear" w:color="auto" w:fill="C8C8C8"/>
            <w:noWrap/>
            <w:hideMark/>
          </w:tcPr>
          <w:p w14:paraId="2A3DB60E"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2" w:type="dxa"/>
            <w:tcBorders>
              <w:top w:val="single" w:sz="4" w:space="0" w:color="646464"/>
              <w:bottom w:val="single" w:sz="4" w:space="0" w:color="646464"/>
            </w:tcBorders>
            <w:shd w:val="clear" w:color="auto" w:fill="C8C8C8"/>
            <w:noWrap/>
            <w:hideMark/>
          </w:tcPr>
          <w:p w14:paraId="1C7E0217"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2" w:type="dxa"/>
            <w:tcBorders>
              <w:top w:val="single" w:sz="4" w:space="0" w:color="646464"/>
              <w:bottom w:val="single" w:sz="4" w:space="0" w:color="646464"/>
            </w:tcBorders>
            <w:shd w:val="clear" w:color="auto" w:fill="C8C8C8"/>
            <w:noWrap/>
            <w:hideMark/>
          </w:tcPr>
          <w:p w14:paraId="2922FF61"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2" w:type="dxa"/>
            <w:tcBorders>
              <w:top w:val="single" w:sz="4" w:space="0" w:color="646464"/>
              <w:bottom w:val="single" w:sz="4" w:space="0" w:color="646464"/>
            </w:tcBorders>
            <w:shd w:val="clear" w:color="auto" w:fill="C8C8C8"/>
            <w:noWrap/>
            <w:hideMark/>
          </w:tcPr>
          <w:p w14:paraId="3EABE99B" w14:textId="77777777" w:rsidR="00B949E1" w:rsidRPr="006722EA" w:rsidRDefault="00B949E1" w:rsidP="00B9362B">
            <w:pPr>
              <w:pStyle w:val="Tabletext"/>
              <w:jc w:val="center"/>
              <w:rPr>
                <w:rFonts w:ascii="Times New Roman" w:hAnsi="Times New Roman"/>
                <w:b/>
                <w:bCs/>
                <w:szCs w:val="20"/>
                <w:highlight w:val="yellow"/>
                <w:lang w:eastAsia="en-AU"/>
              </w:rPr>
            </w:pPr>
          </w:p>
        </w:tc>
        <w:tc>
          <w:tcPr>
            <w:tcW w:w="993" w:type="dxa"/>
            <w:tcBorders>
              <w:top w:val="single" w:sz="4" w:space="0" w:color="646464"/>
              <w:bottom w:val="single" w:sz="4" w:space="0" w:color="646464"/>
            </w:tcBorders>
            <w:shd w:val="clear" w:color="auto" w:fill="C8C8C8"/>
            <w:noWrap/>
            <w:hideMark/>
          </w:tcPr>
          <w:p w14:paraId="642DB014" w14:textId="77777777" w:rsidR="00B949E1" w:rsidRPr="006722EA" w:rsidRDefault="00B949E1" w:rsidP="00B9362B">
            <w:pPr>
              <w:pStyle w:val="Tabletext"/>
              <w:jc w:val="center"/>
              <w:rPr>
                <w:rFonts w:ascii="Times New Roman" w:hAnsi="Times New Roman"/>
                <w:b/>
                <w:bCs/>
                <w:szCs w:val="20"/>
                <w:highlight w:val="yellow"/>
                <w:lang w:eastAsia="en-AU"/>
              </w:rPr>
            </w:pPr>
          </w:p>
        </w:tc>
      </w:tr>
      <w:tr w:rsidR="00B949E1" w:rsidRPr="006722EA" w14:paraId="6698FF49"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017DECF2" w14:textId="77777777" w:rsidR="00B949E1" w:rsidRPr="006722EA" w:rsidRDefault="00B949E1" w:rsidP="00B9362B">
            <w:pPr>
              <w:pStyle w:val="Tabletext"/>
              <w:ind w:left="127"/>
              <w:rPr>
                <w:color w:val="000000"/>
                <w:highlight w:val="yellow"/>
                <w:lang w:eastAsia="en-AU"/>
              </w:rPr>
            </w:pPr>
            <w:r w:rsidRPr="00027BB2">
              <w:t>Plastic bowls</w:t>
            </w:r>
          </w:p>
        </w:tc>
        <w:tc>
          <w:tcPr>
            <w:tcW w:w="992" w:type="dxa"/>
            <w:tcBorders>
              <w:top w:val="single" w:sz="4" w:space="0" w:color="646464"/>
              <w:bottom w:val="single" w:sz="4" w:space="0" w:color="646464"/>
            </w:tcBorders>
            <w:shd w:val="clear" w:color="auto" w:fill="auto"/>
            <w:noWrap/>
            <w:hideMark/>
          </w:tcPr>
          <w:p w14:paraId="56F7A0CE"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74E0F512" w14:textId="77777777" w:rsidR="00B949E1" w:rsidRPr="006722EA" w:rsidRDefault="00B949E1" w:rsidP="00B9362B">
            <w:pPr>
              <w:pStyle w:val="Tabletext"/>
              <w:jc w:val="center"/>
              <w:rPr>
                <w:color w:val="000000"/>
                <w:szCs w:val="20"/>
                <w:highlight w:val="yellow"/>
                <w:lang w:eastAsia="en-AU"/>
              </w:rPr>
            </w:pPr>
            <w:r w:rsidRPr="00A1097A">
              <w:t>90%</w:t>
            </w:r>
          </w:p>
        </w:tc>
        <w:tc>
          <w:tcPr>
            <w:tcW w:w="992" w:type="dxa"/>
            <w:tcBorders>
              <w:top w:val="single" w:sz="4" w:space="0" w:color="646464"/>
              <w:bottom w:val="single" w:sz="4" w:space="0" w:color="646464"/>
            </w:tcBorders>
            <w:shd w:val="clear" w:color="auto" w:fill="auto"/>
            <w:noWrap/>
            <w:hideMark/>
          </w:tcPr>
          <w:p w14:paraId="7526B0F7" w14:textId="77777777" w:rsidR="00B949E1" w:rsidRPr="006722EA" w:rsidRDefault="00B949E1" w:rsidP="00B9362B">
            <w:pPr>
              <w:pStyle w:val="Tabletext"/>
              <w:jc w:val="center"/>
              <w:rPr>
                <w:color w:val="000000"/>
                <w:szCs w:val="20"/>
                <w:highlight w:val="yellow"/>
                <w:lang w:eastAsia="en-AU"/>
              </w:rPr>
            </w:pPr>
            <w:r w:rsidRPr="00A1097A">
              <w:t>5%</w:t>
            </w:r>
          </w:p>
        </w:tc>
        <w:tc>
          <w:tcPr>
            <w:tcW w:w="993" w:type="dxa"/>
            <w:tcBorders>
              <w:top w:val="single" w:sz="4" w:space="0" w:color="646464"/>
              <w:bottom w:val="single" w:sz="4" w:space="0" w:color="646464"/>
            </w:tcBorders>
            <w:shd w:val="clear" w:color="auto" w:fill="auto"/>
            <w:noWrap/>
            <w:hideMark/>
          </w:tcPr>
          <w:p w14:paraId="685FF6A1" w14:textId="77777777" w:rsidR="00B949E1" w:rsidRPr="006722EA" w:rsidRDefault="00B949E1" w:rsidP="00B9362B">
            <w:pPr>
              <w:pStyle w:val="Tabletext"/>
              <w:jc w:val="center"/>
              <w:rPr>
                <w:color w:val="000000"/>
                <w:szCs w:val="20"/>
                <w:highlight w:val="yellow"/>
                <w:lang w:eastAsia="en-AU"/>
              </w:rPr>
            </w:pPr>
            <w:r w:rsidRPr="00A1097A">
              <w:t>5%</w:t>
            </w:r>
          </w:p>
        </w:tc>
        <w:tc>
          <w:tcPr>
            <w:tcW w:w="992" w:type="dxa"/>
            <w:tcBorders>
              <w:top w:val="single" w:sz="4" w:space="0" w:color="646464"/>
              <w:bottom w:val="single" w:sz="4" w:space="0" w:color="646464"/>
            </w:tcBorders>
            <w:shd w:val="clear" w:color="auto" w:fill="auto"/>
            <w:noWrap/>
            <w:hideMark/>
          </w:tcPr>
          <w:p w14:paraId="448564EA"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4C7D4A76" w14:textId="77777777" w:rsidR="00B949E1" w:rsidRPr="006722EA" w:rsidRDefault="00B949E1" w:rsidP="00B9362B">
            <w:pPr>
              <w:pStyle w:val="Tabletext"/>
              <w:jc w:val="center"/>
              <w:rPr>
                <w:color w:val="000000"/>
                <w:szCs w:val="20"/>
                <w:highlight w:val="yellow"/>
                <w:lang w:eastAsia="en-AU"/>
              </w:rPr>
            </w:pPr>
            <w:r w:rsidRPr="00A1097A">
              <w:t>95%</w:t>
            </w:r>
          </w:p>
        </w:tc>
        <w:tc>
          <w:tcPr>
            <w:tcW w:w="992" w:type="dxa"/>
            <w:tcBorders>
              <w:top w:val="single" w:sz="4" w:space="0" w:color="646464"/>
              <w:bottom w:val="single" w:sz="4" w:space="0" w:color="646464"/>
            </w:tcBorders>
            <w:shd w:val="clear" w:color="auto" w:fill="auto"/>
            <w:noWrap/>
            <w:hideMark/>
          </w:tcPr>
          <w:p w14:paraId="7D9E6874"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411A374E" w14:textId="77777777" w:rsidR="00B949E1" w:rsidRPr="006722EA" w:rsidRDefault="00B949E1" w:rsidP="00B9362B">
            <w:pPr>
              <w:pStyle w:val="Tabletext"/>
              <w:jc w:val="center"/>
              <w:rPr>
                <w:color w:val="000000"/>
                <w:szCs w:val="20"/>
                <w:highlight w:val="yellow"/>
                <w:lang w:eastAsia="en-AU"/>
              </w:rPr>
            </w:pPr>
            <w:r w:rsidRPr="00A1097A">
              <w:t>5%</w:t>
            </w:r>
          </w:p>
        </w:tc>
        <w:tc>
          <w:tcPr>
            <w:tcW w:w="992" w:type="dxa"/>
            <w:tcBorders>
              <w:top w:val="single" w:sz="4" w:space="0" w:color="646464"/>
              <w:bottom w:val="single" w:sz="4" w:space="0" w:color="646464"/>
            </w:tcBorders>
            <w:shd w:val="clear" w:color="auto" w:fill="auto"/>
            <w:noWrap/>
            <w:hideMark/>
          </w:tcPr>
          <w:p w14:paraId="25C88D45"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19E0530E" w14:textId="77777777" w:rsidR="00B949E1" w:rsidRPr="009D2461" w:rsidRDefault="00B949E1" w:rsidP="00B9362B">
            <w:pPr>
              <w:pStyle w:val="Tabletext"/>
              <w:jc w:val="center"/>
              <w:rPr>
                <w:color w:val="000000"/>
                <w:szCs w:val="20"/>
                <w:lang w:eastAsia="en-AU"/>
              </w:rPr>
            </w:pPr>
            <w:r w:rsidRPr="00A1097A">
              <w:t>80%</w:t>
            </w:r>
          </w:p>
        </w:tc>
        <w:tc>
          <w:tcPr>
            <w:tcW w:w="992" w:type="dxa"/>
            <w:tcBorders>
              <w:top w:val="single" w:sz="4" w:space="0" w:color="646464"/>
              <w:bottom w:val="single" w:sz="4" w:space="0" w:color="646464"/>
            </w:tcBorders>
            <w:shd w:val="clear" w:color="auto" w:fill="auto"/>
            <w:noWrap/>
            <w:hideMark/>
          </w:tcPr>
          <w:p w14:paraId="4DDF0266" w14:textId="77777777" w:rsidR="00B949E1" w:rsidRPr="009D2461" w:rsidRDefault="00B949E1" w:rsidP="00B9362B">
            <w:pPr>
              <w:pStyle w:val="Tabletext"/>
              <w:jc w:val="center"/>
              <w:rPr>
                <w:color w:val="000000"/>
                <w:szCs w:val="20"/>
                <w:lang w:eastAsia="en-AU"/>
              </w:rPr>
            </w:pPr>
            <w:r w:rsidRPr="00A1097A">
              <w:t>20%</w:t>
            </w:r>
          </w:p>
        </w:tc>
        <w:tc>
          <w:tcPr>
            <w:tcW w:w="993" w:type="dxa"/>
            <w:tcBorders>
              <w:top w:val="single" w:sz="4" w:space="0" w:color="646464"/>
              <w:bottom w:val="single" w:sz="4" w:space="0" w:color="646464"/>
            </w:tcBorders>
            <w:shd w:val="clear" w:color="auto" w:fill="auto"/>
            <w:noWrap/>
            <w:hideMark/>
          </w:tcPr>
          <w:p w14:paraId="7F6BD360" w14:textId="77777777" w:rsidR="00B949E1" w:rsidRPr="009D2461" w:rsidRDefault="00B949E1" w:rsidP="00B9362B">
            <w:pPr>
              <w:pStyle w:val="Tabletext"/>
              <w:jc w:val="center"/>
              <w:rPr>
                <w:color w:val="000000"/>
                <w:szCs w:val="20"/>
                <w:lang w:eastAsia="en-AU"/>
              </w:rPr>
            </w:pPr>
            <w:r w:rsidRPr="00A1097A">
              <w:t>0%</w:t>
            </w:r>
          </w:p>
        </w:tc>
      </w:tr>
      <w:tr w:rsidR="00B949E1" w:rsidRPr="006722EA" w14:paraId="69F1EAD0"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168685A3" w14:textId="77777777" w:rsidR="00B949E1" w:rsidRPr="006722EA" w:rsidRDefault="00B949E1" w:rsidP="00B9362B">
            <w:pPr>
              <w:pStyle w:val="Tabletext"/>
              <w:ind w:left="127"/>
              <w:rPr>
                <w:color w:val="000000"/>
                <w:highlight w:val="yellow"/>
                <w:lang w:eastAsia="en-AU"/>
              </w:rPr>
            </w:pPr>
            <w:r w:rsidRPr="00027BB2">
              <w:t>Bowl lids</w:t>
            </w:r>
          </w:p>
        </w:tc>
        <w:tc>
          <w:tcPr>
            <w:tcW w:w="992" w:type="dxa"/>
            <w:tcBorders>
              <w:top w:val="single" w:sz="4" w:space="0" w:color="646464"/>
              <w:bottom w:val="single" w:sz="4" w:space="0" w:color="646464"/>
            </w:tcBorders>
            <w:shd w:val="clear" w:color="auto" w:fill="auto"/>
            <w:noWrap/>
            <w:hideMark/>
          </w:tcPr>
          <w:p w14:paraId="41C18A31"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38DF5AAF" w14:textId="77777777" w:rsidR="00B949E1" w:rsidRPr="006722EA" w:rsidRDefault="00B949E1" w:rsidP="00B9362B">
            <w:pPr>
              <w:pStyle w:val="Tabletext"/>
              <w:jc w:val="center"/>
              <w:rPr>
                <w:color w:val="000000"/>
                <w:szCs w:val="20"/>
                <w:highlight w:val="yellow"/>
                <w:lang w:eastAsia="en-AU"/>
              </w:rPr>
            </w:pPr>
            <w:r w:rsidRPr="00A1097A">
              <w:t>90%</w:t>
            </w:r>
          </w:p>
        </w:tc>
        <w:tc>
          <w:tcPr>
            <w:tcW w:w="992" w:type="dxa"/>
            <w:tcBorders>
              <w:top w:val="single" w:sz="4" w:space="0" w:color="646464"/>
              <w:bottom w:val="single" w:sz="4" w:space="0" w:color="646464"/>
            </w:tcBorders>
            <w:shd w:val="clear" w:color="auto" w:fill="auto"/>
            <w:noWrap/>
            <w:hideMark/>
          </w:tcPr>
          <w:p w14:paraId="6BA6C017" w14:textId="77777777" w:rsidR="00B949E1" w:rsidRPr="006722EA" w:rsidRDefault="00B949E1" w:rsidP="00B9362B">
            <w:pPr>
              <w:pStyle w:val="Tabletext"/>
              <w:jc w:val="center"/>
              <w:rPr>
                <w:color w:val="000000"/>
                <w:szCs w:val="20"/>
                <w:highlight w:val="yellow"/>
                <w:lang w:eastAsia="en-AU"/>
              </w:rPr>
            </w:pPr>
            <w:r w:rsidRPr="00A1097A">
              <w:t>5%</w:t>
            </w:r>
          </w:p>
        </w:tc>
        <w:tc>
          <w:tcPr>
            <w:tcW w:w="993" w:type="dxa"/>
            <w:tcBorders>
              <w:top w:val="single" w:sz="4" w:space="0" w:color="646464"/>
              <w:bottom w:val="single" w:sz="4" w:space="0" w:color="646464"/>
            </w:tcBorders>
            <w:shd w:val="clear" w:color="auto" w:fill="auto"/>
            <w:noWrap/>
            <w:hideMark/>
          </w:tcPr>
          <w:p w14:paraId="77242E5C" w14:textId="77777777" w:rsidR="00B949E1" w:rsidRPr="006722EA" w:rsidRDefault="00B949E1" w:rsidP="00B9362B">
            <w:pPr>
              <w:pStyle w:val="Tabletext"/>
              <w:jc w:val="center"/>
              <w:rPr>
                <w:color w:val="000000"/>
                <w:szCs w:val="20"/>
                <w:highlight w:val="yellow"/>
                <w:lang w:eastAsia="en-AU"/>
              </w:rPr>
            </w:pPr>
            <w:r w:rsidRPr="00A1097A">
              <w:t>5%</w:t>
            </w:r>
          </w:p>
        </w:tc>
        <w:tc>
          <w:tcPr>
            <w:tcW w:w="992" w:type="dxa"/>
            <w:tcBorders>
              <w:top w:val="single" w:sz="4" w:space="0" w:color="646464"/>
              <w:bottom w:val="single" w:sz="4" w:space="0" w:color="646464"/>
            </w:tcBorders>
            <w:shd w:val="clear" w:color="auto" w:fill="auto"/>
            <w:noWrap/>
            <w:hideMark/>
          </w:tcPr>
          <w:p w14:paraId="421370F0"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7EE08837" w14:textId="77777777" w:rsidR="00B949E1" w:rsidRPr="006722EA" w:rsidRDefault="00B949E1" w:rsidP="00B9362B">
            <w:pPr>
              <w:pStyle w:val="Tabletext"/>
              <w:jc w:val="center"/>
              <w:rPr>
                <w:color w:val="000000"/>
                <w:szCs w:val="20"/>
                <w:highlight w:val="yellow"/>
                <w:lang w:eastAsia="en-AU"/>
              </w:rPr>
            </w:pPr>
            <w:r w:rsidRPr="00A1097A">
              <w:t>95%</w:t>
            </w:r>
          </w:p>
        </w:tc>
        <w:tc>
          <w:tcPr>
            <w:tcW w:w="992" w:type="dxa"/>
            <w:tcBorders>
              <w:top w:val="single" w:sz="4" w:space="0" w:color="646464"/>
              <w:bottom w:val="single" w:sz="4" w:space="0" w:color="646464"/>
            </w:tcBorders>
            <w:shd w:val="clear" w:color="auto" w:fill="auto"/>
            <w:noWrap/>
            <w:hideMark/>
          </w:tcPr>
          <w:p w14:paraId="06D6AECE"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74FCBC05" w14:textId="77777777" w:rsidR="00B949E1" w:rsidRPr="006722EA" w:rsidRDefault="00B949E1" w:rsidP="00B9362B">
            <w:pPr>
              <w:pStyle w:val="Tabletext"/>
              <w:jc w:val="center"/>
              <w:rPr>
                <w:color w:val="000000"/>
                <w:szCs w:val="20"/>
                <w:highlight w:val="yellow"/>
                <w:lang w:eastAsia="en-AU"/>
              </w:rPr>
            </w:pPr>
            <w:r w:rsidRPr="00A1097A">
              <w:t>5%</w:t>
            </w:r>
          </w:p>
        </w:tc>
        <w:tc>
          <w:tcPr>
            <w:tcW w:w="992" w:type="dxa"/>
            <w:tcBorders>
              <w:top w:val="single" w:sz="4" w:space="0" w:color="646464"/>
              <w:bottom w:val="single" w:sz="4" w:space="0" w:color="646464"/>
            </w:tcBorders>
            <w:shd w:val="clear" w:color="auto" w:fill="auto"/>
            <w:noWrap/>
            <w:hideMark/>
          </w:tcPr>
          <w:p w14:paraId="1EC60BF2"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2EC50DC5" w14:textId="77777777" w:rsidR="00B949E1" w:rsidRPr="009D2461" w:rsidRDefault="00B949E1" w:rsidP="00B9362B">
            <w:pPr>
              <w:pStyle w:val="Tabletext"/>
              <w:jc w:val="center"/>
              <w:rPr>
                <w:color w:val="000000"/>
                <w:szCs w:val="20"/>
                <w:lang w:eastAsia="en-AU"/>
              </w:rPr>
            </w:pPr>
            <w:r w:rsidRPr="00A1097A">
              <w:t>80%</w:t>
            </w:r>
          </w:p>
        </w:tc>
        <w:tc>
          <w:tcPr>
            <w:tcW w:w="992" w:type="dxa"/>
            <w:tcBorders>
              <w:top w:val="single" w:sz="4" w:space="0" w:color="646464"/>
              <w:bottom w:val="single" w:sz="4" w:space="0" w:color="646464"/>
            </w:tcBorders>
            <w:shd w:val="clear" w:color="auto" w:fill="auto"/>
            <w:noWrap/>
            <w:hideMark/>
          </w:tcPr>
          <w:p w14:paraId="58AE03A6" w14:textId="77777777" w:rsidR="00B949E1" w:rsidRPr="009D2461" w:rsidRDefault="00B949E1" w:rsidP="00B9362B">
            <w:pPr>
              <w:pStyle w:val="Tabletext"/>
              <w:jc w:val="center"/>
              <w:rPr>
                <w:color w:val="000000"/>
                <w:szCs w:val="20"/>
                <w:lang w:eastAsia="en-AU"/>
              </w:rPr>
            </w:pPr>
            <w:r w:rsidRPr="00A1097A">
              <w:t>20%</w:t>
            </w:r>
          </w:p>
        </w:tc>
        <w:tc>
          <w:tcPr>
            <w:tcW w:w="993" w:type="dxa"/>
            <w:tcBorders>
              <w:top w:val="single" w:sz="4" w:space="0" w:color="646464"/>
              <w:bottom w:val="single" w:sz="4" w:space="0" w:color="646464"/>
            </w:tcBorders>
            <w:shd w:val="clear" w:color="auto" w:fill="auto"/>
            <w:noWrap/>
            <w:hideMark/>
          </w:tcPr>
          <w:p w14:paraId="26CEE347" w14:textId="77777777" w:rsidR="00B949E1" w:rsidRPr="009D2461" w:rsidRDefault="00B949E1" w:rsidP="00B9362B">
            <w:pPr>
              <w:pStyle w:val="Tabletext"/>
              <w:jc w:val="center"/>
              <w:rPr>
                <w:color w:val="000000"/>
                <w:szCs w:val="20"/>
                <w:lang w:eastAsia="en-AU"/>
              </w:rPr>
            </w:pPr>
            <w:r w:rsidRPr="00A1097A">
              <w:t>0%</w:t>
            </w:r>
          </w:p>
        </w:tc>
      </w:tr>
      <w:tr w:rsidR="00B949E1" w:rsidRPr="006722EA" w14:paraId="58A0B0B0" w14:textId="77777777" w:rsidTr="00B9362B">
        <w:trPr>
          <w:gridBefore w:val="1"/>
          <w:wBefore w:w="454" w:type="dxa"/>
        </w:trPr>
        <w:tc>
          <w:tcPr>
            <w:tcW w:w="3245" w:type="dxa"/>
            <w:tcBorders>
              <w:top w:val="single" w:sz="4" w:space="0" w:color="646464"/>
              <w:bottom w:val="single" w:sz="4" w:space="0" w:color="646464"/>
            </w:tcBorders>
            <w:shd w:val="clear" w:color="auto" w:fill="auto"/>
            <w:noWrap/>
          </w:tcPr>
          <w:p w14:paraId="00CA2D78" w14:textId="77777777" w:rsidR="00B949E1" w:rsidRPr="00027BB2" w:rsidRDefault="00B949E1" w:rsidP="00B9362B">
            <w:pPr>
              <w:pStyle w:val="Tabletext"/>
              <w:ind w:left="127"/>
            </w:pPr>
            <w:r w:rsidRPr="00352D80">
              <w:t>Plastic plates</w:t>
            </w:r>
          </w:p>
        </w:tc>
        <w:tc>
          <w:tcPr>
            <w:tcW w:w="992" w:type="dxa"/>
            <w:tcBorders>
              <w:top w:val="single" w:sz="4" w:space="0" w:color="646464"/>
              <w:bottom w:val="single" w:sz="4" w:space="0" w:color="646464"/>
            </w:tcBorders>
            <w:shd w:val="clear" w:color="auto" w:fill="auto"/>
            <w:noWrap/>
          </w:tcPr>
          <w:p w14:paraId="673F0A64" w14:textId="77777777" w:rsidR="00B949E1" w:rsidRPr="003C40DA"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787E8833" w14:textId="77777777" w:rsidR="00B949E1" w:rsidRPr="003C40DA" w:rsidRDefault="00B949E1" w:rsidP="00B9362B">
            <w:pPr>
              <w:pStyle w:val="Tabletext"/>
              <w:jc w:val="center"/>
            </w:pPr>
            <w:r w:rsidRPr="00A1097A">
              <w:t>90%</w:t>
            </w:r>
          </w:p>
        </w:tc>
        <w:tc>
          <w:tcPr>
            <w:tcW w:w="992" w:type="dxa"/>
            <w:tcBorders>
              <w:top w:val="single" w:sz="4" w:space="0" w:color="646464"/>
              <w:bottom w:val="single" w:sz="4" w:space="0" w:color="646464"/>
            </w:tcBorders>
            <w:shd w:val="clear" w:color="auto" w:fill="auto"/>
            <w:noWrap/>
          </w:tcPr>
          <w:p w14:paraId="293C0B15" w14:textId="77777777" w:rsidR="00B949E1" w:rsidRPr="003C40DA"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7F81F686" w14:textId="77777777" w:rsidR="00B949E1" w:rsidRPr="003C40DA" w:rsidRDefault="00B949E1" w:rsidP="00B9362B">
            <w:pPr>
              <w:pStyle w:val="Tabletext"/>
              <w:jc w:val="center"/>
            </w:pPr>
            <w:r w:rsidRPr="00A1097A">
              <w:t>10%</w:t>
            </w:r>
          </w:p>
        </w:tc>
        <w:tc>
          <w:tcPr>
            <w:tcW w:w="992" w:type="dxa"/>
            <w:tcBorders>
              <w:top w:val="single" w:sz="4" w:space="0" w:color="646464"/>
              <w:bottom w:val="single" w:sz="4" w:space="0" w:color="646464"/>
            </w:tcBorders>
            <w:shd w:val="clear" w:color="auto" w:fill="auto"/>
            <w:noWrap/>
          </w:tcPr>
          <w:p w14:paraId="37DB60FA" w14:textId="77777777" w:rsidR="00B949E1" w:rsidRPr="003C40DA"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762418AE" w14:textId="77777777" w:rsidR="00B949E1" w:rsidRPr="003C40DA" w:rsidRDefault="00B949E1" w:rsidP="00B9362B">
            <w:pPr>
              <w:pStyle w:val="Tabletext"/>
              <w:jc w:val="center"/>
            </w:pPr>
            <w:r w:rsidRPr="00A1097A">
              <w:t>90%</w:t>
            </w:r>
          </w:p>
        </w:tc>
        <w:tc>
          <w:tcPr>
            <w:tcW w:w="992" w:type="dxa"/>
            <w:tcBorders>
              <w:top w:val="single" w:sz="4" w:space="0" w:color="646464"/>
              <w:bottom w:val="single" w:sz="4" w:space="0" w:color="646464"/>
            </w:tcBorders>
            <w:shd w:val="clear" w:color="auto" w:fill="auto"/>
            <w:noWrap/>
          </w:tcPr>
          <w:p w14:paraId="61D3BE73" w14:textId="77777777" w:rsidR="00B949E1" w:rsidRPr="003C40DA"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133E29B5" w14:textId="77777777" w:rsidR="00B949E1" w:rsidRPr="003C40DA" w:rsidRDefault="00B949E1" w:rsidP="00B9362B">
            <w:pPr>
              <w:pStyle w:val="Tabletext"/>
              <w:jc w:val="center"/>
            </w:pPr>
            <w:r w:rsidRPr="00A1097A">
              <w:t>10%</w:t>
            </w:r>
          </w:p>
        </w:tc>
        <w:tc>
          <w:tcPr>
            <w:tcW w:w="992" w:type="dxa"/>
            <w:tcBorders>
              <w:top w:val="single" w:sz="4" w:space="0" w:color="646464"/>
              <w:bottom w:val="single" w:sz="4" w:space="0" w:color="646464"/>
            </w:tcBorders>
            <w:shd w:val="clear" w:color="auto" w:fill="auto"/>
            <w:noWrap/>
          </w:tcPr>
          <w:p w14:paraId="52D2B5C2" w14:textId="77777777" w:rsidR="00B949E1" w:rsidRPr="009D2461"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7893A55F" w14:textId="77777777" w:rsidR="00B949E1" w:rsidRPr="009D2461" w:rsidRDefault="00B949E1" w:rsidP="00B9362B">
            <w:pPr>
              <w:pStyle w:val="Tabletext"/>
              <w:jc w:val="center"/>
            </w:pPr>
            <w:r w:rsidRPr="00A1097A">
              <w:t>90%</w:t>
            </w:r>
          </w:p>
        </w:tc>
        <w:tc>
          <w:tcPr>
            <w:tcW w:w="992" w:type="dxa"/>
            <w:tcBorders>
              <w:top w:val="single" w:sz="4" w:space="0" w:color="646464"/>
              <w:bottom w:val="single" w:sz="4" w:space="0" w:color="646464"/>
            </w:tcBorders>
            <w:shd w:val="clear" w:color="auto" w:fill="auto"/>
            <w:noWrap/>
          </w:tcPr>
          <w:p w14:paraId="533C1BCE" w14:textId="77777777" w:rsidR="00B949E1" w:rsidRPr="009D2461"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44039610" w14:textId="77777777" w:rsidR="00B949E1" w:rsidRPr="009D2461" w:rsidRDefault="00B949E1" w:rsidP="00B9362B">
            <w:pPr>
              <w:pStyle w:val="Tabletext"/>
              <w:jc w:val="center"/>
            </w:pPr>
            <w:r w:rsidRPr="00A1097A">
              <w:t>10%</w:t>
            </w:r>
          </w:p>
        </w:tc>
      </w:tr>
      <w:tr w:rsidR="00B949E1" w:rsidRPr="006722EA" w14:paraId="49F4FA0F"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27A737B7" w14:textId="77777777" w:rsidR="00B949E1" w:rsidRPr="006722EA" w:rsidRDefault="00B949E1" w:rsidP="00B9362B">
            <w:pPr>
              <w:pStyle w:val="Tabletext"/>
              <w:ind w:left="127"/>
              <w:rPr>
                <w:color w:val="000000"/>
                <w:highlight w:val="yellow"/>
                <w:lang w:eastAsia="en-AU"/>
              </w:rPr>
            </w:pPr>
            <w:r>
              <w:t>Boutique and heavyweight plastic bags</w:t>
            </w:r>
          </w:p>
        </w:tc>
        <w:tc>
          <w:tcPr>
            <w:tcW w:w="992" w:type="dxa"/>
            <w:tcBorders>
              <w:top w:val="single" w:sz="4" w:space="0" w:color="646464"/>
              <w:bottom w:val="single" w:sz="4" w:space="0" w:color="646464"/>
            </w:tcBorders>
            <w:shd w:val="clear" w:color="auto" w:fill="auto"/>
            <w:noWrap/>
            <w:hideMark/>
          </w:tcPr>
          <w:p w14:paraId="551130E9"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0F8E34C9"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5D8BCA33"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56D8F5CB"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5C5A62D5" w14:textId="77777777" w:rsidR="00B949E1" w:rsidRPr="006722EA" w:rsidRDefault="00B949E1" w:rsidP="00B9362B">
            <w:pPr>
              <w:pStyle w:val="Tabletext"/>
              <w:jc w:val="center"/>
              <w:rPr>
                <w:color w:val="000000"/>
                <w:szCs w:val="20"/>
                <w:highlight w:val="yellow"/>
                <w:lang w:eastAsia="en-AU"/>
              </w:rPr>
            </w:pPr>
            <w:r w:rsidRPr="00A1097A">
              <w:t>40%</w:t>
            </w:r>
          </w:p>
        </w:tc>
        <w:tc>
          <w:tcPr>
            <w:tcW w:w="992" w:type="dxa"/>
            <w:tcBorders>
              <w:top w:val="single" w:sz="4" w:space="0" w:color="646464"/>
              <w:bottom w:val="single" w:sz="4" w:space="0" w:color="646464"/>
            </w:tcBorders>
            <w:shd w:val="clear" w:color="auto" w:fill="auto"/>
            <w:noWrap/>
            <w:hideMark/>
          </w:tcPr>
          <w:p w14:paraId="128E6969" w14:textId="77777777" w:rsidR="00B949E1" w:rsidRPr="006722EA" w:rsidRDefault="00B949E1" w:rsidP="00B9362B">
            <w:pPr>
              <w:pStyle w:val="Tabletext"/>
              <w:jc w:val="center"/>
              <w:rPr>
                <w:color w:val="000000"/>
                <w:szCs w:val="20"/>
                <w:highlight w:val="yellow"/>
                <w:lang w:eastAsia="en-AU"/>
              </w:rPr>
            </w:pPr>
            <w:r w:rsidRPr="00A1097A">
              <w:t>50%</w:t>
            </w:r>
          </w:p>
        </w:tc>
        <w:tc>
          <w:tcPr>
            <w:tcW w:w="992" w:type="dxa"/>
            <w:tcBorders>
              <w:top w:val="single" w:sz="4" w:space="0" w:color="646464"/>
              <w:bottom w:val="single" w:sz="4" w:space="0" w:color="646464"/>
            </w:tcBorders>
            <w:shd w:val="clear" w:color="auto" w:fill="auto"/>
            <w:noWrap/>
            <w:hideMark/>
          </w:tcPr>
          <w:p w14:paraId="7C6EA76D"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3C19E8F9" w14:textId="77777777" w:rsidR="00B949E1" w:rsidRPr="006722EA" w:rsidRDefault="00B949E1" w:rsidP="00B9362B">
            <w:pPr>
              <w:pStyle w:val="Tabletext"/>
              <w:jc w:val="center"/>
              <w:rPr>
                <w:color w:val="000000"/>
                <w:szCs w:val="20"/>
                <w:highlight w:val="yellow"/>
                <w:lang w:eastAsia="en-AU"/>
              </w:rPr>
            </w:pPr>
            <w:r w:rsidRPr="00A1097A">
              <w:t>10%</w:t>
            </w:r>
          </w:p>
        </w:tc>
        <w:tc>
          <w:tcPr>
            <w:tcW w:w="992" w:type="dxa"/>
            <w:tcBorders>
              <w:top w:val="single" w:sz="4" w:space="0" w:color="646464"/>
              <w:bottom w:val="single" w:sz="4" w:space="0" w:color="646464"/>
            </w:tcBorders>
            <w:shd w:val="clear" w:color="auto" w:fill="auto"/>
            <w:noWrap/>
            <w:hideMark/>
          </w:tcPr>
          <w:p w14:paraId="490B7358"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5754DD78"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6DC13103" w14:textId="77777777" w:rsidR="00B949E1" w:rsidRPr="009D2461" w:rsidRDefault="00B949E1" w:rsidP="00B9362B">
            <w:pPr>
              <w:pStyle w:val="Tabletext"/>
              <w:jc w:val="center"/>
              <w:rPr>
                <w:color w:val="000000"/>
                <w:szCs w:val="20"/>
                <w:lang w:eastAsia="en-AU"/>
              </w:rPr>
            </w:pPr>
            <w:r w:rsidRPr="00A1097A">
              <w:t>0%</w:t>
            </w:r>
          </w:p>
        </w:tc>
        <w:tc>
          <w:tcPr>
            <w:tcW w:w="993" w:type="dxa"/>
            <w:tcBorders>
              <w:top w:val="single" w:sz="4" w:space="0" w:color="646464"/>
              <w:bottom w:val="single" w:sz="4" w:space="0" w:color="646464"/>
            </w:tcBorders>
            <w:shd w:val="clear" w:color="auto" w:fill="auto"/>
            <w:noWrap/>
            <w:hideMark/>
          </w:tcPr>
          <w:p w14:paraId="278239ED" w14:textId="77777777" w:rsidR="00B949E1" w:rsidRPr="009D2461" w:rsidRDefault="00B949E1" w:rsidP="00B9362B">
            <w:pPr>
              <w:pStyle w:val="Tabletext"/>
              <w:jc w:val="center"/>
              <w:rPr>
                <w:color w:val="000000"/>
                <w:szCs w:val="20"/>
                <w:lang w:eastAsia="en-AU"/>
              </w:rPr>
            </w:pPr>
            <w:r w:rsidRPr="00A1097A">
              <w:t>0%</w:t>
            </w:r>
          </w:p>
        </w:tc>
      </w:tr>
      <w:tr w:rsidR="00B949E1" w:rsidRPr="006722EA" w14:paraId="6F8D6B35"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5629FDCB" w14:textId="77777777" w:rsidR="00B949E1" w:rsidRPr="006722EA" w:rsidRDefault="00B949E1" w:rsidP="00B9362B">
            <w:pPr>
              <w:pStyle w:val="Tabletext"/>
              <w:ind w:left="127"/>
              <w:rPr>
                <w:color w:val="000000"/>
                <w:highlight w:val="yellow"/>
                <w:lang w:eastAsia="en-AU"/>
              </w:rPr>
            </w:pPr>
            <w:r>
              <w:t>Take-away</w:t>
            </w:r>
            <w:r w:rsidRPr="00027BB2">
              <w:t xml:space="preserve"> containers</w:t>
            </w:r>
          </w:p>
        </w:tc>
        <w:tc>
          <w:tcPr>
            <w:tcW w:w="992" w:type="dxa"/>
            <w:tcBorders>
              <w:top w:val="single" w:sz="4" w:space="0" w:color="646464"/>
              <w:bottom w:val="single" w:sz="4" w:space="0" w:color="646464"/>
            </w:tcBorders>
            <w:shd w:val="clear" w:color="auto" w:fill="auto"/>
            <w:noWrap/>
            <w:hideMark/>
          </w:tcPr>
          <w:p w14:paraId="23FA479D"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539A16F8"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59700621"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39A7F841"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7BEBAE66"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1B8E88A0" w14:textId="77777777" w:rsidR="00B949E1" w:rsidRPr="006722EA" w:rsidRDefault="00B949E1" w:rsidP="00B9362B">
            <w:pPr>
              <w:pStyle w:val="Tabletext"/>
              <w:jc w:val="center"/>
              <w:rPr>
                <w:color w:val="000000"/>
                <w:szCs w:val="20"/>
                <w:highlight w:val="yellow"/>
                <w:lang w:eastAsia="en-AU"/>
              </w:rPr>
            </w:pPr>
            <w:r w:rsidRPr="00A1097A">
              <w:t>75%</w:t>
            </w:r>
          </w:p>
        </w:tc>
        <w:tc>
          <w:tcPr>
            <w:tcW w:w="992" w:type="dxa"/>
            <w:tcBorders>
              <w:top w:val="single" w:sz="4" w:space="0" w:color="646464"/>
              <w:bottom w:val="single" w:sz="4" w:space="0" w:color="646464"/>
            </w:tcBorders>
            <w:shd w:val="clear" w:color="auto" w:fill="auto"/>
            <w:noWrap/>
            <w:hideMark/>
          </w:tcPr>
          <w:p w14:paraId="461C287C" w14:textId="77777777" w:rsidR="00B949E1" w:rsidRPr="006722EA" w:rsidRDefault="00B949E1" w:rsidP="00B9362B">
            <w:pPr>
              <w:pStyle w:val="Tabletext"/>
              <w:jc w:val="center"/>
              <w:rPr>
                <w:color w:val="000000"/>
                <w:szCs w:val="20"/>
                <w:highlight w:val="yellow"/>
                <w:lang w:eastAsia="en-AU"/>
              </w:rPr>
            </w:pPr>
            <w:r w:rsidRPr="00A1097A">
              <w:t>25%</w:t>
            </w:r>
          </w:p>
        </w:tc>
        <w:tc>
          <w:tcPr>
            <w:tcW w:w="993" w:type="dxa"/>
            <w:tcBorders>
              <w:top w:val="single" w:sz="4" w:space="0" w:color="646464"/>
              <w:bottom w:val="single" w:sz="4" w:space="0" w:color="646464"/>
            </w:tcBorders>
            <w:shd w:val="clear" w:color="auto" w:fill="auto"/>
            <w:noWrap/>
            <w:hideMark/>
          </w:tcPr>
          <w:p w14:paraId="4149E607"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4B0A713C"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6AA6EAB4"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2086E86A" w14:textId="77777777" w:rsidR="00B949E1" w:rsidRPr="009D2461" w:rsidRDefault="00B949E1" w:rsidP="00B9362B">
            <w:pPr>
              <w:pStyle w:val="Tabletext"/>
              <w:jc w:val="center"/>
              <w:rPr>
                <w:color w:val="000000"/>
                <w:szCs w:val="20"/>
                <w:lang w:eastAsia="en-AU"/>
              </w:rPr>
            </w:pPr>
            <w:r w:rsidRPr="00A1097A">
              <w:t>0%</w:t>
            </w:r>
          </w:p>
        </w:tc>
        <w:tc>
          <w:tcPr>
            <w:tcW w:w="993" w:type="dxa"/>
            <w:tcBorders>
              <w:top w:val="single" w:sz="4" w:space="0" w:color="646464"/>
              <w:bottom w:val="single" w:sz="4" w:space="0" w:color="646464"/>
            </w:tcBorders>
            <w:shd w:val="clear" w:color="auto" w:fill="auto"/>
            <w:noWrap/>
            <w:hideMark/>
          </w:tcPr>
          <w:p w14:paraId="728EE8FF" w14:textId="77777777" w:rsidR="00B949E1" w:rsidRPr="009D2461" w:rsidRDefault="00B949E1" w:rsidP="00B9362B">
            <w:pPr>
              <w:pStyle w:val="Tabletext"/>
              <w:jc w:val="center"/>
              <w:rPr>
                <w:color w:val="000000"/>
                <w:szCs w:val="20"/>
                <w:lang w:eastAsia="en-AU"/>
              </w:rPr>
            </w:pPr>
            <w:r w:rsidRPr="00A1097A">
              <w:t>0%</w:t>
            </w:r>
          </w:p>
        </w:tc>
      </w:tr>
      <w:tr w:rsidR="00B949E1" w:rsidRPr="006722EA" w14:paraId="1D1D282F"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1F56B1BD" w14:textId="77777777" w:rsidR="00B949E1" w:rsidRPr="006722EA" w:rsidRDefault="00B949E1" w:rsidP="00B9362B">
            <w:pPr>
              <w:pStyle w:val="Tabletext"/>
              <w:ind w:left="127"/>
              <w:rPr>
                <w:color w:val="000000"/>
                <w:highlight w:val="yellow"/>
                <w:lang w:eastAsia="en-AU"/>
              </w:rPr>
            </w:pPr>
            <w:r>
              <w:t>Take-away</w:t>
            </w:r>
            <w:r w:rsidRPr="00027BB2">
              <w:t xml:space="preserve"> container lids</w:t>
            </w:r>
          </w:p>
        </w:tc>
        <w:tc>
          <w:tcPr>
            <w:tcW w:w="992" w:type="dxa"/>
            <w:tcBorders>
              <w:top w:val="single" w:sz="4" w:space="0" w:color="646464"/>
              <w:bottom w:val="single" w:sz="4" w:space="0" w:color="646464"/>
            </w:tcBorders>
            <w:shd w:val="clear" w:color="auto" w:fill="auto"/>
            <w:noWrap/>
            <w:hideMark/>
          </w:tcPr>
          <w:p w14:paraId="5BED5F46"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3C6CE270" w14:textId="77777777" w:rsidR="00B949E1" w:rsidRPr="006722EA" w:rsidRDefault="00B949E1" w:rsidP="00B9362B">
            <w:pPr>
              <w:pStyle w:val="Tabletext"/>
              <w:jc w:val="center"/>
              <w:rPr>
                <w:color w:val="000000"/>
                <w:szCs w:val="20"/>
                <w:highlight w:val="yellow"/>
                <w:lang w:eastAsia="en-AU"/>
              </w:rPr>
            </w:pPr>
            <w:r w:rsidRPr="00A1097A">
              <w:t>80%</w:t>
            </w:r>
          </w:p>
        </w:tc>
        <w:tc>
          <w:tcPr>
            <w:tcW w:w="992" w:type="dxa"/>
            <w:tcBorders>
              <w:top w:val="single" w:sz="4" w:space="0" w:color="646464"/>
              <w:bottom w:val="single" w:sz="4" w:space="0" w:color="646464"/>
            </w:tcBorders>
            <w:shd w:val="clear" w:color="auto" w:fill="auto"/>
            <w:noWrap/>
            <w:hideMark/>
          </w:tcPr>
          <w:p w14:paraId="3837ACA4" w14:textId="77777777" w:rsidR="00B949E1" w:rsidRPr="006722EA" w:rsidRDefault="00B949E1" w:rsidP="00B9362B">
            <w:pPr>
              <w:pStyle w:val="Tabletext"/>
              <w:jc w:val="center"/>
              <w:rPr>
                <w:color w:val="000000"/>
                <w:szCs w:val="20"/>
                <w:highlight w:val="yellow"/>
                <w:lang w:eastAsia="en-AU"/>
              </w:rPr>
            </w:pPr>
            <w:r w:rsidRPr="00A1097A">
              <w:t>20%</w:t>
            </w:r>
          </w:p>
        </w:tc>
        <w:tc>
          <w:tcPr>
            <w:tcW w:w="993" w:type="dxa"/>
            <w:tcBorders>
              <w:top w:val="single" w:sz="4" w:space="0" w:color="646464"/>
              <w:bottom w:val="single" w:sz="4" w:space="0" w:color="646464"/>
            </w:tcBorders>
            <w:shd w:val="clear" w:color="auto" w:fill="auto"/>
            <w:noWrap/>
            <w:hideMark/>
          </w:tcPr>
          <w:p w14:paraId="4AE6F422"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19308D0D"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769FF73F" w14:textId="77777777" w:rsidR="00B949E1" w:rsidRPr="006722EA" w:rsidRDefault="00B949E1" w:rsidP="00B9362B">
            <w:pPr>
              <w:pStyle w:val="Tabletext"/>
              <w:jc w:val="center"/>
              <w:rPr>
                <w:color w:val="000000"/>
                <w:szCs w:val="20"/>
                <w:highlight w:val="yellow"/>
                <w:lang w:eastAsia="en-AU"/>
              </w:rPr>
            </w:pPr>
            <w:r w:rsidRPr="00A1097A">
              <w:t>95%</w:t>
            </w:r>
          </w:p>
        </w:tc>
        <w:tc>
          <w:tcPr>
            <w:tcW w:w="992" w:type="dxa"/>
            <w:tcBorders>
              <w:top w:val="single" w:sz="4" w:space="0" w:color="646464"/>
              <w:bottom w:val="single" w:sz="4" w:space="0" w:color="646464"/>
            </w:tcBorders>
            <w:shd w:val="clear" w:color="auto" w:fill="auto"/>
            <w:noWrap/>
            <w:hideMark/>
          </w:tcPr>
          <w:p w14:paraId="71DD2FAF"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4D7B39E5" w14:textId="77777777" w:rsidR="00B949E1" w:rsidRPr="006722EA" w:rsidRDefault="00B949E1" w:rsidP="00B9362B">
            <w:pPr>
              <w:pStyle w:val="Tabletext"/>
              <w:jc w:val="center"/>
              <w:rPr>
                <w:color w:val="000000"/>
                <w:szCs w:val="20"/>
                <w:highlight w:val="yellow"/>
                <w:lang w:eastAsia="en-AU"/>
              </w:rPr>
            </w:pPr>
            <w:r w:rsidRPr="00A1097A">
              <w:t>5%</w:t>
            </w:r>
          </w:p>
        </w:tc>
        <w:tc>
          <w:tcPr>
            <w:tcW w:w="992" w:type="dxa"/>
            <w:tcBorders>
              <w:top w:val="single" w:sz="4" w:space="0" w:color="646464"/>
              <w:bottom w:val="single" w:sz="4" w:space="0" w:color="646464"/>
            </w:tcBorders>
            <w:shd w:val="clear" w:color="auto" w:fill="auto"/>
            <w:noWrap/>
            <w:hideMark/>
          </w:tcPr>
          <w:p w14:paraId="0B68E0A2"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517E638B"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78BDAA47" w14:textId="77777777" w:rsidR="00B949E1" w:rsidRPr="009D2461" w:rsidRDefault="00B949E1" w:rsidP="00B9362B">
            <w:pPr>
              <w:pStyle w:val="Tabletext"/>
              <w:jc w:val="center"/>
              <w:rPr>
                <w:color w:val="000000"/>
                <w:szCs w:val="20"/>
                <w:lang w:eastAsia="en-AU"/>
              </w:rPr>
            </w:pPr>
            <w:r w:rsidRPr="00A1097A">
              <w:t>0%</w:t>
            </w:r>
          </w:p>
        </w:tc>
        <w:tc>
          <w:tcPr>
            <w:tcW w:w="993" w:type="dxa"/>
            <w:tcBorders>
              <w:top w:val="single" w:sz="4" w:space="0" w:color="646464"/>
              <w:bottom w:val="single" w:sz="4" w:space="0" w:color="646464"/>
            </w:tcBorders>
            <w:shd w:val="clear" w:color="auto" w:fill="auto"/>
            <w:noWrap/>
            <w:hideMark/>
          </w:tcPr>
          <w:p w14:paraId="1F3A5D61" w14:textId="77777777" w:rsidR="00B949E1" w:rsidRPr="009D2461" w:rsidRDefault="00B949E1" w:rsidP="00B9362B">
            <w:pPr>
              <w:pStyle w:val="Tabletext"/>
              <w:jc w:val="center"/>
              <w:rPr>
                <w:color w:val="000000"/>
                <w:szCs w:val="20"/>
                <w:lang w:eastAsia="en-AU"/>
              </w:rPr>
            </w:pPr>
            <w:r w:rsidRPr="00A1097A">
              <w:t>0%</w:t>
            </w:r>
          </w:p>
        </w:tc>
      </w:tr>
      <w:tr w:rsidR="00B949E1" w:rsidRPr="006722EA" w14:paraId="6E51EEA8" w14:textId="77777777" w:rsidTr="00B9362B">
        <w:trPr>
          <w:gridBefore w:val="1"/>
          <w:wBefore w:w="454" w:type="dxa"/>
        </w:trPr>
        <w:tc>
          <w:tcPr>
            <w:tcW w:w="3245" w:type="dxa"/>
            <w:tcBorders>
              <w:top w:val="single" w:sz="4" w:space="0" w:color="646464"/>
              <w:bottom w:val="single" w:sz="4" w:space="0" w:color="646464"/>
            </w:tcBorders>
            <w:shd w:val="clear" w:color="auto" w:fill="auto"/>
            <w:noWrap/>
          </w:tcPr>
          <w:p w14:paraId="029B53AB" w14:textId="77777777" w:rsidR="00B949E1" w:rsidRPr="00027BB2" w:rsidRDefault="00B949E1" w:rsidP="00B9362B">
            <w:pPr>
              <w:pStyle w:val="Tabletext"/>
              <w:ind w:left="127"/>
            </w:pPr>
            <w:r>
              <w:t>EPS l</w:t>
            </w:r>
            <w:r w:rsidRPr="00027BB2">
              <w:t>oose</w:t>
            </w:r>
            <w:r>
              <w:t>-</w:t>
            </w:r>
            <w:r w:rsidRPr="00027BB2">
              <w:t>fill packaging</w:t>
            </w:r>
          </w:p>
        </w:tc>
        <w:tc>
          <w:tcPr>
            <w:tcW w:w="992" w:type="dxa"/>
            <w:tcBorders>
              <w:top w:val="single" w:sz="4" w:space="0" w:color="646464"/>
              <w:bottom w:val="single" w:sz="4" w:space="0" w:color="646464"/>
            </w:tcBorders>
            <w:shd w:val="clear" w:color="auto" w:fill="auto"/>
            <w:noWrap/>
          </w:tcPr>
          <w:p w14:paraId="1BE56A44" w14:textId="77777777" w:rsidR="00B949E1" w:rsidRPr="003C40DA"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4B2A6D73" w14:textId="77777777" w:rsidR="00B949E1" w:rsidRPr="003C40DA" w:rsidRDefault="00B949E1" w:rsidP="00B9362B">
            <w:pPr>
              <w:pStyle w:val="Tabletext"/>
              <w:jc w:val="center"/>
            </w:pPr>
            <w:r w:rsidRPr="00A1097A">
              <w:t>80%</w:t>
            </w:r>
          </w:p>
        </w:tc>
        <w:tc>
          <w:tcPr>
            <w:tcW w:w="992" w:type="dxa"/>
            <w:tcBorders>
              <w:top w:val="single" w:sz="4" w:space="0" w:color="646464"/>
              <w:bottom w:val="single" w:sz="4" w:space="0" w:color="646464"/>
            </w:tcBorders>
            <w:shd w:val="clear" w:color="auto" w:fill="auto"/>
            <w:noWrap/>
          </w:tcPr>
          <w:p w14:paraId="35B5AED8" w14:textId="77777777" w:rsidR="00B949E1" w:rsidRPr="003C40DA"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160154AF" w14:textId="77777777" w:rsidR="00B949E1" w:rsidRPr="003C40DA" w:rsidRDefault="00B949E1" w:rsidP="00B9362B">
            <w:pPr>
              <w:pStyle w:val="Tabletext"/>
              <w:jc w:val="center"/>
            </w:pPr>
            <w:r w:rsidRPr="00A1097A">
              <w:t>20%</w:t>
            </w:r>
          </w:p>
        </w:tc>
        <w:tc>
          <w:tcPr>
            <w:tcW w:w="992" w:type="dxa"/>
            <w:tcBorders>
              <w:top w:val="single" w:sz="4" w:space="0" w:color="646464"/>
              <w:bottom w:val="single" w:sz="4" w:space="0" w:color="646464"/>
            </w:tcBorders>
            <w:shd w:val="clear" w:color="auto" w:fill="auto"/>
            <w:noWrap/>
          </w:tcPr>
          <w:p w14:paraId="4C1A8A9A" w14:textId="77777777" w:rsidR="00B949E1" w:rsidRPr="003C40DA"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3144054C" w14:textId="77777777" w:rsidR="00B949E1" w:rsidRPr="003C40DA" w:rsidRDefault="00B949E1" w:rsidP="00B9362B">
            <w:pPr>
              <w:pStyle w:val="Tabletext"/>
              <w:jc w:val="center"/>
            </w:pPr>
            <w:r w:rsidRPr="00A1097A">
              <w:t>95%</w:t>
            </w:r>
          </w:p>
        </w:tc>
        <w:tc>
          <w:tcPr>
            <w:tcW w:w="992" w:type="dxa"/>
            <w:tcBorders>
              <w:top w:val="single" w:sz="4" w:space="0" w:color="646464"/>
              <w:bottom w:val="single" w:sz="4" w:space="0" w:color="646464"/>
            </w:tcBorders>
            <w:shd w:val="clear" w:color="auto" w:fill="auto"/>
            <w:noWrap/>
          </w:tcPr>
          <w:p w14:paraId="198BF5CD" w14:textId="77777777" w:rsidR="00B949E1" w:rsidRPr="003C40DA"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29616E00" w14:textId="77777777" w:rsidR="00B949E1" w:rsidRPr="003C40DA" w:rsidRDefault="00B949E1" w:rsidP="00B9362B">
            <w:pPr>
              <w:pStyle w:val="Tabletext"/>
              <w:jc w:val="center"/>
            </w:pPr>
            <w:r w:rsidRPr="00A1097A">
              <w:t>5%</w:t>
            </w:r>
          </w:p>
        </w:tc>
        <w:tc>
          <w:tcPr>
            <w:tcW w:w="992" w:type="dxa"/>
            <w:tcBorders>
              <w:top w:val="single" w:sz="4" w:space="0" w:color="646464"/>
              <w:bottom w:val="single" w:sz="4" w:space="0" w:color="646464"/>
            </w:tcBorders>
            <w:shd w:val="clear" w:color="auto" w:fill="auto"/>
            <w:noWrap/>
          </w:tcPr>
          <w:p w14:paraId="19C5B624" w14:textId="77777777" w:rsidR="00B949E1" w:rsidRPr="009D2461"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50E94923" w14:textId="77777777" w:rsidR="00B949E1" w:rsidRPr="009D2461" w:rsidRDefault="00B949E1" w:rsidP="00B9362B">
            <w:pPr>
              <w:pStyle w:val="Tabletext"/>
              <w:jc w:val="center"/>
            </w:pPr>
            <w:r w:rsidRPr="00A1097A">
              <w:t>0%</w:t>
            </w:r>
          </w:p>
        </w:tc>
        <w:tc>
          <w:tcPr>
            <w:tcW w:w="992" w:type="dxa"/>
            <w:tcBorders>
              <w:top w:val="single" w:sz="4" w:space="0" w:color="646464"/>
              <w:bottom w:val="single" w:sz="4" w:space="0" w:color="646464"/>
            </w:tcBorders>
            <w:shd w:val="clear" w:color="auto" w:fill="auto"/>
            <w:noWrap/>
          </w:tcPr>
          <w:p w14:paraId="20A79730" w14:textId="77777777" w:rsidR="00B949E1" w:rsidRPr="009D2461" w:rsidRDefault="00B949E1" w:rsidP="00B9362B">
            <w:pPr>
              <w:pStyle w:val="Tabletext"/>
              <w:jc w:val="center"/>
            </w:pPr>
            <w:r w:rsidRPr="00A1097A">
              <w:t>0%</w:t>
            </w:r>
          </w:p>
        </w:tc>
        <w:tc>
          <w:tcPr>
            <w:tcW w:w="993" w:type="dxa"/>
            <w:tcBorders>
              <w:top w:val="single" w:sz="4" w:space="0" w:color="646464"/>
              <w:bottom w:val="single" w:sz="4" w:space="0" w:color="646464"/>
            </w:tcBorders>
            <w:shd w:val="clear" w:color="auto" w:fill="auto"/>
            <w:noWrap/>
          </w:tcPr>
          <w:p w14:paraId="585FCD40" w14:textId="77777777" w:rsidR="00B949E1" w:rsidRPr="009D2461" w:rsidRDefault="00B949E1" w:rsidP="00B9362B">
            <w:pPr>
              <w:pStyle w:val="Tabletext"/>
              <w:jc w:val="center"/>
            </w:pPr>
            <w:r w:rsidRPr="00A1097A">
              <w:t>0%</w:t>
            </w:r>
          </w:p>
        </w:tc>
      </w:tr>
      <w:tr w:rsidR="00B949E1" w:rsidRPr="006722EA" w14:paraId="317A757C" w14:textId="77777777" w:rsidTr="00B9362B">
        <w:trPr>
          <w:gridBefore w:val="1"/>
          <w:wBefore w:w="454" w:type="dxa"/>
        </w:trPr>
        <w:tc>
          <w:tcPr>
            <w:tcW w:w="3245" w:type="dxa"/>
            <w:tcBorders>
              <w:top w:val="single" w:sz="4" w:space="0" w:color="646464"/>
              <w:bottom w:val="single" w:sz="4" w:space="0" w:color="646464"/>
            </w:tcBorders>
            <w:shd w:val="clear" w:color="auto" w:fill="auto"/>
            <w:noWrap/>
            <w:hideMark/>
          </w:tcPr>
          <w:p w14:paraId="583D9E23" w14:textId="77777777" w:rsidR="00B949E1" w:rsidRPr="006722EA" w:rsidRDefault="00B949E1" w:rsidP="00B9362B">
            <w:pPr>
              <w:pStyle w:val="Tabletext"/>
              <w:ind w:left="127"/>
              <w:rPr>
                <w:highlight w:val="yellow"/>
                <w:lang w:eastAsia="en-AU"/>
              </w:rPr>
            </w:pPr>
            <w:r w:rsidRPr="00027BB2">
              <w:t>EPS trays used for meat, fruit and other items for retail sale</w:t>
            </w:r>
          </w:p>
        </w:tc>
        <w:tc>
          <w:tcPr>
            <w:tcW w:w="992" w:type="dxa"/>
            <w:tcBorders>
              <w:top w:val="single" w:sz="4" w:space="0" w:color="646464"/>
              <w:bottom w:val="single" w:sz="4" w:space="0" w:color="646464"/>
            </w:tcBorders>
            <w:shd w:val="clear" w:color="auto" w:fill="auto"/>
            <w:noWrap/>
            <w:hideMark/>
          </w:tcPr>
          <w:p w14:paraId="4EE88F56"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4ACFC24A"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1F5D67E0"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5D66D1CB"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4C8B3548" w14:textId="77777777" w:rsidR="00B949E1" w:rsidRPr="006722EA" w:rsidRDefault="00B949E1" w:rsidP="00B9362B">
            <w:pPr>
              <w:pStyle w:val="Tabletext"/>
              <w:jc w:val="center"/>
              <w:rPr>
                <w:color w:val="000000"/>
                <w:szCs w:val="20"/>
                <w:highlight w:val="yellow"/>
                <w:lang w:eastAsia="en-AU"/>
              </w:rPr>
            </w:pPr>
            <w:r w:rsidRPr="00A1097A">
              <w:t>60%</w:t>
            </w:r>
          </w:p>
        </w:tc>
        <w:tc>
          <w:tcPr>
            <w:tcW w:w="992" w:type="dxa"/>
            <w:tcBorders>
              <w:top w:val="single" w:sz="4" w:space="0" w:color="646464"/>
              <w:bottom w:val="single" w:sz="4" w:space="0" w:color="646464"/>
            </w:tcBorders>
            <w:shd w:val="clear" w:color="auto" w:fill="auto"/>
            <w:noWrap/>
            <w:hideMark/>
          </w:tcPr>
          <w:p w14:paraId="1387F183" w14:textId="77777777" w:rsidR="00B949E1" w:rsidRPr="006722EA" w:rsidRDefault="00B949E1" w:rsidP="00B9362B">
            <w:pPr>
              <w:pStyle w:val="Tabletext"/>
              <w:jc w:val="center"/>
              <w:rPr>
                <w:color w:val="000000"/>
                <w:szCs w:val="20"/>
                <w:highlight w:val="yellow"/>
                <w:lang w:eastAsia="en-AU"/>
              </w:rPr>
            </w:pPr>
            <w:r w:rsidRPr="00A1097A">
              <w:t>40%</w:t>
            </w:r>
          </w:p>
        </w:tc>
        <w:tc>
          <w:tcPr>
            <w:tcW w:w="992" w:type="dxa"/>
            <w:tcBorders>
              <w:top w:val="single" w:sz="4" w:space="0" w:color="646464"/>
              <w:bottom w:val="single" w:sz="4" w:space="0" w:color="646464"/>
            </w:tcBorders>
            <w:shd w:val="clear" w:color="auto" w:fill="auto"/>
            <w:noWrap/>
            <w:hideMark/>
          </w:tcPr>
          <w:p w14:paraId="6148E6B6" w14:textId="77777777" w:rsidR="00B949E1" w:rsidRPr="006722EA" w:rsidRDefault="00B949E1" w:rsidP="00B9362B">
            <w:pPr>
              <w:pStyle w:val="Tabletext"/>
              <w:jc w:val="center"/>
              <w:rPr>
                <w:color w:val="000000"/>
                <w:szCs w:val="20"/>
                <w:highlight w:val="yellow"/>
                <w:lang w:eastAsia="en-AU"/>
              </w:rPr>
            </w:pPr>
            <w:r w:rsidRPr="00A1097A">
              <w:t>0%</w:t>
            </w:r>
          </w:p>
        </w:tc>
        <w:tc>
          <w:tcPr>
            <w:tcW w:w="993" w:type="dxa"/>
            <w:tcBorders>
              <w:top w:val="single" w:sz="4" w:space="0" w:color="646464"/>
              <w:bottom w:val="single" w:sz="4" w:space="0" w:color="646464"/>
            </w:tcBorders>
            <w:shd w:val="clear" w:color="auto" w:fill="auto"/>
            <w:noWrap/>
            <w:hideMark/>
          </w:tcPr>
          <w:p w14:paraId="44C7AFD4" w14:textId="77777777" w:rsidR="00B949E1" w:rsidRPr="006722EA" w:rsidRDefault="00B949E1" w:rsidP="00B9362B">
            <w:pPr>
              <w:pStyle w:val="Tabletext"/>
              <w:jc w:val="center"/>
              <w:rPr>
                <w:color w:val="000000"/>
                <w:szCs w:val="20"/>
                <w:highlight w:val="yellow"/>
                <w:lang w:eastAsia="en-AU"/>
              </w:rPr>
            </w:pPr>
            <w:r w:rsidRPr="00A1097A">
              <w:t>0%</w:t>
            </w:r>
          </w:p>
        </w:tc>
        <w:tc>
          <w:tcPr>
            <w:tcW w:w="992" w:type="dxa"/>
            <w:tcBorders>
              <w:top w:val="single" w:sz="4" w:space="0" w:color="646464"/>
              <w:bottom w:val="single" w:sz="4" w:space="0" w:color="646464"/>
            </w:tcBorders>
            <w:shd w:val="clear" w:color="auto" w:fill="auto"/>
            <w:noWrap/>
            <w:hideMark/>
          </w:tcPr>
          <w:p w14:paraId="3BB13E71"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19B55A82" w14:textId="77777777" w:rsidR="00B949E1" w:rsidRPr="009D2461" w:rsidRDefault="00B949E1" w:rsidP="00B9362B">
            <w:pPr>
              <w:pStyle w:val="Tabletext"/>
              <w:jc w:val="center"/>
              <w:rPr>
                <w:color w:val="000000"/>
                <w:szCs w:val="20"/>
                <w:lang w:eastAsia="en-AU"/>
              </w:rPr>
            </w:pPr>
            <w:r w:rsidRPr="00A1097A">
              <w:t>0%</w:t>
            </w:r>
          </w:p>
        </w:tc>
        <w:tc>
          <w:tcPr>
            <w:tcW w:w="992" w:type="dxa"/>
            <w:tcBorders>
              <w:top w:val="single" w:sz="4" w:space="0" w:color="646464"/>
              <w:bottom w:val="single" w:sz="4" w:space="0" w:color="646464"/>
            </w:tcBorders>
            <w:shd w:val="clear" w:color="auto" w:fill="auto"/>
            <w:noWrap/>
            <w:hideMark/>
          </w:tcPr>
          <w:p w14:paraId="5D5DDE74" w14:textId="77777777" w:rsidR="00B949E1" w:rsidRPr="009D2461" w:rsidRDefault="00B949E1" w:rsidP="00B9362B">
            <w:pPr>
              <w:pStyle w:val="Tabletext"/>
              <w:jc w:val="center"/>
              <w:rPr>
                <w:color w:val="000000"/>
                <w:szCs w:val="20"/>
                <w:lang w:eastAsia="en-AU"/>
              </w:rPr>
            </w:pPr>
            <w:r w:rsidRPr="00A1097A">
              <w:t>0%</w:t>
            </w:r>
          </w:p>
        </w:tc>
        <w:tc>
          <w:tcPr>
            <w:tcW w:w="993" w:type="dxa"/>
            <w:tcBorders>
              <w:top w:val="single" w:sz="4" w:space="0" w:color="646464"/>
              <w:bottom w:val="single" w:sz="4" w:space="0" w:color="646464"/>
            </w:tcBorders>
            <w:shd w:val="clear" w:color="auto" w:fill="auto"/>
            <w:noWrap/>
            <w:hideMark/>
          </w:tcPr>
          <w:p w14:paraId="752BEEF0" w14:textId="77777777" w:rsidR="00B949E1" w:rsidRPr="009D2461" w:rsidRDefault="00B949E1" w:rsidP="00B9362B">
            <w:pPr>
              <w:pStyle w:val="Tabletext"/>
              <w:jc w:val="center"/>
              <w:rPr>
                <w:color w:val="000000"/>
                <w:szCs w:val="20"/>
                <w:lang w:eastAsia="en-AU"/>
              </w:rPr>
            </w:pPr>
            <w:r w:rsidRPr="00A1097A">
              <w:t>0%</w:t>
            </w:r>
          </w:p>
        </w:tc>
      </w:tr>
      <w:tr w:rsidR="00B949E1" w:rsidRPr="00D11120" w14:paraId="1EEBBE58" w14:textId="77777777" w:rsidTr="00B9362B">
        <w:trPr>
          <w:gridBefore w:val="1"/>
          <w:wBefore w:w="454" w:type="dxa"/>
        </w:trPr>
        <w:tc>
          <w:tcPr>
            <w:tcW w:w="15152" w:type="dxa"/>
            <w:gridSpan w:val="13"/>
            <w:tcBorders>
              <w:top w:val="single" w:sz="4" w:space="0" w:color="646464"/>
              <w:bottom w:val="single" w:sz="4" w:space="0" w:color="646464"/>
            </w:tcBorders>
            <w:shd w:val="clear" w:color="auto" w:fill="auto"/>
            <w:noWrap/>
          </w:tcPr>
          <w:p w14:paraId="41F9D91C" w14:textId="77777777" w:rsidR="00B949E1" w:rsidRPr="00FF253A" w:rsidRDefault="00B949E1" w:rsidP="00B9362B">
            <w:pPr>
              <w:pStyle w:val="Note"/>
              <w:rPr>
                <w:lang w:eastAsia="en-AU"/>
              </w:rPr>
            </w:pPr>
            <w:r w:rsidRPr="00FF253A">
              <w:rPr>
                <w:rStyle w:val="Notelabel"/>
              </w:rPr>
              <w:t xml:space="preserve">a </w:t>
            </w:r>
            <w:proofErr w:type="gramStart"/>
            <w:r w:rsidRPr="00FF253A">
              <w:rPr>
                <w:lang w:eastAsia="en-AU"/>
              </w:rPr>
              <w:t>And</w:t>
            </w:r>
            <w:proofErr w:type="gramEnd"/>
            <w:r w:rsidRPr="00FF253A">
              <w:rPr>
                <w:lang w:eastAsia="en-AU"/>
              </w:rPr>
              <w:t xml:space="preserve"> other sectors buying at wholesale prices.</w:t>
            </w:r>
          </w:p>
          <w:p w14:paraId="290AD074" w14:textId="77777777" w:rsidR="00B949E1" w:rsidRPr="00FF253A" w:rsidRDefault="00B949E1" w:rsidP="00B9362B">
            <w:pPr>
              <w:pStyle w:val="Source"/>
              <w:rPr>
                <w:lang w:eastAsia="en-AU"/>
              </w:rPr>
            </w:pPr>
            <w:r w:rsidRPr="00FF253A">
              <w:rPr>
                <w:lang w:eastAsia="en-AU"/>
              </w:rPr>
              <w:t>Source: ACT NoWaste and ACIL Allen</w:t>
            </w:r>
          </w:p>
        </w:tc>
      </w:tr>
      <w:tr w:rsidR="00B949E1" w:rsidRPr="00D11120" w14:paraId="63C5BBD8" w14:textId="77777777" w:rsidTr="00B9362B">
        <w:trPr>
          <w:gridBefore w:val="1"/>
          <w:wBefore w:w="454" w:type="dxa"/>
          <w:trHeight w:hRule="exact" w:val="160"/>
        </w:trPr>
        <w:tc>
          <w:tcPr>
            <w:tcW w:w="15152" w:type="dxa"/>
            <w:gridSpan w:val="13"/>
            <w:tcBorders>
              <w:top w:val="single" w:sz="4" w:space="0" w:color="646464"/>
              <w:bottom w:val="nil"/>
            </w:tcBorders>
            <w:shd w:val="clear" w:color="auto" w:fill="auto"/>
            <w:noWrap/>
            <w:tcMar>
              <w:bottom w:w="0" w:type="dxa"/>
            </w:tcMar>
          </w:tcPr>
          <w:p w14:paraId="54F20564" w14:textId="77777777" w:rsidR="00B949E1" w:rsidRPr="00D11120" w:rsidRDefault="00B949E1" w:rsidP="00B9362B">
            <w:pPr>
              <w:pStyle w:val="spacer"/>
              <w:jc w:val="center"/>
              <w:rPr>
                <w:lang w:eastAsia="en-AU"/>
              </w:rPr>
            </w:pPr>
          </w:p>
        </w:tc>
      </w:tr>
    </w:tbl>
    <w:p w14:paraId="33C44A9A" w14:textId="77777777" w:rsidR="00B949E1" w:rsidRPr="00BD3AFF" w:rsidRDefault="00B949E1" w:rsidP="00B949E1">
      <w:pPr>
        <w:pStyle w:val="BodyText"/>
      </w:pPr>
      <w:r>
        <w:t xml:space="preserve">More detailed assumptions of the percentage of each single-use and reusable alternative are included in </w:t>
      </w:r>
      <w:r w:rsidRPr="00790266">
        <w:t>T</w:t>
      </w:r>
      <w:r>
        <w:t>able B.1</w:t>
      </w:r>
      <w:r w:rsidRPr="00790266">
        <w:t xml:space="preserve"> </w:t>
      </w:r>
      <w:r>
        <w:t>and</w:t>
      </w:r>
      <w:r>
        <w:rPr>
          <w:b/>
          <w:bCs/>
        </w:rPr>
        <w:t xml:space="preserve"> </w:t>
      </w:r>
      <w:r w:rsidRPr="00790266">
        <w:t>T</w:t>
      </w:r>
      <w:r>
        <w:t xml:space="preserve">able B.2 </w:t>
      </w:r>
      <w:r w:rsidRPr="00C55DD8">
        <w:t>Appendix</w:t>
      </w:r>
      <w:r>
        <w:t xml:space="preserve"> B</w:t>
      </w:r>
      <w:r w:rsidRPr="00C55DD8">
        <w:t>.</w:t>
      </w:r>
    </w:p>
    <w:p w14:paraId="0C6EB676" w14:textId="77777777" w:rsidR="00B949E1" w:rsidRPr="00BD3AFF" w:rsidRDefault="00B949E1" w:rsidP="00B949E1">
      <w:pPr>
        <w:pStyle w:val="BodyText"/>
      </w:pPr>
    </w:p>
    <w:p w14:paraId="0E5A8F68" w14:textId="77777777" w:rsidR="00B949E1" w:rsidRPr="00BD3AFF" w:rsidRDefault="00B949E1" w:rsidP="00B949E1">
      <w:pPr>
        <w:pStyle w:val="BodyText"/>
        <w:sectPr w:rsidR="00B949E1" w:rsidRPr="00BD3AFF" w:rsidSect="00003C6B">
          <w:headerReference w:type="even" r:id="rId82"/>
          <w:headerReference w:type="default" r:id="rId83"/>
          <w:footerReference w:type="even" r:id="rId84"/>
          <w:footerReference w:type="default" r:id="rId85"/>
          <w:headerReference w:type="first" r:id="rId86"/>
          <w:footerReference w:type="first" r:id="rId87"/>
          <w:pgSz w:w="16838" w:h="11906" w:orient="landscape" w:code="9"/>
          <w:pgMar w:top="1134" w:right="851" w:bottom="1134" w:left="3119" w:header="454" w:footer="454" w:gutter="0"/>
          <w:cols w:space="708"/>
          <w:docGrid w:linePitch="360"/>
        </w:sectPr>
      </w:pPr>
    </w:p>
    <w:p w14:paraId="433C47A5" w14:textId="77777777" w:rsidR="00B949E1" w:rsidRDefault="00B949E1" w:rsidP="00B949E1">
      <w:pPr>
        <w:pStyle w:val="Heading2"/>
      </w:pPr>
      <w:bookmarkStart w:id="96" w:name="_Toc136872631"/>
      <w:r>
        <w:lastRenderedPageBreak/>
        <w:t>Cost assessment</w:t>
      </w:r>
      <w:bookmarkEnd w:id="96"/>
    </w:p>
    <w:p w14:paraId="7A956DFD" w14:textId="77777777" w:rsidR="00B949E1" w:rsidRDefault="00B949E1" w:rsidP="00B949E1">
      <w:pPr>
        <w:pStyle w:val="Heading3"/>
      </w:pPr>
      <w:r>
        <w:t xml:space="preserve">Cost to </w:t>
      </w:r>
      <w:proofErr w:type="gramStart"/>
      <w:r>
        <w:t>government</w:t>
      </w:r>
      <w:proofErr w:type="gramEnd"/>
    </w:p>
    <w:p w14:paraId="51A97613" w14:textId="77777777" w:rsidR="00B949E1" w:rsidRPr="004F5EEF" w:rsidRDefault="00B949E1" w:rsidP="00B949E1">
      <w:pPr>
        <w:pStyle w:val="BodyText"/>
      </w:pPr>
      <w:r>
        <w:t>The additional costs that accrue to government due to implementing the ban include both one-off and ongoing costs. The one-off costs come from administration costs, consulting with industry, and producing educational materials. These one-off costs provided by ACT NoWaste are sho</w:t>
      </w:r>
      <w:r w:rsidRPr="004F5EEF">
        <w:t>wn as follows:</w:t>
      </w:r>
    </w:p>
    <w:p w14:paraId="6D2397C8" w14:textId="77777777" w:rsidR="00B949E1" w:rsidRDefault="00B949E1" w:rsidP="00B949E1">
      <w:pPr>
        <w:pStyle w:val="ListBullet"/>
        <w:numPr>
          <w:ilvl w:val="0"/>
          <w:numId w:val="9"/>
        </w:numPr>
      </w:pPr>
      <w:r>
        <w:t>Implementation cost: $400,000.</w:t>
      </w:r>
    </w:p>
    <w:p w14:paraId="0982CE8B" w14:textId="77777777" w:rsidR="00B949E1" w:rsidRPr="004F5EEF" w:rsidRDefault="00B949E1" w:rsidP="00B949E1">
      <w:pPr>
        <w:pStyle w:val="ListBullet"/>
        <w:numPr>
          <w:ilvl w:val="0"/>
          <w:numId w:val="9"/>
        </w:numPr>
      </w:pPr>
      <w:r>
        <w:t>Production of educational material: $50,000.</w:t>
      </w:r>
    </w:p>
    <w:p w14:paraId="7A3A59C6" w14:textId="77777777" w:rsidR="00B949E1" w:rsidRPr="007436E1" w:rsidRDefault="00B949E1" w:rsidP="00B949E1">
      <w:pPr>
        <w:pStyle w:val="BodyText"/>
      </w:pPr>
      <w:r>
        <w:t>ACT NoWaste estimates that there will be negligible ongoing costs, as compliance and other ongoing activities are unlikely to increase business-as-usual costs.</w:t>
      </w:r>
    </w:p>
    <w:p w14:paraId="2B92F25F" w14:textId="77777777" w:rsidR="00B949E1" w:rsidRDefault="00B949E1" w:rsidP="00B949E1">
      <w:pPr>
        <w:pStyle w:val="Heading3"/>
      </w:pPr>
      <w:r>
        <w:t xml:space="preserve">Cost to ACT </w:t>
      </w:r>
      <w:proofErr w:type="gramStart"/>
      <w:r>
        <w:t>industry</w:t>
      </w:r>
      <w:proofErr w:type="gramEnd"/>
    </w:p>
    <w:p w14:paraId="3F6900A7" w14:textId="77777777" w:rsidR="00B949E1" w:rsidRDefault="00B949E1" w:rsidP="00B949E1">
      <w:pPr>
        <w:pStyle w:val="BodyText"/>
      </w:pPr>
      <w:r>
        <w:t>A ban on the consumption of SUPs in the ACT generates costs to industry, including lost revenue for manufacturers and suppliers of the banned items and a range of implementation and operational costs.</w:t>
      </w:r>
    </w:p>
    <w:p w14:paraId="3A4ACDDA" w14:textId="77777777" w:rsidR="00B949E1" w:rsidRDefault="00B949E1" w:rsidP="001838A8">
      <w:pPr>
        <w:pStyle w:val="Heading4"/>
        <w:numPr>
          <w:ilvl w:val="0"/>
          <w:numId w:val="0"/>
        </w:numPr>
      </w:pPr>
      <w:r>
        <w:t>Costs to manufacturers, wholesalers, distributors and retailers</w:t>
      </w:r>
    </w:p>
    <w:p w14:paraId="62C7ED19" w14:textId="77777777" w:rsidR="00B949E1" w:rsidRDefault="00B949E1" w:rsidP="00B949E1">
      <w:pPr>
        <w:pStyle w:val="BodyText"/>
      </w:pPr>
      <w:r>
        <w:t xml:space="preserve">As noted in section </w:t>
      </w:r>
      <w:r>
        <w:fldChar w:fldCharType="begin"/>
      </w:r>
      <w:r>
        <w:instrText xml:space="preserve"> REF _Ref131074030 \r \h </w:instrText>
      </w:r>
      <w:r>
        <w:fldChar w:fldCharType="separate"/>
      </w:r>
      <w:r>
        <w:t>6.1.4</w:t>
      </w:r>
      <w:r>
        <w:fldChar w:fldCharType="end"/>
      </w:r>
      <w:r>
        <w:t>, this analysis does not consider second and third-order effects that result from the ban. The costs affecting manufacturers, wholesalers, distributors and retailers are discussed qualitatively in the RIS.</w:t>
      </w:r>
    </w:p>
    <w:p w14:paraId="2ADFCE2C" w14:textId="77777777" w:rsidR="00B949E1" w:rsidRDefault="00B949E1" w:rsidP="00B949E1">
      <w:pPr>
        <w:pStyle w:val="Heading4"/>
        <w:numPr>
          <w:ilvl w:val="3"/>
          <w:numId w:val="0"/>
        </w:numPr>
      </w:pPr>
      <w:r>
        <w:t>Costs to medical and other exempt sectors</w:t>
      </w:r>
    </w:p>
    <w:p w14:paraId="66F52BA6" w14:textId="77777777" w:rsidR="00B949E1" w:rsidRDefault="00B949E1" w:rsidP="00B949E1">
      <w:pPr>
        <w:pStyle w:val="BodyText"/>
      </w:pPr>
      <w:r>
        <w:t xml:space="preserve">There is potentially a cost to medical and other exempt sectors in procuring the SUP items after the ban took place, as these items will become less available, therefore, more expensive and difficult to procure. </w:t>
      </w:r>
      <w:r w:rsidRPr="00161F4D">
        <w:t xml:space="preserve">This cost </w:t>
      </w:r>
      <w:r>
        <w:t xml:space="preserve">is </w:t>
      </w:r>
      <w:r w:rsidRPr="00161F4D">
        <w:t xml:space="preserve">discussed qualitatively, with </w:t>
      </w:r>
      <w:proofErr w:type="gramStart"/>
      <w:r w:rsidRPr="00161F4D">
        <w:t>particular regard</w:t>
      </w:r>
      <w:proofErr w:type="gramEnd"/>
      <w:r w:rsidRPr="00161F4D">
        <w:t xml:space="preserve"> </w:t>
      </w:r>
      <w:r>
        <w:t>to</w:t>
      </w:r>
      <w:r w:rsidRPr="00161F4D">
        <w:t xml:space="preserve"> the equity implications.</w:t>
      </w:r>
    </w:p>
    <w:p w14:paraId="66986BF3" w14:textId="77777777" w:rsidR="00B949E1" w:rsidRDefault="00B949E1" w:rsidP="001838A8">
      <w:pPr>
        <w:pStyle w:val="Heading4"/>
        <w:numPr>
          <w:ilvl w:val="0"/>
          <w:numId w:val="0"/>
        </w:numPr>
      </w:pPr>
      <w:r>
        <w:t xml:space="preserve">Costs to hospitality and other outlets that purchase SUPs </w:t>
      </w:r>
      <w:proofErr w:type="gramStart"/>
      <w:r>
        <w:t>wholesale</w:t>
      </w:r>
      <w:proofErr w:type="gramEnd"/>
    </w:p>
    <w:p w14:paraId="007231A8" w14:textId="77777777" w:rsidR="00B949E1" w:rsidRDefault="00B949E1" w:rsidP="00B949E1">
      <w:pPr>
        <w:pStyle w:val="BodyText"/>
      </w:pPr>
      <w:r>
        <w:t xml:space="preserve">Businesses that buy SUPs wholesale to provide to consumers alongside their services will face one-off and ongoing costs due to the ban. </w:t>
      </w:r>
    </w:p>
    <w:p w14:paraId="37E7AE7B" w14:textId="77777777" w:rsidR="00B949E1" w:rsidRDefault="00B949E1" w:rsidP="001838A8">
      <w:pPr>
        <w:pStyle w:val="Heading5"/>
        <w:numPr>
          <w:ilvl w:val="0"/>
          <w:numId w:val="0"/>
        </w:numPr>
      </w:pPr>
      <w:r>
        <w:t>Fixed and one-off costs</w:t>
      </w:r>
    </w:p>
    <w:p w14:paraId="4E1D8438" w14:textId="77777777" w:rsidR="00B949E1" w:rsidRDefault="00B949E1" w:rsidP="00B949E1">
      <w:pPr>
        <w:pStyle w:val="BodyText"/>
      </w:pPr>
      <w:r>
        <w:t>The one-off costs for implementation and transition include the:</w:t>
      </w:r>
    </w:p>
    <w:p w14:paraId="5D662DFC" w14:textId="77777777" w:rsidR="00B949E1" w:rsidRDefault="00B949E1" w:rsidP="00B949E1">
      <w:pPr>
        <w:pStyle w:val="ListBullet"/>
        <w:numPr>
          <w:ilvl w:val="0"/>
          <w:numId w:val="9"/>
        </w:numPr>
      </w:pPr>
      <w:r>
        <w:t xml:space="preserve">costs of checking the products they provide against the list of banned </w:t>
      </w:r>
      <w:proofErr w:type="gramStart"/>
      <w:r>
        <w:t>items</w:t>
      </w:r>
      <w:proofErr w:type="gramEnd"/>
    </w:p>
    <w:p w14:paraId="33FF0DFD" w14:textId="77777777" w:rsidR="00B949E1" w:rsidRDefault="00B949E1" w:rsidP="00B949E1">
      <w:pPr>
        <w:pStyle w:val="ListBullet"/>
        <w:numPr>
          <w:ilvl w:val="0"/>
          <w:numId w:val="9"/>
        </w:numPr>
      </w:pPr>
      <w:r>
        <w:t>cost of arranging for the supply of compliant (alternative) products</w:t>
      </w:r>
    </w:p>
    <w:p w14:paraId="5AC87CE6" w14:textId="77777777" w:rsidR="00B949E1" w:rsidRDefault="00B949E1" w:rsidP="00B949E1">
      <w:pPr>
        <w:pStyle w:val="ListBullet"/>
        <w:numPr>
          <w:ilvl w:val="0"/>
          <w:numId w:val="9"/>
        </w:numPr>
      </w:pPr>
      <w:r>
        <w:t xml:space="preserve">costs of setting up new processes to provide for the washing of re-usable </w:t>
      </w:r>
      <w:proofErr w:type="gramStart"/>
      <w:r>
        <w:t>products</w:t>
      </w:r>
      <w:proofErr w:type="gramEnd"/>
    </w:p>
    <w:p w14:paraId="586C6329" w14:textId="77777777" w:rsidR="00B949E1" w:rsidRDefault="00B949E1" w:rsidP="00B949E1">
      <w:pPr>
        <w:pStyle w:val="ListBullet"/>
        <w:numPr>
          <w:ilvl w:val="0"/>
          <w:numId w:val="9"/>
        </w:numPr>
      </w:pPr>
      <w:r>
        <w:t>redistribution or disposal of inventory.</w:t>
      </w:r>
    </w:p>
    <w:p w14:paraId="51251368" w14:textId="77777777" w:rsidR="00B949E1" w:rsidRDefault="00B949E1" w:rsidP="00B949E1">
      <w:pPr>
        <w:pStyle w:val="BodyText"/>
      </w:pPr>
      <w:r>
        <w:t>These costs are considered minimal and not incorporated into the CBA. They are considered minimal for the following reasons:</w:t>
      </w:r>
    </w:p>
    <w:p w14:paraId="16664BC2" w14:textId="77777777" w:rsidR="00B949E1" w:rsidRDefault="00B949E1" w:rsidP="00B949E1">
      <w:pPr>
        <w:pStyle w:val="ListBullet"/>
        <w:numPr>
          <w:ilvl w:val="0"/>
          <w:numId w:val="9"/>
        </w:numPr>
      </w:pPr>
      <w:r>
        <w:t xml:space="preserve">The costs associated with checking products against the list is expected to be small, due to the information published by ACT NoWaste and the relatively short list of products being banned in this tranche. </w:t>
      </w:r>
    </w:p>
    <w:p w14:paraId="6D75162F" w14:textId="77777777" w:rsidR="00B949E1" w:rsidRDefault="00B949E1" w:rsidP="00B949E1">
      <w:pPr>
        <w:pStyle w:val="ListBullet"/>
        <w:numPr>
          <w:ilvl w:val="0"/>
          <w:numId w:val="9"/>
        </w:numPr>
      </w:pPr>
      <w:r>
        <w:t xml:space="preserve">The cost of engaging suppliers of compliant alternatives could be considered a part of regular business practice. Additionally, many suppliers that provide the products to be banned also provide compliant alternatives. In this case, businesses can simply select a compliant product offering. </w:t>
      </w:r>
    </w:p>
    <w:p w14:paraId="3FE0F891" w14:textId="77777777" w:rsidR="00B949E1" w:rsidRDefault="00B949E1" w:rsidP="00B949E1">
      <w:pPr>
        <w:pStyle w:val="ListBullet"/>
        <w:numPr>
          <w:ilvl w:val="0"/>
          <w:numId w:val="9"/>
        </w:numPr>
      </w:pPr>
      <w:r>
        <w:lastRenderedPageBreak/>
        <w:t xml:space="preserve">Businesses that already have cleaning facilities are more likely to opt for reusable items. In such cases, there is no additional infrastructure required. </w:t>
      </w:r>
    </w:p>
    <w:p w14:paraId="34ACB74E" w14:textId="77777777" w:rsidR="00B949E1" w:rsidRDefault="00B949E1" w:rsidP="00B949E1">
      <w:pPr>
        <w:pStyle w:val="ListBullet"/>
        <w:numPr>
          <w:ilvl w:val="0"/>
          <w:numId w:val="9"/>
        </w:numPr>
      </w:pPr>
      <w:r>
        <w:t>The cost of disposing of inventory is anticipated to be small, as any changes will be announced with a sufficient lead time for businesses.</w:t>
      </w:r>
    </w:p>
    <w:p w14:paraId="61010300" w14:textId="77777777" w:rsidR="00B949E1" w:rsidRDefault="00B949E1" w:rsidP="001838A8">
      <w:pPr>
        <w:pStyle w:val="Heading5"/>
        <w:numPr>
          <w:ilvl w:val="0"/>
          <w:numId w:val="0"/>
        </w:numPr>
      </w:pPr>
      <w:r>
        <w:t>Ongoing costs</w:t>
      </w:r>
    </w:p>
    <w:p w14:paraId="7EDD04C4" w14:textId="77777777" w:rsidR="00B949E1" w:rsidRDefault="00B949E1" w:rsidP="00B949E1">
      <w:pPr>
        <w:pStyle w:val="BodyText"/>
      </w:pPr>
      <w:r>
        <w:t xml:space="preserve">Changes to ongoing and operational costs are primarily derived from the change in volume and price of a product supplied in the base case and the policy scenario. </w:t>
      </w:r>
    </w:p>
    <w:p w14:paraId="000CD761" w14:textId="77777777" w:rsidR="00B949E1" w:rsidRPr="00D22F77" w:rsidRDefault="00B949E1" w:rsidP="00B949E1">
      <w:pPr>
        <w:pStyle w:val="BodyText"/>
      </w:pPr>
      <w:r w:rsidRPr="006401E9">
        <w:t>The</w:t>
      </w:r>
      <w:r>
        <w:t xml:space="preserve"> </w:t>
      </w:r>
      <w:r w:rsidRPr="006401E9">
        <w:t>cost</w:t>
      </w:r>
      <w:r>
        <w:t xml:space="preserve"> </w:t>
      </w:r>
      <w:r w:rsidRPr="006401E9">
        <w:t>per</w:t>
      </w:r>
      <w:r>
        <w:t xml:space="preserve"> </w:t>
      </w:r>
      <w:r w:rsidRPr="006401E9">
        <w:t>banned</w:t>
      </w:r>
      <w:r>
        <w:t xml:space="preserve"> SUP </w:t>
      </w:r>
      <w:r w:rsidRPr="006401E9">
        <w:t>item</w:t>
      </w:r>
      <w:r>
        <w:t xml:space="preserve"> </w:t>
      </w:r>
      <w:r w:rsidRPr="006401E9">
        <w:t>and</w:t>
      </w:r>
      <w:r>
        <w:t xml:space="preserve"> </w:t>
      </w:r>
      <w:r w:rsidRPr="006401E9">
        <w:t>replacement</w:t>
      </w:r>
      <w:r>
        <w:t xml:space="preserve"> </w:t>
      </w:r>
      <w:r w:rsidRPr="006401E9">
        <w:t>items</w:t>
      </w:r>
      <w:r>
        <w:t xml:space="preserve"> </w:t>
      </w:r>
      <w:r w:rsidRPr="006401E9">
        <w:t>under</w:t>
      </w:r>
      <w:r>
        <w:t xml:space="preserve"> </w:t>
      </w:r>
      <w:r w:rsidRPr="006401E9">
        <w:t>each</w:t>
      </w:r>
      <w:r>
        <w:t xml:space="preserve"> </w:t>
      </w:r>
      <w:r w:rsidRPr="006401E9">
        <w:t>option</w:t>
      </w:r>
      <w:r>
        <w:t xml:space="preserve"> (both at the retail and wholesale levels) have been sourced from desktop research conducted by ACIL Allen</w:t>
      </w:r>
      <w:r w:rsidRPr="006401E9">
        <w:t>.</w:t>
      </w:r>
      <w:r>
        <w:t xml:space="preserve"> </w:t>
      </w:r>
      <w:r w:rsidRPr="006401E9">
        <w:t>The</w:t>
      </w:r>
      <w:r>
        <w:t xml:space="preserve"> selection of replacement items under each option and their assumed prices have been agreed upon with ACT NoWaste (</w:t>
      </w:r>
      <w:r w:rsidRPr="00C55DD8">
        <w:t xml:space="preserve">see </w:t>
      </w:r>
      <w:r>
        <w:t xml:space="preserve">Table B.3 </w:t>
      </w:r>
      <w:r w:rsidRPr="00074AE7">
        <w:t>and</w:t>
      </w:r>
      <w:r w:rsidRPr="00074AE7">
        <w:rPr>
          <w:b/>
          <w:bCs/>
        </w:rPr>
        <w:t xml:space="preserve"> </w:t>
      </w:r>
      <w:r w:rsidRPr="00790266">
        <w:t xml:space="preserve">Table </w:t>
      </w:r>
      <w:r>
        <w:t>B</w:t>
      </w:r>
      <w:r w:rsidRPr="00790266">
        <w:t xml:space="preserve">.4 </w:t>
      </w:r>
      <w:r w:rsidRPr="00C55DD8">
        <w:t>in Appendix</w:t>
      </w:r>
      <w:r>
        <w:t xml:space="preserve"> B)</w:t>
      </w:r>
      <w:r w:rsidRPr="00D22F77">
        <w:t xml:space="preserve">. </w:t>
      </w:r>
    </w:p>
    <w:p w14:paraId="07AF679A" w14:textId="77777777" w:rsidR="00B949E1" w:rsidRPr="004F09D2" w:rsidRDefault="00B949E1" w:rsidP="00B949E1">
      <w:pPr>
        <w:pStyle w:val="Heading3"/>
      </w:pPr>
      <w:r>
        <w:t xml:space="preserve">Cost to </w:t>
      </w:r>
      <w:proofErr w:type="gramStart"/>
      <w:r>
        <w:t>consumers</w:t>
      </w:r>
      <w:proofErr w:type="gramEnd"/>
    </w:p>
    <w:p w14:paraId="6F263DBC" w14:textId="77777777" w:rsidR="00B949E1" w:rsidRDefault="00B949E1" w:rsidP="00B949E1">
      <w:pPr>
        <w:pStyle w:val="BodyText"/>
      </w:pPr>
      <w:r>
        <w:t>This analysis assumes that consumers will incur the costs for products sold in retail settings, including switching to alternatives. The price changes modelled are shown in the retail column of the tables above. An additional cost is the perceived quality of alternatives, which will be discussed qualitatively.</w:t>
      </w:r>
    </w:p>
    <w:p w14:paraId="291B4509" w14:textId="77777777" w:rsidR="00B949E1" w:rsidRDefault="00B949E1" w:rsidP="00B949E1">
      <w:pPr>
        <w:pStyle w:val="Heading2"/>
      </w:pPr>
      <w:bookmarkStart w:id="97" w:name="_Ref130818582"/>
      <w:bookmarkStart w:id="98" w:name="_Toc136872632"/>
      <w:r>
        <w:t>Benefit assessment</w:t>
      </w:r>
      <w:bookmarkEnd w:id="97"/>
      <w:bookmarkEnd w:id="98"/>
    </w:p>
    <w:p w14:paraId="163435BA" w14:textId="77777777" w:rsidR="00B949E1" w:rsidRDefault="00B949E1" w:rsidP="00B949E1">
      <w:pPr>
        <w:pStyle w:val="BodyText"/>
      </w:pPr>
      <w:r>
        <w:t xml:space="preserve">The societal benefit of removing a SUP from the market depends on where that SUP would have ended up. For example, a SUP that would have ended up in landfill that is removed from the market decreases the cost of landfill. </w:t>
      </w:r>
    </w:p>
    <w:p w14:paraId="6BFDD0AC" w14:textId="77777777" w:rsidR="00B949E1" w:rsidRDefault="00B949E1" w:rsidP="00B949E1">
      <w:pPr>
        <w:pStyle w:val="BodyText"/>
      </w:pPr>
      <w:r>
        <w:t>For this analysis, there are two quantified types of benefits:</w:t>
      </w:r>
    </w:p>
    <w:p w14:paraId="033B47DB" w14:textId="77777777" w:rsidR="00B949E1" w:rsidRDefault="00B949E1" w:rsidP="00B949E1">
      <w:pPr>
        <w:pStyle w:val="ListBullet"/>
        <w:numPr>
          <w:ilvl w:val="0"/>
          <w:numId w:val="9"/>
        </w:numPr>
      </w:pPr>
      <w:r>
        <w:t xml:space="preserve">reductions in operating landfill costs associated with the decrease in litter going to </w:t>
      </w:r>
      <w:proofErr w:type="gramStart"/>
      <w:r>
        <w:t>landfill</w:t>
      </w:r>
      <w:proofErr w:type="gramEnd"/>
    </w:p>
    <w:p w14:paraId="1440494B" w14:textId="77777777" w:rsidR="00B949E1" w:rsidRDefault="00B949E1" w:rsidP="00B949E1">
      <w:pPr>
        <w:pStyle w:val="ListBullet"/>
        <w:numPr>
          <w:ilvl w:val="0"/>
          <w:numId w:val="9"/>
        </w:numPr>
      </w:pPr>
      <w:r>
        <w:t>reductions in the amount of litter (waste entering the urban and suburban landscape and the broader environment) associated with reduced or different litter entering the environment.</w:t>
      </w:r>
    </w:p>
    <w:p w14:paraId="01488696" w14:textId="77777777" w:rsidR="00B949E1" w:rsidRDefault="00B949E1" w:rsidP="00B949E1">
      <w:pPr>
        <w:pStyle w:val="BodyText"/>
      </w:pPr>
      <w:r>
        <w:t>Data on the flows of SUPs in Australia (and in the ACT, more specifically) is limited. Some of the sources considered for use in this analysis include the following.</w:t>
      </w:r>
    </w:p>
    <w:p w14:paraId="565FE5C8" w14:textId="77777777" w:rsidR="00B949E1" w:rsidRDefault="00B949E1" w:rsidP="00B949E1">
      <w:pPr>
        <w:pStyle w:val="ListBullet"/>
        <w:numPr>
          <w:ilvl w:val="0"/>
          <w:numId w:val="9"/>
        </w:numPr>
      </w:pPr>
      <w:r>
        <w:t>Th</w:t>
      </w:r>
      <w:r w:rsidRPr="00B25764">
        <w:t>e</w:t>
      </w:r>
      <w:r>
        <w:t xml:space="preserve"> </w:t>
      </w:r>
      <w:r w:rsidRPr="00B25764">
        <w:t>National</w:t>
      </w:r>
      <w:r>
        <w:t xml:space="preserve"> </w:t>
      </w:r>
      <w:r w:rsidRPr="00B25764">
        <w:t>Waste</w:t>
      </w:r>
      <w:r>
        <w:t xml:space="preserve"> </w:t>
      </w:r>
      <w:r w:rsidRPr="00B25764">
        <w:t>Report</w:t>
      </w:r>
      <w:r>
        <w:t xml:space="preserve"> </w:t>
      </w:r>
      <w:r w:rsidRPr="00B25764">
        <w:t>2020</w:t>
      </w:r>
      <w:r>
        <w:rPr>
          <w:rStyle w:val="FootnoteReference"/>
        </w:rPr>
        <w:footnoteReference w:id="79"/>
      </w:r>
      <w:r w:rsidRPr="00B25764">
        <w:t xml:space="preserve"> indicates</w:t>
      </w:r>
      <w:r>
        <w:t xml:space="preserve"> </w:t>
      </w:r>
      <w:r w:rsidRPr="00B25764">
        <w:t>that</w:t>
      </w:r>
      <w:r>
        <w:t xml:space="preserve"> only </w:t>
      </w:r>
      <w:r w:rsidRPr="00B25764">
        <w:t>a</w:t>
      </w:r>
      <w:r>
        <w:t xml:space="preserve"> small </w:t>
      </w:r>
      <w:r w:rsidRPr="00B25764">
        <w:t>proportion</w:t>
      </w:r>
      <w:r>
        <w:t xml:space="preserve"> </w:t>
      </w:r>
      <w:r w:rsidRPr="00B25764">
        <w:t>of</w:t>
      </w:r>
      <w:r>
        <w:t xml:space="preserve"> </w:t>
      </w:r>
      <w:r w:rsidRPr="00B25764">
        <w:t>all</w:t>
      </w:r>
      <w:r>
        <w:t xml:space="preserve"> </w:t>
      </w:r>
      <w:r w:rsidRPr="00B25764">
        <w:t>plastic</w:t>
      </w:r>
      <w:r>
        <w:t xml:space="preserve"> products </w:t>
      </w:r>
      <w:r w:rsidRPr="00B25764">
        <w:t>(as</w:t>
      </w:r>
      <w:r>
        <w:t xml:space="preserve"> </w:t>
      </w:r>
      <w:r w:rsidRPr="00B25764">
        <w:t>low</w:t>
      </w:r>
      <w:r>
        <w:t xml:space="preserve"> </w:t>
      </w:r>
      <w:r w:rsidRPr="00B25764">
        <w:t>as</w:t>
      </w:r>
      <w:r>
        <w:t xml:space="preserve"> </w:t>
      </w:r>
      <w:r w:rsidRPr="00B25764">
        <w:t>1</w:t>
      </w:r>
      <w:r>
        <w:t>%</w:t>
      </w:r>
      <w:r w:rsidRPr="00B25764">
        <w:t xml:space="preserve">) </w:t>
      </w:r>
      <w:r>
        <w:t xml:space="preserve">are </w:t>
      </w:r>
      <w:r w:rsidRPr="00B25764">
        <w:t>entering</w:t>
      </w:r>
      <w:r>
        <w:t xml:space="preserve"> </w:t>
      </w:r>
      <w:r w:rsidRPr="00B25764">
        <w:t>the</w:t>
      </w:r>
      <w:r>
        <w:t xml:space="preserve"> </w:t>
      </w:r>
      <w:r w:rsidRPr="00B25764">
        <w:t>environment</w:t>
      </w:r>
      <w:r>
        <w:t xml:space="preserve"> </w:t>
      </w:r>
      <w:r w:rsidRPr="00B25764">
        <w:t>(see</w:t>
      </w:r>
      <w:r>
        <w:t xml:space="preserve"> </w:t>
      </w:r>
      <w:r w:rsidRPr="004A06F6">
        <w:rPr>
          <w:b/>
          <w:bCs/>
        </w:rPr>
        <w:fldChar w:fldCharType="begin"/>
      </w:r>
      <w:r w:rsidRPr="004A06F6">
        <w:rPr>
          <w:b/>
          <w:bCs/>
        </w:rPr>
        <w:instrText xml:space="preserve"> REF _Ref130824855 \h </w:instrText>
      </w:r>
      <w:r>
        <w:rPr>
          <w:b/>
          <w:bCs/>
        </w:rPr>
        <w:instrText xml:space="preserve"> \* MERGEFORMAT </w:instrText>
      </w:r>
      <w:r w:rsidRPr="004A06F6">
        <w:rPr>
          <w:b/>
          <w:bCs/>
        </w:rPr>
      </w:r>
      <w:r w:rsidRPr="004A06F6">
        <w:rPr>
          <w:b/>
          <w:bCs/>
        </w:rPr>
        <w:fldChar w:fldCharType="separate"/>
      </w:r>
      <w:r w:rsidRPr="00790266">
        <w:rPr>
          <w:rStyle w:val="CaptionLabel"/>
          <w:b w:val="0"/>
          <w:bCs/>
        </w:rPr>
        <w:t>Table 6.2</w:t>
      </w:r>
      <w:r w:rsidRPr="004A06F6">
        <w:rPr>
          <w:b/>
          <w:bCs/>
        </w:rPr>
        <w:fldChar w:fldCharType="end"/>
      </w:r>
      <w:r w:rsidRPr="00B25764">
        <w:t>).</w:t>
      </w:r>
      <w:r>
        <w:t xml:space="preserve"> </w:t>
      </w:r>
      <w:r w:rsidRPr="00B25764">
        <w:t>However,</w:t>
      </w:r>
      <w:r>
        <w:t xml:space="preserve"> these figures include </w:t>
      </w:r>
      <w:r w:rsidRPr="006F65B2">
        <w:t>all</w:t>
      </w:r>
      <w:r>
        <w:t xml:space="preserve"> </w:t>
      </w:r>
      <w:r w:rsidRPr="006F65B2">
        <w:t>types</w:t>
      </w:r>
      <w:r>
        <w:t xml:space="preserve"> </w:t>
      </w:r>
      <w:r w:rsidRPr="006F65B2">
        <w:t>of</w:t>
      </w:r>
      <w:r>
        <w:t xml:space="preserve"> </w:t>
      </w:r>
      <w:r w:rsidRPr="006F65B2">
        <w:t>plastics,</w:t>
      </w:r>
      <w:r>
        <w:t xml:space="preserve"> </w:t>
      </w:r>
      <w:r w:rsidRPr="006F65B2">
        <w:t>including</w:t>
      </w:r>
      <w:r>
        <w:t xml:space="preserve"> </w:t>
      </w:r>
      <w:r w:rsidRPr="006F65B2">
        <w:t>multi-use</w:t>
      </w:r>
      <w:r>
        <w:t xml:space="preserve"> and recyclable plastics, and may not represent the SUP items that need to be analysed. </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508E95BC" w14:textId="77777777" w:rsidTr="00B9362B">
        <w:tc>
          <w:tcPr>
            <w:tcW w:w="7936" w:type="dxa"/>
            <w:tcBorders>
              <w:bottom w:val="single" w:sz="4" w:space="0" w:color="000100"/>
            </w:tcBorders>
            <w:shd w:val="clear" w:color="auto" w:fill="auto"/>
            <w:tcMar>
              <w:top w:w="160" w:type="dxa"/>
              <w:bottom w:w="8" w:type="dxa"/>
            </w:tcMar>
          </w:tcPr>
          <w:p w14:paraId="37FF19D3" w14:textId="77777777" w:rsidR="00B949E1" w:rsidRDefault="00B949E1" w:rsidP="00B9362B">
            <w:pPr>
              <w:pStyle w:val="Caption"/>
            </w:pPr>
            <w:bookmarkStart w:id="99" w:name="_Toc134002433"/>
            <w:r w:rsidRPr="006F65B2">
              <w:rPr>
                <w:rStyle w:val="CaptionLabel"/>
              </w:rPr>
              <w:lastRenderedPageBreak/>
              <w:t>Figure </w:t>
            </w:r>
            <w:r w:rsidRPr="006F65B2">
              <w:rPr>
                <w:rStyle w:val="CaptionLabel"/>
              </w:rPr>
              <w:fldChar w:fldCharType="begin"/>
            </w:r>
            <w:r w:rsidRPr="006F65B2">
              <w:rPr>
                <w:rStyle w:val="CaptionLabel"/>
              </w:rPr>
              <w:instrText xml:space="preserve"> STYLEREF 1 \S \* MERGEFORMAT </w:instrText>
            </w:r>
            <w:r w:rsidRPr="006F65B2">
              <w:rPr>
                <w:rStyle w:val="CaptionLabel"/>
              </w:rPr>
              <w:fldChar w:fldCharType="separate"/>
            </w:r>
            <w:r>
              <w:rPr>
                <w:rStyle w:val="CaptionLabel"/>
                <w:noProof/>
              </w:rPr>
              <w:t>6</w:t>
            </w:r>
            <w:r w:rsidRPr="006F65B2">
              <w:rPr>
                <w:rStyle w:val="CaptionLabel"/>
              </w:rPr>
              <w:fldChar w:fldCharType="end"/>
            </w:r>
            <w:r w:rsidRPr="006F65B2">
              <w:rPr>
                <w:rStyle w:val="CaptionLabel"/>
              </w:rPr>
              <w:t>.</w:t>
            </w:r>
            <w:r w:rsidRPr="006F65B2">
              <w:rPr>
                <w:rStyle w:val="CaptionLabel"/>
              </w:rPr>
              <w:fldChar w:fldCharType="begin"/>
            </w:r>
            <w:r w:rsidRPr="006F65B2">
              <w:rPr>
                <w:rStyle w:val="CaptionLabel"/>
              </w:rPr>
              <w:instrText xml:space="preserve"> SEQ Figure \* ARABIC \S 1 \* MERGEFORMAT </w:instrText>
            </w:r>
            <w:r w:rsidRPr="006F65B2">
              <w:rPr>
                <w:rStyle w:val="CaptionLabel"/>
              </w:rPr>
              <w:fldChar w:fldCharType="separate"/>
            </w:r>
            <w:r>
              <w:rPr>
                <w:rStyle w:val="CaptionLabel"/>
                <w:noProof/>
              </w:rPr>
              <w:t>2</w:t>
            </w:r>
            <w:r w:rsidRPr="006F65B2">
              <w:rPr>
                <w:rStyle w:val="CaptionLabel"/>
              </w:rPr>
              <w:fldChar w:fldCharType="end"/>
            </w:r>
            <w:r>
              <w:tab/>
            </w:r>
            <w:r w:rsidRPr="006F65B2">
              <w:t>Plastic</w:t>
            </w:r>
            <w:r>
              <w:t xml:space="preserve"> </w:t>
            </w:r>
            <w:r w:rsidRPr="006F65B2">
              <w:t>flows</w:t>
            </w:r>
            <w:r>
              <w:t xml:space="preserve"> </w:t>
            </w:r>
            <w:r w:rsidRPr="006F65B2">
              <w:t>in</w:t>
            </w:r>
            <w:r>
              <w:t xml:space="preserve"> </w:t>
            </w:r>
            <w:r w:rsidRPr="006F65B2">
              <w:t>Australia,</w:t>
            </w:r>
            <w:r>
              <w:t xml:space="preserve"> </w:t>
            </w:r>
            <w:r w:rsidRPr="006F65B2">
              <w:t>2018-19</w:t>
            </w:r>
            <w:bookmarkEnd w:id="99"/>
          </w:p>
        </w:tc>
      </w:tr>
      <w:tr w:rsidR="00B949E1" w14:paraId="3D7B2AC7" w14:textId="77777777" w:rsidTr="00B9362B">
        <w:tc>
          <w:tcPr>
            <w:tcW w:w="7936" w:type="dxa"/>
            <w:tcBorders>
              <w:top w:val="single" w:sz="4" w:space="0" w:color="000100"/>
            </w:tcBorders>
            <w:shd w:val="clear" w:color="auto" w:fill="auto"/>
            <w:tcMar>
              <w:top w:w="8" w:type="dxa"/>
              <w:bottom w:w="8" w:type="dxa"/>
              <w:right w:w="20" w:type="dxa"/>
            </w:tcMar>
          </w:tcPr>
          <w:p w14:paraId="09131E39" w14:textId="77777777" w:rsidR="00B949E1" w:rsidRDefault="00B949E1" w:rsidP="00B9362B">
            <w:pPr>
              <w:pStyle w:val="Figure"/>
            </w:pPr>
            <w:r>
              <w:rPr>
                <w:noProof/>
                <w:lang w:eastAsia="en-AU"/>
              </w:rPr>
              <w:drawing>
                <wp:inline distT="0" distB="0" distL="0" distR="0" wp14:anchorId="3C6AA82C" wp14:editId="62C28044">
                  <wp:extent cx="5026660" cy="2529205"/>
                  <wp:effectExtent l="0" t="0" r="2540" b="4445"/>
                  <wp:docPr id="523" name="Picture 52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26660" cy="2529205"/>
                          </a:xfrm>
                          <a:prstGeom prst="rect">
                            <a:avLst/>
                          </a:prstGeom>
                        </pic:spPr>
                      </pic:pic>
                    </a:graphicData>
                  </a:graphic>
                </wp:inline>
              </w:drawing>
            </w:r>
          </w:p>
        </w:tc>
      </w:tr>
      <w:tr w:rsidR="00B949E1" w14:paraId="66D23A5C" w14:textId="77777777" w:rsidTr="00B9362B">
        <w:trPr>
          <w:trHeight w:val="135"/>
        </w:trPr>
        <w:tc>
          <w:tcPr>
            <w:tcW w:w="7936" w:type="dxa"/>
            <w:tcBorders>
              <w:bottom w:val="single" w:sz="4" w:space="0" w:color="000100"/>
            </w:tcBorders>
            <w:shd w:val="clear" w:color="auto" w:fill="auto"/>
            <w:tcMar>
              <w:top w:w="12" w:type="dxa"/>
              <w:bottom w:w="113" w:type="dxa"/>
            </w:tcMar>
          </w:tcPr>
          <w:p w14:paraId="3924E55E" w14:textId="77777777" w:rsidR="00B949E1" w:rsidRDefault="00B949E1" w:rsidP="00B9362B">
            <w:pPr>
              <w:pStyle w:val="Note"/>
            </w:pPr>
            <w:r>
              <w:t>Note: This includes all types of plastics, including multi-use plastics and recyclable plastics.</w:t>
            </w:r>
          </w:p>
          <w:p w14:paraId="57800F27" w14:textId="77777777" w:rsidR="00B949E1" w:rsidRDefault="00B949E1" w:rsidP="00B9362B">
            <w:pPr>
              <w:pStyle w:val="Source"/>
            </w:pPr>
            <w:r>
              <w:t xml:space="preserve">Source: </w:t>
            </w:r>
            <w:r w:rsidRPr="006F65B2">
              <w:t>Blue</w:t>
            </w:r>
            <w:r>
              <w:t xml:space="preserve"> </w:t>
            </w:r>
            <w:r w:rsidRPr="006F65B2">
              <w:t>Environment</w:t>
            </w:r>
            <w:r>
              <w:t xml:space="preserve"> 2020</w:t>
            </w:r>
            <w:r w:rsidRPr="006F65B2">
              <w:t>,</w:t>
            </w:r>
            <w:r>
              <w:t xml:space="preserve"> </w:t>
            </w:r>
            <w:r w:rsidRPr="006F65B2">
              <w:t>National</w:t>
            </w:r>
            <w:r>
              <w:t xml:space="preserve"> </w:t>
            </w:r>
            <w:r w:rsidRPr="006F65B2">
              <w:t>Waste</w:t>
            </w:r>
            <w:r>
              <w:t xml:space="preserve"> </w:t>
            </w:r>
            <w:r w:rsidRPr="006F65B2">
              <w:t>Report</w:t>
            </w:r>
            <w:r>
              <w:t xml:space="preserve"> </w:t>
            </w:r>
            <w:r w:rsidRPr="006F65B2">
              <w:t>2020</w:t>
            </w:r>
            <w:r>
              <w:t>,</w:t>
            </w:r>
          </w:p>
        </w:tc>
      </w:tr>
      <w:tr w:rsidR="00B949E1" w14:paraId="2107F849"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2A15CA8B" w14:textId="77777777" w:rsidR="00B949E1" w:rsidRDefault="00B949E1" w:rsidP="00B9362B">
            <w:pPr>
              <w:pStyle w:val="spacer"/>
            </w:pPr>
          </w:p>
        </w:tc>
      </w:tr>
    </w:tbl>
    <w:p w14:paraId="49CCCE6D" w14:textId="77777777" w:rsidR="00B949E1" w:rsidRDefault="00B949E1" w:rsidP="00B949E1">
      <w:pPr>
        <w:pStyle w:val="ListBullet"/>
        <w:numPr>
          <w:ilvl w:val="0"/>
          <w:numId w:val="9"/>
        </w:numPr>
      </w:pPr>
      <w:r>
        <w:t xml:space="preserve">The latest </w:t>
      </w:r>
      <w:r w:rsidRPr="00D6055C">
        <w:t>Australian</w:t>
      </w:r>
      <w:r>
        <w:t xml:space="preserve"> </w:t>
      </w:r>
      <w:r w:rsidRPr="00D6055C">
        <w:t>Plastics</w:t>
      </w:r>
      <w:r>
        <w:t xml:space="preserve"> </w:t>
      </w:r>
      <w:r w:rsidRPr="00D6055C">
        <w:t>Flows</w:t>
      </w:r>
      <w:r>
        <w:t xml:space="preserve"> </w:t>
      </w:r>
      <w:r w:rsidRPr="00D6055C">
        <w:t>and</w:t>
      </w:r>
      <w:r>
        <w:t xml:space="preserve"> </w:t>
      </w:r>
      <w:r w:rsidRPr="00D6055C">
        <w:t>Fates</w:t>
      </w:r>
      <w:r>
        <w:t xml:space="preserve"> </w:t>
      </w:r>
      <w:r w:rsidRPr="00D6055C">
        <w:t>Study</w:t>
      </w:r>
      <w:r>
        <w:t xml:space="preserve"> (2019-2020) provides comprehensive data on plastic flows in Australia across polymer types and applications, including the </w:t>
      </w:r>
      <w:proofErr w:type="gramStart"/>
      <w:r>
        <w:t>amount</w:t>
      </w:r>
      <w:proofErr w:type="gramEnd"/>
      <w:r>
        <w:t xml:space="preserve"> of plastics that are recovered and disposed of. However, this dataset does not include data about the percentage of plastics that are littered. The report provides data on the </w:t>
      </w:r>
      <w:r w:rsidRPr="006706C0">
        <w:t>national</w:t>
      </w:r>
      <w:r>
        <w:t xml:space="preserve"> </w:t>
      </w:r>
      <w:r w:rsidRPr="006706C0">
        <w:t>consumption</w:t>
      </w:r>
      <w:r>
        <w:t xml:space="preserve"> of some SUP items relevant to this RIS. Still, no specific information about flows of SUP waste is provided. </w:t>
      </w:r>
    </w:p>
    <w:p w14:paraId="5118177E" w14:textId="77777777" w:rsidR="00B949E1" w:rsidRDefault="00B949E1" w:rsidP="00B949E1">
      <w:pPr>
        <w:pStyle w:val="ListBullet"/>
        <w:numPr>
          <w:ilvl w:val="0"/>
          <w:numId w:val="9"/>
        </w:numPr>
      </w:pPr>
      <w:r>
        <w:t>The WWF Australia’s Plastic Revolution to Reality Report</w:t>
      </w:r>
      <w:r>
        <w:rPr>
          <w:rStyle w:val="FootnoteReference"/>
        </w:rPr>
        <w:footnoteReference w:id="80"/>
      </w:r>
      <w:r>
        <w:t xml:space="preserve"> estimates that one million tonnes of Australia’s annual plastic consumption are SUPs. Of these SUPs, approximately 18% are recovered through recycling, 71% go to landfill and 11% leak directly into the environment (see </w:t>
      </w:r>
      <w:r w:rsidRPr="00A12CB0">
        <w:rPr>
          <w:b/>
          <w:bCs/>
        </w:rPr>
        <w:fldChar w:fldCharType="begin"/>
      </w:r>
      <w:r w:rsidRPr="00A12CB0">
        <w:rPr>
          <w:b/>
          <w:bCs/>
        </w:rPr>
        <w:instrText xml:space="preserve"> REF _Ref130824578 \h </w:instrText>
      </w:r>
      <w:r>
        <w:rPr>
          <w:b/>
          <w:bCs/>
        </w:rPr>
        <w:instrText xml:space="preserve"> \* MERGEFORMAT </w:instrText>
      </w:r>
      <w:r w:rsidRPr="00A12CB0">
        <w:rPr>
          <w:b/>
          <w:bCs/>
        </w:rPr>
      </w:r>
      <w:r w:rsidRPr="00A12CB0">
        <w:rPr>
          <w:b/>
          <w:bCs/>
        </w:rPr>
        <w:fldChar w:fldCharType="separate"/>
      </w:r>
      <w:r w:rsidRPr="00790266">
        <w:rPr>
          <w:rStyle w:val="CaptionLabel"/>
          <w:b w:val="0"/>
          <w:bCs/>
        </w:rPr>
        <w:t>Figure 6.3</w:t>
      </w:r>
      <w:r w:rsidRPr="00A12CB0">
        <w:rPr>
          <w:b/>
          <w:bCs/>
        </w:rPr>
        <w:fldChar w:fldCharType="end"/>
      </w:r>
      <w:r>
        <w:t>).</w:t>
      </w:r>
      <w:r>
        <w:rPr>
          <w:rStyle w:val="FootnoteReference"/>
        </w:rPr>
        <w:footnoteReference w:id="81"/>
      </w:r>
    </w:p>
    <w:tbl>
      <w:tblPr>
        <w:tblW w:w="0" w:type="auto"/>
        <w:tblLayout w:type="fixed"/>
        <w:tblCellMar>
          <w:left w:w="0" w:type="dxa"/>
          <w:right w:w="0" w:type="dxa"/>
        </w:tblCellMar>
        <w:tblLook w:val="0000" w:firstRow="0" w:lastRow="0" w:firstColumn="0" w:lastColumn="0" w:noHBand="0" w:noVBand="0"/>
      </w:tblPr>
      <w:tblGrid>
        <w:gridCol w:w="7936"/>
      </w:tblGrid>
      <w:tr w:rsidR="00B949E1" w14:paraId="4C8E3176" w14:textId="77777777" w:rsidTr="00B9362B">
        <w:tc>
          <w:tcPr>
            <w:tcW w:w="7936" w:type="dxa"/>
            <w:tcBorders>
              <w:bottom w:val="single" w:sz="4" w:space="0" w:color="000100"/>
            </w:tcBorders>
            <w:shd w:val="clear" w:color="auto" w:fill="auto"/>
            <w:tcMar>
              <w:top w:w="160" w:type="dxa"/>
              <w:bottom w:w="8" w:type="dxa"/>
            </w:tcMar>
          </w:tcPr>
          <w:p w14:paraId="244A2C32" w14:textId="77777777" w:rsidR="00B949E1" w:rsidRPr="009D2461" w:rsidRDefault="00B949E1" w:rsidP="00B9362B">
            <w:pPr>
              <w:pStyle w:val="Caption"/>
            </w:pPr>
            <w:bookmarkStart w:id="100" w:name="_Ref130824578"/>
            <w:bookmarkStart w:id="101" w:name="_Toc134002434"/>
            <w:r w:rsidRPr="009D2461">
              <w:rPr>
                <w:rStyle w:val="CaptionLabel"/>
              </w:rPr>
              <w:t>Figure </w:t>
            </w:r>
            <w:r w:rsidRPr="009D2461">
              <w:rPr>
                <w:rStyle w:val="CaptionLabel"/>
              </w:rPr>
              <w:fldChar w:fldCharType="begin"/>
            </w:r>
            <w:r w:rsidRPr="009D2461">
              <w:rPr>
                <w:rStyle w:val="CaptionLabel"/>
              </w:rPr>
              <w:instrText xml:space="preserve"> STYLEREF 1 \S \* MERGEFORMAT </w:instrText>
            </w:r>
            <w:r w:rsidRPr="009D2461">
              <w:rPr>
                <w:rStyle w:val="CaptionLabel"/>
              </w:rPr>
              <w:fldChar w:fldCharType="separate"/>
            </w:r>
            <w:r>
              <w:rPr>
                <w:rStyle w:val="CaptionLabel"/>
                <w:noProof/>
              </w:rPr>
              <w:t>6</w:t>
            </w:r>
            <w:r w:rsidRPr="009D2461">
              <w:rPr>
                <w:rStyle w:val="CaptionLabel"/>
              </w:rPr>
              <w:fldChar w:fldCharType="end"/>
            </w:r>
            <w:r w:rsidRPr="009D2461">
              <w:rPr>
                <w:rStyle w:val="CaptionLabel"/>
              </w:rPr>
              <w:t>.</w:t>
            </w:r>
            <w:r w:rsidRPr="009D2461">
              <w:rPr>
                <w:rStyle w:val="CaptionLabel"/>
              </w:rPr>
              <w:fldChar w:fldCharType="begin"/>
            </w:r>
            <w:r w:rsidRPr="009D2461">
              <w:rPr>
                <w:rStyle w:val="CaptionLabel"/>
              </w:rPr>
              <w:instrText xml:space="preserve"> SEQ Figure \* ARABIC \S 1 \* MERGEFORMAT </w:instrText>
            </w:r>
            <w:r w:rsidRPr="009D2461">
              <w:rPr>
                <w:rStyle w:val="CaptionLabel"/>
              </w:rPr>
              <w:fldChar w:fldCharType="separate"/>
            </w:r>
            <w:r>
              <w:rPr>
                <w:rStyle w:val="CaptionLabel"/>
                <w:noProof/>
              </w:rPr>
              <w:t>3</w:t>
            </w:r>
            <w:r w:rsidRPr="009D2461">
              <w:rPr>
                <w:rStyle w:val="CaptionLabel"/>
              </w:rPr>
              <w:fldChar w:fldCharType="end"/>
            </w:r>
            <w:bookmarkEnd w:id="100"/>
            <w:r w:rsidRPr="009D2461">
              <w:tab/>
              <w:t xml:space="preserve">Assumed </w:t>
            </w:r>
            <w:r>
              <w:t>SUP</w:t>
            </w:r>
            <w:r w:rsidRPr="009D2461">
              <w:t xml:space="preserve"> waste flow in the ACT under the BAU</w:t>
            </w:r>
            <w:bookmarkEnd w:id="101"/>
          </w:p>
        </w:tc>
      </w:tr>
      <w:tr w:rsidR="00B949E1" w14:paraId="228B8F11" w14:textId="77777777" w:rsidTr="00B9362B">
        <w:tc>
          <w:tcPr>
            <w:tcW w:w="7936" w:type="dxa"/>
            <w:tcBorders>
              <w:top w:val="single" w:sz="4" w:space="0" w:color="000100"/>
            </w:tcBorders>
            <w:shd w:val="clear" w:color="auto" w:fill="auto"/>
            <w:tcMar>
              <w:top w:w="8" w:type="dxa"/>
              <w:bottom w:w="8" w:type="dxa"/>
              <w:right w:w="20" w:type="dxa"/>
            </w:tcMar>
          </w:tcPr>
          <w:p w14:paraId="060C57A9" w14:textId="77777777" w:rsidR="00B949E1" w:rsidRPr="009D2461" w:rsidRDefault="00B949E1" w:rsidP="00B9362B">
            <w:pPr>
              <w:pStyle w:val="Figure"/>
              <w:jc w:val="center"/>
            </w:pPr>
            <w:r w:rsidRPr="009D2461">
              <w:rPr>
                <w:noProof/>
                <w:lang w:eastAsia="en-AU"/>
              </w:rPr>
              <w:drawing>
                <wp:inline distT="0" distB="0" distL="0" distR="0" wp14:anchorId="5ABF9A33" wp14:editId="038B8D25">
                  <wp:extent cx="4045273" cy="2210463"/>
                  <wp:effectExtent l="0" t="0" r="0" b="0"/>
                  <wp:docPr id="524" name="Picture 5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rotWithShape="1">
                          <a:blip r:embed="rId89" cstate="print">
                            <a:extLst>
                              <a:ext uri="{28A0092B-C50C-407E-A947-70E740481C1C}">
                                <a14:useLocalDpi xmlns:a14="http://schemas.microsoft.com/office/drawing/2010/main" val="0"/>
                              </a:ext>
                            </a:extLst>
                          </a:blip>
                          <a:srcRect t="2049"/>
                          <a:stretch/>
                        </pic:blipFill>
                        <pic:spPr bwMode="auto">
                          <a:xfrm>
                            <a:off x="0" y="0"/>
                            <a:ext cx="4107243" cy="2244325"/>
                          </a:xfrm>
                          <a:prstGeom prst="rect">
                            <a:avLst/>
                          </a:prstGeom>
                          <a:ln>
                            <a:noFill/>
                          </a:ln>
                          <a:extLst>
                            <a:ext uri="{53640926-AAD7-44D8-BBD7-CCE9431645EC}">
                              <a14:shadowObscured xmlns:a14="http://schemas.microsoft.com/office/drawing/2010/main"/>
                            </a:ext>
                          </a:extLst>
                        </pic:spPr>
                      </pic:pic>
                    </a:graphicData>
                  </a:graphic>
                </wp:inline>
              </w:drawing>
            </w:r>
          </w:p>
        </w:tc>
      </w:tr>
      <w:tr w:rsidR="00B949E1" w14:paraId="0D4F7569" w14:textId="77777777" w:rsidTr="00B9362B">
        <w:trPr>
          <w:trHeight w:val="135"/>
        </w:trPr>
        <w:tc>
          <w:tcPr>
            <w:tcW w:w="7936" w:type="dxa"/>
            <w:tcBorders>
              <w:bottom w:val="single" w:sz="4" w:space="0" w:color="000100"/>
            </w:tcBorders>
            <w:shd w:val="clear" w:color="auto" w:fill="auto"/>
            <w:tcMar>
              <w:top w:w="12" w:type="dxa"/>
              <w:bottom w:w="113" w:type="dxa"/>
            </w:tcMar>
          </w:tcPr>
          <w:p w14:paraId="5EFC3A25" w14:textId="77777777" w:rsidR="00B949E1" w:rsidRPr="009D2461" w:rsidRDefault="00B949E1" w:rsidP="00B9362B">
            <w:pPr>
              <w:pStyle w:val="Source"/>
            </w:pPr>
            <w:r w:rsidRPr="009D2461">
              <w:t xml:space="preserve">Source: WWF Australia 2020, </w:t>
            </w:r>
            <w:r w:rsidRPr="009D2461">
              <w:rPr>
                <w:i w:val="0"/>
                <w:iCs/>
              </w:rPr>
              <w:t xml:space="preserve">Plastic Revolution to Reality: A roadmap to halve Australia’s </w:t>
            </w:r>
            <w:r>
              <w:rPr>
                <w:i w:val="0"/>
                <w:iCs/>
              </w:rPr>
              <w:t>SUP</w:t>
            </w:r>
            <w:r w:rsidRPr="009D2461">
              <w:rPr>
                <w:i w:val="0"/>
                <w:iCs/>
              </w:rPr>
              <w:t xml:space="preserve"> litter</w:t>
            </w:r>
            <w:r w:rsidRPr="009D2461">
              <w:t>, July.</w:t>
            </w:r>
          </w:p>
        </w:tc>
      </w:tr>
      <w:tr w:rsidR="00B949E1" w14:paraId="16210524"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3C57FA10" w14:textId="77777777" w:rsidR="00B949E1" w:rsidRDefault="00B949E1" w:rsidP="00B9362B">
            <w:pPr>
              <w:pStyle w:val="spacer"/>
            </w:pPr>
          </w:p>
        </w:tc>
      </w:tr>
    </w:tbl>
    <w:p w14:paraId="0BCEFAF1" w14:textId="77777777" w:rsidR="00B949E1" w:rsidRDefault="00B949E1" w:rsidP="00B949E1">
      <w:pPr>
        <w:pStyle w:val="ListBullet"/>
        <w:numPr>
          <w:ilvl w:val="0"/>
          <w:numId w:val="9"/>
        </w:numPr>
      </w:pPr>
      <w:r>
        <w:lastRenderedPageBreak/>
        <w:t>Cost-benefit analyses of proposed SUP restrictions in other jurisdictions use several different assumptions.</w:t>
      </w:r>
    </w:p>
    <w:p w14:paraId="1E7DA042" w14:textId="77777777" w:rsidR="00B949E1" w:rsidRDefault="00B949E1" w:rsidP="00B949E1">
      <w:pPr>
        <w:pStyle w:val="ListBullet2"/>
      </w:pPr>
      <w:r>
        <w:t xml:space="preserve">The CBA for the previous round of SUP restrictions for the ACT Government assumed that 95% of SUP item waste enters landfill, none of the items enter recycling, and 5% enters the environment as litter, even temporarily. </w:t>
      </w:r>
    </w:p>
    <w:p w14:paraId="5479BA00" w14:textId="77777777" w:rsidR="00B949E1" w:rsidRDefault="00B949E1" w:rsidP="00B949E1">
      <w:pPr>
        <w:pStyle w:val="ListBullet2"/>
      </w:pPr>
      <w:r>
        <w:t>The NSW Better Regulation Statement (BRS) on proposed plastic bans suggests a littering rate of SUPs in NSW of 3.9%.</w:t>
      </w:r>
      <w:r>
        <w:rPr>
          <w:rStyle w:val="FootnoteReference"/>
        </w:rPr>
        <w:footnoteReference w:id="82"/>
      </w:r>
      <w:r>
        <w:t xml:space="preserve"> This report also notes that a</w:t>
      </w:r>
      <w:r w:rsidRPr="001933AD">
        <w:t>bout</w:t>
      </w:r>
      <w:r>
        <w:t xml:space="preserve"> </w:t>
      </w:r>
      <w:r w:rsidRPr="001933AD">
        <w:t>40</w:t>
      </w:r>
      <w:r>
        <w:t xml:space="preserve">% </w:t>
      </w:r>
      <w:r w:rsidRPr="001933AD">
        <w:t>of</w:t>
      </w:r>
      <w:r>
        <w:t xml:space="preserve"> </w:t>
      </w:r>
      <w:r w:rsidRPr="001933AD">
        <w:t>all</w:t>
      </w:r>
      <w:r>
        <w:t xml:space="preserve"> SUP </w:t>
      </w:r>
      <w:r w:rsidRPr="001933AD">
        <w:t>litter</w:t>
      </w:r>
      <w:r>
        <w:t xml:space="preserve"> </w:t>
      </w:r>
      <w:r w:rsidRPr="001933AD">
        <w:t>in</w:t>
      </w:r>
      <w:r>
        <w:t xml:space="preserve"> </w:t>
      </w:r>
      <w:r w:rsidRPr="001933AD">
        <w:t>NSW</w:t>
      </w:r>
      <w:r>
        <w:t xml:space="preserve"> </w:t>
      </w:r>
      <w:r w:rsidRPr="001933AD">
        <w:t>is</w:t>
      </w:r>
      <w:r>
        <w:t xml:space="preserve"> </w:t>
      </w:r>
      <w:r w:rsidRPr="001933AD">
        <w:t>estimated</w:t>
      </w:r>
      <w:r>
        <w:t xml:space="preserve"> </w:t>
      </w:r>
      <w:r w:rsidRPr="001933AD">
        <w:t>to</w:t>
      </w:r>
      <w:r>
        <w:t xml:space="preserve"> </w:t>
      </w:r>
      <w:r w:rsidRPr="001933AD">
        <w:t>end</w:t>
      </w:r>
      <w:r>
        <w:t xml:space="preserve"> </w:t>
      </w:r>
      <w:r w:rsidRPr="001933AD">
        <w:t>up</w:t>
      </w:r>
      <w:r>
        <w:t xml:space="preserve"> </w:t>
      </w:r>
      <w:r w:rsidRPr="001933AD">
        <w:t>in</w:t>
      </w:r>
      <w:r>
        <w:t xml:space="preserve"> </w:t>
      </w:r>
      <w:r w:rsidRPr="001933AD">
        <w:t>marine</w:t>
      </w:r>
      <w:r>
        <w:t xml:space="preserve"> </w:t>
      </w:r>
      <w:r w:rsidRPr="001933AD">
        <w:t>environments</w:t>
      </w:r>
      <w:r>
        <w:t xml:space="preserve"> </w:t>
      </w:r>
      <w:r w:rsidRPr="001933AD">
        <w:t>(29</w:t>
      </w:r>
      <w:r>
        <w:t xml:space="preserve">% </w:t>
      </w:r>
      <w:r w:rsidRPr="001933AD">
        <w:t>in</w:t>
      </w:r>
      <w:r>
        <w:t xml:space="preserve"> </w:t>
      </w:r>
      <w:r w:rsidRPr="001933AD">
        <w:t>bays,</w:t>
      </w:r>
      <w:r>
        <w:t xml:space="preserve"> </w:t>
      </w:r>
      <w:r w:rsidRPr="001933AD">
        <w:t>estuaries,</w:t>
      </w:r>
      <w:r>
        <w:t xml:space="preserve"> </w:t>
      </w:r>
      <w:r w:rsidRPr="001933AD">
        <w:t>and</w:t>
      </w:r>
      <w:r>
        <w:t xml:space="preserve"> </w:t>
      </w:r>
      <w:r w:rsidRPr="001933AD">
        <w:t>ocean</w:t>
      </w:r>
      <w:r>
        <w:t>s</w:t>
      </w:r>
      <w:r w:rsidRPr="001933AD">
        <w:t>) and</w:t>
      </w:r>
      <w:r>
        <w:t xml:space="preserve"> </w:t>
      </w:r>
      <w:r w:rsidRPr="001933AD">
        <w:t>waterways</w:t>
      </w:r>
      <w:r>
        <w:t xml:space="preserve"> </w:t>
      </w:r>
      <w:r w:rsidRPr="001933AD">
        <w:t>(11</w:t>
      </w:r>
      <w:r>
        <w:t>%</w:t>
      </w:r>
      <w:r w:rsidRPr="001933AD">
        <w:t>).</w:t>
      </w:r>
    </w:p>
    <w:p w14:paraId="5CE16A6A" w14:textId="77777777" w:rsidR="00B949E1" w:rsidRDefault="00B949E1" w:rsidP="00B949E1">
      <w:pPr>
        <w:pStyle w:val="ListBullet2"/>
      </w:pPr>
      <w:r>
        <w:t>The Victoria RIS</w:t>
      </w:r>
      <w:r>
        <w:rPr>
          <w:rStyle w:val="FootnoteReference"/>
        </w:rPr>
        <w:footnoteReference w:id="83"/>
      </w:r>
      <w:r>
        <w:t xml:space="preserve"> for proposed SUP bans used the WWF assumptions outlined above. It assumed that 18% of SUPs are recovered through recycling, 71% go to landfill and 11% leak directly into the environment.</w:t>
      </w:r>
    </w:p>
    <w:p w14:paraId="4EBC4B3C" w14:textId="77777777" w:rsidR="00B949E1" w:rsidRDefault="00B949E1" w:rsidP="00B949E1">
      <w:pPr>
        <w:pStyle w:val="ListBullet2"/>
      </w:pPr>
      <w:r>
        <w:t>The CBA of proposed SUP bans in Western Australia assumed l</w:t>
      </w:r>
      <w:r w:rsidRPr="00F37757">
        <w:t>itter</w:t>
      </w:r>
      <w:r>
        <w:t xml:space="preserve"> </w:t>
      </w:r>
      <w:r w:rsidRPr="00F37757">
        <w:t>rates</w:t>
      </w:r>
      <w:r>
        <w:t xml:space="preserve"> </w:t>
      </w:r>
      <w:r w:rsidRPr="00F37757">
        <w:t>vary</w:t>
      </w:r>
      <w:r>
        <w:t xml:space="preserve"> </w:t>
      </w:r>
      <w:r w:rsidRPr="00F37757">
        <w:t>from</w:t>
      </w:r>
      <w:r>
        <w:t xml:space="preserve"> 1% to </w:t>
      </w:r>
      <w:r w:rsidRPr="00F37757">
        <w:t>15</w:t>
      </w:r>
      <w:r>
        <w:t xml:space="preserve">% </w:t>
      </w:r>
      <w:r w:rsidRPr="00F37757">
        <w:t>depending</w:t>
      </w:r>
      <w:r>
        <w:t xml:space="preserve"> </w:t>
      </w:r>
      <w:r w:rsidRPr="00F37757">
        <w:t>on</w:t>
      </w:r>
      <w:r>
        <w:t xml:space="preserve"> </w:t>
      </w:r>
      <w:r w:rsidRPr="00F37757">
        <w:t>the</w:t>
      </w:r>
      <w:r>
        <w:t xml:space="preserve"> </w:t>
      </w:r>
      <w:r w:rsidRPr="00F37757">
        <w:t>product</w:t>
      </w:r>
      <w:r>
        <w:t xml:space="preserve"> </w:t>
      </w:r>
      <w:r w:rsidRPr="00F37757">
        <w:t>typ</w:t>
      </w:r>
      <w:r>
        <w:t>e, and the rest of the waste is assumed to be sent to landfill.</w:t>
      </w:r>
    </w:p>
    <w:p w14:paraId="289F17C3" w14:textId="77777777" w:rsidR="00B949E1" w:rsidRDefault="00B949E1" w:rsidP="00B949E1">
      <w:pPr>
        <w:pStyle w:val="BodyText"/>
      </w:pPr>
      <w:r>
        <w:t xml:space="preserve">For this analysis, the WWF estimates in </w:t>
      </w:r>
      <w:r w:rsidRPr="00A12CB0">
        <w:rPr>
          <w:b/>
          <w:bCs/>
        </w:rPr>
        <w:fldChar w:fldCharType="begin"/>
      </w:r>
      <w:r w:rsidRPr="00A12CB0">
        <w:rPr>
          <w:b/>
          <w:bCs/>
        </w:rPr>
        <w:instrText xml:space="preserve"> REF _Ref130824578 \h </w:instrText>
      </w:r>
      <w:r>
        <w:rPr>
          <w:b/>
          <w:bCs/>
        </w:rPr>
        <w:instrText xml:space="preserve"> \* MERGEFORMAT </w:instrText>
      </w:r>
      <w:r w:rsidRPr="00A12CB0">
        <w:rPr>
          <w:b/>
          <w:bCs/>
        </w:rPr>
      </w:r>
      <w:r w:rsidRPr="00A12CB0">
        <w:rPr>
          <w:b/>
          <w:bCs/>
        </w:rPr>
        <w:fldChar w:fldCharType="separate"/>
      </w:r>
      <w:r w:rsidRPr="00790266">
        <w:rPr>
          <w:rStyle w:val="CaptionLabel"/>
          <w:b w:val="0"/>
          <w:bCs/>
        </w:rPr>
        <w:t>Figure 6.3</w:t>
      </w:r>
      <w:r w:rsidRPr="00A12CB0">
        <w:rPr>
          <w:b/>
          <w:bCs/>
        </w:rPr>
        <w:fldChar w:fldCharType="end"/>
      </w:r>
      <w:r>
        <w:t xml:space="preserve"> was used to reflect the SUP waste flows in the baseline. The rationale for this decision is as follows: </w:t>
      </w:r>
    </w:p>
    <w:p w14:paraId="7A5F5AF2" w14:textId="77777777" w:rsidR="00B949E1" w:rsidRDefault="00B949E1" w:rsidP="00B949E1">
      <w:pPr>
        <w:pStyle w:val="ListBullet"/>
        <w:numPr>
          <w:ilvl w:val="0"/>
          <w:numId w:val="9"/>
        </w:numPr>
      </w:pPr>
      <w:r>
        <w:t xml:space="preserve">The WWF estimates are preferred over the estimates in the NSW BRS because they relate to SUP waste flows across Australia. They are likely to represent the ACT’s flows more than estimates specifically developed for the economy in other states or territories. </w:t>
      </w:r>
    </w:p>
    <w:p w14:paraId="3730DE37" w14:textId="77777777" w:rsidR="00B949E1" w:rsidRDefault="00B949E1" w:rsidP="00B949E1">
      <w:pPr>
        <w:pStyle w:val="ListBullet"/>
        <w:numPr>
          <w:ilvl w:val="0"/>
          <w:numId w:val="9"/>
        </w:numPr>
      </w:pPr>
      <w:r>
        <w:t>The WWF figures are more appropriate than the previous ACT RISs, as the items in the previous bans were generally not recyclable. The items in this round will likely have some presence in the recycling stream.</w:t>
      </w:r>
    </w:p>
    <w:p w14:paraId="68C9B7D3" w14:textId="77777777" w:rsidR="00B949E1" w:rsidRDefault="00B949E1" w:rsidP="00B949E1">
      <w:pPr>
        <w:pStyle w:val="ListBullet"/>
        <w:numPr>
          <w:ilvl w:val="0"/>
          <w:numId w:val="9"/>
        </w:numPr>
      </w:pPr>
      <w:r>
        <w:t xml:space="preserve">The WWF figures refer specifically to SUPs (as opposed to plastics in general) and are relatively recent. </w:t>
      </w:r>
    </w:p>
    <w:p w14:paraId="1D9DFD4F" w14:textId="77777777" w:rsidR="00B949E1" w:rsidRDefault="00B949E1" w:rsidP="00B949E1">
      <w:pPr>
        <w:pStyle w:val="BodyText"/>
      </w:pPr>
      <w:r>
        <w:t xml:space="preserve">To estimate the benefits of the proposed regulation, it is necessary to determine how the proposed bans would change waste flows. We propose to calculate these changes by </w:t>
      </w:r>
      <w:proofErr w:type="gramStart"/>
      <w:r>
        <w:t>taking into account</w:t>
      </w:r>
      <w:proofErr w:type="gramEnd"/>
      <w:r>
        <w:t>:</w:t>
      </w:r>
    </w:p>
    <w:p w14:paraId="510B8981" w14:textId="77777777" w:rsidR="00B949E1" w:rsidRDefault="00B949E1" w:rsidP="00B949E1">
      <w:pPr>
        <w:pStyle w:val="ListBullet"/>
        <w:numPr>
          <w:ilvl w:val="0"/>
          <w:numId w:val="9"/>
        </w:numPr>
      </w:pPr>
      <w:r>
        <w:t xml:space="preserve">removed SUP waste — this refers to SUP items removed from the market. These items will avoid the waste flow altogether. </w:t>
      </w:r>
    </w:p>
    <w:p w14:paraId="42A6F07B" w14:textId="77777777" w:rsidR="00B949E1" w:rsidRPr="009D2461" w:rsidRDefault="00B949E1" w:rsidP="00B949E1">
      <w:pPr>
        <w:pStyle w:val="ListBullet"/>
        <w:numPr>
          <w:ilvl w:val="0"/>
          <w:numId w:val="9"/>
        </w:numPr>
      </w:pPr>
      <w:r>
        <w:t>avoidable SUP</w:t>
      </w:r>
      <w:r w:rsidRPr="009D2461">
        <w:t xml:space="preserve"> waste — this refers to avoided </w:t>
      </w:r>
      <w:r>
        <w:t>SUP</w:t>
      </w:r>
      <w:r w:rsidRPr="009D2461">
        <w:t xml:space="preserve"> waste due to the use of reusables and single-use alternatives.</w:t>
      </w:r>
    </w:p>
    <w:p w14:paraId="196477A0" w14:textId="77777777" w:rsidR="00B949E1" w:rsidRPr="009D2461" w:rsidRDefault="00B949E1" w:rsidP="00B949E1">
      <w:pPr>
        <w:pStyle w:val="ListBullet"/>
        <w:numPr>
          <w:ilvl w:val="0"/>
          <w:numId w:val="9"/>
        </w:numPr>
      </w:pPr>
      <w:r>
        <w:t>u</w:t>
      </w:r>
      <w:r w:rsidRPr="009D2461">
        <w:t xml:space="preserve">navoidable </w:t>
      </w:r>
      <w:r>
        <w:t>SUP</w:t>
      </w:r>
      <w:r w:rsidRPr="009D2461">
        <w:t xml:space="preserve"> waste — this refers to the </w:t>
      </w:r>
      <w:r>
        <w:t>SUP</w:t>
      </w:r>
      <w:r w:rsidRPr="009D2461">
        <w:t xml:space="preserve"> items that are proposed to be exempt from the ban under each scenario.</w:t>
      </w:r>
    </w:p>
    <w:p w14:paraId="3E4DFFE7" w14:textId="77777777" w:rsidR="00B949E1" w:rsidRDefault="00B949E1" w:rsidP="00B949E1">
      <w:pPr>
        <w:pStyle w:val="Heading3"/>
      </w:pPr>
      <w:r>
        <w:t xml:space="preserve">Avoided landfill </w:t>
      </w:r>
      <w:proofErr w:type="gramStart"/>
      <w:r>
        <w:t>costs</w:t>
      </w:r>
      <w:proofErr w:type="gramEnd"/>
    </w:p>
    <w:p w14:paraId="515F2565" w14:textId="77777777" w:rsidR="00B949E1" w:rsidRDefault="00B949E1" w:rsidP="00B949E1">
      <w:pPr>
        <w:pStyle w:val="BodyText"/>
      </w:pPr>
      <w:r>
        <w:t>From a whole-of-economy perspective, taxes are considered transfers, not costs or benefits. However, as noted by the NSW guide for CBA</w:t>
      </w:r>
      <w:r>
        <w:rPr>
          <w:rStyle w:val="FootnoteReference"/>
        </w:rPr>
        <w:footnoteReference w:id="84"/>
      </w:r>
      <w:r>
        <w:t xml:space="preserve">, in some cases, it is appropriate for the impacts of taxes or subsidies to be </w:t>
      </w:r>
      <w:proofErr w:type="gramStart"/>
      <w:r>
        <w:t>taken into account</w:t>
      </w:r>
      <w:proofErr w:type="gramEnd"/>
      <w:r>
        <w:t xml:space="preserve"> where those taxes reflect service fees or the price of a negative externality. This is the case of the waste levy, which incentivises waste generators to reduce, reuse or recycle waste by increasing the cost of sending waste to landfill</w:t>
      </w:r>
      <w:r w:rsidRPr="00872369">
        <w:t>.</w:t>
      </w:r>
    </w:p>
    <w:p w14:paraId="4A2A83C9" w14:textId="77777777" w:rsidR="00B949E1" w:rsidRDefault="00B949E1" w:rsidP="00B949E1">
      <w:pPr>
        <w:pStyle w:val="BodyText"/>
      </w:pPr>
      <w:proofErr w:type="gramStart"/>
      <w:r>
        <w:lastRenderedPageBreak/>
        <w:t>In light of</w:t>
      </w:r>
      <w:proofErr w:type="gramEnd"/>
      <w:r>
        <w:t xml:space="preserve"> this, the CBA will treat the landfill gate cost as a proxy for the economic cost to sequester the waste. As such, any reduction in landfill costs will be treated as a benefit of the ban. The cost used for this will be the cost per tonne of domestic waste, in this instance, $105.25.</w:t>
      </w:r>
      <w:r>
        <w:rPr>
          <w:rStyle w:val="FootnoteReference"/>
        </w:rPr>
        <w:footnoteReference w:id="85"/>
      </w:r>
    </w:p>
    <w:p w14:paraId="5C0E85AB" w14:textId="77777777" w:rsidR="00B949E1" w:rsidRDefault="00B949E1" w:rsidP="00B949E1">
      <w:pPr>
        <w:pStyle w:val="Heading3"/>
      </w:pPr>
      <w:r>
        <w:t>Litter benefits</w:t>
      </w:r>
    </w:p>
    <w:p w14:paraId="342ACE2F" w14:textId="77777777" w:rsidR="00B949E1" w:rsidRDefault="00B949E1" w:rsidP="00B949E1">
      <w:pPr>
        <w:pStyle w:val="BodyText"/>
      </w:pPr>
      <w:r>
        <w:t>The broader community place a high value on litter reduction. To date, no survey or modelling has been done on the willingness to pay (WTP) to reduce litter in the ACT. However, there is literature available that considers the Australian community’s WTP, for instance:</w:t>
      </w:r>
    </w:p>
    <w:p w14:paraId="6934AB7A" w14:textId="77777777" w:rsidR="00B949E1" w:rsidRDefault="00B949E1" w:rsidP="00B949E1">
      <w:pPr>
        <w:pStyle w:val="ListBullet"/>
        <w:numPr>
          <w:ilvl w:val="0"/>
          <w:numId w:val="9"/>
        </w:numPr>
      </w:pPr>
      <w:r>
        <w:t>In 2010, PwC conducted a survey and choice modelling to estimate the community’s willingness to avoid litter. Based on the national sample, the study estimated that households were willing to pay, on average, $4.15 per 1 percentage point reduction in litter, or $41.50 per annum for a 10% reduction in litter and $83.00 for a 20% reduction.</w:t>
      </w:r>
      <w:r>
        <w:rPr>
          <w:rStyle w:val="FootnoteReference"/>
        </w:rPr>
        <w:footnoteReference w:id="86"/>
      </w:r>
      <w:r>
        <w:t xml:space="preserve"> However, ABARE and Marsden Jacob Associates have identified several technical shortcomings in this study</w:t>
      </w:r>
      <w:r w:rsidRPr="00E17055">
        <w:t>.</w:t>
      </w:r>
    </w:p>
    <w:p w14:paraId="24A34F53" w14:textId="77777777" w:rsidR="00B949E1" w:rsidRPr="005B49A5" w:rsidRDefault="00B949E1" w:rsidP="00B949E1">
      <w:pPr>
        <w:pStyle w:val="ListBullet"/>
        <w:numPr>
          <w:ilvl w:val="0"/>
          <w:numId w:val="9"/>
        </w:numPr>
      </w:pPr>
      <w:r>
        <w:t xml:space="preserve">A 2016 study by </w:t>
      </w:r>
      <w:r w:rsidRPr="00E17055">
        <w:t>Marsden</w:t>
      </w:r>
      <w:r>
        <w:t xml:space="preserve"> </w:t>
      </w:r>
      <w:r w:rsidRPr="00E17055">
        <w:t>Jacob</w:t>
      </w:r>
      <w:r>
        <w:t xml:space="preserve"> </w:t>
      </w:r>
      <w:r w:rsidRPr="00E17055">
        <w:t>Associates</w:t>
      </w:r>
      <w:r>
        <w:rPr>
          <w:rStyle w:val="FootnoteReference"/>
        </w:rPr>
        <w:footnoteReference w:id="87"/>
      </w:r>
      <w:r>
        <w:t xml:space="preserve"> used the following estimates to value avoided litter </w:t>
      </w:r>
      <w:r w:rsidRPr="005B49A5">
        <w:t>in land and marine environments:</w:t>
      </w:r>
    </w:p>
    <w:p w14:paraId="2826DB20" w14:textId="77777777" w:rsidR="00B949E1" w:rsidRPr="005B49A5" w:rsidRDefault="00B949E1" w:rsidP="00B949E1">
      <w:pPr>
        <w:pStyle w:val="ListBullet2"/>
      </w:pPr>
      <w:r w:rsidRPr="005B49A5">
        <w:t xml:space="preserve">land litter – $1,876 per tonne (likely – used as </w:t>
      </w:r>
      <w:r>
        <w:t xml:space="preserve">a </w:t>
      </w:r>
      <w:r w:rsidRPr="005B49A5">
        <w:t>central estimate), with sensitivity analysis using $1,101 per tonne (low) and $20,060 per tonne (high)</w:t>
      </w:r>
    </w:p>
    <w:p w14:paraId="75B12866" w14:textId="77777777" w:rsidR="00B949E1" w:rsidRPr="005B49A5" w:rsidRDefault="00B949E1" w:rsidP="00B949E1">
      <w:pPr>
        <w:pStyle w:val="ListBullet2"/>
      </w:pPr>
      <w:r w:rsidRPr="005B49A5">
        <w:t xml:space="preserve">marine litter – $36,512 per tonne (likely – used as </w:t>
      </w:r>
      <w:r>
        <w:t xml:space="preserve">a </w:t>
      </w:r>
      <w:r w:rsidRPr="005B49A5">
        <w:t>central estimate), with sensitivity analysis using $20,060 per tonne (low) and $91,124 per tonne (high).</w:t>
      </w:r>
    </w:p>
    <w:p w14:paraId="2867BFBA" w14:textId="77777777" w:rsidR="00B949E1" w:rsidRPr="005B49A5" w:rsidRDefault="00B949E1" w:rsidP="00B949E1">
      <w:pPr>
        <w:pStyle w:val="ListBullet3"/>
      </w:pPr>
      <w:r w:rsidRPr="005B49A5">
        <w:t>Coastal areas (bays, beaches, and estuaries): $11,778 (low) to $27,252 (high)</w:t>
      </w:r>
    </w:p>
    <w:p w14:paraId="2F3300FD" w14:textId="77777777" w:rsidR="00B949E1" w:rsidRPr="005B49A5" w:rsidRDefault="00B949E1" w:rsidP="00B949E1">
      <w:pPr>
        <w:pStyle w:val="ListBullet3"/>
      </w:pPr>
      <w:r w:rsidRPr="005B49A5">
        <w:t>Open ocean: $53,501 (low) to $123,793 (high)</w:t>
      </w:r>
    </w:p>
    <w:p w14:paraId="52B9A926" w14:textId="77777777" w:rsidR="00B949E1" w:rsidRPr="005B49A5" w:rsidRDefault="00B949E1" w:rsidP="00B949E1">
      <w:pPr>
        <w:pStyle w:val="BodyText"/>
        <w:ind w:left="420"/>
      </w:pPr>
      <w:r w:rsidRPr="005B49A5">
        <w:t>These estimates of the community’s WTP to avoid litter are based on the cost of voluntary litter clean-up activities</w:t>
      </w:r>
      <w:r>
        <w:t>. The imputed value of a volunteer’s labour provides</w:t>
      </w:r>
      <w:r w:rsidRPr="005B49A5">
        <w:t xml:space="preserve"> a shadow price for the economic cost of litter. These values capture the avoided costs of cleaning up litter by local councils and account for the fact that the cost of cleaning up litter in marine environments could be roughly 5 to 60 times the cost of cleaning up land-based litter.</w:t>
      </w:r>
      <w:r w:rsidRPr="005B49A5">
        <w:rPr>
          <w:rStyle w:val="FootnoteReference"/>
        </w:rPr>
        <w:footnoteReference w:id="88"/>
      </w:r>
    </w:p>
    <w:p w14:paraId="379AFC55" w14:textId="77777777" w:rsidR="00B949E1" w:rsidRPr="005B49A5" w:rsidRDefault="00B949E1" w:rsidP="00B949E1">
      <w:pPr>
        <w:pStyle w:val="BodyText"/>
      </w:pPr>
      <w:r w:rsidRPr="005B49A5">
        <w:t xml:space="preserve">The Marsden Jacobs estimates (adjusted for inflation and paired with assumptions about the proportion of litter in oceans and land) have been used in several regulatory analyses to value the benefits of bans of </w:t>
      </w:r>
      <w:r>
        <w:t xml:space="preserve">SUP </w:t>
      </w:r>
      <w:r w:rsidRPr="005B49A5">
        <w:t xml:space="preserve">items (including the recent Victorian RIS, the previous ACT RIS and the NSW BRS). However, as noted before, while these analyses recognise that the benefits of reduced </w:t>
      </w:r>
      <w:r>
        <w:t>SUP</w:t>
      </w:r>
      <w:r w:rsidRPr="005B49A5">
        <w:t xml:space="preserve"> litter may be (partially) offset by littering from alternative single-use items </w:t>
      </w:r>
      <w:r>
        <w:t>(</w:t>
      </w:r>
      <w:proofErr w:type="gramStart"/>
      <w:r>
        <w:t>e.g.</w:t>
      </w:r>
      <w:proofErr w:type="gramEnd"/>
      <w:r>
        <w:t xml:space="preserve"> </w:t>
      </w:r>
      <w:r w:rsidRPr="005B49A5">
        <w:t>bamboo cutlery and paper straws</w:t>
      </w:r>
      <w:r>
        <w:t>)</w:t>
      </w:r>
      <w:r w:rsidRPr="005B49A5">
        <w:t>, this offsetting effect is not quantified</w:t>
      </w:r>
      <w:r>
        <w:t>.</w:t>
      </w:r>
      <w:r w:rsidRPr="005B49A5">
        <w:t xml:space="preserve"> </w:t>
      </w:r>
      <w:r>
        <w:t>I</w:t>
      </w:r>
      <w:r w:rsidRPr="005B49A5">
        <w:t>t is argued that these replacement items made of natural materials are less visible in the environment</w:t>
      </w:r>
      <w:r>
        <w:t>. T</w:t>
      </w:r>
      <w:r w:rsidRPr="005B49A5">
        <w:t>heir presence will reduce over time through biodegradation.</w:t>
      </w:r>
    </w:p>
    <w:p w14:paraId="4FCF2770" w14:textId="77777777" w:rsidR="00B949E1" w:rsidRPr="005B49A5" w:rsidRDefault="00B949E1" w:rsidP="00B949E1">
      <w:pPr>
        <w:pStyle w:val="BodyText"/>
      </w:pPr>
      <w:r w:rsidRPr="005B49A5">
        <w:t>For this RIS</w:t>
      </w:r>
      <w:r>
        <w:t>,</w:t>
      </w:r>
      <w:r w:rsidRPr="005B49A5">
        <w:t xml:space="preserve"> we propose to assume that </w:t>
      </w:r>
      <w:r>
        <w:t>a portion of SUP litter is eliminated, and a proportion</w:t>
      </w:r>
      <w:r w:rsidRPr="005B49A5">
        <w:t xml:space="preserve"> is substituted by littering from alternative single-use and reusable items (</w:t>
      </w:r>
      <w:proofErr w:type="gramStart"/>
      <w:r w:rsidRPr="005B49A5">
        <w:t>i.e.</w:t>
      </w:r>
      <w:proofErr w:type="gramEnd"/>
      <w:r w:rsidRPr="005B49A5">
        <w:t xml:space="preserve"> our analysis does not assume that the bans eliminate litter completely). To quantify these impacts, we propose the following. </w:t>
      </w:r>
    </w:p>
    <w:p w14:paraId="5928D65E" w14:textId="77777777" w:rsidR="00B949E1" w:rsidRPr="002A2EA9" w:rsidRDefault="00B949E1" w:rsidP="00B949E1">
      <w:pPr>
        <w:pStyle w:val="ListBullet"/>
        <w:numPr>
          <w:ilvl w:val="0"/>
          <w:numId w:val="9"/>
        </w:numPr>
      </w:pPr>
      <w:r w:rsidRPr="005B49A5">
        <w:lastRenderedPageBreak/>
        <w:t xml:space="preserve">To value the benefits of </w:t>
      </w:r>
      <w:r w:rsidRPr="005B49A5">
        <w:rPr>
          <w:u w:val="single"/>
        </w:rPr>
        <w:t xml:space="preserve">avoided litter </w:t>
      </w:r>
      <w:r w:rsidRPr="005B49A5">
        <w:t xml:space="preserve">— recognising that the ACT is a land locked territory with </w:t>
      </w:r>
      <w:r>
        <w:t>several</w:t>
      </w:r>
      <w:r w:rsidRPr="005B49A5">
        <w:t xml:space="preserve"> inland waterways (as opposed to coastal areas/oceans), we have valued the benefits of avoided land and </w:t>
      </w:r>
      <w:r w:rsidRPr="002A2EA9">
        <w:rPr>
          <w:i/>
          <w:iCs/>
        </w:rPr>
        <w:t>inland waterway</w:t>
      </w:r>
      <w:r w:rsidRPr="005B49A5">
        <w:t xml:space="preserve"> litter. Our research has not been able to find any estimates of WTP for avoided </w:t>
      </w:r>
      <w:r w:rsidRPr="002A2EA9">
        <w:t>inland waterway</w:t>
      </w:r>
      <w:r w:rsidRPr="005B49A5">
        <w:t xml:space="preserve"> </w:t>
      </w:r>
      <w:r w:rsidRPr="002A2EA9">
        <w:t>litter</w:t>
      </w:r>
      <w:r w:rsidRPr="005B49A5">
        <w:t xml:space="preserve"> or of the cost of cleaning rivers. </w:t>
      </w:r>
      <w:proofErr w:type="gramStart"/>
      <w:r w:rsidRPr="005B49A5">
        <w:t>In light of</w:t>
      </w:r>
      <w:proofErr w:type="gramEnd"/>
      <w:r w:rsidRPr="005B49A5">
        <w:t xml:space="preserve"> this, we have used the 2016 Marsden Jacobs WTP estimates to calculate a blended estimate of the WTP for avoided land and </w:t>
      </w:r>
      <w:r w:rsidRPr="002A2EA9">
        <w:t>inland waterway</w:t>
      </w:r>
      <w:r w:rsidRPr="005B49A5">
        <w:t xml:space="preserve"> litter</w:t>
      </w:r>
      <w:r>
        <w:t>,</w:t>
      </w:r>
      <w:r w:rsidRPr="005B49A5">
        <w:t xml:space="preserve"> assuming the following:</w:t>
      </w:r>
    </w:p>
    <w:p w14:paraId="0EB4B675" w14:textId="77777777" w:rsidR="00B949E1" w:rsidRPr="005B49A5" w:rsidRDefault="00B949E1" w:rsidP="00B949E1">
      <w:pPr>
        <w:pStyle w:val="ListBullet2"/>
      </w:pPr>
      <w:r>
        <w:t>T</w:t>
      </w:r>
      <w:r w:rsidRPr="005B49A5">
        <w:t>he cost of cleaning inland waterways is equivalent to the cost of cleaning coastal areas. As there is no central case for coastal litter published, we assumed that this is the midpoint between high and low estimates (</w:t>
      </w:r>
      <w:proofErr w:type="gramStart"/>
      <w:r w:rsidRPr="005B49A5">
        <w:t>i.e.</w:t>
      </w:r>
      <w:proofErr w:type="gramEnd"/>
      <w:r w:rsidRPr="005B49A5">
        <w:t xml:space="preserve"> $19,515 per tonne)</w:t>
      </w:r>
    </w:p>
    <w:p w14:paraId="45C865F8" w14:textId="77777777" w:rsidR="00B949E1" w:rsidRPr="002A2EA9" w:rsidRDefault="00B949E1" w:rsidP="00B949E1">
      <w:pPr>
        <w:pStyle w:val="ListBullet2"/>
      </w:pPr>
      <w:r>
        <w:t>T</w:t>
      </w:r>
      <w:r w:rsidRPr="005B49A5">
        <w:t>hat 17% of plastic litter ends up in inland waterways (based on a 2021 CIE report</w:t>
      </w:r>
      <w:r>
        <w:t>)</w:t>
      </w:r>
      <w:r w:rsidRPr="005B49A5">
        <w:rPr>
          <w:rStyle w:val="FootnoteReference"/>
        </w:rPr>
        <w:footnoteReference w:id="89"/>
      </w:r>
      <w:r>
        <w:t>,</w:t>
      </w:r>
      <w:r w:rsidRPr="005B49A5">
        <w:t xml:space="preserve"> and the remaining 83% is terrestrial litter. </w:t>
      </w:r>
    </w:p>
    <w:p w14:paraId="33FCAF2A" w14:textId="77777777" w:rsidR="00B949E1" w:rsidRPr="005B49A5" w:rsidRDefault="00B949E1" w:rsidP="00B949E1">
      <w:pPr>
        <w:pStyle w:val="ListBullet"/>
        <w:numPr>
          <w:ilvl w:val="0"/>
          <w:numId w:val="0"/>
        </w:numPr>
        <w:ind w:left="420"/>
      </w:pPr>
      <w:r w:rsidRPr="005B49A5">
        <w:t xml:space="preserve">This results in a blended WTP for </w:t>
      </w:r>
      <w:r>
        <w:t xml:space="preserve">a </w:t>
      </w:r>
      <w:r w:rsidRPr="005B49A5">
        <w:t>tonne of avoided litter of $5,</w:t>
      </w:r>
      <w:r>
        <w:t>871</w:t>
      </w:r>
      <w:r w:rsidRPr="005B49A5">
        <w:t xml:space="preserve"> (see</w:t>
      </w:r>
      <w:r>
        <w:t xml:space="preserve"> </w:t>
      </w:r>
      <w:r w:rsidRPr="00CA551A">
        <w:rPr>
          <w:b/>
          <w:bCs/>
        </w:rPr>
        <w:fldChar w:fldCharType="begin"/>
      </w:r>
      <w:r w:rsidRPr="00CA551A">
        <w:rPr>
          <w:b/>
          <w:bCs/>
        </w:rPr>
        <w:instrText xml:space="preserve"> REF _Ref130826518 \h </w:instrText>
      </w:r>
      <w:r>
        <w:rPr>
          <w:b/>
          <w:bCs/>
        </w:rPr>
        <w:instrText xml:space="preserve"> \* MERGEFORMAT </w:instrText>
      </w:r>
      <w:r w:rsidRPr="00CA551A">
        <w:rPr>
          <w:b/>
          <w:bCs/>
        </w:rPr>
      </w:r>
      <w:r w:rsidRPr="00CA551A">
        <w:rPr>
          <w:b/>
          <w:bCs/>
        </w:rPr>
        <w:fldChar w:fldCharType="separate"/>
      </w:r>
      <w:r w:rsidRPr="00790266">
        <w:rPr>
          <w:rStyle w:val="CaptionLabel"/>
          <w:b w:val="0"/>
          <w:bCs/>
        </w:rPr>
        <w:t>Table 6.5</w:t>
      </w:r>
      <w:r w:rsidRPr="00CA551A">
        <w:rPr>
          <w:b/>
          <w:bCs/>
        </w:rPr>
        <w:fldChar w:fldCharType="end"/>
      </w:r>
      <w:r w:rsidRPr="005B49A5">
        <w:t xml:space="preserve">). </w:t>
      </w:r>
    </w:p>
    <w:p w14:paraId="7FD8B073" w14:textId="77777777" w:rsidR="00B949E1" w:rsidRDefault="00B949E1" w:rsidP="00B949E1">
      <w:pPr>
        <w:pStyle w:val="BodyText"/>
        <w:ind w:left="420"/>
      </w:pPr>
      <w:r w:rsidRPr="005B49A5">
        <w:t>To avoid penalising non-plastic a</w:t>
      </w:r>
      <w:r>
        <w:t xml:space="preserve">lternatives that often are heavier than plastic products (resulting in a heavier tonnage), the WTP per tonne of avoided litter has been converted to a WTP per item based on the weight of the SUP item. </w:t>
      </w:r>
    </w:p>
    <w:p w14:paraId="36F635F2" w14:textId="77777777" w:rsidR="00B949E1" w:rsidRDefault="00B949E1" w:rsidP="00B949E1">
      <w:pPr>
        <w:pStyle w:val="Caption"/>
      </w:pPr>
      <w:bookmarkStart w:id="102" w:name="_Ref130826518"/>
      <w:bookmarkStart w:id="103" w:name="_Toc134002445"/>
      <w:r w:rsidRPr="00077D72">
        <w:rPr>
          <w:rStyle w:val="CaptionLabel"/>
        </w:rPr>
        <w:t>Table </w:t>
      </w:r>
      <w:r w:rsidRPr="00077D72">
        <w:rPr>
          <w:rStyle w:val="CaptionLabel"/>
        </w:rPr>
        <w:fldChar w:fldCharType="begin"/>
      </w:r>
      <w:r w:rsidRPr="00077D72">
        <w:rPr>
          <w:rStyle w:val="CaptionLabel"/>
        </w:rPr>
        <w:instrText xml:space="preserve"> STYLEREF 1 \S \* MERGEFORMAT </w:instrText>
      </w:r>
      <w:r w:rsidRPr="00077D72">
        <w:rPr>
          <w:rStyle w:val="CaptionLabel"/>
        </w:rPr>
        <w:fldChar w:fldCharType="separate"/>
      </w:r>
      <w:r>
        <w:rPr>
          <w:rStyle w:val="CaptionLabel"/>
          <w:noProof/>
        </w:rPr>
        <w:t>6</w:t>
      </w:r>
      <w:r w:rsidRPr="00077D72">
        <w:rPr>
          <w:rStyle w:val="CaptionLabel"/>
        </w:rPr>
        <w:fldChar w:fldCharType="end"/>
      </w:r>
      <w:r w:rsidRPr="00077D72">
        <w:rPr>
          <w:rStyle w:val="CaptionLabel"/>
        </w:rPr>
        <w:t>.</w:t>
      </w:r>
      <w:r w:rsidRPr="00077D72">
        <w:rPr>
          <w:rStyle w:val="CaptionLabel"/>
        </w:rPr>
        <w:fldChar w:fldCharType="begin"/>
      </w:r>
      <w:r w:rsidRPr="00077D72">
        <w:rPr>
          <w:rStyle w:val="CaptionLabel"/>
        </w:rPr>
        <w:instrText xml:space="preserve"> SEQ Table \* ARABIC \S 1 \* MERGEFORMAT </w:instrText>
      </w:r>
      <w:r w:rsidRPr="00077D72">
        <w:rPr>
          <w:rStyle w:val="CaptionLabel"/>
        </w:rPr>
        <w:fldChar w:fldCharType="separate"/>
      </w:r>
      <w:r>
        <w:rPr>
          <w:rStyle w:val="CaptionLabel"/>
          <w:noProof/>
        </w:rPr>
        <w:t>5</w:t>
      </w:r>
      <w:r w:rsidRPr="00077D72">
        <w:rPr>
          <w:rStyle w:val="CaptionLabel"/>
        </w:rPr>
        <w:fldChar w:fldCharType="end"/>
      </w:r>
      <w:bookmarkEnd w:id="102"/>
      <w:r>
        <w:tab/>
        <w:t xml:space="preserve">Willingness to pay to avoid litter, $ per </w:t>
      </w:r>
      <w:proofErr w:type="gramStart"/>
      <w:r>
        <w:t>tonne</w:t>
      </w:r>
      <w:bookmarkEnd w:id="103"/>
      <w:proofErr w:type="gramEnd"/>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454"/>
        <w:gridCol w:w="3544"/>
        <w:gridCol w:w="1464"/>
        <w:gridCol w:w="1464"/>
        <w:gridCol w:w="1464"/>
      </w:tblGrid>
      <w:tr w:rsidR="00B949E1" w:rsidRPr="00077D72" w14:paraId="4449C2EF" w14:textId="77777777" w:rsidTr="00B9362B">
        <w:trPr>
          <w:tblHeader/>
        </w:trPr>
        <w:tc>
          <w:tcPr>
            <w:tcW w:w="3998" w:type="dxa"/>
            <w:gridSpan w:val="2"/>
            <w:tcBorders>
              <w:top w:val="nil"/>
              <w:bottom w:val="nil"/>
            </w:tcBorders>
            <w:shd w:val="clear" w:color="auto" w:fill="140034"/>
            <w:noWrap/>
            <w:tcMar>
              <w:left w:w="454" w:type="dxa"/>
            </w:tcMar>
          </w:tcPr>
          <w:p w14:paraId="1E805CA8" w14:textId="77777777" w:rsidR="00B949E1" w:rsidRPr="00077D72" w:rsidRDefault="00B949E1" w:rsidP="00B9362B">
            <w:pPr>
              <w:pStyle w:val="Tablecolumnheadings"/>
              <w:rPr>
                <w:lang w:eastAsia="en-AU"/>
              </w:rPr>
            </w:pPr>
          </w:p>
        </w:tc>
        <w:tc>
          <w:tcPr>
            <w:tcW w:w="1464" w:type="dxa"/>
            <w:tcBorders>
              <w:top w:val="nil"/>
              <w:bottom w:val="nil"/>
            </w:tcBorders>
            <w:shd w:val="clear" w:color="auto" w:fill="140034"/>
            <w:noWrap/>
          </w:tcPr>
          <w:p w14:paraId="3D6F6768" w14:textId="77777777" w:rsidR="00B949E1" w:rsidRPr="00077D72" w:rsidRDefault="00B949E1" w:rsidP="00B9362B">
            <w:pPr>
              <w:pStyle w:val="Tablecolumnheadings"/>
              <w:jc w:val="center"/>
              <w:rPr>
                <w:lang w:eastAsia="en-AU"/>
              </w:rPr>
            </w:pPr>
            <w:r w:rsidRPr="00077D72">
              <w:rPr>
                <w:lang w:eastAsia="en-AU"/>
              </w:rPr>
              <w:t>Likely</w:t>
            </w:r>
          </w:p>
        </w:tc>
        <w:tc>
          <w:tcPr>
            <w:tcW w:w="1464" w:type="dxa"/>
            <w:tcBorders>
              <w:top w:val="nil"/>
              <w:bottom w:val="nil"/>
            </w:tcBorders>
            <w:shd w:val="clear" w:color="auto" w:fill="140034"/>
            <w:noWrap/>
          </w:tcPr>
          <w:p w14:paraId="75DEDA78" w14:textId="77777777" w:rsidR="00B949E1" w:rsidRPr="008254D1" w:rsidRDefault="00B949E1" w:rsidP="00B9362B">
            <w:pPr>
              <w:pStyle w:val="Tablecolumnheadings"/>
              <w:jc w:val="center"/>
              <w:rPr>
                <w:lang w:eastAsia="en-AU"/>
              </w:rPr>
            </w:pPr>
            <w:r w:rsidRPr="008254D1">
              <w:rPr>
                <w:lang w:eastAsia="en-AU"/>
              </w:rPr>
              <w:t>Low</w:t>
            </w:r>
          </w:p>
        </w:tc>
        <w:tc>
          <w:tcPr>
            <w:tcW w:w="1464" w:type="dxa"/>
            <w:tcBorders>
              <w:top w:val="nil"/>
              <w:bottom w:val="nil"/>
              <w:right w:val="single" w:sz="6" w:space="0" w:color="140034"/>
            </w:tcBorders>
            <w:shd w:val="clear" w:color="auto" w:fill="140034"/>
            <w:noWrap/>
          </w:tcPr>
          <w:p w14:paraId="017017B2" w14:textId="77777777" w:rsidR="00B949E1" w:rsidRPr="008254D1" w:rsidRDefault="00B949E1" w:rsidP="00B9362B">
            <w:pPr>
              <w:pStyle w:val="Tablecolumnheadings"/>
              <w:jc w:val="center"/>
              <w:rPr>
                <w:lang w:eastAsia="en-AU"/>
              </w:rPr>
            </w:pPr>
            <w:r w:rsidRPr="008254D1">
              <w:rPr>
                <w:lang w:eastAsia="en-AU"/>
              </w:rPr>
              <w:t>High</w:t>
            </w:r>
          </w:p>
        </w:tc>
      </w:tr>
      <w:tr w:rsidR="00B949E1" w:rsidRPr="00077D72" w14:paraId="73ABC29F" w14:textId="77777777" w:rsidTr="003E2764">
        <w:trPr>
          <w:gridBefore w:val="1"/>
          <w:wBefore w:w="454" w:type="dxa"/>
        </w:trPr>
        <w:tc>
          <w:tcPr>
            <w:tcW w:w="3544" w:type="dxa"/>
            <w:tcBorders>
              <w:top w:val="single" w:sz="4" w:space="0" w:color="646464"/>
              <w:bottom w:val="single" w:sz="4" w:space="0" w:color="646464"/>
            </w:tcBorders>
            <w:shd w:val="clear" w:color="auto" w:fill="C8C8C8"/>
            <w:noWrap/>
            <w:hideMark/>
          </w:tcPr>
          <w:p w14:paraId="5CC8184D" w14:textId="77777777" w:rsidR="00B949E1" w:rsidRPr="00077D72" w:rsidRDefault="00B949E1" w:rsidP="00B9362B">
            <w:pPr>
              <w:pStyle w:val="Tabletext"/>
              <w:rPr>
                <w:b/>
                <w:bCs/>
                <w:lang w:eastAsia="en-AU"/>
              </w:rPr>
            </w:pPr>
            <w:r w:rsidRPr="00077D72">
              <w:rPr>
                <w:b/>
                <w:bCs/>
                <w:lang w:eastAsia="en-AU"/>
              </w:rPr>
              <w:t>2016$</w:t>
            </w:r>
          </w:p>
        </w:tc>
        <w:tc>
          <w:tcPr>
            <w:tcW w:w="1464" w:type="dxa"/>
            <w:tcBorders>
              <w:top w:val="single" w:sz="4" w:space="0" w:color="646464"/>
              <w:bottom w:val="single" w:sz="4" w:space="0" w:color="646464"/>
            </w:tcBorders>
            <w:shd w:val="clear" w:color="auto" w:fill="C8C8C8"/>
            <w:noWrap/>
            <w:hideMark/>
          </w:tcPr>
          <w:p w14:paraId="0359203D" w14:textId="77777777" w:rsidR="00B949E1" w:rsidRPr="00077D72" w:rsidRDefault="00B949E1" w:rsidP="00B9362B">
            <w:pPr>
              <w:pStyle w:val="Tabletext"/>
              <w:jc w:val="center"/>
              <w:rPr>
                <w:lang w:eastAsia="en-AU"/>
              </w:rPr>
            </w:pPr>
          </w:p>
        </w:tc>
        <w:tc>
          <w:tcPr>
            <w:tcW w:w="1464" w:type="dxa"/>
            <w:tcBorders>
              <w:top w:val="single" w:sz="4" w:space="0" w:color="646464"/>
              <w:bottom w:val="single" w:sz="4" w:space="0" w:color="646464"/>
            </w:tcBorders>
            <w:shd w:val="clear" w:color="auto" w:fill="C8C8C8"/>
            <w:noWrap/>
            <w:hideMark/>
          </w:tcPr>
          <w:p w14:paraId="0D36649C" w14:textId="77777777" w:rsidR="00B949E1" w:rsidRPr="008254D1" w:rsidRDefault="00B949E1" w:rsidP="00B9362B">
            <w:pPr>
              <w:pStyle w:val="Tabletext"/>
              <w:jc w:val="center"/>
              <w:rPr>
                <w:lang w:eastAsia="en-AU"/>
              </w:rPr>
            </w:pPr>
          </w:p>
        </w:tc>
        <w:tc>
          <w:tcPr>
            <w:tcW w:w="1464" w:type="dxa"/>
            <w:tcBorders>
              <w:top w:val="single" w:sz="4" w:space="0" w:color="646464"/>
              <w:bottom w:val="single" w:sz="4" w:space="0" w:color="646464"/>
            </w:tcBorders>
            <w:shd w:val="clear" w:color="auto" w:fill="C8C8C8"/>
            <w:noWrap/>
            <w:hideMark/>
          </w:tcPr>
          <w:p w14:paraId="7ABE5ABB" w14:textId="77777777" w:rsidR="00B949E1" w:rsidRPr="008254D1" w:rsidRDefault="00B949E1" w:rsidP="00B9362B">
            <w:pPr>
              <w:pStyle w:val="Tabletext"/>
              <w:jc w:val="center"/>
              <w:rPr>
                <w:lang w:eastAsia="en-AU"/>
              </w:rPr>
            </w:pPr>
          </w:p>
        </w:tc>
      </w:tr>
      <w:tr w:rsidR="00B949E1" w:rsidRPr="00077D72" w14:paraId="3B32DFE2" w14:textId="77777777" w:rsidTr="00B9362B">
        <w:trPr>
          <w:gridBefore w:val="1"/>
          <w:wBefore w:w="454" w:type="dxa"/>
        </w:trPr>
        <w:tc>
          <w:tcPr>
            <w:tcW w:w="3544" w:type="dxa"/>
            <w:tcBorders>
              <w:top w:val="single" w:sz="4" w:space="0" w:color="646464"/>
              <w:bottom w:val="single" w:sz="4" w:space="0" w:color="646464"/>
            </w:tcBorders>
            <w:shd w:val="clear" w:color="auto" w:fill="auto"/>
            <w:noWrap/>
            <w:hideMark/>
          </w:tcPr>
          <w:p w14:paraId="1F56565C" w14:textId="77777777" w:rsidR="00B949E1" w:rsidRPr="00077D72" w:rsidRDefault="00B949E1" w:rsidP="00B9362B">
            <w:pPr>
              <w:pStyle w:val="Tabletext"/>
              <w:ind w:left="142"/>
              <w:rPr>
                <w:lang w:eastAsia="en-AU"/>
              </w:rPr>
            </w:pPr>
            <w:r w:rsidRPr="00077D72">
              <w:rPr>
                <w:lang w:eastAsia="en-AU"/>
              </w:rPr>
              <w:t>Land</w:t>
            </w:r>
          </w:p>
        </w:tc>
        <w:tc>
          <w:tcPr>
            <w:tcW w:w="1464" w:type="dxa"/>
            <w:tcBorders>
              <w:top w:val="single" w:sz="4" w:space="0" w:color="646464"/>
              <w:bottom w:val="single" w:sz="4" w:space="0" w:color="646464"/>
            </w:tcBorders>
            <w:shd w:val="clear" w:color="auto" w:fill="auto"/>
            <w:noWrap/>
            <w:hideMark/>
          </w:tcPr>
          <w:p w14:paraId="4E3BBFFE" w14:textId="77777777" w:rsidR="00B949E1" w:rsidRPr="00077D72" w:rsidRDefault="00B949E1" w:rsidP="00B9362B">
            <w:pPr>
              <w:pStyle w:val="Tabletext"/>
              <w:jc w:val="center"/>
              <w:rPr>
                <w:lang w:eastAsia="en-AU"/>
              </w:rPr>
            </w:pPr>
            <w:r w:rsidRPr="00077D72">
              <w:rPr>
                <w:lang w:eastAsia="en-AU"/>
              </w:rPr>
              <w:t>1,876</w:t>
            </w:r>
          </w:p>
        </w:tc>
        <w:tc>
          <w:tcPr>
            <w:tcW w:w="1464" w:type="dxa"/>
            <w:tcBorders>
              <w:top w:val="single" w:sz="4" w:space="0" w:color="646464"/>
              <w:bottom w:val="single" w:sz="4" w:space="0" w:color="646464"/>
            </w:tcBorders>
            <w:shd w:val="clear" w:color="auto" w:fill="auto"/>
            <w:noWrap/>
            <w:hideMark/>
          </w:tcPr>
          <w:p w14:paraId="6541526E" w14:textId="77777777" w:rsidR="00B949E1" w:rsidRPr="008254D1" w:rsidRDefault="00B949E1" w:rsidP="00B9362B">
            <w:pPr>
              <w:pStyle w:val="Tabletext"/>
              <w:jc w:val="center"/>
              <w:rPr>
                <w:lang w:eastAsia="en-AU"/>
              </w:rPr>
            </w:pPr>
            <w:r w:rsidRPr="008254D1">
              <w:rPr>
                <w:lang w:eastAsia="en-AU"/>
              </w:rPr>
              <w:t>1,101</w:t>
            </w:r>
          </w:p>
        </w:tc>
        <w:tc>
          <w:tcPr>
            <w:tcW w:w="1464" w:type="dxa"/>
            <w:tcBorders>
              <w:top w:val="single" w:sz="4" w:space="0" w:color="646464"/>
              <w:bottom w:val="single" w:sz="4" w:space="0" w:color="646464"/>
            </w:tcBorders>
            <w:shd w:val="clear" w:color="auto" w:fill="auto"/>
            <w:noWrap/>
            <w:hideMark/>
          </w:tcPr>
          <w:p w14:paraId="16043A07" w14:textId="77777777" w:rsidR="00B949E1" w:rsidRPr="008254D1" w:rsidRDefault="00B949E1" w:rsidP="00B9362B">
            <w:pPr>
              <w:pStyle w:val="Tabletext"/>
              <w:jc w:val="center"/>
              <w:rPr>
                <w:lang w:eastAsia="en-AU"/>
              </w:rPr>
            </w:pPr>
            <w:r w:rsidRPr="008254D1">
              <w:rPr>
                <w:lang w:eastAsia="en-AU"/>
              </w:rPr>
              <w:t>20,060</w:t>
            </w:r>
          </w:p>
        </w:tc>
      </w:tr>
      <w:tr w:rsidR="00B949E1" w:rsidRPr="008254D1" w14:paraId="53F06953" w14:textId="77777777" w:rsidTr="003E2764">
        <w:trPr>
          <w:gridBefore w:val="1"/>
          <w:wBefore w:w="454" w:type="dxa"/>
        </w:trPr>
        <w:tc>
          <w:tcPr>
            <w:tcW w:w="3544" w:type="dxa"/>
            <w:tcBorders>
              <w:top w:val="single" w:sz="4" w:space="0" w:color="646464"/>
              <w:bottom w:val="single" w:sz="4" w:space="0" w:color="646464"/>
            </w:tcBorders>
            <w:shd w:val="clear" w:color="auto" w:fill="auto"/>
            <w:noWrap/>
            <w:hideMark/>
          </w:tcPr>
          <w:p w14:paraId="29C3A391" w14:textId="77777777" w:rsidR="00B949E1" w:rsidRPr="00077D72" w:rsidRDefault="00B949E1" w:rsidP="00B9362B">
            <w:pPr>
              <w:pStyle w:val="Tabletext"/>
              <w:ind w:left="142"/>
              <w:rPr>
                <w:lang w:eastAsia="en-AU"/>
              </w:rPr>
            </w:pPr>
            <w:r>
              <w:rPr>
                <w:lang w:eastAsia="en-AU"/>
              </w:rPr>
              <w:t>Inland waterways</w:t>
            </w:r>
          </w:p>
        </w:tc>
        <w:tc>
          <w:tcPr>
            <w:tcW w:w="1464" w:type="dxa"/>
            <w:tcBorders>
              <w:top w:val="single" w:sz="4" w:space="0" w:color="646464"/>
              <w:bottom w:val="single" w:sz="4" w:space="0" w:color="646464"/>
            </w:tcBorders>
            <w:shd w:val="clear" w:color="auto" w:fill="auto"/>
            <w:noWrap/>
            <w:hideMark/>
          </w:tcPr>
          <w:p w14:paraId="5166A992" w14:textId="77777777" w:rsidR="00B949E1" w:rsidRPr="008254D1" w:rsidRDefault="00B949E1" w:rsidP="00B9362B">
            <w:pPr>
              <w:pStyle w:val="Tabletext"/>
              <w:jc w:val="center"/>
              <w:rPr>
                <w:color w:val="auto"/>
                <w:lang w:eastAsia="en-AU"/>
              </w:rPr>
            </w:pPr>
            <w:r w:rsidRPr="008254D1">
              <w:rPr>
                <w:color w:val="auto"/>
                <w:lang w:eastAsia="en-AU"/>
              </w:rPr>
              <w:t>19,515</w:t>
            </w:r>
          </w:p>
        </w:tc>
        <w:tc>
          <w:tcPr>
            <w:tcW w:w="1464" w:type="dxa"/>
            <w:tcBorders>
              <w:top w:val="single" w:sz="4" w:space="0" w:color="646464"/>
              <w:bottom w:val="single" w:sz="4" w:space="0" w:color="646464"/>
            </w:tcBorders>
            <w:shd w:val="clear" w:color="auto" w:fill="auto"/>
            <w:noWrap/>
            <w:hideMark/>
          </w:tcPr>
          <w:p w14:paraId="6A843335" w14:textId="77777777" w:rsidR="00B949E1" w:rsidRPr="002A2EA9" w:rsidRDefault="00B949E1" w:rsidP="00B9362B">
            <w:pPr>
              <w:pStyle w:val="Tabletext"/>
              <w:jc w:val="center"/>
              <w:rPr>
                <w:color w:val="auto"/>
                <w:lang w:eastAsia="en-AU"/>
              </w:rPr>
            </w:pPr>
            <w:r w:rsidRPr="002A2EA9">
              <w:rPr>
                <w:color w:val="auto"/>
                <w:lang w:eastAsia="en-AU"/>
              </w:rPr>
              <w:t>11,778</w:t>
            </w:r>
          </w:p>
        </w:tc>
        <w:tc>
          <w:tcPr>
            <w:tcW w:w="1464" w:type="dxa"/>
            <w:tcBorders>
              <w:top w:val="single" w:sz="4" w:space="0" w:color="646464"/>
              <w:bottom w:val="single" w:sz="4" w:space="0" w:color="646464"/>
            </w:tcBorders>
            <w:shd w:val="clear" w:color="auto" w:fill="auto"/>
            <w:noWrap/>
            <w:hideMark/>
          </w:tcPr>
          <w:p w14:paraId="6CAD6B0B" w14:textId="77777777" w:rsidR="00B949E1" w:rsidRPr="002A2EA9" w:rsidRDefault="00B949E1" w:rsidP="00B9362B">
            <w:pPr>
              <w:pStyle w:val="Tabletext"/>
              <w:jc w:val="center"/>
              <w:rPr>
                <w:color w:val="auto"/>
                <w:lang w:eastAsia="en-AU"/>
              </w:rPr>
            </w:pPr>
            <w:r w:rsidRPr="002A2EA9">
              <w:rPr>
                <w:color w:val="auto"/>
                <w:lang w:eastAsia="en-AU"/>
              </w:rPr>
              <w:t>27,252</w:t>
            </w:r>
          </w:p>
        </w:tc>
      </w:tr>
      <w:tr w:rsidR="00B949E1" w:rsidRPr="00077D72" w14:paraId="028D3744" w14:textId="77777777" w:rsidTr="003E2764">
        <w:trPr>
          <w:gridBefore w:val="1"/>
          <w:wBefore w:w="454" w:type="dxa"/>
        </w:trPr>
        <w:tc>
          <w:tcPr>
            <w:tcW w:w="3544" w:type="dxa"/>
            <w:tcBorders>
              <w:top w:val="single" w:sz="4" w:space="0" w:color="646464"/>
              <w:bottom w:val="single" w:sz="4" w:space="0" w:color="646464"/>
            </w:tcBorders>
            <w:shd w:val="clear" w:color="auto" w:fill="C8C8C8"/>
            <w:noWrap/>
            <w:hideMark/>
          </w:tcPr>
          <w:p w14:paraId="49057762" w14:textId="77777777" w:rsidR="00B949E1" w:rsidRPr="00077D72" w:rsidRDefault="00B949E1" w:rsidP="00B9362B">
            <w:pPr>
              <w:pStyle w:val="Tabletext"/>
              <w:rPr>
                <w:b/>
                <w:bCs/>
                <w:lang w:eastAsia="en-AU"/>
              </w:rPr>
            </w:pPr>
            <w:r w:rsidRPr="00077D72">
              <w:rPr>
                <w:b/>
                <w:bCs/>
                <w:lang w:eastAsia="en-AU"/>
              </w:rPr>
              <w:t>2022$</w:t>
            </w:r>
          </w:p>
        </w:tc>
        <w:tc>
          <w:tcPr>
            <w:tcW w:w="1464" w:type="dxa"/>
            <w:tcBorders>
              <w:top w:val="single" w:sz="4" w:space="0" w:color="646464"/>
              <w:bottom w:val="single" w:sz="4" w:space="0" w:color="646464"/>
            </w:tcBorders>
            <w:shd w:val="clear" w:color="auto" w:fill="C8C8C8"/>
            <w:noWrap/>
            <w:hideMark/>
          </w:tcPr>
          <w:p w14:paraId="71C1C975" w14:textId="77777777" w:rsidR="00B949E1" w:rsidRPr="00077D72" w:rsidRDefault="00B949E1" w:rsidP="00B9362B">
            <w:pPr>
              <w:pStyle w:val="Tabletext"/>
              <w:jc w:val="center"/>
              <w:rPr>
                <w:lang w:eastAsia="en-AU"/>
              </w:rPr>
            </w:pPr>
          </w:p>
        </w:tc>
        <w:tc>
          <w:tcPr>
            <w:tcW w:w="1464" w:type="dxa"/>
            <w:tcBorders>
              <w:top w:val="single" w:sz="4" w:space="0" w:color="646464"/>
              <w:bottom w:val="single" w:sz="4" w:space="0" w:color="646464"/>
            </w:tcBorders>
            <w:shd w:val="clear" w:color="auto" w:fill="C8C8C8"/>
            <w:noWrap/>
            <w:hideMark/>
          </w:tcPr>
          <w:p w14:paraId="325A8C0F" w14:textId="77777777" w:rsidR="00B949E1" w:rsidRPr="002A2EA9" w:rsidRDefault="00B949E1" w:rsidP="00B9362B">
            <w:pPr>
              <w:pStyle w:val="Tabletext"/>
              <w:jc w:val="center"/>
              <w:rPr>
                <w:highlight w:val="yellow"/>
                <w:lang w:eastAsia="en-AU"/>
              </w:rPr>
            </w:pPr>
          </w:p>
        </w:tc>
        <w:tc>
          <w:tcPr>
            <w:tcW w:w="1464" w:type="dxa"/>
            <w:tcBorders>
              <w:top w:val="single" w:sz="4" w:space="0" w:color="646464"/>
              <w:bottom w:val="single" w:sz="4" w:space="0" w:color="646464"/>
            </w:tcBorders>
            <w:shd w:val="clear" w:color="auto" w:fill="C8C8C8"/>
            <w:noWrap/>
            <w:hideMark/>
          </w:tcPr>
          <w:p w14:paraId="56BBED58" w14:textId="77777777" w:rsidR="00B949E1" w:rsidRPr="002A2EA9" w:rsidRDefault="00B949E1" w:rsidP="00B9362B">
            <w:pPr>
              <w:pStyle w:val="Tabletext"/>
              <w:jc w:val="center"/>
              <w:rPr>
                <w:highlight w:val="yellow"/>
                <w:lang w:eastAsia="en-AU"/>
              </w:rPr>
            </w:pPr>
          </w:p>
        </w:tc>
      </w:tr>
      <w:tr w:rsidR="00B949E1" w:rsidRPr="00077D72" w14:paraId="790BF26C" w14:textId="77777777" w:rsidTr="00B9362B">
        <w:trPr>
          <w:gridBefore w:val="1"/>
          <w:wBefore w:w="454" w:type="dxa"/>
        </w:trPr>
        <w:tc>
          <w:tcPr>
            <w:tcW w:w="3544" w:type="dxa"/>
            <w:tcBorders>
              <w:top w:val="single" w:sz="4" w:space="0" w:color="646464"/>
              <w:bottom w:val="single" w:sz="4" w:space="0" w:color="646464"/>
            </w:tcBorders>
            <w:shd w:val="clear" w:color="auto" w:fill="auto"/>
            <w:noWrap/>
            <w:hideMark/>
          </w:tcPr>
          <w:p w14:paraId="7E8DED90" w14:textId="77777777" w:rsidR="00B949E1" w:rsidRPr="00077D72" w:rsidRDefault="00B949E1" w:rsidP="00B9362B">
            <w:pPr>
              <w:pStyle w:val="Tabletext"/>
              <w:ind w:left="142"/>
              <w:rPr>
                <w:lang w:eastAsia="en-AU"/>
              </w:rPr>
            </w:pPr>
            <w:r w:rsidRPr="00077D72">
              <w:rPr>
                <w:lang w:eastAsia="en-AU"/>
              </w:rPr>
              <w:t>Land</w:t>
            </w:r>
          </w:p>
        </w:tc>
        <w:tc>
          <w:tcPr>
            <w:tcW w:w="1464" w:type="dxa"/>
            <w:tcBorders>
              <w:top w:val="single" w:sz="4" w:space="0" w:color="646464"/>
              <w:bottom w:val="single" w:sz="4" w:space="0" w:color="646464"/>
            </w:tcBorders>
            <w:shd w:val="clear" w:color="auto" w:fill="auto"/>
            <w:noWrap/>
            <w:hideMark/>
          </w:tcPr>
          <w:p w14:paraId="25DFA08E" w14:textId="77777777" w:rsidR="00B949E1" w:rsidRPr="002A2EA9" w:rsidRDefault="00B949E1" w:rsidP="00B9362B">
            <w:pPr>
              <w:pStyle w:val="Tabletext"/>
              <w:jc w:val="center"/>
              <w:rPr>
                <w:color w:val="auto"/>
                <w:lang w:eastAsia="en-AU"/>
              </w:rPr>
            </w:pPr>
            <w:r w:rsidRPr="002A2EA9">
              <w:rPr>
                <w:color w:val="auto"/>
              </w:rPr>
              <w:t xml:space="preserve"> 2,259 </w:t>
            </w:r>
          </w:p>
        </w:tc>
        <w:tc>
          <w:tcPr>
            <w:tcW w:w="1464" w:type="dxa"/>
            <w:tcBorders>
              <w:top w:val="single" w:sz="4" w:space="0" w:color="646464"/>
              <w:bottom w:val="single" w:sz="4" w:space="0" w:color="646464"/>
            </w:tcBorders>
            <w:shd w:val="clear" w:color="auto" w:fill="auto"/>
            <w:noWrap/>
            <w:hideMark/>
          </w:tcPr>
          <w:p w14:paraId="0F1F4014" w14:textId="77777777" w:rsidR="00B949E1" w:rsidRPr="002A2EA9" w:rsidRDefault="00B949E1" w:rsidP="00B9362B">
            <w:pPr>
              <w:pStyle w:val="Tabletext"/>
              <w:jc w:val="center"/>
              <w:rPr>
                <w:color w:val="auto"/>
                <w:highlight w:val="yellow"/>
                <w:lang w:eastAsia="en-AU"/>
              </w:rPr>
            </w:pPr>
            <w:r w:rsidRPr="002A2EA9">
              <w:rPr>
                <w:color w:val="auto"/>
              </w:rPr>
              <w:t xml:space="preserve"> 1,326 </w:t>
            </w:r>
          </w:p>
        </w:tc>
        <w:tc>
          <w:tcPr>
            <w:tcW w:w="1464" w:type="dxa"/>
            <w:tcBorders>
              <w:top w:val="single" w:sz="4" w:space="0" w:color="646464"/>
              <w:bottom w:val="single" w:sz="4" w:space="0" w:color="646464"/>
            </w:tcBorders>
            <w:shd w:val="clear" w:color="auto" w:fill="auto"/>
            <w:noWrap/>
            <w:hideMark/>
          </w:tcPr>
          <w:p w14:paraId="3CEA0699" w14:textId="77777777" w:rsidR="00B949E1" w:rsidRPr="002A2EA9" w:rsidRDefault="00B949E1" w:rsidP="00B9362B">
            <w:pPr>
              <w:pStyle w:val="Tabletext"/>
              <w:jc w:val="center"/>
              <w:rPr>
                <w:color w:val="auto"/>
                <w:highlight w:val="yellow"/>
                <w:lang w:eastAsia="en-AU"/>
              </w:rPr>
            </w:pPr>
            <w:r w:rsidRPr="002A2EA9">
              <w:rPr>
                <w:color w:val="auto"/>
              </w:rPr>
              <w:t xml:space="preserve"> 24,161 </w:t>
            </w:r>
          </w:p>
        </w:tc>
      </w:tr>
      <w:tr w:rsidR="00B949E1" w:rsidRPr="00077D72" w14:paraId="27AFA624" w14:textId="77777777" w:rsidTr="00B9362B">
        <w:trPr>
          <w:gridBefore w:val="1"/>
          <w:wBefore w:w="454" w:type="dxa"/>
        </w:trPr>
        <w:tc>
          <w:tcPr>
            <w:tcW w:w="3544" w:type="dxa"/>
            <w:tcBorders>
              <w:top w:val="single" w:sz="4" w:space="0" w:color="646464"/>
              <w:bottom w:val="single" w:sz="4" w:space="0" w:color="646464"/>
            </w:tcBorders>
            <w:shd w:val="clear" w:color="auto" w:fill="auto"/>
            <w:noWrap/>
            <w:hideMark/>
          </w:tcPr>
          <w:p w14:paraId="5A600714" w14:textId="77777777" w:rsidR="00B949E1" w:rsidRPr="00077D72" w:rsidRDefault="00B949E1" w:rsidP="00B9362B">
            <w:pPr>
              <w:pStyle w:val="Tabletext"/>
              <w:ind w:left="142"/>
              <w:rPr>
                <w:lang w:eastAsia="en-AU"/>
              </w:rPr>
            </w:pPr>
            <w:r>
              <w:rPr>
                <w:lang w:eastAsia="en-AU"/>
              </w:rPr>
              <w:t>Inland waterways</w:t>
            </w:r>
          </w:p>
        </w:tc>
        <w:tc>
          <w:tcPr>
            <w:tcW w:w="1464" w:type="dxa"/>
            <w:tcBorders>
              <w:top w:val="single" w:sz="4" w:space="0" w:color="646464"/>
              <w:bottom w:val="single" w:sz="4" w:space="0" w:color="646464"/>
            </w:tcBorders>
            <w:shd w:val="clear" w:color="auto" w:fill="auto"/>
            <w:noWrap/>
            <w:hideMark/>
          </w:tcPr>
          <w:p w14:paraId="30FC6F32" w14:textId="77777777" w:rsidR="00B949E1" w:rsidRPr="002A2EA9" w:rsidRDefault="00B949E1" w:rsidP="00B9362B">
            <w:pPr>
              <w:pStyle w:val="Tabletext"/>
              <w:jc w:val="center"/>
              <w:rPr>
                <w:color w:val="auto"/>
                <w:lang w:eastAsia="en-AU"/>
              </w:rPr>
            </w:pPr>
            <w:r w:rsidRPr="002A2EA9">
              <w:rPr>
                <w:color w:val="auto"/>
              </w:rPr>
              <w:t xml:space="preserve"> 23,504 </w:t>
            </w:r>
          </w:p>
        </w:tc>
        <w:tc>
          <w:tcPr>
            <w:tcW w:w="1464" w:type="dxa"/>
            <w:tcBorders>
              <w:top w:val="single" w:sz="4" w:space="0" w:color="646464"/>
              <w:bottom w:val="single" w:sz="4" w:space="0" w:color="646464"/>
            </w:tcBorders>
            <w:shd w:val="clear" w:color="auto" w:fill="auto"/>
            <w:noWrap/>
            <w:hideMark/>
          </w:tcPr>
          <w:p w14:paraId="5F429E57" w14:textId="77777777" w:rsidR="00B949E1" w:rsidRPr="002A2EA9" w:rsidRDefault="00B949E1" w:rsidP="00B9362B">
            <w:pPr>
              <w:pStyle w:val="Tabletext"/>
              <w:jc w:val="center"/>
              <w:rPr>
                <w:color w:val="auto"/>
                <w:highlight w:val="yellow"/>
                <w:lang w:eastAsia="en-AU"/>
              </w:rPr>
            </w:pPr>
            <w:r w:rsidRPr="002A2EA9">
              <w:rPr>
                <w:color w:val="auto"/>
              </w:rPr>
              <w:t xml:space="preserve"> 14,186 </w:t>
            </w:r>
          </w:p>
        </w:tc>
        <w:tc>
          <w:tcPr>
            <w:tcW w:w="1464" w:type="dxa"/>
            <w:tcBorders>
              <w:top w:val="single" w:sz="4" w:space="0" w:color="646464"/>
              <w:bottom w:val="single" w:sz="4" w:space="0" w:color="646464"/>
            </w:tcBorders>
            <w:shd w:val="clear" w:color="auto" w:fill="auto"/>
            <w:noWrap/>
            <w:hideMark/>
          </w:tcPr>
          <w:p w14:paraId="19C14CE5" w14:textId="77777777" w:rsidR="00B949E1" w:rsidRPr="002A2EA9" w:rsidRDefault="00B949E1" w:rsidP="00B9362B">
            <w:pPr>
              <w:pStyle w:val="Tabletext"/>
              <w:jc w:val="center"/>
              <w:rPr>
                <w:color w:val="auto"/>
                <w:highlight w:val="yellow"/>
                <w:lang w:eastAsia="en-AU"/>
              </w:rPr>
            </w:pPr>
            <w:r w:rsidRPr="002A2EA9">
              <w:rPr>
                <w:color w:val="auto"/>
              </w:rPr>
              <w:t xml:space="preserve"> 32,823 </w:t>
            </w:r>
          </w:p>
        </w:tc>
      </w:tr>
      <w:tr w:rsidR="00B949E1" w:rsidRPr="00077D72" w14:paraId="59545B7B" w14:textId="77777777" w:rsidTr="003E2764">
        <w:trPr>
          <w:gridBefore w:val="1"/>
          <w:wBefore w:w="454" w:type="dxa"/>
        </w:trPr>
        <w:tc>
          <w:tcPr>
            <w:tcW w:w="3544" w:type="dxa"/>
            <w:tcBorders>
              <w:top w:val="single" w:sz="4" w:space="0" w:color="646464"/>
              <w:bottom w:val="single" w:sz="4" w:space="0" w:color="646464"/>
            </w:tcBorders>
            <w:shd w:val="clear" w:color="auto" w:fill="auto"/>
            <w:noWrap/>
          </w:tcPr>
          <w:p w14:paraId="1885685B" w14:textId="77777777" w:rsidR="00B949E1" w:rsidRPr="00077D72" w:rsidRDefault="00B949E1" w:rsidP="00B9362B">
            <w:pPr>
              <w:pStyle w:val="Tabletext"/>
              <w:rPr>
                <w:lang w:eastAsia="en-AU"/>
              </w:rPr>
            </w:pPr>
          </w:p>
        </w:tc>
        <w:tc>
          <w:tcPr>
            <w:tcW w:w="1464" w:type="dxa"/>
            <w:tcBorders>
              <w:top w:val="single" w:sz="4" w:space="0" w:color="646464"/>
              <w:bottom w:val="single" w:sz="4" w:space="0" w:color="646464"/>
            </w:tcBorders>
            <w:shd w:val="clear" w:color="auto" w:fill="auto"/>
            <w:noWrap/>
          </w:tcPr>
          <w:p w14:paraId="51012427" w14:textId="77777777" w:rsidR="00B949E1" w:rsidRPr="002A2EA9" w:rsidRDefault="00B949E1" w:rsidP="00B9362B">
            <w:pPr>
              <w:pStyle w:val="Tabletext"/>
              <w:jc w:val="center"/>
              <w:rPr>
                <w:color w:val="auto"/>
                <w:lang w:eastAsia="en-AU"/>
              </w:rPr>
            </w:pPr>
          </w:p>
        </w:tc>
        <w:tc>
          <w:tcPr>
            <w:tcW w:w="1464" w:type="dxa"/>
            <w:tcBorders>
              <w:top w:val="single" w:sz="4" w:space="0" w:color="646464"/>
              <w:bottom w:val="single" w:sz="4" w:space="0" w:color="646464"/>
            </w:tcBorders>
            <w:shd w:val="clear" w:color="auto" w:fill="auto"/>
            <w:noWrap/>
          </w:tcPr>
          <w:p w14:paraId="33D4D5BE" w14:textId="77777777" w:rsidR="00B949E1" w:rsidRPr="002A2EA9" w:rsidRDefault="00B949E1" w:rsidP="00B9362B">
            <w:pPr>
              <w:pStyle w:val="Tabletext"/>
              <w:jc w:val="center"/>
              <w:rPr>
                <w:color w:val="auto"/>
                <w:highlight w:val="yellow"/>
                <w:lang w:eastAsia="en-AU"/>
              </w:rPr>
            </w:pPr>
          </w:p>
        </w:tc>
        <w:tc>
          <w:tcPr>
            <w:tcW w:w="1464" w:type="dxa"/>
            <w:tcBorders>
              <w:top w:val="single" w:sz="4" w:space="0" w:color="646464"/>
              <w:bottom w:val="single" w:sz="4" w:space="0" w:color="646464"/>
            </w:tcBorders>
            <w:shd w:val="clear" w:color="auto" w:fill="auto"/>
            <w:noWrap/>
          </w:tcPr>
          <w:p w14:paraId="0718B13E" w14:textId="77777777" w:rsidR="00B949E1" w:rsidRPr="002A2EA9" w:rsidRDefault="00B949E1" w:rsidP="00B9362B">
            <w:pPr>
              <w:pStyle w:val="Tabletext"/>
              <w:jc w:val="center"/>
              <w:rPr>
                <w:color w:val="auto"/>
                <w:highlight w:val="yellow"/>
                <w:lang w:eastAsia="en-AU"/>
              </w:rPr>
            </w:pPr>
          </w:p>
        </w:tc>
      </w:tr>
      <w:tr w:rsidR="00B949E1" w:rsidRPr="00077D72" w14:paraId="295AE36C" w14:textId="77777777" w:rsidTr="003E2764">
        <w:trPr>
          <w:gridBefore w:val="1"/>
          <w:wBefore w:w="454" w:type="dxa"/>
        </w:trPr>
        <w:tc>
          <w:tcPr>
            <w:tcW w:w="3544" w:type="dxa"/>
            <w:tcBorders>
              <w:top w:val="single" w:sz="4" w:space="0" w:color="646464"/>
              <w:bottom w:val="single" w:sz="4" w:space="0" w:color="646464"/>
            </w:tcBorders>
            <w:shd w:val="clear" w:color="auto" w:fill="C8C8C8"/>
            <w:noWrap/>
            <w:vAlign w:val="bottom"/>
          </w:tcPr>
          <w:p w14:paraId="14467439" w14:textId="77777777" w:rsidR="00B949E1" w:rsidRPr="00630362" w:rsidRDefault="00B949E1" w:rsidP="00B9362B">
            <w:pPr>
              <w:pStyle w:val="Tabletext"/>
              <w:rPr>
                <w:b/>
                <w:bCs/>
                <w:lang w:eastAsia="en-AU"/>
              </w:rPr>
            </w:pPr>
            <w:r w:rsidRPr="00630362">
              <w:rPr>
                <w:b/>
                <w:bCs/>
              </w:rPr>
              <w:t>Blended</w:t>
            </w:r>
            <w:r>
              <w:rPr>
                <w:b/>
                <w:bCs/>
              </w:rPr>
              <w:t xml:space="preserve"> waterway</w:t>
            </w:r>
            <w:r w:rsidRPr="00630362">
              <w:rPr>
                <w:b/>
                <w:bCs/>
              </w:rPr>
              <w:t>/land</w:t>
            </w:r>
            <w:r>
              <w:rPr>
                <w:b/>
                <w:bCs/>
              </w:rPr>
              <w:t xml:space="preserve"> </w:t>
            </w:r>
            <w:r w:rsidRPr="00630362">
              <w:rPr>
                <w:b/>
                <w:bCs/>
              </w:rPr>
              <w:t>litter</w:t>
            </w:r>
            <w:r>
              <w:rPr>
                <w:b/>
                <w:bCs/>
              </w:rPr>
              <w:t xml:space="preserve"> </w:t>
            </w:r>
            <w:r w:rsidRPr="00630362">
              <w:rPr>
                <w:b/>
                <w:bCs/>
              </w:rPr>
              <w:t>estimate,</w:t>
            </w:r>
            <w:r>
              <w:rPr>
                <w:b/>
                <w:bCs/>
              </w:rPr>
              <w:t xml:space="preserve"> </w:t>
            </w:r>
            <w:r w:rsidRPr="00630362">
              <w:rPr>
                <w:b/>
                <w:bCs/>
              </w:rPr>
              <w:t>2022$</w:t>
            </w:r>
          </w:p>
        </w:tc>
        <w:tc>
          <w:tcPr>
            <w:tcW w:w="1464" w:type="dxa"/>
            <w:tcBorders>
              <w:top w:val="single" w:sz="4" w:space="0" w:color="646464"/>
              <w:bottom w:val="single" w:sz="4" w:space="0" w:color="646464"/>
            </w:tcBorders>
            <w:shd w:val="clear" w:color="auto" w:fill="C8C8C8"/>
            <w:noWrap/>
          </w:tcPr>
          <w:p w14:paraId="6DE56FD1" w14:textId="77777777" w:rsidR="00B949E1" w:rsidRPr="002A2EA9" w:rsidRDefault="00B949E1" w:rsidP="00B9362B">
            <w:pPr>
              <w:pStyle w:val="Tabletext"/>
              <w:jc w:val="center"/>
              <w:rPr>
                <w:b/>
                <w:bCs/>
                <w:lang w:eastAsia="en-AU"/>
              </w:rPr>
            </w:pPr>
            <w:r w:rsidRPr="002A2EA9">
              <w:rPr>
                <w:b/>
                <w:bCs/>
              </w:rPr>
              <w:t xml:space="preserve"> 5,871 </w:t>
            </w:r>
          </w:p>
        </w:tc>
        <w:tc>
          <w:tcPr>
            <w:tcW w:w="1464" w:type="dxa"/>
            <w:tcBorders>
              <w:top w:val="single" w:sz="4" w:space="0" w:color="646464"/>
              <w:bottom w:val="single" w:sz="4" w:space="0" w:color="646464"/>
            </w:tcBorders>
            <w:shd w:val="clear" w:color="auto" w:fill="C8C8C8"/>
            <w:noWrap/>
          </w:tcPr>
          <w:p w14:paraId="15FF9F36" w14:textId="77777777" w:rsidR="00B949E1" w:rsidRPr="002A2EA9" w:rsidRDefault="00B949E1" w:rsidP="00B9362B">
            <w:pPr>
              <w:pStyle w:val="Tabletext"/>
              <w:jc w:val="center"/>
              <w:rPr>
                <w:b/>
                <w:bCs/>
                <w:highlight w:val="yellow"/>
                <w:lang w:eastAsia="en-AU"/>
              </w:rPr>
            </w:pPr>
            <w:r w:rsidRPr="002A2EA9">
              <w:rPr>
                <w:b/>
                <w:bCs/>
              </w:rPr>
              <w:t xml:space="preserve"> 3,512 </w:t>
            </w:r>
          </w:p>
        </w:tc>
        <w:tc>
          <w:tcPr>
            <w:tcW w:w="1464" w:type="dxa"/>
            <w:tcBorders>
              <w:top w:val="single" w:sz="4" w:space="0" w:color="646464"/>
              <w:bottom w:val="single" w:sz="4" w:space="0" w:color="646464"/>
            </w:tcBorders>
            <w:shd w:val="clear" w:color="auto" w:fill="C8C8C8"/>
            <w:noWrap/>
          </w:tcPr>
          <w:p w14:paraId="0A8B9EE1" w14:textId="77777777" w:rsidR="00B949E1" w:rsidRPr="002A2EA9" w:rsidRDefault="00B949E1" w:rsidP="00B9362B">
            <w:pPr>
              <w:pStyle w:val="Tabletext"/>
              <w:jc w:val="center"/>
              <w:rPr>
                <w:b/>
                <w:bCs/>
                <w:highlight w:val="yellow"/>
                <w:lang w:eastAsia="en-AU"/>
              </w:rPr>
            </w:pPr>
            <w:r w:rsidRPr="002A2EA9">
              <w:rPr>
                <w:b/>
                <w:bCs/>
              </w:rPr>
              <w:t xml:space="preserve"> 25,633 </w:t>
            </w:r>
          </w:p>
        </w:tc>
      </w:tr>
      <w:tr w:rsidR="00B949E1" w:rsidRPr="00077D72" w14:paraId="3E2B6AF2" w14:textId="77777777" w:rsidTr="00B9362B">
        <w:trPr>
          <w:gridBefore w:val="1"/>
          <w:wBefore w:w="454" w:type="dxa"/>
        </w:trPr>
        <w:tc>
          <w:tcPr>
            <w:tcW w:w="7936" w:type="dxa"/>
            <w:gridSpan w:val="4"/>
            <w:tcBorders>
              <w:top w:val="single" w:sz="4" w:space="0" w:color="646464"/>
              <w:bottom w:val="single" w:sz="4" w:space="0" w:color="646464"/>
            </w:tcBorders>
            <w:shd w:val="clear" w:color="auto" w:fill="auto"/>
            <w:noWrap/>
          </w:tcPr>
          <w:p w14:paraId="1ED37D3A" w14:textId="77777777" w:rsidR="00B949E1" w:rsidRDefault="00B949E1" w:rsidP="00B9362B">
            <w:pPr>
              <w:pStyle w:val="Note"/>
              <w:rPr>
                <w:lang w:eastAsia="en-AU"/>
              </w:rPr>
            </w:pPr>
            <w:r>
              <w:rPr>
                <w:lang w:eastAsia="en-AU"/>
              </w:rPr>
              <w:t xml:space="preserve">Note: the blended marine/land litter estimate assumes that </w:t>
            </w:r>
            <w:r w:rsidRPr="00C80516">
              <w:rPr>
                <w:lang w:eastAsia="en-AU"/>
              </w:rPr>
              <w:t>single-use</w:t>
            </w:r>
            <w:r>
              <w:rPr>
                <w:lang w:eastAsia="en-AU"/>
              </w:rPr>
              <w:t xml:space="preserve"> </w:t>
            </w:r>
            <w:r w:rsidRPr="00C80516">
              <w:rPr>
                <w:lang w:eastAsia="en-AU"/>
              </w:rPr>
              <w:t>litter</w:t>
            </w:r>
            <w:r>
              <w:rPr>
                <w:lang w:eastAsia="en-AU"/>
              </w:rPr>
              <w:t xml:space="preserve"> </w:t>
            </w:r>
            <w:r w:rsidRPr="00C80516">
              <w:rPr>
                <w:lang w:eastAsia="en-AU"/>
              </w:rPr>
              <w:t>within</w:t>
            </w:r>
            <w:r>
              <w:rPr>
                <w:lang w:eastAsia="en-AU"/>
              </w:rPr>
              <w:t xml:space="preserve"> waterways </w:t>
            </w:r>
            <w:r w:rsidRPr="00C80516">
              <w:rPr>
                <w:lang w:eastAsia="en-AU"/>
              </w:rPr>
              <w:t>equates</w:t>
            </w:r>
            <w:r>
              <w:rPr>
                <w:lang w:eastAsia="en-AU"/>
              </w:rPr>
              <w:t xml:space="preserve"> </w:t>
            </w:r>
            <w:r w:rsidRPr="00C80516">
              <w:rPr>
                <w:lang w:eastAsia="en-AU"/>
              </w:rPr>
              <w:t>to</w:t>
            </w:r>
            <w:r>
              <w:rPr>
                <w:lang w:eastAsia="en-AU"/>
              </w:rPr>
              <w:t xml:space="preserve"> 17% </w:t>
            </w:r>
            <w:r w:rsidRPr="00C80516">
              <w:rPr>
                <w:lang w:eastAsia="en-AU"/>
              </w:rPr>
              <w:t>of</w:t>
            </w:r>
            <w:r>
              <w:rPr>
                <w:lang w:eastAsia="en-AU"/>
              </w:rPr>
              <w:t xml:space="preserve"> </w:t>
            </w:r>
            <w:r w:rsidRPr="00C80516">
              <w:rPr>
                <w:lang w:eastAsia="en-AU"/>
              </w:rPr>
              <w:t>the</w:t>
            </w:r>
            <w:r>
              <w:rPr>
                <w:lang w:eastAsia="en-AU"/>
              </w:rPr>
              <w:t xml:space="preserve"> </w:t>
            </w:r>
            <w:r w:rsidRPr="00C80516">
              <w:rPr>
                <w:lang w:eastAsia="en-AU"/>
              </w:rPr>
              <w:t>total</w:t>
            </w:r>
            <w:r>
              <w:rPr>
                <w:lang w:eastAsia="en-AU"/>
              </w:rPr>
              <w:t xml:space="preserve"> </w:t>
            </w:r>
            <w:r w:rsidRPr="00C80516">
              <w:rPr>
                <w:lang w:eastAsia="en-AU"/>
              </w:rPr>
              <w:t>litter</w:t>
            </w:r>
            <w:r>
              <w:rPr>
                <w:lang w:eastAsia="en-AU"/>
              </w:rPr>
              <w:t xml:space="preserve"> </w:t>
            </w:r>
            <w:r w:rsidRPr="00C80516">
              <w:rPr>
                <w:lang w:eastAsia="en-AU"/>
              </w:rPr>
              <w:t>experienced</w:t>
            </w:r>
            <w:r>
              <w:rPr>
                <w:lang w:eastAsia="en-AU"/>
              </w:rPr>
              <w:t xml:space="preserve"> </w:t>
            </w:r>
            <w:r w:rsidRPr="00C80516">
              <w:rPr>
                <w:lang w:eastAsia="en-AU"/>
              </w:rPr>
              <w:t>within</w:t>
            </w:r>
            <w:r>
              <w:rPr>
                <w:lang w:eastAsia="en-AU"/>
              </w:rPr>
              <w:t xml:space="preserve"> the ACT and the </w:t>
            </w:r>
            <w:r w:rsidRPr="00C80516">
              <w:rPr>
                <w:lang w:eastAsia="en-AU"/>
              </w:rPr>
              <w:t>remaining</w:t>
            </w:r>
            <w:r>
              <w:rPr>
                <w:lang w:eastAsia="en-AU"/>
              </w:rPr>
              <w:t xml:space="preserve"> 83% is a</w:t>
            </w:r>
            <w:r w:rsidRPr="00C80516">
              <w:rPr>
                <w:lang w:eastAsia="en-AU"/>
              </w:rPr>
              <w:t>ssociated</w:t>
            </w:r>
            <w:r>
              <w:rPr>
                <w:lang w:eastAsia="en-AU"/>
              </w:rPr>
              <w:t xml:space="preserve"> </w:t>
            </w:r>
            <w:r w:rsidRPr="00C80516">
              <w:rPr>
                <w:lang w:eastAsia="en-AU"/>
              </w:rPr>
              <w:t>with</w:t>
            </w:r>
            <w:r>
              <w:rPr>
                <w:lang w:eastAsia="en-AU"/>
              </w:rPr>
              <w:t xml:space="preserve"> </w:t>
            </w:r>
            <w:r w:rsidRPr="00C80516">
              <w:rPr>
                <w:lang w:eastAsia="en-AU"/>
              </w:rPr>
              <w:t>land</w:t>
            </w:r>
            <w:r>
              <w:rPr>
                <w:lang w:eastAsia="en-AU"/>
              </w:rPr>
              <w:t xml:space="preserve"> </w:t>
            </w:r>
            <w:r w:rsidRPr="00C80516">
              <w:rPr>
                <w:lang w:eastAsia="en-AU"/>
              </w:rPr>
              <w:t>litter</w:t>
            </w:r>
            <w:r>
              <w:rPr>
                <w:lang w:eastAsia="en-AU"/>
              </w:rPr>
              <w:t>.</w:t>
            </w:r>
          </w:p>
          <w:p w14:paraId="3277EF7D" w14:textId="77777777" w:rsidR="00B949E1" w:rsidRPr="00077D72" w:rsidRDefault="00B949E1" w:rsidP="00B9362B">
            <w:pPr>
              <w:pStyle w:val="Source"/>
              <w:rPr>
                <w:lang w:eastAsia="en-AU"/>
              </w:rPr>
            </w:pPr>
            <w:r>
              <w:rPr>
                <w:lang w:eastAsia="en-AU"/>
              </w:rPr>
              <w:t xml:space="preserve">Source: ACIL Allen based on ABS CPI data and </w:t>
            </w:r>
            <w:r w:rsidRPr="00C26673">
              <w:rPr>
                <w:lang w:eastAsia="en-AU"/>
              </w:rPr>
              <w:t>Marsden</w:t>
            </w:r>
            <w:r>
              <w:rPr>
                <w:lang w:eastAsia="en-AU"/>
              </w:rPr>
              <w:t xml:space="preserve"> </w:t>
            </w:r>
            <w:r w:rsidRPr="00C26673">
              <w:rPr>
                <w:lang w:eastAsia="en-AU"/>
              </w:rPr>
              <w:t>Jacob</w:t>
            </w:r>
            <w:r>
              <w:rPr>
                <w:lang w:eastAsia="en-AU"/>
              </w:rPr>
              <w:t xml:space="preserve"> </w:t>
            </w:r>
            <w:r w:rsidRPr="00C26673">
              <w:rPr>
                <w:lang w:eastAsia="en-AU"/>
              </w:rPr>
              <w:t>Associates</w:t>
            </w:r>
            <w:r>
              <w:rPr>
                <w:lang w:eastAsia="en-AU"/>
              </w:rPr>
              <w:t xml:space="preserve"> </w:t>
            </w:r>
            <w:r w:rsidRPr="00C26673">
              <w:rPr>
                <w:lang w:eastAsia="en-AU"/>
              </w:rPr>
              <w:t>2016,</w:t>
            </w:r>
            <w:r>
              <w:rPr>
                <w:lang w:eastAsia="en-AU"/>
              </w:rPr>
              <w:t xml:space="preserve"> </w:t>
            </w:r>
            <w:r w:rsidRPr="00C26673">
              <w:rPr>
                <w:lang w:eastAsia="en-AU"/>
              </w:rPr>
              <w:t>Plastic</w:t>
            </w:r>
            <w:r>
              <w:rPr>
                <w:lang w:eastAsia="en-AU"/>
              </w:rPr>
              <w:t xml:space="preserve"> </w:t>
            </w:r>
            <w:r w:rsidRPr="00C26673">
              <w:rPr>
                <w:lang w:eastAsia="en-AU"/>
              </w:rPr>
              <w:t>Bags</w:t>
            </w:r>
            <w:r>
              <w:rPr>
                <w:lang w:eastAsia="en-AU"/>
              </w:rPr>
              <w:t xml:space="preserve"> </w:t>
            </w:r>
            <w:r w:rsidRPr="00C26673">
              <w:rPr>
                <w:lang w:eastAsia="en-AU"/>
              </w:rPr>
              <w:t>Ban</w:t>
            </w:r>
            <w:r>
              <w:rPr>
                <w:lang w:eastAsia="en-AU"/>
              </w:rPr>
              <w:t xml:space="preserve"> </w:t>
            </w:r>
            <w:r w:rsidRPr="00C26673">
              <w:rPr>
                <w:lang w:eastAsia="en-AU"/>
              </w:rPr>
              <w:t>Options</w:t>
            </w:r>
            <w:r>
              <w:rPr>
                <w:lang w:eastAsia="en-AU"/>
              </w:rPr>
              <w:t xml:space="preserve"> </w:t>
            </w:r>
            <w:r w:rsidRPr="00C26673">
              <w:rPr>
                <w:lang w:eastAsia="en-AU"/>
              </w:rPr>
              <w:t>– Cost</w:t>
            </w:r>
            <w:r>
              <w:rPr>
                <w:lang w:eastAsia="en-AU"/>
              </w:rPr>
              <w:t xml:space="preserve"> </w:t>
            </w:r>
            <w:r w:rsidRPr="00C26673">
              <w:rPr>
                <w:lang w:eastAsia="en-AU"/>
              </w:rPr>
              <w:t>Benefit</w:t>
            </w:r>
            <w:r>
              <w:rPr>
                <w:lang w:eastAsia="en-AU"/>
              </w:rPr>
              <w:t xml:space="preserve"> </w:t>
            </w:r>
            <w:r w:rsidRPr="00C26673">
              <w:rPr>
                <w:lang w:eastAsia="en-AU"/>
              </w:rPr>
              <w:t>Analysis,</w:t>
            </w:r>
            <w:r>
              <w:rPr>
                <w:lang w:eastAsia="en-AU"/>
              </w:rPr>
              <w:t xml:space="preserve"> </w:t>
            </w:r>
            <w:r w:rsidRPr="00C26673">
              <w:rPr>
                <w:lang w:eastAsia="en-AU"/>
              </w:rPr>
              <w:t>prepared</w:t>
            </w:r>
            <w:r>
              <w:rPr>
                <w:lang w:eastAsia="en-AU"/>
              </w:rPr>
              <w:t xml:space="preserve"> </w:t>
            </w:r>
            <w:r w:rsidRPr="00C26673">
              <w:rPr>
                <w:lang w:eastAsia="en-AU"/>
              </w:rPr>
              <w:t>for</w:t>
            </w:r>
            <w:r>
              <w:rPr>
                <w:lang w:eastAsia="en-AU"/>
              </w:rPr>
              <w:t xml:space="preserve"> </w:t>
            </w:r>
            <w:r w:rsidRPr="00C26673">
              <w:rPr>
                <w:lang w:eastAsia="en-AU"/>
              </w:rPr>
              <w:t>the</w:t>
            </w:r>
            <w:r>
              <w:rPr>
                <w:lang w:eastAsia="en-AU"/>
              </w:rPr>
              <w:t xml:space="preserve"> </w:t>
            </w:r>
            <w:r w:rsidRPr="00C26673">
              <w:rPr>
                <w:lang w:eastAsia="en-AU"/>
              </w:rPr>
              <w:t>Victorian</w:t>
            </w:r>
            <w:r>
              <w:rPr>
                <w:lang w:eastAsia="en-AU"/>
              </w:rPr>
              <w:t xml:space="preserve"> </w:t>
            </w:r>
            <w:r w:rsidRPr="00C26673">
              <w:rPr>
                <w:lang w:eastAsia="en-AU"/>
              </w:rPr>
              <w:t>Department</w:t>
            </w:r>
            <w:r>
              <w:rPr>
                <w:lang w:eastAsia="en-AU"/>
              </w:rPr>
              <w:t xml:space="preserve"> </w:t>
            </w:r>
            <w:r w:rsidRPr="00C26673">
              <w:rPr>
                <w:lang w:eastAsia="en-AU"/>
              </w:rPr>
              <w:t>of</w:t>
            </w:r>
            <w:r>
              <w:rPr>
                <w:lang w:eastAsia="en-AU"/>
              </w:rPr>
              <w:t xml:space="preserve"> </w:t>
            </w:r>
            <w:r w:rsidRPr="00C26673">
              <w:rPr>
                <w:lang w:eastAsia="en-AU"/>
              </w:rPr>
              <w:t>Environment,</w:t>
            </w:r>
            <w:r>
              <w:rPr>
                <w:lang w:eastAsia="en-AU"/>
              </w:rPr>
              <w:t xml:space="preserve"> </w:t>
            </w:r>
            <w:r w:rsidRPr="00C26673">
              <w:rPr>
                <w:lang w:eastAsia="en-AU"/>
              </w:rPr>
              <w:t>Land,</w:t>
            </w:r>
            <w:r>
              <w:rPr>
                <w:lang w:eastAsia="en-AU"/>
              </w:rPr>
              <w:t xml:space="preserve"> </w:t>
            </w:r>
            <w:r w:rsidRPr="00C26673">
              <w:rPr>
                <w:lang w:eastAsia="en-AU"/>
              </w:rPr>
              <w:t>Water</w:t>
            </w:r>
            <w:r>
              <w:rPr>
                <w:lang w:eastAsia="en-AU"/>
              </w:rPr>
              <w:t xml:space="preserve"> </w:t>
            </w:r>
            <w:r w:rsidRPr="00C26673">
              <w:rPr>
                <w:lang w:eastAsia="en-AU"/>
              </w:rPr>
              <w:t>and</w:t>
            </w:r>
            <w:r>
              <w:rPr>
                <w:lang w:eastAsia="en-AU"/>
              </w:rPr>
              <w:t xml:space="preserve"> </w:t>
            </w:r>
            <w:r w:rsidRPr="00C26673">
              <w:rPr>
                <w:lang w:eastAsia="en-AU"/>
              </w:rPr>
              <w:t>Planning</w:t>
            </w:r>
          </w:p>
        </w:tc>
      </w:tr>
      <w:tr w:rsidR="00B949E1" w:rsidRPr="00077D72" w14:paraId="3B878B30" w14:textId="77777777" w:rsidTr="00B9362B">
        <w:trPr>
          <w:gridBefore w:val="1"/>
          <w:wBefore w:w="454" w:type="dxa"/>
          <w:trHeight w:hRule="exact" w:val="160"/>
        </w:trPr>
        <w:tc>
          <w:tcPr>
            <w:tcW w:w="7936" w:type="dxa"/>
            <w:gridSpan w:val="4"/>
            <w:tcBorders>
              <w:top w:val="single" w:sz="4" w:space="0" w:color="646464"/>
              <w:bottom w:val="nil"/>
            </w:tcBorders>
            <w:shd w:val="clear" w:color="auto" w:fill="auto"/>
            <w:noWrap/>
            <w:tcMar>
              <w:bottom w:w="0" w:type="dxa"/>
            </w:tcMar>
          </w:tcPr>
          <w:p w14:paraId="22B2AC45" w14:textId="77777777" w:rsidR="00B949E1" w:rsidRPr="00077D72" w:rsidRDefault="00B949E1" w:rsidP="00B9362B">
            <w:pPr>
              <w:pStyle w:val="spacer"/>
              <w:rPr>
                <w:lang w:eastAsia="en-AU"/>
              </w:rPr>
            </w:pPr>
          </w:p>
        </w:tc>
      </w:tr>
    </w:tbl>
    <w:p w14:paraId="59F38C26" w14:textId="77777777" w:rsidR="00B949E1" w:rsidRDefault="00B949E1" w:rsidP="00B949E1">
      <w:pPr>
        <w:pStyle w:val="ListBullet"/>
        <w:numPr>
          <w:ilvl w:val="0"/>
          <w:numId w:val="9"/>
        </w:numPr>
      </w:pPr>
      <w:r>
        <w:t xml:space="preserve">To value the benefits of </w:t>
      </w:r>
      <w:r w:rsidRPr="00392319">
        <w:rPr>
          <w:u w:val="single"/>
        </w:rPr>
        <w:t>substituted</w:t>
      </w:r>
      <w:r>
        <w:rPr>
          <w:u w:val="single"/>
        </w:rPr>
        <w:t xml:space="preserve"> </w:t>
      </w:r>
      <w:r w:rsidRPr="00392319">
        <w:rPr>
          <w:u w:val="single"/>
        </w:rPr>
        <w:t>litter</w:t>
      </w:r>
      <w:r>
        <w:rPr>
          <w:u w:val="single"/>
        </w:rPr>
        <w:t xml:space="preserve"> </w:t>
      </w:r>
      <w:r>
        <w:t>— an indicative estimate of the benefits of substituting SUP litter by littering from both alternative single-use and reusable items has been calculated using information from a recently released paper on the WTP for reduced litter which contains information about the WTP to reduce different types of litter</w:t>
      </w:r>
      <w:r>
        <w:rPr>
          <w:rStyle w:val="FootnoteReference"/>
        </w:rPr>
        <w:footnoteReference w:id="90"/>
      </w:r>
      <w:r>
        <w:t xml:space="preserve"> in different locations within NSW, Victoria and Queensland. As shown in </w:t>
      </w:r>
      <w:r w:rsidRPr="003D7125">
        <w:rPr>
          <w:b/>
          <w:bCs/>
        </w:rPr>
        <w:fldChar w:fldCharType="begin"/>
      </w:r>
      <w:r w:rsidRPr="003D7125">
        <w:rPr>
          <w:b/>
          <w:bCs/>
        </w:rPr>
        <w:instrText xml:space="preserve"> REF _Ref130818669 \h </w:instrText>
      </w:r>
      <w:r>
        <w:rPr>
          <w:b/>
          <w:bCs/>
        </w:rPr>
        <w:instrText xml:space="preserve"> \* MERGEFORMAT </w:instrText>
      </w:r>
      <w:r w:rsidRPr="003D7125">
        <w:rPr>
          <w:b/>
          <w:bCs/>
        </w:rPr>
      </w:r>
      <w:r w:rsidRPr="003D7125">
        <w:rPr>
          <w:b/>
          <w:bCs/>
        </w:rPr>
        <w:fldChar w:fldCharType="separate"/>
      </w:r>
      <w:r w:rsidRPr="00790266">
        <w:rPr>
          <w:rStyle w:val="CaptionLabel"/>
          <w:b w:val="0"/>
          <w:bCs/>
        </w:rPr>
        <w:t>Figure 6.4</w:t>
      </w:r>
      <w:r w:rsidRPr="003D7125">
        <w:rPr>
          <w:b/>
          <w:bCs/>
        </w:rPr>
        <w:fldChar w:fldCharType="end"/>
      </w:r>
      <w:r>
        <w:t>, people are consistently willing to pay around three times more to reduce plastic litter than paper/cardboard litter. These estimates have been used to adjust the blended WTP per tonne of avoided litter to reflect a scenario where litter is not avoided entirely but substituted from SUP litter to paper/cardboard litter (</w:t>
      </w:r>
      <w:proofErr w:type="gramStart"/>
      <w:r>
        <w:t>i.e.</w:t>
      </w:r>
      <w:proofErr w:type="gramEnd"/>
      <w:r>
        <w:t xml:space="preserve"> this assumes that littering behaviour does not change, but the type of material littered is). These adjustments result in an indicative WTP for changing a tonne of plastic litter for a tonne of paper/cardboard litter of $</w:t>
      </w:r>
      <w:r w:rsidRPr="00F80ECB">
        <w:t>14,970</w:t>
      </w:r>
      <w:r>
        <w:t xml:space="preserve">. However, it is important to note that these estimates are only indicative, as they are derived from surveys </w:t>
      </w:r>
      <w:r>
        <w:lastRenderedPageBreak/>
        <w:t xml:space="preserve">asking people their WTP for eliminating litter, not their WTP for replacing one type of litter with another. </w:t>
      </w:r>
    </w:p>
    <w:p w14:paraId="6F54743B" w14:textId="77777777" w:rsidR="00B949E1" w:rsidRDefault="00B949E1" w:rsidP="00B949E1">
      <w:pPr>
        <w:pStyle w:val="BodyText"/>
        <w:ind w:left="420"/>
      </w:pPr>
      <w:r>
        <w:t>As mentioned above, to avoid penalising heavier non-plastic alternatives, the WTP per tonne of substituted litter has been converted to a WTP per item.</w:t>
      </w:r>
    </w:p>
    <w:tbl>
      <w:tblPr>
        <w:tblW w:w="0" w:type="auto"/>
        <w:tblLayout w:type="fixed"/>
        <w:tblCellMar>
          <w:left w:w="0" w:type="dxa"/>
          <w:right w:w="0" w:type="dxa"/>
        </w:tblCellMar>
        <w:tblLook w:val="0000" w:firstRow="0" w:lastRow="0" w:firstColumn="0" w:lastColumn="0" w:noHBand="0" w:noVBand="0"/>
      </w:tblPr>
      <w:tblGrid>
        <w:gridCol w:w="7936"/>
      </w:tblGrid>
      <w:tr w:rsidR="00B949E1" w14:paraId="7AEF3C34" w14:textId="77777777" w:rsidTr="00B9362B">
        <w:tc>
          <w:tcPr>
            <w:tcW w:w="7936" w:type="dxa"/>
            <w:tcBorders>
              <w:bottom w:val="single" w:sz="4" w:space="0" w:color="000100"/>
            </w:tcBorders>
            <w:shd w:val="clear" w:color="auto" w:fill="auto"/>
            <w:tcMar>
              <w:top w:w="160" w:type="dxa"/>
              <w:bottom w:w="8" w:type="dxa"/>
            </w:tcMar>
          </w:tcPr>
          <w:p w14:paraId="15FBE0E4" w14:textId="77777777" w:rsidR="00B949E1" w:rsidRDefault="00B949E1" w:rsidP="00B9362B">
            <w:pPr>
              <w:pStyle w:val="Caption"/>
            </w:pPr>
            <w:bookmarkStart w:id="104" w:name="_Ref130818669"/>
            <w:bookmarkStart w:id="105" w:name="_Toc134002435"/>
            <w:r w:rsidRPr="00CE5190">
              <w:rPr>
                <w:rStyle w:val="CaptionLabel"/>
              </w:rPr>
              <w:t>Figure </w:t>
            </w:r>
            <w:r w:rsidRPr="00CE5190">
              <w:rPr>
                <w:rStyle w:val="CaptionLabel"/>
              </w:rPr>
              <w:fldChar w:fldCharType="begin"/>
            </w:r>
            <w:r w:rsidRPr="00CE5190">
              <w:rPr>
                <w:rStyle w:val="CaptionLabel"/>
              </w:rPr>
              <w:instrText xml:space="preserve"> STYLEREF 1 \S \* MERGEFORMAT </w:instrText>
            </w:r>
            <w:r w:rsidRPr="00CE5190">
              <w:rPr>
                <w:rStyle w:val="CaptionLabel"/>
              </w:rPr>
              <w:fldChar w:fldCharType="separate"/>
            </w:r>
            <w:r>
              <w:rPr>
                <w:rStyle w:val="CaptionLabel"/>
                <w:noProof/>
              </w:rPr>
              <w:t>6</w:t>
            </w:r>
            <w:r w:rsidRPr="00CE5190">
              <w:rPr>
                <w:rStyle w:val="CaptionLabel"/>
              </w:rPr>
              <w:fldChar w:fldCharType="end"/>
            </w:r>
            <w:r w:rsidRPr="00CE5190">
              <w:rPr>
                <w:rStyle w:val="CaptionLabel"/>
              </w:rPr>
              <w:t>.</w:t>
            </w:r>
            <w:r w:rsidRPr="00CE5190">
              <w:rPr>
                <w:rStyle w:val="CaptionLabel"/>
              </w:rPr>
              <w:fldChar w:fldCharType="begin"/>
            </w:r>
            <w:r w:rsidRPr="00CE5190">
              <w:rPr>
                <w:rStyle w:val="CaptionLabel"/>
              </w:rPr>
              <w:instrText xml:space="preserve"> SEQ Figure \* ARABIC \S 1 \* MERGEFORMAT </w:instrText>
            </w:r>
            <w:r w:rsidRPr="00CE5190">
              <w:rPr>
                <w:rStyle w:val="CaptionLabel"/>
              </w:rPr>
              <w:fldChar w:fldCharType="separate"/>
            </w:r>
            <w:r>
              <w:rPr>
                <w:rStyle w:val="CaptionLabel"/>
                <w:noProof/>
              </w:rPr>
              <w:t>4</w:t>
            </w:r>
            <w:r w:rsidRPr="00CE5190">
              <w:rPr>
                <w:rStyle w:val="CaptionLabel"/>
              </w:rPr>
              <w:fldChar w:fldCharType="end"/>
            </w:r>
            <w:bookmarkEnd w:id="104"/>
            <w:r>
              <w:tab/>
            </w:r>
            <w:r w:rsidRPr="00F3645A">
              <w:t>Total</w:t>
            </w:r>
            <w:r>
              <w:t xml:space="preserve"> </w:t>
            </w:r>
            <w:r w:rsidRPr="00F3645A">
              <w:t>willingness</w:t>
            </w:r>
            <w:r>
              <w:t xml:space="preserve"> </w:t>
            </w:r>
            <w:r w:rsidRPr="00F3645A">
              <w:t>to</w:t>
            </w:r>
            <w:r>
              <w:t xml:space="preserve"> </w:t>
            </w:r>
            <w:r w:rsidRPr="00F3645A">
              <w:t>pay</w:t>
            </w:r>
            <w:r>
              <w:t xml:space="preserve"> </w:t>
            </w:r>
            <w:r w:rsidRPr="00F3645A">
              <w:t>for</w:t>
            </w:r>
            <w:r>
              <w:t xml:space="preserve"> </w:t>
            </w:r>
            <w:r w:rsidRPr="00F3645A">
              <w:t>zero</w:t>
            </w:r>
            <w:r>
              <w:t xml:space="preserve"> </w:t>
            </w:r>
            <w:r w:rsidRPr="00F3645A">
              <w:t>litter</w:t>
            </w:r>
            <w:r>
              <w:t xml:space="preserve"> </w:t>
            </w:r>
            <w:r w:rsidRPr="00F3645A">
              <w:t>by</w:t>
            </w:r>
            <w:r>
              <w:t xml:space="preserve"> </w:t>
            </w:r>
            <w:r w:rsidRPr="00F3645A">
              <w:t>type</w:t>
            </w:r>
            <w:r>
              <w:t xml:space="preserve"> </w:t>
            </w:r>
            <w:r w:rsidRPr="00F3645A">
              <w:t>of</w:t>
            </w:r>
            <w:r>
              <w:t xml:space="preserve"> </w:t>
            </w:r>
            <w:r w:rsidRPr="00F3645A">
              <w:t>litter</w:t>
            </w:r>
            <w:bookmarkEnd w:id="105"/>
          </w:p>
        </w:tc>
      </w:tr>
      <w:tr w:rsidR="00B949E1" w14:paraId="6F2A7953" w14:textId="77777777" w:rsidTr="00B9362B">
        <w:tc>
          <w:tcPr>
            <w:tcW w:w="7936" w:type="dxa"/>
            <w:tcBorders>
              <w:top w:val="single" w:sz="4" w:space="0" w:color="000100"/>
            </w:tcBorders>
            <w:shd w:val="clear" w:color="auto" w:fill="auto"/>
            <w:tcMar>
              <w:top w:w="8" w:type="dxa"/>
              <w:bottom w:w="8" w:type="dxa"/>
              <w:right w:w="20" w:type="dxa"/>
            </w:tcMar>
          </w:tcPr>
          <w:p w14:paraId="46E58BA1" w14:textId="77777777" w:rsidR="00B949E1" w:rsidRDefault="00B949E1" w:rsidP="00B9362B">
            <w:pPr>
              <w:pStyle w:val="Figure"/>
            </w:pPr>
            <w:r>
              <w:rPr>
                <w:noProof/>
                <w:lang w:eastAsia="en-AU"/>
              </w:rPr>
              <w:drawing>
                <wp:inline distT="0" distB="0" distL="0" distR="0" wp14:anchorId="1BB26629" wp14:editId="260602B2">
                  <wp:extent cx="5026660" cy="2179955"/>
                  <wp:effectExtent l="0" t="0" r="2540" b="0"/>
                  <wp:docPr id="525" name="Picture 5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26660" cy="2179955"/>
                          </a:xfrm>
                          <a:prstGeom prst="rect">
                            <a:avLst/>
                          </a:prstGeom>
                        </pic:spPr>
                      </pic:pic>
                    </a:graphicData>
                  </a:graphic>
                </wp:inline>
              </w:drawing>
            </w:r>
          </w:p>
        </w:tc>
      </w:tr>
      <w:tr w:rsidR="00B949E1" w14:paraId="236CD3FB" w14:textId="77777777" w:rsidTr="00B9362B">
        <w:trPr>
          <w:trHeight w:val="135"/>
        </w:trPr>
        <w:tc>
          <w:tcPr>
            <w:tcW w:w="7936" w:type="dxa"/>
            <w:tcBorders>
              <w:bottom w:val="single" w:sz="4" w:space="0" w:color="000100"/>
            </w:tcBorders>
            <w:shd w:val="clear" w:color="auto" w:fill="auto"/>
            <w:tcMar>
              <w:top w:w="12" w:type="dxa"/>
              <w:bottom w:w="113" w:type="dxa"/>
            </w:tcMar>
          </w:tcPr>
          <w:p w14:paraId="4B7D5D30" w14:textId="77777777" w:rsidR="00B949E1" w:rsidRDefault="00B949E1" w:rsidP="00B9362B">
            <w:pPr>
              <w:pStyle w:val="Source"/>
            </w:pPr>
            <w:r>
              <w:t xml:space="preserve">Source: CIE </w:t>
            </w:r>
            <w:r w:rsidRPr="00F3645A">
              <w:t>2022,</w:t>
            </w:r>
            <w:r>
              <w:t xml:space="preserve"> </w:t>
            </w:r>
            <w:r w:rsidRPr="00F3645A">
              <w:t>Willingness</w:t>
            </w:r>
            <w:r>
              <w:t xml:space="preserve"> </w:t>
            </w:r>
            <w:r w:rsidRPr="00F3645A">
              <w:t>to</w:t>
            </w:r>
            <w:r>
              <w:t xml:space="preserve"> </w:t>
            </w:r>
            <w:r w:rsidRPr="00F3645A">
              <w:t>pay</w:t>
            </w:r>
            <w:r>
              <w:t xml:space="preserve"> </w:t>
            </w:r>
            <w:r w:rsidRPr="00F3645A">
              <w:t>for</w:t>
            </w:r>
            <w:r>
              <w:t xml:space="preserve"> </w:t>
            </w:r>
            <w:r w:rsidRPr="00F3645A">
              <w:t>reduced</w:t>
            </w:r>
            <w:r>
              <w:t xml:space="preserve"> </w:t>
            </w:r>
            <w:r w:rsidRPr="00F3645A">
              <w:t>litter</w:t>
            </w:r>
            <w:r>
              <w:t xml:space="preserve"> </w:t>
            </w:r>
            <w:r w:rsidRPr="00F3645A">
              <w:t>and</w:t>
            </w:r>
            <w:r>
              <w:t xml:space="preserve"> </w:t>
            </w:r>
            <w:r w:rsidRPr="00F3645A">
              <w:t>illegal</w:t>
            </w:r>
            <w:r>
              <w:t xml:space="preserve"> </w:t>
            </w:r>
            <w:r w:rsidRPr="00F3645A">
              <w:t>dumping,</w:t>
            </w:r>
            <w:r>
              <w:t xml:space="preserve"> </w:t>
            </w:r>
            <w:r w:rsidRPr="00F3645A">
              <w:t>February</w:t>
            </w:r>
          </w:p>
        </w:tc>
      </w:tr>
      <w:tr w:rsidR="00B949E1" w14:paraId="09DEFC10" w14:textId="77777777" w:rsidTr="00B9362B">
        <w:trPr>
          <w:trHeight w:hRule="exact" w:val="160"/>
        </w:trPr>
        <w:tc>
          <w:tcPr>
            <w:tcW w:w="7936" w:type="dxa"/>
            <w:tcBorders>
              <w:top w:val="single" w:sz="4" w:space="0" w:color="000100"/>
            </w:tcBorders>
            <w:shd w:val="clear" w:color="auto" w:fill="auto"/>
            <w:tcMar>
              <w:top w:w="0" w:type="dxa"/>
              <w:bottom w:w="40" w:type="dxa"/>
            </w:tcMar>
          </w:tcPr>
          <w:p w14:paraId="210CF9FC" w14:textId="77777777" w:rsidR="00B949E1" w:rsidRDefault="00B949E1" w:rsidP="00B9362B">
            <w:pPr>
              <w:pStyle w:val="spacer"/>
            </w:pPr>
          </w:p>
        </w:tc>
      </w:tr>
    </w:tbl>
    <w:p w14:paraId="4A78982D" w14:textId="77777777" w:rsidR="00B949E1" w:rsidRDefault="00B949E1" w:rsidP="00B949E1">
      <w:pPr>
        <w:pStyle w:val="Heading3"/>
      </w:pPr>
      <w:bookmarkStart w:id="106" w:name="_Ref131421551"/>
      <w:r>
        <w:t>Environmental benefits</w:t>
      </w:r>
      <w:bookmarkEnd w:id="106"/>
    </w:p>
    <w:p w14:paraId="0F72D031" w14:textId="77777777" w:rsidR="00B949E1" w:rsidRDefault="00B949E1" w:rsidP="00B949E1">
      <w:pPr>
        <w:pStyle w:val="BodyText"/>
      </w:pPr>
      <w:r>
        <w:t xml:space="preserve">In other Australian jurisdictions, the environmental benefits of removing SUP items are mainly derived from the environmental cost of plastic in the oceans. There has been no study on the environmental impacts of plastic in terrestrial environments. </w:t>
      </w:r>
    </w:p>
    <w:p w14:paraId="42A9931C" w14:textId="77777777" w:rsidR="00B949E1" w:rsidRDefault="00B949E1" w:rsidP="00B949E1">
      <w:pPr>
        <w:pStyle w:val="BodyText"/>
      </w:pPr>
      <w:r>
        <w:t xml:space="preserve">The ACT, however, is a landlocked jurisdiction. Therefore, it is reasonable to assume that the amount of plastic from the ACT entering the ocean is insignificant. </w:t>
      </w:r>
      <w:proofErr w:type="gramStart"/>
      <w:r>
        <w:t>In light of</w:t>
      </w:r>
      <w:proofErr w:type="gramEnd"/>
      <w:r>
        <w:t xml:space="preserve"> these factors, this analysis does not quantify the environmental benefits of banning SUP items but discusses them qualitatively in the next chapter.</w:t>
      </w:r>
    </w:p>
    <w:p w14:paraId="7E7D728F" w14:textId="77777777" w:rsidR="00B949E1" w:rsidRDefault="00B949E1" w:rsidP="00B949E1">
      <w:pPr>
        <w:pStyle w:val="Heading3"/>
      </w:pPr>
      <w:r>
        <w:t>Other benefits</w:t>
      </w:r>
    </w:p>
    <w:p w14:paraId="2DA0CC8A" w14:textId="77777777" w:rsidR="00B949E1" w:rsidRDefault="00B949E1" w:rsidP="00B949E1">
      <w:pPr>
        <w:pStyle w:val="BodyText"/>
      </w:pPr>
      <w:r>
        <w:t xml:space="preserve">There are a range of other benefits associated with the reduction of SUP plastic, such as the impact on human health, reduced contamination of recycling streams, and more. These benefits are deemed unquantifiable due to </w:t>
      </w:r>
      <w:proofErr w:type="gramStart"/>
      <w:r>
        <w:t>a number of</w:t>
      </w:r>
      <w:proofErr w:type="gramEnd"/>
      <w:r>
        <w:t xml:space="preserve"> factors including the lack of research and studies on the subject, unavailability of data, and applicability to this RIS. It is important to recognise these benefits exist; however, to remain consistent with best practice RIS guidance these benefits have not been quantified. As such, it is likely that the quantified impacts reflect only a portion of the overall benefits of phasing-out SUPs in the Territory.</w:t>
      </w:r>
    </w:p>
    <w:p w14:paraId="0CD395E4" w14:textId="77777777" w:rsidR="00B949E1" w:rsidRDefault="00B949E1" w:rsidP="00B949E1">
      <w:pPr>
        <w:pStyle w:val="BodyText"/>
      </w:pPr>
      <w:r>
        <w:t xml:space="preserve">These benefits are discussed qualitatively in Section </w:t>
      </w:r>
      <w:r>
        <w:fldChar w:fldCharType="begin"/>
      </w:r>
      <w:r>
        <w:instrText xml:space="preserve"> REF _Ref131162469 \r \h </w:instrText>
      </w:r>
      <w:r>
        <w:fldChar w:fldCharType="separate"/>
      </w:r>
      <w:r>
        <w:t>7.3</w:t>
      </w:r>
      <w:r>
        <w:fldChar w:fldCharType="end"/>
      </w:r>
      <w:r>
        <w:t>.</w:t>
      </w:r>
    </w:p>
    <w:p w14:paraId="2C29F172" w14:textId="77777777" w:rsidR="00B949E1" w:rsidRDefault="00B949E1" w:rsidP="00B949E1">
      <w:pPr>
        <w:pStyle w:val="BodyText"/>
      </w:pPr>
    </w:p>
    <w:p w14:paraId="60205CEE" w14:textId="77777777" w:rsidR="00B949E1" w:rsidRDefault="00B949E1" w:rsidP="00B949E1">
      <w:pPr>
        <w:pStyle w:val="BodyText"/>
      </w:pPr>
    </w:p>
    <w:p w14:paraId="549A1158" w14:textId="77777777" w:rsidR="00B949E1" w:rsidRDefault="00B949E1" w:rsidP="00B949E1">
      <w:pPr>
        <w:pStyle w:val="BodyText"/>
      </w:pPr>
    </w:p>
    <w:p w14:paraId="3598329D" w14:textId="77777777" w:rsidR="00B949E1" w:rsidRDefault="00B949E1" w:rsidP="00B949E1">
      <w:pPr>
        <w:pStyle w:val="BodyText"/>
      </w:pPr>
    </w:p>
    <w:p w14:paraId="2ADA7C1D" w14:textId="77777777" w:rsidR="00B949E1" w:rsidRDefault="00B949E1" w:rsidP="00B949E1">
      <w:pPr>
        <w:pStyle w:val="BodyText"/>
      </w:pPr>
    </w:p>
    <w:p w14:paraId="1AD83E87" w14:textId="77777777" w:rsidR="00B949E1" w:rsidRDefault="00B949E1" w:rsidP="00B949E1">
      <w:pPr>
        <w:pStyle w:val="BodyText"/>
        <w:sectPr w:rsidR="00B949E1" w:rsidSect="00003C6B">
          <w:headerReference w:type="even" r:id="rId91"/>
          <w:headerReference w:type="default" r:id="rId92"/>
          <w:footerReference w:type="even" r:id="rId93"/>
          <w:footerReference w:type="default" r:id="rId94"/>
          <w:headerReference w:type="first" r:id="rId95"/>
          <w:footerReference w:type="first" r:id="rId96"/>
          <w:pgSz w:w="11906" w:h="16838" w:code="9"/>
          <w:pgMar w:top="1134" w:right="851" w:bottom="1134" w:left="3119" w:header="454" w:footer="454"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3CDA13F5" w14:textId="77777777" w:rsidTr="00B9362B">
        <w:trPr>
          <w:trHeight w:hRule="exact" w:val="382"/>
        </w:trPr>
        <w:tc>
          <w:tcPr>
            <w:tcW w:w="5570" w:type="dxa"/>
          </w:tcPr>
          <w:p w14:paraId="74E37A49" w14:textId="77777777" w:rsidR="00B949E1" w:rsidRDefault="00B949E1" w:rsidP="00B9362B">
            <w:pPr>
              <w:pStyle w:val="tagchapterBanner"/>
            </w:pPr>
            <w:r>
              <w:rPr>
                <w:noProof/>
              </w:rPr>
              <w:lastRenderedPageBreak/>
              <w:drawing>
                <wp:anchor distT="0" distB="0" distL="114300" distR="114300" simplePos="0" relativeHeight="251658752" behindDoc="1" locked="1" layoutInCell="1" allowOverlap="1" wp14:anchorId="4FA22B4C" wp14:editId="1B63EB23">
                  <wp:simplePos x="0" y="0"/>
                  <wp:positionH relativeFrom="page">
                    <wp:posOffset>0</wp:posOffset>
                  </wp:positionH>
                  <wp:positionV relativeFrom="page">
                    <wp:posOffset>0</wp:posOffset>
                  </wp:positionV>
                  <wp:extent cx="5039360" cy="1995170"/>
                  <wp:effectExtent l="0" t="0" r="8890" b="5080"/>
                  <wp:wrapNone/>
                  <wp:docPr id="56" name="Picture 56"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55D73A07" w14:textId="77777777" w:rsidR="00B949E1" w:rsidRDefault="00B949E1" w:rsidP="00B9362B">
            <w:pPr>
              <w:pStyle w:val="spacer"/>
            </w:pPr>
          </w:p>
        </w:tc>
      </w:tr>
      <w:tr w:rsidR="00B949E1" w14:paraId="5EF4F021" w14:textId="77777777" w:rsidTr="00B9362B">
        <w:trPr>
          <w:trHeight w:hRule="exact" w:val="2760"/>
        </w:trPr>
        <w:tc>
          <w:tcPr>
            <w:tcW w:w="5570" w:type="dxa"/>
            <w:vAlign w:val="bottom"/>
          </w:tcPr>
          <w:p w14:paraId="153C69AF" w14:textId="2C02E843" w:rsidR="00B949E1" w:rsidRDefault="00B949E1" w:rsidP="00F008F9">
            <w:pPr>
              <w:pStyle w:val="Heading1"/>
              <w:ind w:left="248" w:hanging="384"/>
            </w:pPr>
            <w:bookmarkStart w:id="107" w:name="_Ref130998119"/>
            <w:bookmarkStart w:id="108" w:name="_Toc136872633"/>
            <w:r>
              <w:t>Impact analysis</w:t>
            </w:r>
            <w:bookmarkEnd w:id="107"/>
            <w:bookmarkEnd w:id="108"/>
          </w:p>
        </w:tc>
        <w:tc>
          <w:tcPr>
            <w:tcW w:w="2366" w:type="dxa"/>
            <w:tcMar>
              <w:right w:w="224" w:type="dxa"/>
            </w:tcMar>
            <w:vAlign w:val="bottom"/>
          </w:tcPr>
          <w:p w14:paraId="49AF2395" w14:textId="77777777" w:rsidR="00B949E1" w:rsidRDefault="00B949E1" w:rsidP="00B9362B">
            <w:pPr>
              <w:pStyle w:val="HeadingChapter"/>
            </w:pPr>
            <w:r>
              <w:t>7</w:t>
            </w:r>
            <w:r w:rsidR="00A42F85">
              <w:fldChar w:fldCharType="begin"/>
            </w:r>
            <w:r w:rsidR="00A42F85">
              <w:instrText xml:space="preserve"> SEQ ChptNum \* ARABIC </w:instrText>
            </w:r>
            <w:r w:rsidR="00A42F85">
              <w:fldChar w:fldCharType="separate"/>
            </w:r>
            <w:r>
              <w:rPr>
                <w:noProof/>
              </w:rPr>
              <w:t>1</w:t>
            </w:r>
            <w:r w:rsidR="00A42F85">
              <w:rPr>
                <w:noProof/>
              </w:rPr>
              <w:fldChar w:fldCharType="end"/>
            </w:r>
          </w:p>
        </w:tc>
      </w:tr>
      <w:tr w:rsidR="00B949E1" w14:paraId="47AA22CE" w14:textId="77777777" w:rsidTr="00B9362B">
        <w:trPr>
          <w:trHeight w:hRule="exact" w:val="228"/>
        </w:trPr>
        <w:tc>
          <w:tcPr>
            <w:tcW w:w="5570" w:type="dxa"/>
          </w:tcPr>
          <w:p w14:paraId="75AD1C7E" w14:textId="77777777" w:rsidR="00B949E1" w:rsidRDefault="00B949E1" w:rsidP="00B9362B">
            <w:pPr>
              <w:pStyle w:val="spacer"/>
            </w:pPr>
          </w:p>
        </w:tc>
        <w:tc>
          <w:tcPr>
            <w:tcW w:w="2366" w:type="dxa"/>
          </w:tcPr>
          <w:p w14:paraId="0D2B0D4E" w14:textId="77777777" w:rsidR="00B949E1" w:rsidRDefault="00B949E1" w:rsidP="00B9362B">
            <w:pPr>
              <w:pStyle w:val="spacer"/>
            </w:pPr>
          </w:p>
        </w:tc>
      </w:tr>
    </w:tbl>
    <w:p w14:paraId="65061EE3" w14:textId="77777777" w:rsidR="00B949E1" w:rsidRDefault="00B949E1" w:rsidP="00B949E1">
      <w:pPr>
        <w:pStyle w:val="Heading2"/>
      </w:pPr>
      <w:bookmarkStart w:id="109" w:name="_Ref130998106"/>
      <w:bookmarkStart w:id="110" w:name="_Ref130998144"/>
      <w:bookmarkStart w:id="111" w:name="_Toc136872634"/>
      <w:r>
        <w:t>Quantified impact</w:t>
      </w:r>
      <w:bookmarkEnd w:id="109"/>
      <w:bookmarkEnd w:id="110"/>
      <w:bookmarkEnd w:id="111"/>
      <w:r>
        <w:t xml:space="preserve"> </w:t>
      </w:r>
    </w:p>
    <w:p w14:paraId="36DBD371" w14:textId="77777777" w:rsidR="00B949E1" w:rsidRDefault="00B949E1" w:rsidP="00B949E1">
      <w:pPr>
        <w:pStyle w:val="BodyText"/>
      </w:pPr>
      <w:r w:rsidRPr="00D24C27">
        <w:rPr>
          <w:b/>
          <w:bCs/>
        </w:rPr>
        <w:fldChar w:fldCharType="begin"/>
      </w:r>
      <w:r w:rsidRPr="00D24C27">
        <w:rPr>
          <w:b/>
          <w:bCs/>
        </w:rPr>
        <w:instrText xml:space="preserve"> REF _Ref130909680 \h  \* MERGEFORMAT </w:instrText>
      </w:r>
      <w:r w:rsidRPr="00D24C27">
        <w:rPr>
          <w:b/>
          <w:bCs/>
        </w:rPr>
      </w:r>
      <w:r w:rsidRPr="00D24C27">
        <w:rPr>
          <w:b/>
          <w:bCs/>
        </w:rPr>
        <w:fldChar w:fldCharType="separate"/>
      </w:r>
      <w:r w:rsidRPr="00790266">
        <w:rPr>
          <w:rStyle w:val="CaptionLabel"/>
          <w:b w:val="0"/>
          <w:bCs/>
        </w:rPr>
        <w:t>Table 7.1</w:t>
      </w:r>
      <w:r w:rsidRPr="00D24C27">
        <w:rPr>
          <w:b/>
          <w:bCs/>
        </w:rPr>
        <w:fldChar w:fldCharType="end"/>
      </w:r>
      <w:r w:rsidRPr="00D24C27">
        <w:rPr>
          <w:b/>
          <w:bCs/>
        </w:rPr>
        <w:t xml:space="preserve"> </w:t>
      </w:r>
      <w:r>
        <w:t xml:space="preserve">summarises the costs and benefits of the policy option relative to the base case. It shows that the net present benefit to the ACT economy is </w:t>
      </w:r>
      <w:r w:rsidRPr="009A5704">
        <w:rPr>
          <w:color w:val="FF0000"/>
        </w:rPr>
        <w:t>-$12</w:t>
      </w:r>
      <w:r>
        <w:rPr>
          <w:color w:val="FF0000"/>
        </w:rPr>
        <w:t>.3</w:t>
      </w:r>
      <w:r w:rsidRPr="009A5704">
        <w:rPr>
          <w:color w:val="FF0000"/>
        </w:rPr>
        <w:t> million</w:t>
      </w:r>
      <w:r>
        <w:t xml:space="preserve">, with a BCR of 0.3. Based on the quantified costs and benefits and the assumptions made, this result shows that the costs of substituting plastic products for suitable alternatives would not offset the quantified benefits. </w:t>
      </w:r>
    </w:p>
    <w:p w14:paraId="2A4B5BE3" w14:textId="77777777" w:rsidR="00B949E1" w:rsidRDefault="00B949E1" w:rsidP="00B949E1">
      <w:pPr>
        <w:pStyle w:val="Caption"/>
      </w:pPr>
      <w:bookmarkStart w:id="112" w:name="_Ref130909680"/>
      <w:bookmarkStart w:id="113" w:name="_Toc134002446"/>
      <w:r w:rsidRPr="00A91D96">
        <w:rPr>
          <w:rStyle w:val="CaptionLabel"/>
        </w:rPr>
        <w:t>Table </w:t>
      </w:r>
      <w:r w:rsidRPr="00A91D96">
        <w:rPr>
          <w:rStyle w:val="CaptionLabel"/>
        </w:rPr>
        <w:fldChar w:fldCharType="begin"/>
      </w:r>
      <w:r w:rsidRPr="00A91D96">
        <w:rPr>
          <w:rStyle w:val="CaptionLabel"/>
        </w:rPr>
        <w:instrText xml:space="preserve"> STYLEREF 1 \S \* MERGEFORMAT </w:instrText>
      </w:r>
      <w:r w:rsidRPr="00A91D96">
        <w:rPr>
          <w:rStyle w:val="CaptionLabel"/>
        </w:rPr>
        <w:fldChar w:fldCharType="separate"/>
      </w:r>
      <w:r>
        <w:rPr>
          <w:rStyle w:val="CaptionLabel"/>
          <w:noProof/>
        </w:rPr>
        <w:t>7</w:t>
      </w:r>
      <w:r w:rsidRPr="00A91D96">
        <w:rPr>
          <w:rStyle w:val="CaptionLabel"/>
        </w:rPr>
        <w:fldChar w:fldCharType="end"/>
      </w:r>
      <w:r w:rsidRPr="00A91D96">
        <w:rPr>
          <w:rStyle w:val="CaptionLabel"/>
        </w:rPr>
        <w:t>.</w:t>
      </w:r>
      <w:r w:rsidRPr="00A91D96">
        <w:rPr>
          <w:rStyle w:val="CaptionLabel"/>
        </w:rPr>
        <w:fldChar w:fldCharType="begin"/>
      </w:r>
      <w:r w:rsidRPr="00A91D96">
        <w:rPr>
          <w:rStyle w:val="CaptionLabel"/>
        </w:rPr>
        <w:instrText xml:space="preserve"> SEQ Table \* ARABIC \S 1 \* MERGEFORMAT </w:instrText>
      </w:r>
      <w:r w:rsidRPr="00A91D96">
        <w:rPr>
          <w:rStyle w:val="CaptionLabel"/>
        </w:rPr>
        <w:fldChar w:fldCharType="separate"/>
      </w:r>
      <w:r>
        <w:rPr>
          <w:rStyle w:val="CaptionLabel"/>
          <w:noProof/>
        </w:rPr>
        <w:t>1</w:t>
      </w:r>
      <w:r w:rsidRPr="00A91D96">
        <w:rPr>
          <w:rStyle w:val="CaptionLabel"/>
        </w:rPr>
        <w:fldChar w:fldCharType="end"/>
      </w:r>
      <w:bookmarkEnd w:id="112"/>
      <w:r>
        <w:tab/>
      </w:r>
      <w:r w:rsidRPr="00C53784">
        <w:t>Estimated</w:t>
      </w:r>
      <w:r>
        <w:t xml:space="preserve"> </w:t>
      </w:r>
      <w:r w:rsidRPr="00C53784">
        <w:t>economy-wide</w:t>
      </w:r>
      <w:r>
        <w:t xml:space="preserve"> </w:t>
      </w:r>
      <w:r w:rsidRPr="00C53784">
        <w:t>costs</w:t>
      </w:r>
      <w:r>
        <w:t xml:space="preserve"> </w:t>
      </w:r>
      <w:r w:rsidRPr="00C53784">
        <w:t>and</w:t>
      </w:r>
      <w:r>
        <w:t xml:space="preserve"> </w:t>
      </w:r>
      <w:r w:rsidRPr="00C53784">
        <w:t>benefits</w:t>
      </w:r>
      <w:r>
        <w:t xml:space="preserve"> </w:t>
      </w:r>
      <w:r w:rsidRPr="00C53784">
        <w:t>of</w:t>
      </w:r>
      <w:r>
        <w:t xml:space="preserve"> Option 2</w:t>
      </w:r>
      <w:r w:rsidRPr="00C53784">
        <w:t>,</w:t>
      </w:r>
      <w:r>
        <w:t xml:space="preserve"> </w:t>
      </w:r>
      <w:r w:rsidRPr="00C53784">
        <w:t>present</w:t>
      </w:r>
      <w:r>
        <w:t xml:space="preserve"> </w:t>
      </w:r>
      <w:r w:rsidRPr="00C53784">
        <w:t>value</w:t>
      </w:r>
      <w:r>
        <w:t xml:space="preserve"> </w:t>
      </w:r>
      <w:r w:rsidRPr="00C53784">
        <w:t>(</w:t>
      </w:r>
      <w:r>
        <w:t xml:space="preserve">in 2023 at </w:t>
      </w:r>
      <w:r w:rsidRPr="00C53784">
        <w:t>$202</w:t>
      </w:r>
      <w:r>
        <w:t>2</w:t>
      </w:r>
      <w:r w:rsidRPr="00C53784">
        <w:t>)</w:t>
      </w:r>
      <w:bookmarkEnd w:id="113"/>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454"/>
        <w:gridCol w:w="6013"/>
        <w:gridCol w:w="1923"/>
      </w:tblGrid>
      <w:tr w:rsidR="00B949E1" w:rsidRPr="00A91D96" w14:paraId="1164E4EB" w14:textId="77777777" w:rsidTr="00B9362B">
        <w:trPr>
          <w:tblHeader/>
        </w:trPr>
        <w:tc>
          <w:tcPr>
            <w:tcW w:w="6467" w:type="dxa"/>
            <w:gridSpan w:val="2"/>
            <w:tcBorders>
              <w:top w:val="nil"/>
              <w:bottom w:val="nil"/>
            </w:tcBorders>
            <w:shd w:val="clear" w:color="auto" w:fill="140034"/>
            <w:noWrap/>
            <w:tcMar>
              <w:left w:w="454" w:type="dxa"/>
            </w:tcMar>
          </w:tcPr>
          <w:p w14:paraId="2810D208" w14:textId="77777777" w:rsidR="00B949E1" w:rsidRPr="00A91D96" w:rsidRDefault="00B949E1" w:rsidP="00B9362B">
            <w:pPr>
              <w:pStyle w:val="Tablecolumnheadings"/>
              <w:rPr>
                <w:lang w:eastAsia="en-AU"/>
              </w:rPr>
            </w:pPr>
          </w:p>
        </w:tc>
        <w:tc>
          <w:tcPr>
            <w:tcW w:w="1923" w:type="dxa"/>
            <w:tcBorders>
              <w:top w:val="nil"/>
              <w:bottom w:val="nil"/>
              <w:right w:val="single" w:sz="6" w:space="0" w:color="140034"/>
            </w:tcBorders>
            <w:shd w:val="clear" w:color="auto" w:fill="140034"/>
            <w:noWrap/>
          </w:tcPr>
          <w:p w14:paraId="28564A16" w14:textId="77777777" w:rsidR="00B949E1" w:rsidRPr="00A91D96" w:rsidRDefault="00B949E1" w:rsidP="00B9362B">
            <w:pPr>
              <w:pStyle w:val="Tablecolumnheadings"/>
              <w:jc w:val="right"/>
              <w:rPr>
                <w:lang w:eastAsia="en-AU"/>
              </w:rPr>
            </w:pPr>
          </w:p>
        </w:tc>
      </w:tr>
      <w:tr w:rsidR="00B949E1" w:rsidRPr="00A91D96" w14:paraId="0AE9CC46" w14:textId="77777777" w:rsidTr="00B9362B">
        <w:trPr>
          <w:gridBefore w:val="1"/>
          <w:wBefore w:w="454" w:type="dxa"/>
        </w:trPr>
        <w:tc>
          <w:tcPr>
            <w:tcW w:w="6013" w:type="dxa"/>
            <w:tcBorders>
              <w:top w:val="single" w:sz="4" w:space="0" w:color="646464"/>
              <w:bottom w:val="single" w:sz="4" w:space="0" w:color="646464"/>
            </w:tcBorders>
            <w:shd w:val="clear" w:color="auto" w:fill="D9D9D9" w:themeFill="background1" w:themeFillShade="D9"/>
            <w:noWrap/>
            <w:hideMark/>
          </w:tcPr>
          <w:p w14:paraId="66AEC451" w14:textId="77777777" w:rsidR="00B949E1" w:rsidRPr="00BD366F" w:rsidRDefault="00B949E1" w:rsidP="00B9362B">
            <w:pPr>
              <w:pStyle w:val="Tabletext"/>
              <w:rPr>
                <w:b/>
                <w:bCs/>
                <w:lang w:eastAsia="en-AU"/>
              </w:rPr>
            </w:pPr>
            <w:r w:rsidRPr="00BD366F">
              <w:rPr>
                <w:b/>
                <w:bCs/>
              </w:rPr>
              <w:t>COSTS ($)</w:t>
            </w:r>
          </w:p>
        </w:tc>
        <w:tc>
          <w:tcPr>
            <w:tcW w:w="1923" w:type="dxa"/>
            <w:tcBorders>
              <w:top w:val="single" w:sz="4" w:space="0" w:color="646464"/>
              <w:bottom w:val="single" w:sz="4" w:space="0" w:color="646464"/>
            </w:tcBorders>
            <w:shd w:val="clear" w:color="auto" w:fill="D9D9D9" w:themeFill="background1" w:themeFillShade="D9"/>
            <w:noWrap/>
          </w:tcPr>
          <w:p w14:paraId="59AE3310" w14:textId="77777777" w:rsidR="00B949E1" w:rsidRPr="00BD366F" w:rsidRDefault="00B949E1" w:rsidP="00B9362B">
            <w:pPr>
              <w:pStyle w:val="Tabletext"/>
              <w:rPr>
                <w:b/>
                <w:bCs/>
                <w:lang w:eastAsia="en-AU"/>
              </w:rPr>
            </w:pPr>
          </w:p>
        </w:tc>
      </w:tr>
      <w:tr w:rsidR="00B949E1" w:rsidRPr="00A91D96" w14:paraId="36F11412"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464E5CA4" w14:textId="77777777" w:rsidR="00B949E1" w:rsidRPr="00A91D96" w:rsidRDefault="00B949E1" w:rsidP="00B9362B">
            <w:pPr>
              <w:pStyle w:val="Tabletext"/>
              <w:ind w:left="142"/>
              <w:rPr>
                <w:lang w:eastAsia="en-AU"/>
              </w:rPr>
            </w:pPr>
            <w:r w:rsidRPr="003A1871">
              <w:t>Consumers</w:t>
            </w:r>
          </w:p>
        </w:tc>
        <w:tc>
          <w:tcPr>
            <w:tcW w:w="1923" w:type="dxa"/>
            <w:tcBorders>
              <w:top w:val="single" w:sz="4" w:space="0" w:color="646464"/>
              <w:bottom w:val="single" w:sz="4" w:space="0" w:color="646464"/>
            </w:tcBorders>
            <w:shd w:val="clear" w:color="auto" w:fill="auto"/>
            <w:noWrap/>
          </w:tcPr>
          <w:p w14:paraId="4744D6CB" w14:textId="77777777" w:rsidR="00B949E1" w:rsidRPr="002D7B3B" w:rsidRDefault="00B949E1" w:rsidP="00B9362B">
            <w:pPr>
              <w:pStyle w:val="Tabletext"/>
              <w:jc w:val="right"/>
              <w:rPr>
                <w:szCs w:val="20"/>
                <w:lang w:eastAsia="en-AU"/>
              </w:rPr>
            </w:pPr>
            <w:r w:rsidRPr="005F2570">
              <w:rPr>
                <w:color w:val="FF0000"/>
              </w:rPr>
              <w:t xml:space="preserve">-1,724,103 </w:t>
            </w:r>
          </w:p>
        </w:tc>
      </w:tr>
      <w:tr w:rsidR="00B949E1" w:rsidRPr="00A91D96" w14:paraId="05E66A24"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599BC6B6" w14:textId="77777777" w:rsidR="00B949E1" w:rsidRPr="00A91D96" w:rsidRDefault="00B949E1" w:rsidP="00B9362B">
            <w:pPr>
              <w:pStyle w:val="Tabletext"/>
              <w:ind w:left="142"/>
              <w:rPr>
                <w:lang w:eastAsia="en-AU"/>
              </w:rPr>
            </w:pPr>
            <w:r w:rsidRPr="003A1871">
              <w:t>Industry</w:t>
            </w:r>
          </w:p>
        </w:tc>
        <w:tc>
          <w:tcPr>
            <w:tcW w:w="1923" w:type="dxa"/>
            <w:tcBorders>
              <w:top w:val="single" w:sz="4" w:space="0" w:color="646464"/>
              <w:bottom w:val="single" w:sz="4" w:space="0" w:color="646464"/>
            </w:tcBorders>
            <w:shd w:val="clear" w:color="auto" w:fill="auto"/>
            <w:noWrap/>
          </w:tcPr>
          <w:p w14:paraId="48231B98" w14:textId="77777777" w:rsidR="00B949E1" w:rsidRPr="002D7B3B" w:rsidRDefault="00B949E1" w:rsidP="00B9362B">
            <w:pPr>
              <w:pStyle w:val="Tabletext"/>
              <w:jc w:val="right"/>
              <w:rPr>
                <w:szCs w:val="20"/>
                <w:lang w:eastAsia="en-AU"/>
              </w:rPr>
            </w:pPr>
          </w:p>
        </w:tc>
      </w:tr>
      <w:tr w:rsidR="00B949E1" w:rsidRPr="00A91D96" w14:paraId="07096407"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7382AB56" w14:textId="77777777" w:rsidR="00B949E1" w:rsidRPr="00A91D96" w:rsidRDefault="00B949E1" w:rsidP="00B9362B">
            <w:pPr>
              <w:pStyle w:val="Tabletext"/>
              <w:ind w:left="720"/>
              <w:rPr>
                <w:lang w:eastAsia="en-AU"/>
              </w:rPr>
            </w:pPr>
            <w:r w:rsidRPr="003A1871">
              <w:t xml:space="preserve">Food and hospitality outlets </w:t>
            </w:r>
          </w:p>
        </w:tc>
        <w:tc>
          <w:tcPr>
            <w:tcW w:w="1923" w:type="dxa"/>
            <w:tcBorders>
              <w:top w:val="single" w:sz="4" w:space="0" w:color="646464"/>
              <w:bottom w:val="single" w:sz="4" w:space="0" w:color="646464"/>
            </w:tcBorders>
            <w:shd w:val="clear" w:color="auto" w:fill="auto"/>
            <w:noWrap/>
          </w:tcPr>
          <w:p w14:paraId="76F3EE49" w14:textId="77777777" w:rsidR="00B949E1" w:rsidRPr="002D7B3B" w:rsidRDefault="00B949E1" w:rsidP="00B9362B">
            <w:pPr>
              <w:pStyle w:val="Tabletext"/>
              <w:jc w:val="right"/>
              <w:rPr>
                <w:szCs w:val="20"/>
                <w:lang w:eastAsia="en-AU"/>
              </w:rPr>
            </w:pPr>
            <w:r w:rsidRPr="00885A0E">
              <w:t xml:space="preserve">18,421,601 </w:t>
            </w:r>
          </w:p>
        </w:tc>
      </w:tr>
      <w:tr w:rsidR="00B949E1" w:rsidRPr="00A91D96" w14:paraId="1FA2E7CF"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0E4F1D9D" w14:textId="77777777" w:rsidR="00B949E1" w:rsidRPr="00A91D96" w:rsidRDefault="00B949E1" w:rsidP="00B9362B">
            <w:pPr>
              <w:pStyle w:val="Tabletext"/>
              <w:ind w:left="720"/>
              <w:rPr>
                <w:lang w:eastAsia="en-AU"/>
              </w:rPr>
            </w:pPr>
            <w:r w:rsidRPr="003A1871">
              <w:t>Medical and other exempted sectors</w:t>
            </w:r>
          </w:p>
        </w:tc>
        <w:tc>
          <w:tcPr>
            <w:tcW w:w="1923" w:type="dxa"/>
            <w:tcBorders>
              <w:top w:val="single" w:sz="4" w:space="0" w:color="646464"/>
              <w:bottom w:val="single" w:sz="4" w:space="0" w:color="646464"/>
            </w:tcBorders>
            <w:shd w:val="clear" w:color="auto" w:fill="auto"/>
            <w:noWrap/>
          </w:tcPr>
          <w:p w14:paraId="0C2FC4F0" w14:textId="77777777" w:rsidR="00B949E1" w:rsidRPr="002D7B3B" w:rsidRDefault="00B949E1" w:rsidP="00B9362B">
            <w:pPr>
              <w:pStyle w:val="Tabletext"/>
              <w:jc w:val="right"/>
              <w:rPr>
                <w:color w:val="000000"/>
                <w:szCs w:val="20"/>
                <w:lang w:eastAsia="en-AU"/>
              </w:rPr>
            </w:pPr>
            <w:r w:rsidRPr="005F2570">
              <w:rPr>
                <w:color w:val="FF0000"/>
              </w:rPr>
              <w:t xml:space="preserve">-23,648 </w:t>
            </w:r>
          </w:p>
        </w:tc>
      </w:tr>
      <w:tr w:rsidR="00B949E1" w:rsidRPr="00A91D96" w14:paraId="42CC9DA8"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47A3A1A7" w14:textId="77777777" w:rsidR="00B949E1" w:rsidRPr="00A91D96" w:rsidRDefault="00B949E1" w:rsidP="00B9362B">
            <w:pPr>
              <w:pStyle w:val="Tabletext"/>
              <w:ind w:left="142"/>
              <w:rPr>
                <w:lang w:eastAsia="en-AU"/>
              </w:rPr>
            </w:pPr>
            <w:r w:rsidRPr="003A1871">
              <w:t>ACT Government</w:t>
            </w:r>
          </w:p>
        </w:tc>
        <w:tc>
          <w:tcPr>
            <w:tcW w:w="1923" w:type="dxa"/>
            <w:tcBorders>
              <w:top w:val="single" w:sz="4" w:space="0" w:color="646464"/>
              <w:bottom w:val="single" w:sz="4" w:space="0" w:color="646464"/>
            </w:tcBorders>
            <w:shd w:val="clear" w:color="auto" w:fill="auto"/>
            <w:noWrap/>
          </w:tcPr>
          <w:p w14:paraId="6B7D5902" w14:textId="77777777" w:rsidR="00B949E1" w:rsidRPr="002D7B3B" w:rsidRDefault="00B949E1" w:rsidP="00B9362B">
            <w:pPr>
              <w:pStyle w:val="Tabletext"/>
              <w:jc w:val="right"/>
              <w:rPr>
                <w:szCs w:val="20"/>
                <w:lang w:eastAsia="en-AU"/>
              </w:rPr>
            </w:pPr>
            <w:r w:rsidRPr="00885A0E">
              <w:t xml:space="preserve">450,000 </w:t>
            </w:r>
          </w:p>
        </w:tc>
      </w:tr>
      <w:tr w:rsidR="00B949E1" w:rsidRPr="00A91D96" w14:paraId="42674D79"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3EC920A8" w14:textId="77777777" w:rsidR="00B949E1" w:rsidRPr="00A91D96" w:rsidRDefault="00B949E1" w:rsidP="00B9362B">
            <w:pPr>
              <w:pStyle w:val="Tabletext"/>
              <w:jc w:val="right"/>
              <w:rPr>
                <w:lang w:eastAsia="en-AU"/>
              </w:rPr>
            </w:pPr>
            <w:r w:rsidRPr="003A1871">
              <w:t>TOTAL</w:t>
            </w:r>
          </w:p>
        </w:tc>
        <w:tc>
          <w:tcPr>
            <w:tcW w:w="1923" w:type="dxa"/>
            <w:tcBorders>
              <w:top w:val="single" w:sz="4" w:space="0" w:color="646464"/>
              <w:bottom w:val="single" w:sz="4" w:space="0" w:color="646464"/>
            </w:tcBorders>
            <w:shd w:val="clear" w:color="auto" w:fill="auto"/>
            <w:noWrap/>
          </w:tcPr>
          <w:p w14:paraId="44F692B7" w14:textId="77777777" w:rsidR="00B949E1" w:rsidRPr="002D7B3B" w:rsidRDefault="00B949E1" w:rsidP="00B9362B">
            <w:pPr>
              <w:pStyle w:val="Tabletext"/>
              <w:jc w:val="right"/>
              <w:rPr>
                <w:szCs w:val="20"/>
                <w:lang w:eastAsia="en-AU"/>
              </w:rPr>
            </w:pPr>
            <w:r w:rsidRPr="00885A0E">
              <w:t xml:space="preserve">17,123,850 </w:t>
            </w:r>
          </w:p>
        </w:tc>
      </w:tr>
      <w:tr w:rsidR="00B949E1" w:rsidRPr="00A91D96" w14:paraId="6733F57F" w14:textId="77777777" w:rsidTr="00B9362B">
        <w:trPr>
          <w:gridBefore w:val="1"/>
          <w:wBefore w:w="454" w:type="dxa"/>
        </w:trPr>
        <w:tc>
          <w:tcPr>
            <w:tcW w:w="6013" w:type="dxa"/>
            <w:tcBorders>
              <w:top w:val="single" w:sz="4" w:space="0" w:color="646464"/>
              <w:bottom w:val="single" w:sz="4" w:space="0" w:color="646464"/>
            </w:tcBorders>
            <w:shd w:val="clear" w:color="auto" w:fill="D9D9D9" w:themeFill="background1" w:themeFillShade="D9"/>
            <w:noWrap/>
            <w:hideMark/>
          </w:tcPr>
          <w:p w14:paraId="1013F061" w14:textId="77777777" w:rsidR="00B949E1" w:rsidRPr="00BD366F" w:rsidRDefault="00B949E1" w:rsidP="00B9362B">
            <w:pPr>
              <w:pStyle w:val="Tabletext"/>
              <w:rPr>
                <w:b/>
                <w:bCs/>
                <w:lang w:eastAsia="en-AU"/>
              </w:rPr>
            </w:pPr>
            <w:r w:rsidRPr="00BD366F">
              <w:rPr>
                <w:b/>
                <w:bCs/>
              </w:rPr>
              <w:t>BENEFITS ($)</w:t>
            </w:r>
          </w:p>
        </w:tc>
        <w:tc>
          <w:tcPr>
            <w:tcW w:w="1923" w:type="dxa"/>
            <w:tcBorders>
              <w:top w:val="single" w:sz="4" w:space="0" w:color="646464"/>
              <w:bottom w:val="single" w:sz="4" w:space="0" w:color="646464"/>
            </w:tcBorders>
            <w:shd w:val="clear" w:color="auto" w:fill="D9D9D9" w:themeFill="background1" w:themeFillShade="D9"/>
            <w:noWrap/>
          </w:tcPr>
          <w:p w14:paraId="67F96F69" w14:textId="77777777" w:rsidR="00B949E1" w:rsidRPr="00BD366F" w:rsidRDefault="00B949E1" w:rsidP="00B9362B">
            <w:pPr>
              <w:pStyle w:val="Tabletext"/>
              <w:jc w:val="right"/>
              <w:rPr>
                <w:b/>
                <w:bCs/>
                <w:szCs w:val="20"/>
                <w:lang w:eastAsia="en-AU"/>
              </w:rPr>
            </w:pPr>
          </w:p>
        </w:tc>
      </w:tr>
      <w:tr w:rsidR="00B949E1" w:rsidRPr="00A91D96" w14:paraId="66B1FA62"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4F5DE79F" w14:textId="77777777" w:rsidR="00B949E1" w:rsidRPr="00A91D96" w:rsidRDefault="00B949E1" w:rsidP="00B9362B">
            <w:pPr>
              <w:pStyle w:val="Tabletext"/>
              <w:rPr>
                <w:lang w:eastAsia="en-AU"/>
              </w:rPr>
            </w:pPr>
            <w:r w:rsidRPr="003A1871">
              <w:t>Landfill operating costs</w:t>
            </w:r>
          </w:p>
        </w:tc>
        <w:tc>
          <w:tcPr>
            <w:tcW w:w="1923" w:type="dxa"/>
            <w:tcBorders>
              <w:top w:val="single" w:sz="4" w:space="0" w:color="646464"/>
              <w:bottom w:val="single" w:sz="4" w:space="0" w:color="646464"/>
            </w:tcBorders>
            <w:shd w:val="clear" w:color="auto" w:fill="auto"/>
            <w:noWrap/>
          </w:tcPr>
          <w:p w14:paraId="608B9A79" w14:textId="77777777" w:rsidR="00B949E1" w:rsidRPr="002D7B3B" w:rsidRDefault="00B949E1" w:rsidP="00B9362B">
            <w:pPr>
              <w:pStyle w:val="Tabletext"/>
              <w:jc w:val="right"/>
              <w:rPr>
                <w:szCs w:val="20"/>
                <w:lang w:eastAsia="en-AU"/>
              </w:rPr>
            </w:pPr>
            <w:r w:rsidRPr="00885A0E">
              <w:t xml:space="preserve">609,482 </w:t>
            </w:r>
          </w:p>
        </w:tc>
      </w:tr>
      <w:tr w:rsidR="00B949E1" w:rsidRPr="00A91D96" w14:paraId="12A6E2A7"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54DF670E" w14:textId="77777777" w:rsidR="00B949E1" w:rsidRPr="00A91D96" w:rsidRDefault="00B949E1" w:rsidP="00B9362B">
            <w:pPr>
              <w:pStyle w:val="Tabletext"/>
              <w:rPr>
                <w:lang w:eastAsia="en-AU"/>
              </w:rPr>
            </w:pPr>
            <w:r w:rsidRPr="003A1871">
              <w:t xml:space="preserve">Society </w:t>
            </w:r>
          </w:p>
        </w:tc>
        <w:tc>
          <w:tcPr>
            <w:tcW w:w="1923" w:type="dxa"/>
            <w:tcBorders>
              <w:top w:val="single" w:sz="4" w:space="0" w:color="646464"/>
              <w:bottom w:val="single" w:sz="4" w:space="0" w:color="646464"/>
            </w:tcBorders>
            <w:shd w:val="clear" w:color="auto" w:fill="auto"/>
            <w:noWrap/>
          </w:tcPr>
          <w:p w14:paraId="19815BAE" w14:textId="77777777" w:rsidR="00B949E1" w:rsidRPr="002D7B3B" w:rsidRDefault="00B949E1" w:rsidP="00B9362B">
            <w:pPr>
              <w:pStyle w:val="Tabletext"/>
              <w:jc w:val="right"/>
              <w:rPr>
                <w:szCs w:val="20"/>
                <w:lang w:eastAsia="en-AU"/>
              </w:rPr>
            </w:pPr>
          </w:p>
        </w:tc>
      </w:tr>
      <w:tr w:rsidR="00B949E1" w:rsidRPr="00A91D96" w14:paraId="25031B1E"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2751DC3D" w14:textId="77777777" w:rsidR="00B949E1" w:rsidRPr="00A91D96" w:rsidRDefault="00B949E1" w:rsidP="00B9362B">
            <w:pPr>
              <w:pStyle w:val="Tabletext"/>
              <w:ind w:left="720"/>
              <w:rPr>
                <w:lang w:eastAsia="en-AU"/>
              </w:rPr>
            </w:pPr>
            <w:r w:rsidRPr="003A1871">
              <w:t>Avoided &amp; substituted litter</w:t>
            </w:r>
          </w:p>
        </w:tc>
        <w:tc>
          <w:tcPr>
            <w:tcW w:w="1923" w:type="dxa"/>
            <w:tcBorders>
              <w:top w:val="single" w:sz="4" w:space="0" w:color="646464"/>
              <w:bottom w:val="single" w:sz="4" w:space="0" w:color="646464"/>
            </w:tcBorders>
            <w:shd w:val="clear" w:color="auto" w:fill="auto"/>
            <w:noWrap/>
          </w:tcPr>
          <w:p w14:paraId="0A7AD326" w14:textId="77777777" w:rsidR="00B949E1" w:rsidRPr="002D7B3B" w:rsidRDefault="00B949E1" w:rsidP="00B9362B">
            <w:pPr>
              <w:pStyle w:val="Tabletext"/>
              <w:jc w:val="right"/>
              <w:rPr>
                <w:szCs w:val="20"/>
                <w:lang w:eastAsia="en-AU"/>
              </w:rPr>
            </w:pPr>
            <w:r w:rsidRPr="00885A0E">
              <w:t xml:space="preserve">4,209,552 </w:t>
            </w:r>
          </w:p>
        </w:tc>
      </w:tr>
      <w:tr w:rsidR="00B949E1" w:rsidRPr="00A91D96" w14:paraId="7D32C127"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03341E3A" w14:textId="77777777" w:rsidR="00B949E1" w:rsidRPr="00A91D96" w:rsidRDefault="00B949E1" w:rsidP="00B9362B">
            <w:pPr>
              <w:pStyle w:val="Tabletext"/>
              <w:ind w:left="720"/>
              <w:rPr>
                <w:lang w:eastAsia="en-AU"/>
              </w:rPr>
            </w:pPr>
            <w:r w:rsidRPr="003A1871">
              <w:t>Marine environment benefits</w:t>
            </w:r>
          </w:p>
        </w:tc>
        <w:tc>
          <w:tcPr>
            <w:tcW w:w="1923" w:type="dxa"/>
            <w:tcBorders>
              <w:top w:val="single" w:sz="4" w:space="0" w:color="646464"/>
              <w:bottom w:val="single" w:sz="4" w:space="0" w:color="646464"/>
            </w:tcBorders>
            <w:shd w:val="clear" w:color="auto" w:fill="auto"/>
            <w:noWrap/>
          </w:tcPr>
          <w:p w14:paraId="01783FC3" w14:textId="77777777" w:rsidR="00B949E1" w:rsidRPr="002D7B3B" w:rsidRDefault="00B949E1" w:rsidP="00B9362B">
            <w:pPr>
              <w:pStyle w:val="Tabletext"/>
              <w:jc w:val="right"/>
              <w:rPr>
                <w:szCs w:val="20"/>
                <w:lang w:eastAsia="en-AU"/>
              </w:rPr>
            </w:pPr>
            <w:r w:rsidRPr="00885A0E">
              <w:t xml:space="preserve">0 </w:t>
            </w:r>
          </w:p>
        </w:tc>
      </w:tr>
      <w:tr w:rsidR="00B949E1" w:rsidRPr="00A91D96" w14:paraId="6C65795B" w14:textId="77777777" w:rsidTr="00B9362B">
        <w:trPr>
          <w:gridBefore w:val="1"/>
          <w:wBefore w:w="454" w:type="dxa"/>
        </w:trPr>
        <w:tc>
          <w:tcPr>
            <w:tcW w:w="6013" w:type="dxa"/>
            <w:tcBorders>
              <w:top w:val="single" w:sz="4" w:space="0" w:color="646464"/>
              <w:bottom w:val="single" w:sz="4" w:space="0" w:color="646464"/>
            </w:tcBorders>
            <w:shd w:val="clear" w:color="auto" w:fill="auto"/>
            <w:noWrap/>
            <w:hideMark/>
          </w:tcPr>
          <w:p w14:paraId="1F28F78A" w14:textId="77777777" w:rsidR="00B949E1" w:rsidRPr="00A91D96" w:rsidRDefault="00B949E1" w:rsidP="00B9362B">
            <w:pPr>
              <w:pStyle w:val="Tabletext"/>
              <w:jc w:val="right"/>
              <w:rPr>
                <w:lang w:eastAsia="en-AU"/>
              </w:rPr>
            </w:pPr>
            <w:r w:rsidRPr="003A1871">
              <w:t>TOTAL</w:t>
            </w:r>
          </w:p>
        </w:tc>
        <w:tc>
          <w:tcPr>
            <w:tcW w:w="1923" w:type="dxa"/>
            <w:tcBorders>
              <w:top w:val="single" w:sz="4" w:space="0" w:color="646464"/>
              <w:bottom w:val="single" w:sz="4" w:space="0" w:color="646464"/>
            </w:tcBorders>
            <w:shd w:val="clear" w:color="auto" w:fill="auto"/>
            <w:noWrap/>
          </w:tcPr>
          <w:p w14:paraId="01AD320B" w14:textId="77777777" w:rsidR="00B949E1" w:rsidRPr="002D7B3B" w:rsidRDefault="00B949E1" w:rsidP="00B9362B">
            <w:pPr>
              <w:pStyle w:val="Tabletext"/>
              <w:jc w:val="right"/>
              <w:rPr>
                <w:szCs w:val="20"/>
                <w:lang w:eastAsia="en-AU"/>
              </w:rPr>
            </w:pPr>
            <w:r w:rsidRPr="00885A0E">
              <w:t xml:space="preserve">4,819,034 </w:t>
            </w:r>
          </w:p>
        </w:tc>
      </w:tr>
      <w:tr w:rsidR="00B949E1" w:rsidRPr="00A91D96" w14:paraId="11CE81E4" w14:textId="77777777" w:rsidTr="00B9362B">
        <w:trPr>
          <w:gridBefore w:val="1"/>
          <w:wBefore w:w="454" w:type="dxa"/>
        </w:trPr>
        <w:tc>
          <w:tcPr>
            <w:tcW w:w="6013" w:type="dxa"/>
            <w:tcBorders>
              <w:top w:val="single" w:sz="4" w:space="0" w:color="646464"/>
              <w:bottom w:val="single" w:sz="4" w:space="0" w:color="646464"/>
            </w:tcBorders>
            <w:shd w:val="clear" w:color="auto" w:fill="E5E5E5"/>
            <w:noWrap/>
            <w:hideMark/>
          </w:tcPr>
          <w:p w14:paraId="0BED7C18" w14:textId="77777777" w:rsidR="00B949E1" w:rsidRPr="00BD366F" w:rsidRDefault="00B949E1" w:rsidP="00B9362B">
            <w:pPr>
              <w:pStyle w:val="Tabletext"/>
              <w:rPr>
                <w:b/>
                <w:bCs/>
                <w:lang w:eastAsia="en-AU"/>
              </w:rPr>
            </w:pPr>
            <w:r w:rsidRPr="00BD366F">
              <w:rPr>
                <w:b/>
                <w:bCs/>
              </w:rPr>
              <w:t>BENEFITS MINUS COSTS ($)</w:t>
            </w:r>
          </w:p>
        </w:tc>
        <w:tc>
          <w:tcPr>
            <w:tcW w:w="1923" w:type="dxa"/>
            <w:tcBorders>
              <w:top w:val="single" w:sz="4" w:space="0" w:color="646464"/>
              <w:bottom w:val="single" w:sz="4" w:space="0" w:color="646464"/>
            </w:tcBorders>
            <w:shd w:val="clear" w:color="auto" w:fill="E5E5E5"/>
            <w:noWrap/>
          </w:tcPr>
          <w:p w14:paraId="30BE5BA4" w14:textId="77777777" w:rsidR="00B949E1" w:rsidRPr="00172535" w:rsidRDefault="00B949E1" w:rsidP="00B9362B">
            <w:pPr>
              <w:pStyle w:val="Tabletext"/>
              <w:jc w:val="right"/>
              <w:rPr>
                <w:b/>
                <w:bCs/>
                <w:szCs w:val="20"/>
                <w:lang w:eastAsia="en-AU"/>
              </w:rPr>
            </w:pPr>
            <w:r w:rsidRPr="005F2570">
              <w:rPr>
                <w:b/>
                <w:bCs/>
                <w:color w:val="FF0000"/>
              </w:rPr>
              <w:t xml:space="preserve">-12,304,816 </w:t>
            </w:r>
          </w:p>
        </w:tc>
      </w:tr>
      <w:tr w:rsidR="00B949E1" w:rsidRPr="00A91D96" w14:paraId="015D207F" w14:textId="77777777" w:rsidTr="00B9362B">
        <w:trPr>
          <w:gridBefore w:val="1"/>
          <w:wBefore w:w="454" w:type="dxa"/>
        </w:trPr>
        <w:tc>
          <w:tcPr>
            <w:tcW w:w="6013" w:type="dxa"/>
            <w:tcBorders>
              <w:top w:val="single" w:sz="4" w:space="0" w:color="646464"/>
              <w:bottom w:val="single" w:sz="4" w:space="0" w:color="646464"/>
            </w:tcBorders>
            <w:shd w:val="clear" w:color="auto" w:fill="E5E5E5"/>
            <w:noWrap/>
            <w:hideMark/>
          </w:tcPr>
          <w:p w14:paraId="3A59BD1A" w14:textId="77777777" w:rsidR="00B949E1" w:rsidRPr="00BD366F" w:rsidRDefault="00B949E1" w:rsidP="00B9362B">
            <w:pPr>
              <w:pStyle w:val="Tabletext"/>
              <w:rPr>
                <w:b/>
                <w:bCs/>
                <w:lang w:eastAsia="en-AU"/>
              </w:rPr>
            </w:pPr>
            <w:r w:rsidRPr="00BD366F">
              <w:rPr>
                <w:b/>
                <w:bCs/>
              </w:rPr>
              <w:t>BCR (RATIO)</w:t>
            </w:r>
          </w:p>
        </w:tc>
        <w:tc>
          <w:tcPr>
            <w:tcW w:w="1923" w:type="dxa"/>
            <w:tcBorders>
              <w:top w:val="single" w:sz="4" w:space="0" w:color="646464"/>
              <w:bottom w:val="single" w:sz="4" w:space="0" w:color="646464"/>
            </w:tcBorders>
            <w:shd w:val="clear" w:color="auto" w:fill="E5E5E5"/>
            <w:noWrap/>
          </w:tcPr>
          <w:p w14:paraId="1FB86DE8" w14:textId="77777777" w:rsidR="00B949E1" w:rsidRPr="00172535" w:rsidRDefault="00B949E1" w:rsidP="00B9362B">
            <w:pPr>
              <w:pStyle w:val="Tabletext"/>
              <w:jc w:val="right"/>
              <w:rPr>
                <w:b/>
                <w:bCs/>
                <w:szCs w:val="20"/>
                <w:lang w:eastAsia="en-AU"/>
              </w:rPr>
            </w:pPr>
            <w:r w:rsidRPr="005F2570">
              <w:rPr>
                <w:b/>
                <w:bCs/>
              </w:rPr>
              <w:t xml:space="preserve"> 0.3 </w:t>
            </w:r>
          </w:p>
        </w:tc>
      </w:tr>
      <w:tr w:rsidR="00B949E1" w14:paraId="5DC6CC3C" w14:textId="77777777" w:rsidTr="00B9362B">
        <w:tblPrEx>
          <w:tblLook w:val="0000" w:firstRow="0" w:lastRow="0" w:firstColumn="0" w:lastColumn="0" w:noHBand="0" w:noVBand="0"/>
        </w:tblPrEx>
        <w:trPr>
          <w:gridBefore w:val="1"/>
          <w:wBefore w:w="454" w:type="dxa"/>
        </w:trPr>
        <w:tc>
          <w:tcPr>
            <w:tcW w:w="7936" w:type="dxa"/>
            <w:gridSpan w:val="2"/>
            <w:tcBorders>
              <w:bottom w:val="single" w:sz="4" w:space="0" w:color="646464"/>
            </w:tcBorders>
            <w:shd w:val="clear" w:color="auto" w:fill="auto"/>
          </w:tcPr>
          <w:p w14:paraId="6CB458FD" w14:textId="77777777" w:rsidR="00B949E1" w:rsidRDefault="00B949E1" w:rsidP="00B9362B">
            <w:pPr>
              <w:pStyle w:val="Source"/>
            </w:pPr>
            <w:r>
              <w:t>Source: ACIL Allen</w:t>
            </w:r>
          </w:p>
        </w:tc>
      </w:tr>
      <w:tr w:rsidR="00B949E1" w14:paraId="49FB4286" w14:textId="77777777" w:rsidTr="00B9362B">
        <w:tblPrEx>
          <w:tblLook w:val="0000" w:firstRow="0" w:lastRow="0" w:firstColumn="0" w:lastColumn="0" w:noHBand="0" w:noVBand="0"/>
        </w:tblPrEx>
        <w:trPr>
          <w:gridBefore w:val="1"/>
          <w:wBefore w:w="454" w:type="dxa"/>
          <w:trHeight w:hRule="exact" w:val="160"/>
        </w:trPr>
        <w:tc>
          <w:tcPr>
            <w:tcW w:w="7936" w:type="dxa"/>
            <w:gridSpan w:val="2"/>
            <w:tcBorders>
              <w:top w:val="single" w:sz="4" w:space="0" w:color="646464"/>
              <w:bottom w:val="nil"/>
            </w:tcBorders>
            <w:shd w:val="clear" w:color="auto" w:fill="auto"/>
          </w:tcPr>
          <w:p w14:paraId="2E95F596" w14:textId="77777777" w:rsidR="00B949E1" w:rsidRDefault="00B949E1" w:rsidP="00B9362B">
            <w:pPr>
              <w:pStyle w:val="spacer"/>
              <w:jc w:val="right"/>
            </w:pPr>
          </w:p>
        </w:tc>
      </w:tr>
    </w:tbl>
    <w:p w14:paraId="4733F003" w14:textId="77777777" w:rsidR="00B949E1" w:rsidRPr="00385B56" w:rsidRDefault="00B949E1" w:rsidP="00B949E1">
      <w:pPr>
        <w:pStyle w:val="BodyText"/>
      </w:pPr>
      <w:r w:rsidRPr="00C107F6">
        <w:rPr>
          <w:b/>
          <w:bCs/>
        </w:rPr>
        <w:fldChar w:fldCharType="begin"/>
      </w:r>
      <w:r w:rsidRPr="00C107F6">
        <w:rPr>
          <w:b/>
          <w:bCs/>
        </w:rPr>
        <w:instrText xml:space="preserve"> REF _Ref130808195 \h </w:instrText>
      </w:r>
      <w:r>
        <w:rPr>
          <w:b/>
          <w:bCs/>
        </w:rPr>
        <w:instrText xml:space="preserve"> \* MERGEFORMAT </w:instrText>
      </w:r>
      <w:r w:rsidRPr="00C107F6">
        <w:rPr>
          <w:b/>
          <w:bCs/>
        </w:rPr>
      </w:r>
      <w:r w:rsidRPr="00C107F6">
        <w:rPr>
          <w:b/>
          <w:bCs/>
        </w:rPr>
        <w:fldChar w:fldCharType="separate"/>
      </w:r>
      <w:r w:rsidRPr="00790266">
        <w:rPr>
          <w:rStyle w:val="CaptionLabel"/>
          <w:b w:val="0"/>
          <w:bCs/>
        </w:rPr>
        <w:t>Table 7.2</w:t>
      </w:r>
      <w:r w:rsidRPr="00C107F6">
        <w:rPr>
          <w:b/>
          <w:bCs/>
        </w:rPr>
        <w:fldChar w:fldCharType="end"/>
      </w:r>
      <w:r w:rsidRPr="0012479B">
        <w:t xml:space="preserve"> presents the distributional breakdown of the impacts of Option </w:t>
      </w:r>
      <w:r>
        <w:t>2</w:t>
      </w:r>
      <w:r w:rsidRPr="0012479B">
        <w:t xml:space="preserve">. As shown in this table, it is </w:t>
      </w:r>
      <w:r w:rsidRPr="00385B56">
        <w:t>estimated that</w:t>
      </w:r>
      <w:r>
        <w:t xml:space="preserve"> the</w:t>
      </w:r>
      <w:r w:rsidRPr="00385B56">
        <w:t>:</w:t>
      </w:r>
    </w:p>
    <w:p w14:paraId="2E8B7B0F" w14:textId="77777777" w:rsidR="00B949E1" w:rsidRPr="00385B56" w:rsidRDefault="00B949E1" w:rsidP="00B949E1">
      <w:pPr>
        <w:pStyle w:val="ListBullet"/>
        <w:numPr>
          <w:ilvl w:val="0"/>
          <w:numId w:val="9"/>
        </w:numPr>
      </w:pPr>
      <w:r w:rsidRPr="00385B56">
        <w:t xml:space="preserve">benefit to consumers (in present value terms) </w:t>
      </w:r>
      <w:r>
        <w:t xml:space="preserve">is </w:t>
      </w:r>
      <w:r w:rsidRPr="00385B56">
        <w:t>approximately $</w:t>
      </w:r>
      <w:r>
        <w:t>3.77</w:t>
      </w:r>
      <w:r w:rsidRPr="00385B56">
        <w:t xml:space="preserve"> per capita</w:t>
      </w:r>
      <w:r>
        <w:t>,</w:t>
      </w:r>
      <w:r w:rsidRPr="00385B56">
        <w:t xml:space="preserve"> and the costs for food and hospitality outlets are approximately $10,</w:t>
      </w:r>
      <w:r>
        <w:t>467</w:t>
      </w:r>
      <w:r w:rsidRPr="00385B56">
        <w:t xml:space="preserve"> per </w:t>
      </w:r>
      <w:proofErr w:type="gramStart"/>
      <w:r w:rsidRPr="00385B56">
        <w:t>business</w:t>
      </w:r>
      <w:proofErr w:type="gramEnd"/>
    </w:p>
    <w:p w14:paraId="37FCAB5E" w14:textId="77777777" w:rsidR="00B949E1" w:rsidRPr="00385B56" w:rsidRDefault="00B949E1" w:rsidP="00B949E1">
      <w:pPr>
        <w:pStyle w:val="ListBullet"/>
        <w:numPr>
          <w:ilvl w:val="0"/>
          <w:numId w:val="9"/>
        </w:numPr>
      </w:pPr>
      <w:r w:rsidRPr="00385B56">
        <w:t>the overall societal (non-market) benefits are approximately $9.</w:t>
      </w:r>
      <w:r>
        <w:t>20</w:t>
      </w:r>
      <w:r w:rsidRPr="00385B56">
        <w:t xml:space="preserve"> per capita.</w:t>
      </w:r>
    </w:p>
    <w:p w14:paraId="73470279" w14:textId="77777777" w:rsidR="00B949E1" w:rsidRPr="00385B56" w:rsidRDefault="00B949E1" w:rsidP="00B949E1">
      <w:pPr>
        <w:pStyle w:val="BodyText"/>
      </w:pPr>
      <w:r w:rsidRPr="00385B56">
        <w:lastRenderedPageBreak/>
        <w:t>As discussed above</w:t>
      </w:r>
      <w:r>
        <w:t>,</w:t>
      </w:r>
      <w:r w:rsidRPr="00385B56">
        <w:t xml:space="preserve"> it has been assumed that </w:t>
      </w:r>
      <w:r>
        <w:t>businesses bear wholesale price increa</w:t>
      </w:r>
      <w:r w:rsidRPr="00385B56">
        <w:t xml:space="preserve">ses while retail price increases are paid for by consumers (although it is acknowledged that any increases in costs for businesses may be passed on to consumers). </w:t>
      </w:r>
    </w:p>
    <w:p w14:paraId="0636C72F" w14:textId="77777777" w:rsidR="00B949E1" w:rsidRDefault="00B949E1" w:rsidP="00B949E1">
      <w:pPr>
        <w:pStyle w:val="Caption"/>
      </w:pPr>
      <w:bookmarkStart w:id="114" w:name="_Ref130808195"/>
      <w:bookmarkStart w:id="115" w:name="_Toc134002447"/>
      <w:r w:rsidRPr="00902B4D">
        <w:rPr>
          <w:rStyle w:val="CaptionLabel"/>
        </w:rPr>
        <w:t>Table </w:t>
      </w:r>
      <w:r w:rsidRPr="00902B4D">
        <w:rPr>
          <w:rStyle w:val="CaptionLabel"/>
        </w:rPr>
        <w:fldChar w:fldCharType="begin"/>
      </w:r>
      <w:r w:rsidRPr="00902B4D">
        <w:rPr>
          <w:rStyle w:val="CaptionLabel"/>
        </w:rPr>
        <w:instrText xml:space="preserve"> STYLEREF 1 \S \* MERGEFORMAT </w:instrText>
      </w:r>
      <w:r w:rsidRPr="00902B4D">
        <w:rPr>
          <w:rStyle w:val="CaptionLabel"/>
        </w:rPr>
        <w:fldChar w:fldCharType="separate"/>
      </w:r>
      <w:r>
        <w:rPr>
          <w:rStyle w:val="CaptionLabel"/>
          <w:noProof/>
        </w:rPr>
        <w:t>7</w:t>
      </w:r>
      <w:r w:rsidRPr="00902B4D">
        <w:rPr>
          <w:rStyle w:val="CaptionLabel"/>
        </w:rPr>
        <w:fldChar w:fldCharType="end"/>
      </w:r>
      <w:r w:rsidRPr="00902B4D">
        <w:rPr>
          <w:rStyle w:val="CaptionLabel"/>
        </w:rPr>
        <w:t>.</w:t>
      </w:r>
      <w:r w:rsidRPr="00902B4D">
        <w:rPr>
          <w:rStyle w:val="CaptionLabel"/>
        </w:rPr>
        <w:fldChar w:fldCharType="begin"/>
      </w:r>
      <w:r w:rsidRPr="00902B4D">
        <w:rPr>
          <w:rStyle w:val="CaptionLabel"/>
        </w:rPr>
        <w:instrText xml:space="preserve"> SEQ Table \* ARABIC \S 1 \* MERGEFORMAT </w:instrText>
      </w:r>
      <w:r w:rsidRPr="00902B4D">
        <w:rPr>
          <w:rStyle w:val="CaptionLabel"/>
        </w:rPr>
        <w:fldChar w:fldCharType="separate"/>
      </w:r>
      <w:r>
        <w:rPr>
          <w:rStyle w:val="CaptionLabel"/>
          <w:noProof/>
        </w:rPr>
        <w:t>2</w:t>
      </w:r>
      <w:r w:rsidRPr="00902B4D">
        <w:rPr>
          <w:rStyle w:val="CaptionLabel"/>
        </w:rPr>
        <w:fldChar w:fldCharType="end"/>
      </w:r>
      <w:bookmarkEnd w:id="114"/>
      <w:r>
        <w:tab/>
        <w:t>Distributional assessment for Option 2</w:t>
      </w:r>
      <w:r w:rsidRPr="00C53784">
        <w:t>,</w:t>
      </w:r>
      <w:r>
        <w:t xml:space="preserve"> </w:t>
      </w:r>
      <w:r w:rsidRPr="00C53784">
        <w:t>present</w:t>
      </w:r>
      <w:r>
        <w:t xml:space="preserve"> </w:t>
      </w:r>
      <w:r w:rsidRPr="00C53784">
        <w:t>value</w:t>
      </w:r>
      <w:r>
        <w:t xml:space="preserve"> </w:t>
      </w:r>
      <w:r w:rsidRPr="00C53784">
        <w:t>(</w:t>
      </w:r>
      <w:r>
        <w:t xml:space="preserve">in 2023 at </w:t>
      </w:r>
      <w:r w:rsidRPr="00C53784">
        <w:t>$202</w:t>
      </w:r>
      <w:r>
        <w:t>2</w:t>
      </w:r>
      <w:r w:rsidRPr="00C53784">
        <w:t>)</w:t>
      </w:r>
      <w:bookmarkEnd w:id="115"/>
    </w:p>
    <w:tbl>
      <w:tblPr>
        <w:tblW w:w="8392" w:type="dxa"/>
        <w:tblInd w:w="-454"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454"/>
        <w:gridCol w:w="3119"/>
        <w:gridCol w:w="2409"/>
        <w:gridCol w:w="2410"/>
      </w:tblGrid>
      <w:tr w:rsidR="00B949E1" w:rsidRPr="00902B4D" w14:paraId="05D941AC" w14:textId="77777777" w:rsidTr="00B9362B">
        <w:trPr>
          <w:tblHeader/>
        </w:trPr>
        <w:tc>
          <w:tcPr>
            <w:tcW w:w="3573" w:type="dxa"/>
            <w:gridSpan w:val="2"/>
            <w:tcBorders>
              <w:top w:val="nil"/>
              <w:bottom w:val="nil"/>
            </w:tcBorders>
            <w:shd w:val="clear" w:color="auto" w:fill="140034"/>
            <w:noWrap/>
            <w:tcMar>
              <w:left w:w="454" w:type="dxa"/>
            </w:tcMar>
          </w:tcPr>
          <w:p w14:paraId="7E8406D9" w14:textId="77777777" w:rsidR="00B949E1" w:rsidRPr="00902B4D" w:rsidRDefault="00B949E1" w:rsidP="00B9362B">
            <w:pPr>
              <w:pStyle w:val="Tablecolumnheadings"/>
              <w:rPr>
                <w:lang w:eastAsia="en-AU"/>
              </w:rPr>
            </w:pPr>
            <w:r w:rsidRPr="00902B4D">
              <w:rPr>
                <w:lang w:eastAsia="en-AU"/>
              </w:rPr>
              <w:t>Stakeholder</w:t>
            </w:r>
          </w:p>
        </w:tc>
        <w:tc>
          <w:tcPr>
            <w:tcW w:w="4819" w:type="dxa"/>
            <w:gridSpan w:val="2"/>
            <w:tcBorders>
              <w:top w:val="nil"/>
              <w:bottom w:val="nil"/>
              <w:right w:val="single" w:sz="6" w:space="0" w:color="140034"/>
            </w:tcBorders>
            <w:shd w:val="clear" w:color="auto" w:fill="140034"/>
            <w:noWrap/>
          </w:tcPr>
          <w:p w14:paraId="2A07BC8D" w14:textId="77777777" w:rsidR="00B949E1" w:rsidRPr="00902B4D" w:rsidRDefault="00B949E1" w:rsidP="00B9362B">
            <w:pPr>
              <w:pStyle w:val="Tablecolumnheadings"/>
              <w:jc w:val="center"/>
              <w:rPr>
                <w:lang w:eastAsia="en-AU"/>
              </w:rPr>
            </w:pPr>
            <w:r>
              <w:rPr>
                <w:lang w:eastAsia="en-AU"/>
              </w:rPr>
              <w:t>Estimated i</w:t>
            </w:r>
            <w:r w:rsidRPr="00902B4D">
              <w:rPr>
                <w:lang w:eastAsia="en-AU"/>
              </w:rPr>
              <w:t>mpact</w:t>
            </w:r>
            <w:r>
              <w:rPr>
                <w:lang w:eastAsia="en-AU"/>
              </w:rPr>
              <w:t xml:space="preserve"> (NPV7)</w:t>
            </w:r>
          </w:p>
        </w:tc>
      </w:tr>
      <w:tr w:rsidR="00B949E1" w:rsidRPr="00902B4D" w14:paraId="5F151010" w14:textId="77777777" w:rsidTr="00B9362B">
        <w:trPr>
          <w:tblHeader/>
        </w:trPr>
        <w:tc>
          <w:tcPr>
            <w:tcW w:w="3573" w:type="dxa"/>
            <w:gridSpan w:val="2"/>
            <w:tcBorders>
              <w:top w:val="nil"/>
              <w:bottom w:val="nil"/>
            </w:tcBorders>
            <w:shd w:val="clear" w:color="auto" w:fill="140034"/>
            <w:noWrap/>
            <w:tcMar>
              <w:left w:w="454" w:type="dxa"/>
            </w:tcMar>
          </w:tcPr>
          <w:p w14:paraId="7AB90BCB" w14:textId="77777777" w:rsidR="00B949E1" w:rsidRPr="00902B4D" w:rsidRDefault="00B949E1" w:rsidP="00B9362B">
            <w:pPr>
              <w:pStyle w:val="Tablecolumnheadings"/>
              <w:rPr>
                <w:lang w:eastAsia="en-AU"/>
              </w:rPr>
            </w:pPr>
          </w:p>
        </w:tc>
        <w:tc>
          <w:tcPr>
            <w:tcW w:w="2409" w:type="dxa"/>
            <w:tcBorders>
              <w:top w:val="nil"/>
              <w:bottom w:val="nil"/>
              <w:right w:val="single" w:sz="6" w:space="0" w:color="140034"/>
            </w:tcBorders>
            <w:shd w:val="clear" w:color="auto" w:fill="140034"/>
            <w:noWrap/>
          </w:tcPr>
          <w:p w14:paraId="2806604F" w14:textId="77777777" w:rsidR="00B949E1" w:rsidRDefault="00B949E1" w:rsidP="00B9362B">
            <w:pPr>
              <w:pStyle w:val="Tablecolumnheadings"/>
              <w:jc w:val="center"/>
              <w:rPr>
                <w:lang w:eastAsia="en-AU"/>
              </w:rPr>
            </w:pPr>
            <w:r>
              <w:rPr>
                <w:lang w:eastAsia="en-AU"/>
              </w:rPr>
              <w:t>Total</w:t>
            </w:r>
          </w:p>
        </w:tc>
        <w:tc>
          <w:tcPr>
            <w:tcW w:w="2410" w:type="dxa"/>
            <w:tcBorders>
              <w:top w:val="nil"/>
              <w:bottom w:val="nil"/>
              <w:right w:val="single" w:sz="6" w:space="0" w:color="140034"/>
            </w:tcBorders>
            <w:shd w:val="clear" w:color="auto" w:fill="140034"/>
          </w:tcPr>
          <w:p w14:paraId="17A99064" w14:textId="77777777" w:rsidR="00B949E1" w:rsidRPr="00902B4D" w:rsidRDefault="00B949E1" w:rsidP="00B9362B">
            <w:pPr>
              <w:pStyle w:val="Tablecolumnheadings"/>
              <w:jc w:val="center"/>
              <w:rPr>
                <w:lang w:eastAsia="en-AU"/>
              </w:rPr>
            </w:pPr>
            <w:r>
              <w:rPr>
                <w:lang w:eastAsia="en-AU"/>
              </w:rPr>
              <w:t>Per capita (blue) / per business (green)</w:t>
            </w:r>
          </w:p>
        </w:tc>
      </w:tr>
      <w:tr w:rsidR="00B949E1" w:rsidRPr="00902B4D" w14:paraId="027B96F4" w14:textId="77777777" w:rsidTr="00B9362B">
        <w:trPr>
          <w:gridBefore w:val="1"/>
          <w:wBefore w:w="454" w:type="dxa"/>
        </w:trPr>
        <w:tc>
          <w:tcPr>
            <w:tcW w:w="3119" w:type="dxa"/>
            <w:tcBorders>
              <w:bottom w:val="single" w:sz="4" w:space="0" w:color="646464"/>
            </w:tcBorders>
            <w:shd w:val="clear" w:color="auto" w:fill="auto"/>
            <w:noWrap/>
            <w:hideMark/>
          </w:tcPr>
          <w:p w14:paraId="46161772" w14:textId="77777777" w:rsidR="00B949E1" w:rsidRPr="00902B4D" w:rsidRDefault="00B949E1" w:rsidP="00B9362B">
            <w:pPr>
              <w:pStyle w:val="Tabletext"/>
              <w:rPr>
                <w:lang w:eastAsia="en-AU"/>
              </w:rPr>
            </w:pPr>
            <w:r w:rsidRPr="006136E3">
              <w:t>ACT Government</w:t>
            </w:r>
          </w:p>
        </w:tc>
        <w:tc>
          <w:tcPr>
            <w:tcW w:w="2409" w:type="dxa"/>
            <w:tcBorders>
              <w:bottom w:val="single" w:sz="4" w:space="0" w:color="646464"/>
            </w:tcBorders>
            <w:shd w:val="clear" w:color="auto" w:fill="auto"/>
            <w:noWrap/>
            <w:hideMark/>
          </w:tcPr>
          <w:p w14:paraId="588E3DE4" w14:textId="77777777" w:rsidR="00B949E1" w:rsidRPr="00ED3E49" w:rsidRDefault="00B949E1" w:rsidP="00B9362B">
            <w:pPr>
              <w:pStyle w:val="Tabletext"/>
              <w:jc w:val="center"/>
              <w:rPr>
                <w:color w:val="FF0000"/>
                <w:lang w:eastAsia="en-AU"/>
              </w:rPr>
            </w:pPr>
            <w:r w:rsidRPr="005F2570">
              <w:rPr>
                <w:color w:val="FF0000"/>
              </w:rPr>
              <w:t xml:space="preserve">-450,000 </w:t>
            </w:r>
          </w:p>
        </w:tc>
        <w:tc>
          <w:tcPr>
            <w:tcW w:w="2410" w:type="dxa"/>
            <w:tcBorders>
              <w:bottom w:val="single" w:sz="4" w:space="0" w:color="646464"/>
            </w:tcBorders>
            <w:shd w:val="clear" w:color="auto" w:fill="DAEEF3" w:themeFill="accent5" w:themeFillTint="33"/>
          </w:tcPr>
          <w:p w14:paraId="63E9269F" w14:textId="77777777" w:rsidR="00B949E1" w:rsidRPr="00ED3E49" w:rsidRDefault="00B949E1" w:rsidP="00B9362B">
            <w:pPr>
              <w:pStyle w:val="Tabletext"/>
              <w:jc w:val="center"/>
              <w:rPr>
                <w:color w:val="FF0000"/>
                <w:szCs w:val="20"/>
                <w:lang w:eastAsia="en-AU"/>
              </w:rPr>
            </w:pPr>
            <w:r w:rsidRPr="005F2570">
              <w:rPr>
                <w:color w:val="FF0000"/>
              </w:rPr>
              <w:t xml:space="preserve">-0.98 </w:t>
            </w:r>
          </w:p>
        </w:tc>
      </w:tr>
      <w:tr w:rsidR="00B949E1" w:rsidRPr="00902B4D" w14:paraId="7CE4B767" w14:textId="77777777" w:rsidTr="003E2764">
        <w:trPr>
          <w:gridBefore w:val="1"/>
          <w:wBefore w:w="454" w:type="dxa"/>
        </w:trPr>
        <w:tc>
          <w:tcPr>
            <w:tcW w:w="3119" w:type="dxa"/>
            <w:tcBorders>
              <w:top w:val="single" w:sz="4" w:space="0" w:color="646464"/>
              <w:bottom w:val="single" w:sz="4" w:space="0" w:color="646464"/>
            </w:tcBorders>
            <w:shd w:val="clear" w:color="auto" w:fill="auto"/>
            <w:noWrap/>
            <w:hideMark/>
          </w:tcPr>
          <w:p w14:paraId="5A5AC569" w14:textId="77777777" w:rsidR="00B949E1" w:rsidRPr="00902B4D" w:rsidRDefault="00B949E1" w:rsidP="00B9362B">
            <w:pPr>
              <w:pStyle w:val="Tabletext"/>
              <w:rPr>
                <w:lang w:eastAsia="en-AU"/>
              </w:rPr>
            </w:pPr>
            <w:r w:rsidRPr="006136E3">
              <w:t>Local Government (waste disposal costs)</w:t>
            </w:r>
          </w:p>
        </w:tc>
        <w:tc>
          <w:tcPr>
            <w:tcW w:w="2409" w:type="dxa"/>
            <w:tcBorders>
              <w:top w:val="single" w:sz="4" w:space="0" w:color="646464"/>
              <w:bottom w:val="single" w:sz="4" w:space="0" w:color="646464"/>
            </w:tcBorders>
            <w:shd w:val="clear" w:color="auto" w:fill="auto"/>
            <w:noWrap/>
            <w:hideMark/>
          </w:tcPr>
          <w:p w14:paraId="675444E1" w14:textId="77777777" w:rsidR="00B949E1" w:rsidRPr="00902B4D" w:rsidRDefault="00B949E1" w:rsidP="00B9362B">
            <w:pPr>
              <w:pStyle w:val="Tabletext"/>
              <w:jc w:val="center"/>
              <w:rPr>
                <w:lang w:eastAsia="en-AU"/>
              </w:rPr>
            </w:pPr>
            <w:r w:rsidRPr="00627691">
              <w:t xml:space="preserve">609,482 </w:t>
            </w:r>
          </w:p>
        </w:tc>
        <w:tc>
          <w:tcPr>
            <w:tcW w:w="2410" w:type="dxa"/>
            <w:tcBorders>
              <w:top w:val="single" w:sz="4" w:space="0" w:color="646464"/>
              <w:bottom w:val="single" w:sz="4" w:space="0" w:color="646464"/>
            </w:tcBorders>
            <w:shd w:val="clear" w:color="auto" w:fill="DAEEF3" w:themeFill="accent5" w:themeFillTint="33"/>
          </w:tcPr>
          <w:p w14:paraId="26E3669F" w14:textId="77777777" w:rsidR="00B949E1" w:rsidRPr="003152B4" w:rsidRDefault="00B949E1" w:rsidP="00B9362B">
            <w:pPr>
              <w:pStyle w:val="Tabletext"/>
              <w:jc w:val="center"/>
              <w:rPr>
                <w:szCs w:val="20"/>
                <w:lang w:eastAsia="en-AU"/>
              </w:rPr>
            </w:pPr>
            <w:r w:rsidRPr="00627691">
              <w:t xml:space="preserve">1.33 </w:t>
            </w:r>
          </w:p>
        </w:tc>
      </w:tr>
      <w:tr w:rsidR="00B949E1" w:rsidRPr="00902B4D" w14:paraId="382D046A" w14:textId="77777777" w:rsidTr="003E2764">
        <w:trPr>
          <w:gridBefore w:val="1"/>
          <w:wBefore w:w="454" w:type="dxa"/>
        </w:trPr>
        <w:tc>
          <w:tcPr>
            <w:tcW w:w="3119" w:type="dxa"/>
            <w:tcBorders>
              <w:top w:val="single" w:sz="4" w:space="0" w:color="646464"/>
              <w:bottom w:val="single" w:sz="4" w:space="0" w:color="646464"/>
            </w:tcBorders>
            <w:shd w:val="clear" w:color="auto" w:fill="auto"/>
            <w:noWrap/>
            <w:hideMark/>
          </w:tcPr>
          <w:p w14:paraId="6D5CDBDB" w14:textId="77777777" w:rsidR="00B949E1" w:rsidRPr="00902B4D" w:rsidRDefault="00B949E1" w:rsidP="00B9362B">
            <w:pPr>
              <w:pStyle w:val="Tabletext"/>
              <w:rPr>
                <w:lang w:eastAsia="en-AU"/>
              </w:rPr>
            </w:pPr>
            <w:r w:rsidRPr="006136E3">
              <w:t xml:space="preserve">Food and hospitality outlets </w:t>
            </w:r>
          </w:p>
        </w:tc>
        <w:tc>
          <w:tcPr>
            <w:tcW w:w="2409" w:type="dxa"/>
            <w:tcBorders>
              <w:top w:val="single" w:sz="4" w:space="0" w:color="646464"/>
              <w:bottom w:val="single" w:sz="4" w:space="0" w:color="646464"/>
            </w:tcBorders>
            <w:shd w:val="clear" w:color="auto" w:fill="auto"/>
            <w:noWrap/>
            <w:hideMark/>
          </w:tcPr>
          <w:p w14:paraId="1E6B6110" w14:textId="77777777" w:rsidR="00B949E1" w:rsidRPr="00ED3E49" w:rsidRDefault="00B949E1" w:rsidP="00B9362B">
            <w:pPr>
              <w:pStyle w:val="Tabletext"/>
              <w:jc w:val="center"/>
              <w:rPr>
                <w:color w:val="FF0000"/>
                <w:lang w:eastAsia="en-AU"/>
              </w:rPr>
            </w:pPr>
            <w:r w:rsidRPr="005F2570">
              <w:rPr>
                <w:color w:val="FF0000"/>
              </w:rPr>
              <w:t xml:space="preserve">-18,421,601 </w:t>
            </w:r>
          </w:p>
        </w:tc>
        <w:tc>
          <w:tcPr>
            <w:tcW w:w="2410" w:type="dxa"/>
            <w:tcBorders>
              <w:top w:val="single" w:sz="4" w:space="0" w:color="646464"/>
              <w:bottom w:val="single" w:sz="4" w:space="0" w:color="646464"/>
            </w:tcBorders>
            <w:shd w:val="clear" w:color="auto" w:fill="D5EBDA"/>
          </w:tcPr>
          <w:p w14:paraId="18776A12" w14:textId="77777777" w:rsidR="00B949E1" w:rsidRPr="00ED3E49" w:rsidRDefault="00B949E1" w:rsidP="00B9362B">
            <w:pPr>
              <w:pStyle w:val="Tabletext"/>
              <w:jc w:val="center"/>
              <w:rPr>
                <w:color w:val="FF0000"/>
                <w:szCs w:val="20"/>
                <w:lang w:eastAsia="en-AU"/>
              </w:rPr>
            </w:pPr>
            <w:r w:rsidRPr="005F2570">
              <w:rPr>
                <w:color w:val="FF0000"/>
              </w:rPr>
              <w:t xml:space="preserve">-10,466.82 </w:t>
            </w:r>
          </w:p>
        </w:tc>
      </w:tr>
      <w:tr w:rsidR="00B949E1" w:rsidRPr="00902B4D" w14:paraId="40F62ED0" w14:textId="77777777" w:rsidTr="003E2764">
        <w:trPr>
          <w:gridBefore w:val="1"/>
          <w:wBefore w:w="454" w:type="dxa"/>
        </w:trPr>
        <w:tc>
          <w:tcPr>
            <w:tcW w:w="3119" w:type="dxa"/>
            <w:tcBorders>
              <w:top w:val="single" w:sz="4" w:space="0" w:color="646464"/>
              <w:bottom w:val="single" w:sz="4" w:space="0" w:color="646464"/>
            </w:tcBorders>
            <w:shd w:val="clear" w:color="auto" w:fill="auto"/>
            <w:noWrap/>
            <w:hideMark/>
          </w:tcPr>
          <w:p w14:paraId="320F221D" w14:textId="77777777" w:rsidR="00B949E1" w:rsidRPr="00902B4D" w:rsidRDefault="00B949E1" w:rsidP="00B9362B">
            <w:pPr>
              <w:pStyle w:val="Tabletext"/>
              <w:rPr>
                <w:lang w:eastAsia="en-AU"/>
              </w:rPr>
            </w:pPr>
            <w:r w:rsidRPr="006136E3">
              <w:t>Medical and other exempted sectors</w:t>
            </w:r>
          </w:p>
        </w:tc>
        <w:tc>
          <w:tcPr>
            <w:tcW w:w="2409" w:type="dxa"/>
            <w:tcBorders>
              <w:top w:val="single" w:sz="4" w:space="0" w:color="646464"/>
              <w:bottom w:val="single" w:sz="4" w:space="0" w:color="646464"/>
            </w:tcBorders>
            <w:shd w:val="clear" w:color="auto" w:fill="auto"/>
            <w:noWrap/>
            <w:hideMark/>
          </w:tcPr>
          <w:p w14:paraId="099C7094" w14:textId="77777777" w:rsidR="00B949E1" w:rsidRPr="00902B4D" w:rsidRDefault="00B949E1" w:rsidP="00B9362B">
            <w:pPr>
              <w:pStyle w:val="Tabletext"/>
              <w:jc w:val="center"/>
              <w:rPr>
                <w:lang w:eastAsia="en-AU"/>
              </w:rPr>
            </w:pPr>
            <w:r w:rsidRPr="00627691">
              <w:t xml:space="preserve">23,648 </w:t>
            </w:r>
          </w:p>
        </w:tc>
        <w:tc>
          <w:tcPr>
            <w:tcW w:w="2410" w:type="dxa"/>
            <w:tcBorders>
              <w:top w:val="single" w:sz="4" w:space="0" w:color="646464"/>
              <w:bottom w:val="single" w:sz="4" w:space="0" w:color="646464"/>
            </w:tcBorders>
            <w:shd w:val="clear" w:color="auto" w:fill="D5EBDA"/>
          </w:tcPr>
          <w:p w14:paraId="5197A087" w14:textId="77777777" w:rsidR="00B949E1" w:rsidRPr="003152B4" w:rsidRDefault="00B949E1" w:rsidP="00B9362B">
            <w:pPr>
              <w:pStyle w:val="Tabletext"/>
              <w:jc w:val="center"/>
              <w:rPr>
                <w:szCs w:val="20"/>
                <w:lang w:eastAsia="en-AU"/>
              </w:rPr>
            </w:pPr>
            <w:r w:rsidRPr="00627691">
              <w:t xml:space="preserve">8.20 </w:t>
            </w:r>
          </w:p>
        </w:tc>
      </w:tr>
      <w:tr w:rsidR="00B949E1" w:rsidRPr="00902B4D" w14:paraId="5CF84451" w14:textId="77777777" w:rsidTr="00B9362B">
        <w:trPr>
          <w:gridBefore w:val="1"/>
          <w:wBefore w:w="454" w:type="dxa"/>
        </w:trPr>
        <w:tc>
          <w:tcPr>
            <w:tcW w:w="3119" w:type="dxa"/>
            <w:tcBorders>
              <w:top w:val="single" w:sz="4" w:space="0" w:color="646464"/>
              <w:bottom w:val="single" w:sz="4" w:space="0" w:color="646464"/>
            </w:tcBorders>
            <w:shd w:val="clear" w:color="auto" w:fill="auto"/>
            <w:noWrap/>
            <w:hideMark/>
          </w:tcPr>
          <w:p w14:paraId="3F6EBE40" w14:textId="77777777" w:rsidR="00B949E1" w:rsidRPr="00902B4D" w:rsidRDefault="00B949E1" w:rsidP="00B9362B">
            <w:pPr>
              <w:pStyle w:val="Tabletext"/>
              <w:rPr>
                <w:lang w:eastAsia="en-AU"/>
              </w:rPr>
            </w:pPr>
            <w:r w:rsidRPr="006136E3">
              <w:t>Consumers (retail)</w:t>
            </w:r>
          </w:p>
        </w:tc>
        <w:tc>
          <w:tcPr>
            <w:tcW w:w="2409" w:type="dxa"/>
            <w:tcBorders>
              <w:top w:val="single" w:sz="4" w:space="0" w:color="646464"/>
              <w:bottom w:val="single" w:sz="4" w:space="0" w:color="646464"/>
            </w:tcBorders>
            <w:shd w:val="clear" w:color="auto" w:fill="auto"/>
            <w:noWrap/>
            <w:hideMark/>
          </w:tcPr>
          <w:p w14:paraId="16856B2E" w14:textId="77777777" w:rsidR="00B949E1" w:rsidRPr="00B3652F" w:rsidRDefault="00B949E1" w:rsidP="00B9362B">
            <w:pPr>
              <w:pStyle w:val="Tabletext"/>
              <w:jc w:val="center"/>
              <w:rPr>
                <w:color w:val="FF0000"/>
                <w:lang w:eastAsia="en-AU"/>
              </w:rPr>
            </w:pPr>
            <w:r w:rsidRPr="00627691">
              <w:t xml:space="preserve">1,724,103 </w:t>
            </w:r>
          </w:p>
        </w:tc>
        <w:tc>
          <w:tcPr>
            <w:tcW w:w="2410" w:type="dxa"/>
            <w:tcBorders>
              <w:top w:val="single" w:sz="4" w:space="0" w:color="646464"/>
              <w:bottom w:val="single" w:sz="4" w:space="0" w:color="646464"/>
            </w:tcBorders>
            <w:shd w:val="clear" w:color="auto" w:fill="DAEEF3" w:themeFill="accent5" w:themeFillTint="33"/>
          </w:tcPr>
          <w:p w14:paraId="176D7398" w14:textId="77777777" w:rsidR="00B949E1" w:rsidRPr="00432D78" w:rsidRDefault="00B949E1" w:rsidP="00B9362B">
            <w:pPr>
              <w:pStyle w:val="Tabletext"/>
              <w:jc w:val="center"/>
              <w:rPr>
                <w:color w:val="FF0000"/>
                <w:szCs w:val="20"/>
                <w:lang w:eastAsia="en-AU"/>
              </w:rPr>
            </w:pPr>
            <w:r w:rsidRPr="00627691">
              <w:t xml:space="preserve">3.77 </w:t>
            </w:r>
          </w:p>
        </w:tc>
      </w:tr>
      <w:tr w:rsidR="00B949E1" w:rsidRPr="00902B4D" w14:paraId="10AE00F0" w14:textId="77777777" w:rsidTr="00B9362B">
        <w:trPr>
          <w:gridBefore w:val="1"/>
          <w:wBefore w:w="454" w:type="dxa"/>
        </w:trPr>
        <w:tc>
          <w:tcPr>
            <w:tcW w:w="3119" w:type="dxa"/>
            <w:tcBorders>
              <w:top w:val="single" w:sz="4" w:space="0" w:color="646464"/>
              <w:bottom w:val="single" w:sz="4" w:space="0" w:color="646464"/>
            </w:tcBorders>
            <w:shd w:val="clear" w:color="auto" w:fill="auto"/>
            <w:noWrap/>
            <w:hideMark/>
          </w:tcPr>
          <w:p w14:paraId="3B61B6CF" w14:textId="77777777" w:rsidR="00B949E1" w:rsidRPr="00902B4D" w:rsidRDefault="00B949E1" w:rsidP="00B9362B">
            <w:pPr>
              <w:pStyle w:val="Tabletext"/>
              <w:rPr>
                <w:lang w:eastAsia="en-AU"/>
              </w:rPr>
            </w:pPr>
            <w:r w:rsidRPr="006136E3">
              <w:t>Environment (society)</w:t>
            </w:r>
          </w:p>
        </w:tc>
        <w:tc>
          <w:tcPr>
            <w:tcW w:w="2409" w:type="dxa"/>
            <w:tcBorders>
              <w:top w:val="single" w:sz="4" w:space="0" w:color="646464"/>
              <w:bottom w:val="single" w:sz="4" w:space="0" w:color="646464"/>
            </w:tcBorders>
            <w:shd w:val="clear" w:color="auto" w:fill="auto"/>
            <w:noWrap/>
            <w:hideMark/>
          </w:tcPr>
          <w:p w14:paraId="2EAF05CE" w14:textId="77777777" w:rsidR="00B949E1" w:rsidRPr="00902B4D" w:rsidRDefault="00B949E1" w:rsidP="00B9362B">
            <w:pPr>
              <w:pStyle w:val="Tabletext"/>
              <w:jc w:val="center"/>
              <w:rPr>
                <w:lang w:eastAsia="en-AU"/>
              </w:rPr>
            </w:pPr>
            <w:r w:rsidRPr="00627691">
              <w:t xml:space="preserve">4,209,552 </w:t>
            </w:r>
          </w:p>
        </w:tc>
        <w:tc>
          <w:tcPr>
            <w:tcW w:w="2410" w:type="dxa"/>
            <w:tcBorders>
              <w:top w:val="single" w:sz="4" w:space="0" w:color="646464"/>
              <w:bottom w:val="single" w:sz="4" w:space="0" w:color="646464"/>
            </w:tcBorders>
            <w:shd w:val="clear" w:color="auto" w:fill="DAEEF3" w:themeFill="accent5" w:themeFillTint="33"/>
          </w:tcPr>
          <w:p w14:paraId="0B7E8B2D" w14:textId="77777777" w:rsidR="00B949E1" w:rsidRPr="003152B4" w:rsidRDefault="00B949E1" w:rsidP="00B9362B">
            <w:pPr>
              <w:pStyle w:val="Tabletext"/>
              <w:jc w:val="center"/>
              <w:rPr>
                <w:szCs w:val="20"/>
                <w:lang w:eastAsia="en-AU"/>
              </w:rPr>
            </w:pPr>
            <w:r w:rsidRPr="00627691">
              <w:t xml:space="preserve">9.20 </w:t>
            </w:r>
          </w:p>
        </w:tc>
      </w:tr>
      <w:tr w:rsidR="00B949E1" w14:paraId="34B82351" w14:textId="77777777" w:rsidTr="00B9362B">
        <w:trPr>
          <w:gridBefore w:val="1"/>
          <w:wBefore w:w="454" w:type="dxa"/>
        </w:trPr>
        <w:tc>
          <w:tcPr>
            <w:tcW w:w="7938" w:type="dxa"/>
            <w:gridSpan w:val="3"/>
            <w:tcBorders>
              <w:top w:val="single" w:sz="4" w:space="0" w:color="646464"/>
              <w:bottom w:val="single" w:sz="4" w:space="0" w:color="646464"/>
            </w:tcBorders>
            <w:shd w:val="clear" w:color="auto" w:fill="auto"/>
            <w:noWrap/>
          </w:tcPr>
          <w:p w14:paraId="7E66A484" w14:textId="77777777" w:rsidR="00B949E1" w:rsidRDefault="00B949E1" w:rsidP="00B9362B">
            <w:pPr>
              <w:pStyle w:val="Note"/>
              <w:rPr>
                <w:lang w:eastAsia="en-AU"/>
              </w:rPr>
            </w:pPr>
            <w:r>
              <w:rPr>
                <w:lang w:eastAsia="en-AU"/>
              </w:rPr>
              <w:t xml:space="preserve">Note: Negative values are costs, and positive figures represent benefits. NPV7 stands for net present value at 7% discount rate Negative figures represent costs. Per capita figures are based on the ACT population in 2021 and highlighted in blue. Per business figures are highlighted in green and have been calculated based on counts of ACT businesses by the ABS (ABS </w:t>
            </w:r>
            <w:r w:rsidRPr="006E309C">
              <w:rPr>
                <w:lang w:eastAsia="en-AU"/>
              </w:rPr>
              <w:t>8165.0</w:t>
            </w:r>
            <w:r>
              <w:rPr>
                <w:lang w:eastAsia="en-AU"/>
              </w:rPr>
              <w:t xml:space="preserve"> </w:t>
            </w:r>
            <w:r w:rsidRPr="006E309C">
              <w:rPr>
                <w:lang w:eastAsia="en-AU"/>
              </w:rPr>
              <w:t>Counts</w:t>
            </w:r>
            <w:r>
              <w:rPr>
                <w:lang w:eastAsia="en-AU"/>
              </w:rPr>
              <w:t xml:space="preserve"> </w:t>
            </w:r>
            <w:r w:rsidRPr="006E309C">
              <w:rPr>
                <w:lang w:eastAsia="en-AU"/>
              </w:rPr>
              <w:t>of</w:t>
            </w:r>
            <w:r>
              <w:rPr>
                <w:lang w:eastAsia="en-AU"/>
              </w:rPr>
              <w:t xml:space="preserve"> </w:t>
            </w:r>
            <w:r w:rsidRPr="006E309C">
              <w:rPr>
                <w:lang w:eastAsia="en-AU"/>
              </w:rPr>
              <w:t>Australian</w:t>
            </w:r>
            <w:r>
              <w:rPr>
                <w:lang w:eastAsia="en-AU"/>
              </w:rPr>
              <w:t xml:space="preserve"> </w:t>
            </w:r>
            <w:r w:rsidRPr="006E309C">
              <w:rPr>
                <w:lang w:eastAsia="en-AU"/>
              </w:rPr>
              <w:t>Businesses</w:t>
            </w:r>
            <w:r>
              <w:rPr>
                <w:lang w:eastAsia="en-AU"/>
              </w:rPr>
              <w:t xml:space="preserve">). </w:t>
            </w:r>
            <w:r w:rsidRPr="00902B4D">
              <w:rPr>
                <w:lang w:eastAsia="en-AU"/>
              </w:rPr>
              <w:t>Food</w:t>
            </w:r>
            <w:r>
              <w:rPr>
                <w:lang w:eastAsia="en-AU"/>
              </w:rPr>
              <w:t xml:space="preserve"> </w:t>
            </w:r>
            <w:r w:rsidRPr="00902B4D">
              <w:rPr>
                <w:lang w:eastAsia="en-AU"/>
              </w:rPr>
              <w:t>and</w:t>
            </w:r>
            <w:r>
              <w:rPr>
                <w:lang w:eastAsia="en-AU"/>
              </w:rPr>
              <w:t xml:space="preserve"> </w:t>
            </w:r>
            <w:r w:rsidRPr="00902B4D">
              <w:rPr>
                <w:lang w:eastAsia="en-AU"/>
              </w:rPr>
              <w:t>hospitality</w:t>
            </w:r>
            <w:r>
              <w:rPr>
                <w:lang w:eastAsia="en-AU"/>
              </w:rPr>
              <w:t xml:space="preserve"> </w:t>
            </w:r>
            <w:r w:rsidRPr="00902B4D">
              <w:rPr>
                <w:lang w:eastAsia="en-AU"/>
              </w:rPr>
              <w:t>outlets</w:t>
            </w:r>
            <w:r>
              <w:rPr>
                <w:lang w:eastAsia="en-AU"/>
              </w:rPr>
              <w:t xml:space="preserve"> are counted using ABS’ ANZSIC codes 44 and 45, while m</w:t>
            </w:r>
            <w:r w:rsidRPr="006E309C">
              <w:rPr>
                <w:lang w:eastAsia="en-AU"/>
              </w:rPr>
              <w:t>edical</w:t>
            </w:r>
            <w:r>
              <w:rPr>
                <w:lang w:eastAsia="en-AU"/>
              </w:rPr>
              <w:t xml:space="preserve"> </w:t>
            </w:r>
            <w:r w:rsidRPr="006E309C">
              <w:rPr>
                <w:lang w:eastAsia="en-AU"/>
              </w:rPr>
              <w:t>and</w:t>
            </w:r>
            <w:r>
              <w:rPr>
                <w:lang w:eastAsia="en-AU"/>
              </w:rPr>
              <w:t xml:space="preserve"> </w:t>
            </w:r>
            <w:r w:rsidRPr="006E309C">
              <w:rPr>
                <w:lang w:eastAsia="en-AU"/>
              </w:rPr>
              <w:t>other</w:t>
            </w:r>
            <w:r>
              <w:rPr>
                <w:lang w:eastAsia="en-AU"/>
              </w:rPr>
              <w:t xml:space="preserve"> </w:t>
            </w:r>
            <w:r w:rsidRPr="006E309C">
              <w:rPr>
                <w:lang w:eastAsia="en-AU"/>
              </w:rPr>
              <w:t>exempted</w:t>
            </w:r>
            <w:r>
              <w:rPr>
                <w:lang w:eastAsia="en-AU"/>
              </w:rPr>
              <w:t xml:space="preserve"> </w:t>
            </w:r>
            <w:r w:rsidRPr="006E309C">
              <w:rPr>
                <w:lang w:eastAsia="en-AU"/>
              </w:rPr>
              <w:t>sectors</w:t>
            </w:r>
            <w:r>
              <w:rPr>
                <w:lang w:eastAsia="en-AU"/>
              </w:rPr>
              <w:t xml:space="preserve"> are drawn from the same source, using ANZSIC codes 84, 85, 86 and 87.</w:t>
            </w:r>
          </w:p>
          <w:p w14:paraId="42C25809" w14:textId="77777777" w:rsidR="00B949E1" w:rsidRDefault="00B949E1" w:rsidP="00B9362B">
            <w:pPr>
              <w:pStyle w:val="Note"/>
              <w:rPr>
                <w:lang w:eastAsia="en-AU"/>
              </w:rPr>
            </w:pPr>
            <w:r>
              <w:rPr>
                <w:lang w:eastAsia="en-AU"/>
              </w:rPr>
              <w:t>Source: ACIL Allen</w:t>
            </w:r>
          </w:p>
        </w:tc>
      </w:tr>
    </w:tbl>
    <w:p w14:paraId="172FB04C" w14:textId="77777777" w:rsidR="00B949E1" w:rsidRDefault="00B949E1" w:rsidP="00B949E1">
      <w:pPr>
        <w:pStyle w:val="Heading3"/>
      </w:pPr>
      <w:r>
        <w:t>Quantified impact (by product)</w:t>
      </w:r>
    </w:p>
    <w:p w14:paraId="1B8B0D3B" w14:textId="77777777" w:rsidR="00B949E1" w:rsidRDefault="00B949E1" w:rsidP="00B949E1">
      <w:pPr>
        <w:pStyle w:val="BodyText"/>
      </w:pPr>
      <w:r w:rsidRPr="00D24C27">
        <w:rPr>
          <w:b/>
          <w:bCs/>
        </w:rPr>
        <w:fldChar w:fldCharType="begin"/>
      </w:r>
      <w:r w:rsidRPr="00D24C27">
        <w:rPr>
          <w:b/>
          <w:bCs/>
        </w:rPr>
        <w:instrText xml:space="preserve"> REF _Ref130818635 \h </w:instrText>
      </w:r>
      <w:r>
        <w:rPr>
          <w:b/>
          <w:bCs/>
        </w:rPr>
        <w:instrText xml:space="preserve"> \* MERGEFORMAT </w:instrText>
      </w:r>
      <w:r w:rsidRPr="00D24C27">
        <w:rPr>
          <w:b/>
          <w:bCs/>
        </w:rPr>
      </w:r>
      <w:r w:rsidRPr="00D24C27">
        <w:rPr>
          <w:b/>
          <w:bCs/>
        </w:rPr>
        <w:fldChar w:fldCharType="separate"/>
      </w:r>
      <w:r w:rsidRPr="00790266">
        <w:rPr>
          <w:rStyle w:val="CaptionLabel"/>
          <w:b w:val="0"/>
          <w:bCs/>
        </w:rPr>
        <w:t>Table 7.3</w:t>
      </w:r>
      <w:r w:rsidRPr="00D24C27">
        <w:rPr>
          <w:b/>
          <w:bCs/>
        </w:rPr>
        <w:fldChar w:fldCharType="end"/>
      </w:r>
      <w:r>
        <w:t xml:space="preserve"> </w:t>
      </w:r>
      <w:r w:rsidRPr="002F639F">
        <w:t xml:space="preserve">outlines the net impacts of the proposed bans under Option </w:t>
      </w:r>
      <w:r>
        <w:t xml:space="preserve">2 </w:t>
      </w:r>
      <w:r w:rsidRPr="002F639F">
        <w:t>by item (excluding government costs</w:t>
      </w:r>
      <w:r w:rsidRPr="002F639F">
        <w:rPr>
          <w:rStyle w:val="FootnoteReference"/>
        </w:rPr>
        <w:footnoteReference w:id="91"/>
      </w:r>
      <w:r w:rsidRPr="002F639F">
        <w:t xml:space="preserve">) and provides some commentary about what </w:t>
      </w:r>
      <w:r>
        <w:t>drives each product's resul</w:t>
      </w:r>
      <w:r w:rsidRPr="002F639F">
        <w:t>t.</w:t>
      </w:r>
    </w:p>
    <w:p w14:paraId="40875E0F" w14:textId="77777777" w:rsidR="00B949E1" w:rsidRDefault="00B949E1" w:rsidP="00B949E1">
      <w:pPr>
        <w:pStyle w:val="BodyText"/>
      </w:pPr>
      <w:r>
        <w:t xml:space="preserve">The results in this table show that either the costs outweigh the benefits or there are no monetisable costs, so a BCR cannot be applied (the BCR is reported as N/A). This reflects that the benefits recorded in the model (change in landfill costs, WTP to avoid and substitute litter) are small relative to the costs of the item. Where the NPV is positive, it occurs where the cost of the alternative products is lower than the SUP product. </w:t>
      </w:r>
    </w:p>
    <w:p w14:paraId="2430462F" w14:textId="77777777" w:rsidR="00B949E1" w:rsidRDefault="00B949E1" w:rsidP="00B949E1">
      <w:pPr>
        <w:pStyle w:val="BodyText"/>
      </w:pPr>
      <w:r>
        <w:t>Given that the SUPs are still consumed despite a higher cost, some non-monetised value may be attributable to the SUP that prevents an organisation from switching to the alternative. Or there may be information asymmetries or other market failures which prevent alternatives from being supplied and used (</w:t>
      </w:r>
      <w:proofErr w:type="gramStart"/>
      <w:r>
        <w:t>i.e.</w:t>
      </w:r>
      <w:proofErr w:type="gramEnd"/>
      <w:r>
        <w:t xml:space="preserve"> industries or consumers may not know that alternatives exist at lower prices). </w:t>
      </w:r>
    </w:p>
    <w:p w14:paraId="6B013FA8" w14:textId="77777777" w:rsidR="00B949E1" w:rsidRDefault="00B949E1" w:rsidP="00B949E1">
      <w:pPr>
        <w:pStyle w:val="BodyText"/>
      </w:pPr>
      <w:r>
        <w:t>Further, these outputs could vary significantly if the prices for these products are not accurately captured in the model. For example, if a cheap provider of goods raises prices due to supply chain challenges or a niche provider cannot provide enough product to the market. Given that these figures are sensitive to the input prices, the outputs should only be treated as an estimate.</w:t>
      </w:r>
    </w:p>
    <w:p w14:paraId="29F3EDEB" w14:textId="77777777" w:rsidR="00B949E1" w:rsidRDefault="00B949E1" w:rsidP="00B949E1">
      <w:pPr>
        <w:pStyle w:val="BodyText"/>
      </w:pPr>
      <w:r>
        <w:t>T</w:t>
      </w:r>
      <w:r w:rsidRPr="00906B4F">
        <w:t>he</w:t>
      </w:r>
      <w:r>
        <w:t xml:space="preserve"> quantified benefits were low relative to the costs (either positive or negative). This differs from analyses in other jurisdictions for three main reasons:</w:t>
      </w:r>
    </w:p>
    <w:p w14:paraId="0DFB1AC7" w14:textId="77777777" w:rsidR="00B949E1" w:rsidRDefault="00B949E1" w:rsidP="00B949E1">
      <w:pPr>
        <w:pStyle w:val="ListBullet"/>
        <w:numPr>
          <w:ilvl w:val="0"/>
          <w:numId w:val="9"/>
        </w:numPr>
      </w:pPr>
      <w:r>
        <w:t>In this analysis, single-use alternatives were assumed to be littered at a similar rate to SUPs.</w:t>
      </w:r>
    </w:p>
    <w:p w14:paraId="753F05ED" w14:textId="77777777" w:rsidR="00B949E1" w:rsidRDefault="00B949E1" w:rsidP="00B949E1">
      <w:pPr>
        <w:pStyle w:val="ListBullet"/>
        <w:numPr>
          <w:ilvl w:val="0"/>
          <w:numId w:val="9"/>
        </w:numPr>
      </w:pPr>
      <w:r>
        <w:t>The ACT is landlocked, so there are no quantified benefits to preventing litter from entering the ocean. Ocean litter benefits are usually significantly higher than terrestrial litter benefits.</w:t>
      </w:r>
    </w:p>
    <w:p w14:paraId="0DD359CD" w14:textId="77777777" w:rsidR="00B949E1" w:rsidRDefault="00B949E1" w:rsidP="00B949E1">
      <w:pPr>
        <w:pStyle w:val="ListBullet"/>
        <w:numPr>
          <w:ilvl w:val="0"/>
          <w:numId w:val="9"/>
        </w:numPr>
      </w:pPr>
      <w:r>
        <w:t xml:space="preserve">Similarly, most estimates of the social cost of plastic relate to the impact of plastic in the ocean on wildlife and biodiversity. As such, this is excluded from the analysis. This impact is discussed qualitatively in Section </w:t>
      </w:r>
      <w:r>
        <w:fldChar w:fldCharType="begin"/>
      </w:r>
      <w:r>
        <w:instrText xml:space="preserve"> REF _Ref131421551 \r \h </w:instrText>
      </w:r>
      <w:r>
        <w:fldChar w:fldCharType="separate"/>
      </w:r>
      <w:r>
        <w:t>6.4.3</w:t>
      </w:r>
      <w:r>
        <w:fldChar w:fldCharType="end"/>
      </w:r>
      <w:r>
        <w:t xml:space="preserve">. </w:t>
      </w:r>
    </w:p>
    <w:p w14:paraId="0028B4F7" w14:textId="77777777" w:rsidR="00B949E1" w:rsidRDefault="00B949E1" w:rsidP="00B949E1">
      <w:pPr>
        <w:pStyle w:val="Caption"/>
        <w:ind w:left="-784"/>
      </w:pPr>
      <w:bookmarkStart w:id="116" w:name="_Ref130818635"/>
      <w:bookmarkStart w:id="117" w:name="_Toc134002448"/>
      <w:r w:rsidRPr="00C828CD">
        <w:rPr>
          <w:rStyle w:val="CaptionLabel"/>
        </w:rPr>
        <w:lastRenderedPageBreak/>
        <w:t>Table </w:t>
      </w:r>
      <w:r w:rsidRPr="00C828CD">
        <w:rPr>
          <w:rStyle w:val="CaptionLabel"/>
        </w:rPr>
        <w:fldChar w:fldCharType="begin"/>
      </w:r>
      <w:r w:rsidRPr="00C828CD">
        <w:rPr>
          <w:rStyle w:val="CaptionLabel"/>
        </w:rPr>
        <w:instrText xml:space="preserve"> STYLEREF 1 \S \* MERGEFORMAT </w:instrText>
      </w:r>
      <w:r w:rsidRPr="00C828CD">
        <w:rPr>
          <w:rStyle w:val="CaptionLabel"/>
        </w:rPr>
        <w:fldChar w:fldCharType="separate"/>
      </w:r>
      <w:r>
        <w:rPr>
          <w:rStyle w:val="CaptionLabel"/>
          <w:noProof/>
        </w:rPr>
        <w:t>7</w:t>
      </w:r>
      <w:r w:rsidRPr="00C828CD">
        <w:rPr>
          <w:rStyle w:val="CaptionLabel"/>
        </w:rPr>
        <w:fldChar w:fldCharType="end"/>
      </w:r>
      <w:r w:rsidRPr="00C828CD">
        <w:rPr>
          <w:rStyle w:val="CaptionLabel"/>
        </w:rPr>
        <w:t>.</w:t>
      </w:r>
      <w:r w:rsidRPr="00C828CD">
        <w:rPr>
          <w:rStyle w:val="CaptionLabel"/>
        </w:rPr>
        <w:fldChar w:fldCharType="begin"/>
      </w:r>
      <w:r w:rsidRPr="00C828CD">
        <w:rPr>
          <w:rStyle w:val="CaptionLabel"/>
        </w:rPr>
        <w:instrText xml:space="preserve"> SEQ Table \* ARABIC \S 1 \* MERGEFORMAT </w:instrText>
      </w:r>
      <w:r w:rsidRPr="00C828CD">
        <w:rPr>
          <w:rStyle w:val="CaptionLabel"/>
        </w:rPr>
        <w:fldChar w:fldCharType="separate"/>
      </w:r>
      <w:r>
        <w:rPr>
          <w:rStyle w:val="CaptionLabel"/>
          <w:noProof/>
        </w:rPr>
        <w:t>3</w:t>
      </w:r>
      <w:r w:rsidRPr="00C828CD">
        <w:rPr>
          <w:rStyle w:val="CaptionLabel"/>
        </w:rPr>
        <w:fldChar w:fldCharType="end"/>
      </w:r>
      <w:bookmarkEnd w:id="116"/>
      <w:r>
        <w:tab/>
        <w:t>Summary of the i</w:t>
      </w:r>
      <w:r w:rsidRPr="000F21E2">
        <w:t xml:space="preserve">mpact of Option </w:t>
      </w:r>
      <w:r>
        <w:t>2</w:t>
      </w:r>
      <w:r w:rsidRPr="000F21E2">
        <w:t xml:space="preserve"> by product</w:t>
      </w:r>
      <w:bookmarkEnd w:id="117"/>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396"/>
        <w:gridCol w:w="1134"/>
        <w:gridCol w:w="1276"/>
        <w:gridCol w:w="1134"/>
        <w:gridCol w:w="1134"/>
        <w:gridCol w:w="3824"/>
      </w:tblGrid>
      <w:tr w:rsidR="00B949E1" w14:paraId="7E96B3A1" w14:textId="77777777" w:rsidTr="00B9362B">
        <w:trPr>
          <w:tblHeader/>
        </w:trPr>
        <w:tc>
          <w:tcPr>
            <w:tcW w:w="1850" w:type="dxa"/>
            <w:gridSpan w:val="2"/>
            <w:tcBorders>
              <w:top w:val="nil"/>
              <w:bottom w:val="nil"/>
            </w:tcBorders>
            <w:shd w:val="clear" w:color="auto" w:fill="140034"/>
            <w:tcMar>
              <w:left w:w="454" w:type="dxa"/>
            </w:tcMar>
          </w:tcPr>
          <w:p w14:paraId="34B310A4" w14:textId="77777777" w:rsidR="00B949E1" w:rsidRPr="00201796" w:rsidRDefault="00B949E1" w:rsidP="00B9362B">
            <w:pPr>
              <w:pStyle w:val="Tablecolumnheadings"/>
              <w:rPr>
                <w:szCs w:val="20"/>
              </w:rPr>
            </w:pPr>
          </w:p>
        </w:tc>
        <w:tc>
          <w:tcPr>
            <w:tcW w:w="1134" w:type="dxa"/>
            <w:tcBorders>
              <w:top w:val="nil"/>
              <w:bottom w:val="nil"/>
            </w:tcBorders>
            <w:shd w:val="clear" w:color="auto" w:fill="140034"/>
          </w:tcPr>
          <w:p w14:paraId="54924429" w14:textId="77777777" w:rsidR="00B949E1" w:rsidRPr="00201796" w:rsidRDefault="00B949E1" w:rsidP="00B9362B">
            <w:pPr>
              <w:pStyle w:val="Tablecolumnheadings"/>
              <w:jc w:val="center"/>
              <w:rPr>
                <w:szCs w:val="20"/>
              </w:rPr>
            </w:pPr>
            <w:r w:rsidRPr="00201796">
              <w:rPr>
                <w:szCs w:val="20"/>
              </w:rPr>
              <w:t>NPV7</w:t>
            </w:r>
          </w:p>
          <w:p w14:paraId="0A4DC64B" w14:textId="77777777" w:rsidR="00B949E1" w:rsidRPr="00201796" w:rsidRDefault="00B949E1" w:rsidP="00B9362B">
            <w:pPr>
              <w:pStyle w:val="Tablecolumnheadings"/>
              <w:jc w:val="center"/>
              <w:rPr>
                <w:szCs w:val="20"/>
              </w:rPr>
            </w:pPr>
            <w:r w:rsidRPr="00201796">
              <w:rPr>
                <w:szCs w:val="20"/>
              </w:rPr>
              <w:t>($ in 202</w:t>
            </w:r>
            <w:r>
              <w:rPr>
                <w:szCs w:val="20"/>
              </w:rPr>
              <w:t>3</w:t>
            </w:r>
            <w:r w:rsidRPr="00201796">
              <w:rPr>
                <w:szCs w:val="20"/>
              </w:rPr>
              <w:t xml:space="preserve"> at $2022)</w:t>
            </w:r>
          </w:p>
        </w:tc>
        <w:tc>
          <w:tcPr>
            <w:tcW w:w="1276" w:type="dxa"/>
            <w:tcBorders>
              <w:top w:val="nil"/>
              <w:bottom w:val="nil"/>
            </w:tcBorders>
            <w:shd w:val="clear" w:color="auto" w:fill="140034"/>
          </w:tcPr>
          <w:p w14:paraId="64BCE636" w14:textId="77777777" w:rsidR="00B949E1" w:rsidRPr="00201796" w:rsidRDefault="00B949E1" w:rsidP="00B9362B">
            <w:pPr>
              <w:pStyle w:val="Tablecolumnheadings"/>
              <w:rPr>
                <w:i/>
                <w:iCs/>
                <w:szCs w:val="20"/>
              </w:rPr>
            </w:pPr>
            <w:r w:rsidRPr="00201796">
              <w:rPr>
                <w:i/>
                <w:iCs/>
                <w:szCs w:val="20"/>
              </w:rPr>
              <w:t>Cost</w:t>
            </w:r>
          </w:p>
        </w:tc>
        <w:tc>
          <w:tcPr>
            <w:tcW w:w="1134" w:type="dxa"/>
            <w:tcBorders>
              <w:top w:val="nil"/>
              <w:bottom w:val="nil"/>
            </w:tcBorders>
            <w:shd w:val="clear" w:color="auto" w:fill="140034"/>
          </w:tcPr>
          <w:p w14:paraId="3DD8A3F2" w14:textId="77777777" w:rsidR="00B949E1" w:rsidRPr="00201796" w:rsidRDefault="00B949E1" w:rsidP="00B9362B">
            <w:pPr>
              <w:pStyle w:val="Tablecolumnheadings"/>
              <w:rPr>
                <w:i/>
                <w:iCs/>
                <w:szCs w:val="20"/>
              </w:rPr>
            </w:pPr>
            <w:r w:rsidRPr="00201796">
              <w:rPr>
                <w:i/>
                <w:iCs/>
                <w:szCs w:val="20"/>
              </w:rPr>
              <w:t>Benefits</w:t>
            </w:r>
          </w:p>
        </w:tc>
        <w:tc>
          <w:tcPr>
            <w:tcW w:w="1134" w:type="dxa"/>
            <w:tcBorders>
              <w:top w:val="nil"/>
              <w:bottom w:val="nil"/>
            </w:tcBorders>
            <w:shd w:val="clear" w:color="auto" w:fill="140034"/>
          </w:tcPr>
          <w:p w14:paraId="3B165E32" w14:textId="77777777" w:rsidR="00B949E1" w:rsidRPr="00201796" w:rsidRDefault="00B949E1" w:rsidP="00B9362B">
            <w:pPr>
              <w:pStyle w:val="Tablecolumnheadings"/>
              <w:rPr>
                <w:szCs w:val="20"/>
              </w:rPr>
            </w:pPr>
            <w:r w:rsidRPr="00201796">
              <w:rPr>
                <w:szCs w:val="20"/>
              </w:rPr>
              <w:t>BCR (ratio)</w:t>
            </w:r>
          </w:p>
        </w:tc>
        <w:tc>
          <w:tcPr>
            <w:tcW w:w="3824" w:type="dxa"/>
            <w:tcBorders>
              <w:top w:val="nil"/>
              <w:bottom w:val="nil"/>
              <w:right w:val="single" w:sz="6" w:space="0" w:color="140034"/>
            </w:tcBorders>
            <w:shd w:val="clear" w:color="auto" w:fill="140034"/>
          </w:tcPr>
          <w:p w14:paraId="6428717D" w14:textId="77777777" w:rsidR="00B949E1" w:rsidRPr="00201796" w:rsidRDefault="00B949E1" w:rsidP="00B9362B">
            <w:pPr>
              <w:pStyle w:val="Tablecolumnheadings"/>
              <w:rPr>
                <w:szCs w:val="20"/>
              </w:rPr>
            </w:pPr>
            <w:r w:rsidRPr="00201796">
              <w:rPr>
                <w:szCs w:val="20"/>
              </w:rPr>
              <w:t xml:space="preserve">Main drivers of </w:t>
            </w:r>
            <w:r>
              <w:rPr>
                <w:szCs w:val="20"/>
              </w:rPr>
              <w:t xml:space="preserve">the </w:t>
            </w:r>
            <w:r w:rsidRPr="00201796">
              <w:rPr>
                <w:szCs w:val="20"/>
              </w:rPr>
              <w:t>result</w:t>
            </w:r>
          </w:p>
        </w:tc>
      </w:tr>
      <w:tr w:rsidR="00B949E1" w14:paraId="35FF5000" w14:textId="77777777" w:rsidTr="00B9362B">
        <w:trPr>
          <w:gridBefore w:val="1"/>
          <w:wBefore w:w="454" w:type="dxa"/>
        </w:trPr>
        <w:tc>
          <w:tcPr>
            <w:tcW w:w="1396" w:type="dxa"/>
            <w:tcBorders>
              <w:top w:val="nil"/>
            </w:tcBorders>
            <w:shd w:val="clear" w:color="auto" w:fill="auto"/>
          </w:tcPr>
          <w:p w14:paraId="767624EA" w14:textId="77777777" w:rsidR="00B949E1" w:rsidRPr="00201796" w:rsidRDefault="00B949E1" w:rsidP="00B9362B">
            <w:pPr>
              <w:pStyle w:val="Tabletext"/>
              <w:rPr>
                <w:szCs w:val="20"/>
              </w:rPr>
            </w:pPr>
            <w:r w:rsidRPr="00C42355">
              <w:rPr>
                <w:szCs w:val="20"/>
              </w:rPr>
              <w:t>Bowls</w:t>
            </w:r>
          </w:p>
        </w:tc>
        <w:tc>
          <w:tcPr>
            <w:tcW w:w="1134" w:type="dxa"/>
            <w:tcBorders>
              <w:top w:val="nil"/>
              <w:right w:val="nil"/>
            </w:tcBorders>
            <w:shd w:val="clear" w:color="auto" w:fill="auto"/>
          </w:tcPr>
          <w:p w14:paraId="2D7327E9" w14:textId="77777777" w:rsidR="00B949E1" w:rsidRPr="00201796" w:rsidRDefault="00B949E1" w:rsidP="00B9362B">
            <w:pPr>
              <w:pStyle w:val="Tabletext"/>
              <w:rPr>
                <w:szCs w:val="20"/>
              </w:rPr>
            </w:pPr>
            <w:r w:rsidRPr="00933DBD">
              <w:t xml:space="preserve">195,276 </w:t>
            </w:r>
          </w:p>
        </w:tc>
        <w:tc>
          <w:tcPr>
            <w:tcW w:w="1276" w:type="dxa"/>
            <w:tcBorders>
              <w:top w:val="nil"/>
              <w:left w:val="nil"/>
            </w:tcBorders>
            <w:shd w:val="clear" w:color="auto" w:fill="auto"/>
          </w:tcPr>
          <w:p w14:paraId="35CED5B6" w14:textId="77777777" w:rsidR="00B949E1" w:rsidRPr="005F2570" w:rsidRDefault="00B949E1" w:rsidP="00B9362B">
            <w:pPr>
              <w:pStyle w:val="Tabletext"/>
              <w:rPr>
                <w:color w:val="FF0000"/>
                <w:szCs w:val="20"/>
              </w:rPr>
            </w:pPr>
            <w:r w:rsidRPr="005F2570">
              <w:rPr>
                <w:color w:val="FF0000"/>
              </w:rPr>
              <w:t xml:space="preserve">-146,741 </w:t>
            </w:r>
          </w:p>
        </w:tc>
        <w:tc>
          <w:tcPr>
            <w:tcW w:w="1134" w:type="dxa"/>
            <w:tcBorders>
              <w:top w:val="nil"/>
            </w:tcBorders>
            <w:shd w:val="clear" w:color="auto" w:fill="auto"/>
          </w:tcPr>
          <w:p w14:paraId="5AE96635" w14:textId="77777777" w:rsidR="00B949E1" w:rsidRPr="00C42355" w:rsidRDefault="00B949E1" w:rsidP="00B9362B">
            <w:pPr>
              <w:pStyle w:val="Tabletext"/>
              <w:rPr>
                <w:szCs w:val="20"/>
              </w:rPr>
            </w:pPr>
            <w:r w:rsidRPr="00DB79B2">
              <w:t xml:space="preserve">48,535 </w:t>
            </w:r>
          </w:p>
        </w:tc>
        <w:tc>
          <w:tcPr>
            <w:tcW w:w="1134" w:type="dxa"/>
            <w:tcBorders>
              <w:top w:val="nil"/>
            </w:tcBorders>
            <w:shd w:val="clear" w:color="auto" w:fill="auto"/>
          </w:tcPr>
          <w:p w14:paraId="4702D6D8" w14:textId="77777777" w:rsidR="00B949E1" w:rsidRPr="00201796" w:rsidRDefault="00B949E1" w:rsidP="00B9362B">
            <w:pPr>
              <w:pStyle w:val="Tabletext"/>
              <w:rPr>
                <w:szCs w:val="20"/>
              </w:rPr>
            </w:pPr>
            <w:r w:rsidRPr="00C42355">
              <w:rPr>
                <w:szCs w:val="20"/>
              </w:rPr>
              <w:t>N/A</w:t>
            </w:r>
            <w:r w:rsidRPr="00C42355">
              <w:rPr>
                <w:szCs w:val="20"/>
                <w:vertAlign w:val="superscript"/>
                <w:lang w:eastAsia="en-AU"/>
              </w:rPr>
              <w:t>a</w:t>
            </w:r>
          </w:p>
        </w:tc>
        <w:tc>
          <w:tcPr>
            <w:tcW w:w="3824" w:type="dxa"/>
            <w:tcBorders>
              <w:top w:val="nil"/>
            </w:tcBorders>
            <w:shd w:val="clear" w:color="auto" w:fill="auto"/>
          </w:tcPr>
          <w:p w14:paraId="52F90345" w14:textId="77777777" w:rsidR="00B949E1" w:rsidRPr="00201796" w:rsidRDefault="00B949E1" w:rsidP="00B9362B">
            <w:pPr>
              <w:pStyle w:val="Tabletext"/>
              <w:rPr>
                <w:szCs w:val="20"/>
              </w:rPr>
            </w:pPr>
            <w:r w:rsidRPr="00201796">
              <w:rPr>
                <w:szCs w:val="20"/>
              </w:rPr>
              <w:t>Plastic bowls were predominantly replaced with Bagasse bowls. The price of these w</w:t>
            </w:r>
            <w:r>
              <w:rPr>
                <w:szCs w:val="20"/>
              </w:rPr>
              <w:t>as</w:t>
            </w:r>
            <w:r w:rsidRPr="00201796">
              <w:rPr>
                <w:szCs w:val="20"/>
              </w:rPr>
              <w:t xml:space="preserve"> lower than the price of SUP bowls. </w:t>
            </w:r>
          </w:p>
        </w:tc>
      </w:tr>
      <w:tr w:rsidR="00B949E1" w14:paraId="55AE9F22" w14:textId="77777777" w:rsidTr="00B9362B">
        <w:trPr>
          <w:gridBefore w:val="1"/>
          <w:wBefore w:w="454" w:type="dxa"/>
        </w:trPr>
        <w:tc>
          <w:tcPr>
            <w:tcW w:w="1396" w:type="dxa"/>
            <w:shd w:val="clear" w:color="auto" w:fill="auto"/>
          </w:tcPr>
          <w:p w14:paraId="1EACD2FD" w14:textId="77777777" w:rsidR="00B949E1" w:rsidRPr="00201796" w:rsidRDefault="00B949E1" w:rsidP="00B9362B">
            <w:pPr>
              <w:pStyle w:val="Tabletext"/>
              <w:rPr>
                <w:szCs w:val="20"/>
              </w:rPr>
            </w:pPr>
            <w:r w:rsidRPr="00C42355">
              <w:rPr>
                <w:szCs w:val="20"/>
              </w:rPr>
              <w:t>Bowl lids</w:t>
            </w:r>
          </w:p>
        </w:tc>
        <w:tc>
          <w:tcPr>
            <w:tcW w:w="1134" w:type="dxa"/>
            <w:tcBorders>
              <w:top w:val="single" w:sz="4" w:space="0" w:color="646464"/>
              <w:right w:val="nil"/>
            </w:tcBorders>
            <w:shd w:val="clear" w:color="auto" w:fill="auto"/>
          </w:tcPr>
          <w:p w14:paraId="6726F638" w14:textId="77777777" w:rsidR="00B949E1" w:rsidRPr="00201796" w:rsidRDefault="00B949E1" w:rsidP="00B9362B">
            <w:pPr>
              <w:pStyle w:val="Tabletext"/>
              <w:rPr>
                <w:szCs w:val="20"/>
              </w:rPr>
            </w:pPr>
            <w:r w:rsidRPr="00933DBD">
              <w:t xml:space="preserve">322,066 </w:t>
            </w:r>
          </w:p>
        </w:tc>
        <w:tc>
          <w:tcPr>
            <w:tcW w:w="1276" w:type="dxa"/>
            <w:tcBorders>
              <w:left w:val="nil"/>
            </w:tcBorders>
            <w:shd w:val="clear" w:color="auto" w:fill="auto"/>
          </w:tcPr>
          <w:p w14:paraId="5CC0B907" w14:textId="77777777" w:rsidR="00B949E1" w:rsidRPr="006712ED" w:rsidRDefault="00B949E1" w:rsidP="00B9362B">
            <w:pPr>
              <w:pStyle w:val="Tabletext"/>
              <w:rPr>
                <w:color w:val="FF0000"/>
                <w:szCs w:val="20"/>
              </w:rPr>
            </w:pPr>
            <w:r w:rsidRPr="005F2570">
              <w:rPr>
                <w:color w:val="FF0000"/>
              </w:rPr>
              <w:t xml:space="preserve">-295,761 </w:t>
            </w:r>
          </w:p>
        </w:tc>
        <w:tc>
          <w:tcPr>
            <w:tcW w:w="1134" w:type="dxa"/>
            <w:shd w:val="clear" w:color="auto" w:fill="auto"/>
          </w:tcPr>
          <w:p w14:paraId="688736F4" w14:textId="77777777" w:rsidR="00B949E1" w:rsidRPr="00C42355" w:rsidRDefault="00B949E1" w:rsidP="00B9362B">
            <w:pPr>
              <w:pStyle w:val="Tabletext"/>
              <w:rPr>
                <w:szCs w:val="20"/>
              </w:rPr>
            </w:pPr>
            <w:r w:rsidRPr="00DB79B2">
              <w:t xml:space="preserve">26,305 </w:t>
            </w:r>
          </w:p>
        </w:tc>
        <w:tc>
          <w:tcPr>
            <w:tcW w:w="1134" w:type="dxa"/>
            <w:shd w:val="clear" w:color="auto" w:fill="auto"/>
          </w:tcPr>
          <w:p w14:paraId="265420AF" w14:textId="77777777" w:rsidR="00B949E1" w:rsidRPr="00201796" w:rsidRDefault="00B949E1" w:rsidP="00B9362B">
            <w:pPr>
              <w:pStyle w:val="Tabletext"/>
              <w:rPr>
                <w:szCs w:val="20"/>
              </w:rPr>
            </w:pPr>
            <w:r w:rsidRPr="00C42355">
              <w:rPr>
                <w:szCs w:val="20"/>
              </w:rPr>
              <w:t>N/A</w:t>
            </w:r>
            <w:r w:rsidRPr="00C42355">
              <w:rPr>
                <w:szCs w:val="20"/>
                <w:vertAlign w:val="superscript"/>
                <w:lang w:eastAsia="en-AU"/>
              </w:rPr>
              <w:t>a</w:t>
            </w:r>
          </w:p>
        </w:tc>
        <w:tc>
          <w:tcPr>
            <w:tcW w:w="3824" w:type="dxa"/>
            <w:shd w:val="clear" w:color="auto" w:fill="auto"/>
          </w:tcPr>
          <w:p w14:paraId="04769E96" w14:textId="77777777" w:rsidR="00B949E1" w:rsidRPr="00201796" w:rsidRDefault="00B949E1" w:rsidP="00B9362B">
            <w:pPr>
              <w:pStyle w:val="Tabletext"/>
              <w:rPr>
                <w:szCs w:val="20"/>
              </w:rPr>
            </w:pPr>
            <w:r w:rsidRPr="00201796">
              <w:rPr>
                <w:szCs w:val="20"/>
              </w:rPr>
              <w:t>Most bowl lid alternatives were also cheaper than the SUP product.</w:t>
            </w:r>
          </w:p>
        </w:tc>
      </w:tr>
      <w:tr w:rsidR="00B949E1" w14:paraId="2857CE7F" w14:textId="77777777" w:rsidTr="00B9362B">
        <w:trPr>
          <w:gridBefore w:val="1"/>
          <w:wBefore w:w="454" w:type="dxa"/>
        </w:trPr>
        <w:tc>
          <w:tcPr>
            <w:tcW w:w="1396" w:type="dxa"/>
            <w:shd w:val="clear" w:color="auto" w:fill="auto"/>
          </w:tcPr>
          <w:p w14:paraId="271BAF7F" w14:textId="77777777" w:rsidR="00B949E1" w:rsidRPr="00201796" w:rsidRDefault="00B949E1" w:rsidP="00B9362B">
            <w:pPr>
              <w:pStyle w:val="Tabletext"/>
              <w:rPr>
                <w:szCs w:val="20"/>
              </w:rPr>
            </w:pPr>
            <w:r w:rsidRPr="00C42355">
              <w:rPr>
                <w:szCs w:val="20"/>
              </w:rPr>
              <w:t>Plates</w:t>
            </w:r>
          </w:p>
        </w:tc>
        <w:tc>
          <w:tcPr>
            <w:tcW w:w="1134" w:type="dxa"/>
            <w:tcBorders>
              <w:top w:val="single" w:sz="4" w:space="0" w:color="646464"/>
              <w:right w:val="nil"/>
            </w:tcBorders>
            <w:shd w:val="clear" w:color="auto" w:fill="auto"/>
          </w:tcPr>
          <w:p w14:paraId="6C28744D" w14:textId="77777777" w:rsidR="00B949E1" w:rsidRPr="00201796" w:rsidRDefault="00B949E1" w:rsidP="00B9362B">
            <w:pPr>
              <w:pStyle w:val="Tabletext"/>
              <w:rPr>
                <w:szCs w:val="20"/>
              </w:rPr>
            </w:pPr>
            <w:r w:rsidRPr="00933DBD">
              <w:t xml:space="preserve">231,917 </w:t>
            </w:r>
          </w:p>
        </w:tc>
        <w:tc>
          <w:tcPr>
            <w:tcW w:w="1276" w:type="dxa"/>
            <w:tcBorders>
              <w:left w:val="nil"/>
            </w:tcBorders>
            <w:shd w:val="clear" w:color="auto" w:fill="auto"/>
          </w:tcPr>
          <w:p w14:paraId="67028DA7" w14:textId="77777777" w:rsidR="00B949E1" w:rsidRPr="006712ED" w:rsidRDefault="00B949E1" w:rsidP="00B9362B">
            <w:pPr>
              <w:pStyle w:val="Tabletext"/>
              <w:rPr>
                <w:color w:val="FF0000"/>
                <w:szCs w:val="20"/>
              </w:rPr>
            </w:pPr>
            <w:r w:rsidRPr="005F2570">
              <w:rPr>
                <w:color w:val="FF0000"/>
              </w:rPr>
              <w:t xml:space="preserve">-163,893 </w:t>
            </w:r>
          </w:p>
        </w:tc>
        <w:tc>
          <w:tcPr>
            <w:tcW w:w="1134" w:type="dxa"/>
            <w:shd w:val="clear" w:color="auto" w:fill="auto"/>
          </w:tcPr>
          <w:p w14:paraId="68013E38" w14:textId="77777777" w:rsidR="00B949E1" w:rsidRPr="00C42355" w:rsidRDefault="00B949E1" w:rsidP="00B9362B">
            <w:pPr>
              <w:pStyle w:val="Tabletext"/>
              <w:rPr>
                <w:szCs w:val="20"/>
              </w:rPr>
            </w:pPr>
            <w:r w:rsidRPr="00DB79B2">
              <w:t xml:space="preserve">68,025 </w:t>
            </w:r>
          </w:p>
        </w:tc>
        <w:tc>
          <w:tcPr>
            <w:tcW w:w="1134" w:type="dxa"/>
            <w:shd w:val="clear" w:color="auto" w:fill="auto"/>
          </w:tcPr>
          <w:p w14:paraId="12BCE288" w14:textId="77777777" w:rsidR="00B949E1" w:rsidRPr="00201796" w:rsidRDefault="00B949E1" w:rsidP="00B9362B">
            <w:pPr>
              <w:pStyle w:val="Tabletext"/>
              <w:rPr>
                <w:szCs w:val="20"/>
              </w:rPr>
            </w:pPr>
            <w:r w:rsidRPr="00C42355">
              <w:rPr>
                <w:szCs w:val="20"/>
              </w:rPr>
              <w:t>N/A</w:t>
            </w:r>
            <w:r w:rsidRPr="00C42355">
              <w:rPr>
                <w:szCs w:val="20"/>
                <w:vertAlign w:val="superscript"/>
                <w:lang w:eastAsia="en-AU"/>
              </w:rPr>
              <w:t>a</w:t>
            </w:r>
          </w:p>
        </w:tc>
        <w:tc>
          <w:tcPr>
            <w:tcW w:w="3824" w:type="dxa"/>
            <w:shd w:val="clear" w:color="auto" w:fill="auto"/>
          </w:tcPr>
          <w:p w14:paraId="734B3C5E" w14:textId="77777777" w:rsidR="00B949E1" w:rsidRPr="00201796" w:rsidRDefault="00B949E1" w:rsidP="00B9362B">
            <w:pPr>
              <w:pStyle w:val="Tabletext"/>
              <w:rPr>
                <w:szCs w:val="20"/>
              </w:rPr>
            </w:pPr>
            <w:r w:rsidRPr="00201796">
              <w:rPr>
                <w:szCs w:val="20"/>
              </w:rPr>
              <w:t>Most plate alternatives were also cheaper than the SUP product.</w:t>
            </w:r>
          </w:p>
        </w:tc>
      </w:tr>
      <w:tr w:rsidR="00B949E1" w14:paraId="21F1E459" w14:textId="77777777" w:rsidTr="00B9362B">
        <w:trPr>
          <w:gridBefore w:val="1"/>
          <w:wBefore w:w="454" w:type="dxa"/>
        </w:trPr>
        <w:tc>
          <w:tcPr>
            <w:tcW w:w="1396" w:type="dxa"/>
            <w:shd w:val="clear" w:color="auto" w:fill="auto"/>
          </w:tcPr>
          <w:p w14:paraId="4B99AACA" w14:textId="77777777" w:rsidR="00B949E1" w:rsidRPr="00201796" w:rsidRDefault="00B949E1" w:rsidP="00B9362B">
            <w:pPr>
              <w:pStyle w:val="Tabletext"/>
              <w:rPr>
                <w:szCs w:val="20"/>
              </w:rPr>
            </w:pPr>
            <w:r>
              <w:rPr>
                <w:szCs w:val="20"/>
              </w:rPr>
              <w:t>Boutique and heavyweight plastic bags</w:t>
            </w:r>
          </w:p>
        </w:tc>
        <w:tc>
          <w:tcPr>
            <w:tcW w:w="1134" w:type="dxa"/>
            <w:tcBorders>
              <w:top w:val="single" w:sz="4" w:space="0" w:color="646464"/>
              <w:right w:val="nil"/>
            </w:tcBorders>
            <w:shd w:val="clear" w:color="auto" w:fill="auto"/>
          </w:tcPr>
          <w:p w14:paraId="6139DA40" w14:textId="77777777" w:rsidR="00B949E1" w:rsidRPr="005F2570" w:rsidRDefault="00B949E1" w:rsidP="00B9362B">
            <w:pPr>
              <w:pStyle w:val="Tabletext"/>
              <w:rPr>
                <w:color w:val="FF0000"/>
                <w:szCs w:val="20"/>
              </w:rPr>
            </w:pPr>
            <w:r w:rsidRPr="005F2570">
              <w:rPr>
                <w:color w:val="FF0000"/>
              </w:rPr>
              <w:t xml:space="preserve">-1,592,561 </w:t>
            </w:r>
          </w:p>
        </w:tc>
        <w:tc>
          <w:tcPr>
            <w:tcW w:w="1276" w:type="dxa"/>
            <w:tcBorders>
              <w:left w:val="nil"/>
            </w:tcBorders>
            <w:shd w:val="clear" w:color="auto" w:fill="auto"/>
          </w:tcPr>
          <w:p w14:paraId="0376C569" w14:textId="77777777" w:rsidR="00B949E1" w:rsidRPr="00C42355" w:rsidRDefault="00B949E1" w:rsidP="00B9362B">
            <w:pPr>
              <w:pStyle w:val="Tabletext"/>
              <w:rPr>
                <w:szCs w:val="20"/>
              </w:rPr>
            </w:pPr>
            <w:r w:rsidRPr="00D21572">
              <w:t xml:space="preserve">4,549,090 </w:t>
            </w:r>
          </w:p>
        </w:tc>
        <w:tc>
          <w:tcPr>
            <w:tcW w:w="1134" w:type="dxa"/>
            <w:shd w:val="clear" w:color="auto" w:fill="auto"/>
          </w:tcPr>
          <w:p w14:paraId="7E7FFFCB" w14:textId="77777777" w:rsidR="00B949E1" w:rsidRPr="00C42355" w:rsidRDefault="00B949E1" w:rsidP="00B9362B">
            <w:pPr>
              <w:pStyle w:val="Tabletext"/>
              <w:rPr>
                <w:szCs w:val="20"/>
              </w:rPr>
            </w:pPr>
            <w:r w:rsidRPr="00DB79B2">
              <w:t xml:space="preserve">2,956,529 </w:t>
            </w:r>
          </w:p>
        </w:tc>
        <w:tc>
          <w:tcPr>
            <w:tcW w:w="1134" w:type="dxa"/>
            <w:shd w:val="clear" w:color="auto" w:fill="auto"/>
          </w:tcPr>
          <w:p w14:paraId="0F8506DC" w14:textId="77777777" w:rsidR="00B949E1" w:rsidRPr="00201796" w:rsidRDefault="00B949E1" w:rsidP="00B9362B">
            <w:pPr>
              <w:pStyle w:val="Tabletext"/>
              <w:rPr>
                <w:szCs w:val="20"/>
              </w:rPr>
            </w:pPr>
            <w:r w:rsidRPr="00644289">
              <w:t xml:space="preserve">0.65 </w:t>
            </w:r>
          </w:p>
        </w:tc>
        <w:tc>
          <w:tcPr>
            <w:tcW w:w="3824" w:type="dxa"/>
            <w:shd w:val="clear" w:color="auto" w:fill="auto"/>
          </w:tcPr>
          <w:p w14:paraId="7D64DFFD" w14:textId="77777777" w:rsidR="00B949E1" w:rsidRPr="00201796" w:rsidRDefault="00B949E1" w:rsidP="00B9362B">
            <w:pPr>
              <w:pStyle w:val="Tabletext"/>
              <w:rPr>
                <w:szCs w:val="20"/>
              </w:rPr>
            </w:pPr>
            <w:r w:rsidRPr="00201796">
              <w:rPr>
                <w:szCs w:val="20"/>
              </w:rPr>
              <w:t xml:space="preserve">The relatively high </w:t>
            </w:r>
            <w:r>
              <w:rPr>
                <w:szCs w:val="20"/>
              </w:rPr>
              <w:t>benefit value</w:t>
            </w:r>
            <w:r w:rsidRPr="00201796">
              <w:rPr>
                <w:szCs w:val="20"/>
              </w:rPr>
              <w:t xml:space="preserve"> was due to the high level of items replaced by re-usable alternatives, which had a much lower per-use cost.</w:t>
            </w:r>
          </w:p>
        </w:tc>
      </w:tr>
      <w:tr w:rsidR="00B949E1" w14:paraId="26740C3E" w14:textId="77777777" w:rsidTr="00B9362B">
        <w:trPr>
          <w:gridBefore w:val="1"/>
          <w:wBefore w:w="454" w:type="dxa"/>
        </w:trPr>
        <w:tc>
          <w:tcPr>
            <w:tcW w:w="1396" w:type="dxa"/>
            <w:shd w:val="clear" w:color="auto" w:fill="auto"/>
          </w:tcPr>
          <w:p w14:paraId="57D1F27D" w14:textId="77777777" w:rsidR="00B949E1" w:rsidRPr="00201796" w:rsidRDefault="00B949E1" w:rsidP="00B9362B">
            <w:pPr>
              <w:pStyle w:val="Tabletext"/>
              <w:rPr>
                <w:szCs w:val="20"/>
              </w:rPr>
            </w:pPr>
            <w:r>
              <w:rPr>
                <w:szCs w:val="20"/>
              </w:rPr>
              <w:t>Take-away</w:t>
            </w:r>
            <w:r w:rsidRPr="00C42355">
              <w:rPr>
                <w:szCs w:val="20"/>
              </w:rPr>
              <w:t xml:space="preserve"> containers</w:t>
            </w:r>
          </w:p>
        </w:tc>
        <w:tc>
          <w:tcPr>
            <w:tcW w:w="1134" w:type="dxa"/>
            <w:tcBorders>
              <w:top w:val="single" w:sz="4" w:space="0" w:color="646464"/>
              <w:right w:val="nil"/>
            </w:tcBorders>
            <w:shd w:val="clear" w:color="auto" w:fill="auto"/>
          </w:tcPr>
          <w:p w14:paraId="2C507C2E" w14:textId="77777777" w:rsidR="00B949E1" w:rsidRPr="005F2570" w:rsidRDefault="00B949E1" w:rsidP="00B9362B">
            <w:pPr>
              <w:pStyle w:val="Tabletext"/>
              <w:rPr>
                <w:color w:val="FF0000"/>
                <w:szCs w:val="20"/>
              </w:rPr>
            </w:pPr>
            <w:r w:rsidRPr="005F2570">
              <w:rPr>
                <w:color w:val="FF0000"/>
              </w:rPr>
              <w:t xml:space="preserve">-2,438,658 </w:t>
            </w:r>
          </w:p>
        </w:tc>
        <w:tc>
          <w:tcPr>
            <w:tcW w:w="1276" w:type="dxa"/>
            <w:tcBorders>
              <w:left w:val="nil"/>
            </w:tcBorders>
            <w:shd w:val="clear" w:color="auto" w:fill="auto"/>
          </w:tcPr>
          <w:p w14:paraId="26B8B13A" w14:textId="77777777" w:rsidR="00B949E1" w:rsidRPr="00C42355" w:rsidRDefault="00B949E1" w:rsidP="00B9362B">
            <w:pPr>
              <w:pStyle w:val="Tabletext"/>
              <w:rPr>
                <w:szCs w:val="20"/>
              </w:rPr>
            </w:pPr>
            <w:r w:rsidRPr="00D21572">
              <w:t xml:space="preserve">3,574,270 </w:t>
            </w:r>
          </w:p>
        </w:tc>
        <w:tc>
          <w:tcPr>
            <w:tcW w:w="1134" w:type="dxa"/>
            <w:shd w:val="clear" w:color="auto" w:fill="auto"/>
          </w:tcPr>
          <w:p w14:paraId="1673C09C" w14:textId="77777777" w:rsidR="00B949E1" w:rsidRPr="00C42355" w:rsidRDefault="00B949E1" w:rsidP="00B9362B">
            <w:pPr>
              <w:pStyle w:val="Tabletext"/>
              <w:rPr>
                <w:szCs w:val="20"/>
              </w:rPr>
            </w:pPr>
            <w:r w:rsidRPr="00DB79B2">
              <w:t xml:space="preserve">1,135,612 </w:t>
            </w:r>
          </w:p>
        </w:tc>
        <w:tc>
          <w:tcPr>
            <w:tcW w:w="1134" w:type="dxa"/>
            <w:shd w:val="clear" w:color="auto" w:fill="auto"/>
          </w:tcPr>
          <w:p w14:paraId="71B0DF89" w14:textId="77777777" w:rsidR="00B949E1" w:rsidRPr="00201796" w:rsidRDefault="00B949E1" w:rsidP="00B9362B">
            <w:pPr>
              <w:pStyle w:val="Tabletext"/>
              <w:rPr>
                <w:szCs w:val="20"/>
              </w:rPr>
            </w:pPr>
            <w:r w:rsidRPr="00644289">
              <w:t xml:space="preserve">0.32 </w:t>
            </w:r>
          </w:p>
        </w:tc>
        <w:tc>
          <w:tcPr>
            <w:tcW w:w="3824" w:type="dxa"/>
            <w:shd w:val="clear" w:color="auto" w:fill="auto"/>
          </w:tcPr>
          <w:p w14:paraId="297C73D2" w14:textId="77777777" w:rsidR="00B949E1" w:rsidRPr="00201796" w:rsidRDefault="00B949E1" w:rsidP="00B9362B">
            <w:pPr>
              <w:pStyle w:val="Tabletext"/>
              <w:rPr>
                <w:szCs w:val="20"/>
              </w:rPr>
            </w:pPr>
            <w:r w:rsidRPr="00201796">
              <w:rPr>
                <w:szCs w:val="20"/>
              </w:rPr>
              <w:t>Food containers had a relatively high level of re-usable alternatives</w:t>
            </w:r>
          </w:p>
        </w:tc>
      </w:tr>
      <w:tr w:rsidR="00B949E1" w14:paraId="402F3D57" w14:textId="77777777" w:rsidTr="00B9362B">
        <w:trPr>
          <w:gridBefore w:val="1"/>
          <w:wBefore w:w="454" w:type="dxa"/>
        </w:trPr>
        <w:tc>
          <w:tcPr>
            <w:tcW w:w="1396" w:type="dxa"/>
            <w:shd w:val="clear" w:color="auto" w:fill="auto"/>
          </w:tcPr>
          <w:p w14:paraId="4D066EE7" w14:textId="77777777" w:rsidR="00B949E1" w:rsidRPr="00201796" w:rsidRDefault="00B949E1" w:rsidP="00B9362B">
            <w:pPr>
              <w:pStyle w:val="Tabletext"/>
              <w:rPr>
                <w:szCs w:val="20"/>
              </w:rPr>
            </w:pPr>
            <w:r>
              <w:rPr>
                <w:szCs w:val="20"/>
              </w:rPr>
              <w:t>Take-away</w:t>
            </w:r>
            <w:r w:rsidRPr="00C42355">
              <w:rPr>
                <w:szCs w:val="20"/>
              </w:rPr>
              <w:t xml:space="preserve"> container lids</w:t>
            </w:r>
          </w:p>
        </w:tc>
        <w:tc>
          <w:tcPr>
            <w:tcW w:w="1134" w:type="dxa"/>
            <w:tcBorders>
              <w:top w:val="single" w:sz="4" w:space="0" w:color="646464"/>
              <w:right w:val="nil"/>
            </w:tcBorders>
            <w:shd w:val="clear" w:color="auto" w:fill="auto"/>
          </w:tcPr>
          <w:p w14:paraId="0AD97F98" w14:textId="77777777" w:rsidR="00B949E1" w:rsidRPr="005F2570" w:rsidRDefault="00B949E1" w:rsidP="00B9362B">
            <w:pPr>
              <w:pStyle w:val="Tabletext"/>
              <w:rPr>
                <w:color w:val="FF0000"/>
                <w:szCs w:val="20"/>
              </w:rPr>
            </w:pPr>
            <w:r w:rsidRPr="005F2570">
              <w:rPr>
                <w:color w:val="FF0000"/>
              </w:rPr>
              <w:t xml:space="preserve">-5,844,730 </w:t>
            </w:r>
          </w:p>
        </w:tc>
        <w:tc>
          <w:tcPr>
            <w:tcW w:w="1276" w:type="dxa"/>
            <w:tcBorders>
              <w:left w:val="nil"/>
            </w:tcBorders>
            <w:shd w:val="clear" w:color="auto" w:fill="auto"/>
          </w:tcPr>
          <w:p w14:paraId="55009E5E" w14:textId="77777777" w:rsidR="00B949E1" w:rsidRPr="00C42355" w:rsidRDefault="00B949E1" w:rsidP="00B9362B">
            <w:pPr>
              <w:pStyle w:val="Tabletext"/>
              <w:rPr>
                <w:szCs w:val="20"/>
              </w:rPr>
            </w:pPr>
            <w:r w:rsidRPr="00D21572">
              <w:t xml:space="preserve">5,994,437 </w:t>
            </w:r>
          </w:p>
        </w:tc>
        <w:tc>
          <w:tcPr>
            <w:tcW w:w="1134" w:type="dxa"/>
            <w:shd w:val="clear" w:color="auto" w:fill="auto"/>
          </w:tcPr>
          <w:p w14:paraId="13C8662D" w14:textId="77777777" w:rsidR="00B949E1" w:rsidRPr="00C42355" w:rsidRDefault="00B949E1" w:rsidP="00B9362B">
            <w:pPr>
              <w:pStyle w:val="Tabletext"/>
              <w:rPr>
                <w:szCs w:val="20"/>
              </w:rPr>
            </w:pPr>
            <w:r w:rsidRPr="00DB79B2">
              <w:t xml:space="preserve">149,707 </w:t>
            </w:r>
          </w:p>
        </w:tc>
        <w:tc>
          <w:tcPr>
            <w:tcW w:w="1134" w:type="dxa"/>
            <w:shd w:val="clear" w:color="auto" w:fill="auto"/>
          </w:tcPr>
          <w:p w14:paraId="0A0480A7" w14:textId="77777777" w:rsidR="00B949E1" w:rsidRPr="00201796" w:rsidRDefault="00B949E1" w:rsidP="00B9362B">
            <w:pPr>
              <w:pStyle w:val="Tabletext"/>
              <w:rPr>
                <w:szCs w:val="20"/>
              </w:rPr>
            </w:pPr>
            <w:r w:rsidRPr="00644289">
              <w:t xml:space="preserve">0.02 </w:t>
            </w:r>
          </w:p>
        </w:tc>
        <w:tc>
          <w:tcPr>
            <w:tcW w:w="3824" w:type="dxa"/>
            <w:shd w:val="clear" w:color="auto" w:fill="auto"/>
          </w:tcPr>
          <w:p w14:paraId="69C831E6" w14:textId="77777777" w:rsidR="00B949E1" w:rsidRPr="00201796" w:rsidRDefault="00B949E1" w:rsidP="00B9362B">
            <w:pPr>
              <w:pStyle w:val="Tabletext"/>
              <w:rPr>
                <w:szCs w:val="20"/>
              </w:rPr>
            </w:pPr>
            <w:r w:rsidRPr="00201796">
              <w:rPr>
                <w:szCs w:val="20"/>
              </w:rPr>
              <w:t xml:space="preserve">Food container lids had </w:t>
            </w:r>
            <w:r>
              <w:rPr>
                <w:szCs w:val="20"/>
              </w:rPr>
              <w:t>low benefits relative to their cost due to their relatively higher mass of single-</w:t>
            </w:r>
            <w:r w:rsidRPr="00201796">
              <w:rPr>
                <w:szCs w:val="20"/>
              </w:rPr>
              <w:t>use alternatives. Food container lids made of substances like plant fibres weigh more proportionally than those of plastic due to their lower strength.</w:t>
            </w:r>
          </w:p>
        </w:tc>
      </w:tr>
      <w:tr w:rsidR="00B949E1" w14:paraId="30ACF6F8" w14:textId="77777777" w:rsidTr="00B9362B">
        <w:trPr>
          <w:gridBefore w:val="1"/>
          <w:wBefore w:w="454" w:type="dxa"/>
        </w:trPr>
        <w:tc>
          <w:tcPr>
            <w:tcW w:w="1396" w:type="dxa"/>
            <w:shd w:val="clear" w:color="auto" w:fill="auto"/>
          </w:tcPr>
          <w:p w14:paraId="6F5104F3" w14:textId="77777777" w:rsidR="00B949E1" w:rsidRPr="00201796" w:rsidRDefault="00B949E1" w:rsidP="00B9362B">
            <w:pPr>
              <w:pStyle w:val="Tabletext"/>
              <w:rPr>
                <w:szCs w:val="20"/>
              </w:rPr>
            </w:pPr>
            <w:r w:rsidRPr="00C42355">
              <w:rPr>
                <w:szCs w:val="20"/>
              </w:rPr>
              <w:t>EPS</w:t>
            </w:r>
            <w:r>
              <w:rPr>
                <w:szCs w:val="20"/>
              </w:rPr>
              <w:t xml:space="preserve"> loose-fill</w:t>
            </w:r>
            <w:r w:rsidRPr="00C42355">
              <w:rPr>
                <w:szCs w:val="20"/>
              </w:rPr>
              <w:t xml:space="preserve"> packaging</w:t>
            </w:r>
          </w:p>
        </w:tc>
        <w:tc>
          <w:tcPr>
            <w:tcW w:w="1134" w:type="dxa"/>
            <w:tcBorders>
              <w:top w:val="single" w:sz="4" w:space="0" w:color="646464"/>
              <w:right w:val="nil"/>
            </w:tcBorders>
            <w:shd w:val="clear" w:color="auto" w:fill="auto"/>
          </w:tcPr>
          <w:p w14:paraId="1237D006" w14:textId="77777777" w:rsidR="00B949E1" w:rsidRPr="005F2570" w:rsidRDefault="00B949E1" w:rsidP="00B9362B">
            <w:pPr>
              <w:pStyle w:val="Tabletext"/>
              <w:rPr>
                <w:color w:val="FF0000"/>
                <w:szCs w:val="20"/>
              </w:rPr>
            </w:pPr>
            <w:r w:rsidRPr="005F2570">
              <w:rPr>
                <w:color w:val="FF0000"/>
              </w:rPr>
              <w:t xml:space="preserve">-2,776,088 </w:t>
            </w:r>
          </w:p>
        </w:tc>
        <w:tc>
          <w:tcPr>
            <w:tcW w:w="1276" w:type="dxa"/>
            <w:tcBorders>
              <w:left w:val="nil"/>
            </w:tcBorders>
            <w:shd w:val="clear" w:color="auto" w:fill="auto"/>
          </w:tcPr>
          <w:p w14:paraId="02341F78" w14:textId="77777777" w:rsidR="00B949E1" w:rsidRPr="00C42355" w:rsidRDefault="00B949E1" w:rsidP="00B9362B">
            <w:pPr>
              <w:pStyle w:val="Tabletext"/>
              <w:rPr>
                <w:szCs w:val="20"/>
              </w:rPr>
            </w:pPr>
            <w:r w:rsidRPr="00D21572">
              <w:t xml:space="preserve">3,175,595 </w:t>
            </w:r>
          </w:p>
        </w:tc>
        <w:tc>
          <w:tcPr>
            <w:tcW w:w="1134" w:type="dxa"/>
            <w:shd w:val="clear" w:color="auto" w:fill="auto"/>
          </w:tcPr>
          <w:p w14:paraId="24A7F54B" w14:textId="77777777" w:rsidR="00B949E1" w:rsidRPr="00C42355" w:rsidRDefault="00B949E1" w:rsidP="00B9362B">
            <w:pPr>
              <w:pStyle w:val="Tabletext"/>
              <w:rPr>
                <w:szCs w:val="20"/>
              </w:rPr>
            </w:pPr>
            <w:r w:rsidRPr="00DB79B2">
              <w:t xml:space="preserve">399,507 </w:t>
            </w:r>
          </w:p>
        </w:tc>
        <w:tc>
          <w:tcPr>
            <w:tcW w:w="1134" w:type="dxa"/>
            <w:shd w:val="clear" w:color="auto" w:fill="auto"/>
          </w:tcPr>
          <w:p w14:paraId="5A7A08A7" w14:textId="77777777" w:rsidR="00B949E1" w:rsidRPr="00201796" w:rsidRDefault="00B949E1" w:rsidP="00B9362B">
            <w:pPr>
              <w:pStyle w:val="Tabletext"/>
              <w:rPr>
                <w:szCs w:val="20"/>
              </w:rPr>
            </w:pPr>
            <w:r w:rsidRPr="00644289">
              <w:t xml:space="preserve">0.13 </w:t>
            </w:r>
          </w:p>
        </w:tc>
        <w:tc>
          <w:tcPr>
            <w:tcW w:w="3824" w:type="dxa"/>
            <w:shd w:val="clear" w:color="auto" w:fill="auto"/>
          </w:tcPr>
          <w:p w14:paraId="16AAC750" w14:textId="77777777" w:rsidR="00B949E1" w:rsidRPr="00201796" w:rsidRDefault="00B949E1" w:rsidP="00B9362B">
            <w:pPr>
              <w:pStyle w:val="Tabletext"/>
              <w:rPr>
                <w:szCs w:val="20"/>
              </w:rPr>
            </w:pPr>
            <w:r w:rsidRPr="00201796">
              <w:rPr>
                <w:szCs w:val="20"/>
              </w:rPr>
              <w:t xml:space="preserve">The alternatives (cardboard, kraft paper, HDPE air bags) are higher in cost than the EPS packaging. This means </w:t>
            </w:r>
            <w:r>
              <w:rPr>
                <w:szCs w:val="20"/>
              </w:rPr>
              <w:t>the benefits of replacing than are smaller than the costs.</w:t>
            </w:r>
          </w:p>
        </w:tc>
      </w:tr>
      <w:tr w:rsidR="00B949E1" w14:paraId="12910534" w14:textId="77777777" w:rsidTr="00B9362B">
        <w:trPr>
          <w:gridBefore w:val="1"/>
          <w:wBefore w:w="454" w:type="dxa"/>
        </w:trPr>
        <w:tc>
          <w:tcPr>
            <w:tcW w:w="1396" w:type="dxa"/>
            <w:shd w:val="clear" w:color="auto" w:fill="auto"/>
          </w:tcPr>
          <w:p w14:paraId="768B56B1" w14:textId="77777777" w:rsidR="00B949E1" w:rsidRPr="00201796" w:rsidRDefault="00B949E1" w:rsidP="00B9362B">
            <w:pPr>
              <w:pStyle w:val="Tabletext"/>
              <w:rPr>
                <w:szCs w:val="20"/>
              </w:rPr>
            </w:pPr>
            <w:r w:rsidRPr="00C42355">
              <w:rPr>
                <w:szCs w:val="20"/>
              </w:rPr>
              <w:t>EPS trays</w:t>
            </w:r>
          </w:p>
        </w:tc>
        <w:tc>
          <w:tcPr>
            <w:tcW w:w="1134" w:type="dxa"/>
            <w:tcBorders>
              <w:top w:val="single" w:sz="4" w:space="0" w:color="646464"/>
              <w:right w:val="nil"/>
            </w:tcBorders>
            <w:shd w:val="clear" w:color="auto" w:fill="auto"/>
          </w:tcPr>
          <w:p w14:paraId="5A89B2E5" w14:textId="77777777" w:rsidR="00B949E1" w:rsidRPr="00201796" w:rsidRDefault="00B949E1" w:rsidP="00B9362B">
            <w:pPr>
              <w:pStyle w:val="Tabletext"/>
              <w:rPr>
                <w:szCs w:val="20"/>
              </w:rPr>
            </w:pPr>
            <w:r w:rsidRPr="00933DBD">
              <w:t xml:space="preserve">47,961 </w:t>
            </w:r>
          </w:p>
        </w:tc>
        <w:tc>
          <w:tcPr>
            <w:tcW w:w="1276" w:type="dxa"/>
            <w:tcBorders>
              <w:left w:val="nil"/>
            </w:tcBorders>
            <w:shd w:val="clear" w:color="auto" w:fill="auto"/>
          </w:tcPr>
          <w:p w14:paraId="6FA0D8ED" w14:textId="77777777" w:rsidR="00B949E1" w:rsidRPr="00C42355" w:rsidRDefault="00B949E1" w:rsidP="00B9362B">
            <w:pPr>
              <w:pStyle w:val="Tabletext"/>
              <w:rPr>
                <w:color w:val="FF0000"/>
                <w:szCs w:val="20"/>
              </w:rPr>
            </w:pPr>
            <w:r w:rsidRPr="005F2570">
              <w:rPr>
                <w:color w:val="FF0000"/>
              </w:rPr>
              <w:t xml:space="preserve">-13,147 </w:t>
            </w:r>
          </w:p>
        </w:tc>
        <w:tc>
          <w:tcPr>
            <w:tcW w:w="1134" w:type="dxa"/>
            <w:shd w:val="clear" w:color="auto" w:fill="auto"/>
          </w:tcPr>
          <w:p w14:paraId="08AEDEDB" w14:textId="77777777" w:rsidR="00B949E1" w:rsidRPr="00C42355" w:rsidRDefault="00B949E1" w:rsidP="00B9362B">
            <w:pPr>
              <w:pStyle w:val="Tabletext"/>
              <w:rPr>
                <w:szCs w:val="20"/>
              </w:rPr>
            </w:pPr>
            <w:r w:rsidRPr="00DB79B2">
              <w:t xml:space="preserve">34,814 </w:t>
            </w:r>
          </w:p>
        </w:tc>
        <w:tc>
          <w:tcPr>
            <w:tcW w:w="1134" w:type="dxa"/>
            <w:shd w:val="clear" w:color="auto" w:fill="auto"/>
          </w:tcPr>
          <w:p w14:paraId="37A83A9F" w14:textId="77777777" w:rsidR="00B949E1" w:rsidRPr="00201796" w:rsidRDefault="00B949E1" w:rsidP="00B9362B">
            <w:pPr>
              <w:pStyle w:val="Tabletext"/>
              <w:rPr>
                <w:szCs w:val="20"/>
              </w:rPr>
            </w:pPr>
            <w:r w:rsidRPr="00C42355">
              <w:rPr>
                <w:szCs w:val="20"/>
              </w:rPr>
              <w:t>N/A</w:t>
            </w:r>
            <w:r w:rsidRPr="00C42355">
              <w:rPr>
                <w:szCs w:val="20"/>
                <w:vertAlign w:val="superscript"/>
                <w:lang w:eastAsia="en-AU"/>
              </w:rPr>
              <w:t>a</w:t>
            </w:r>
          </w:p>
        </w:tc>
        <w:tc>
          <w:tcPr>
            <w:tcW w:w="3824" w:type="dxa"/>
            <w:shd w:val="clear" w:color="auto" w:fill="auto"/>
          </w:tcPr>
          <w:p w14:paraId="4BDDAF0B" w14:textId="77777777" w:rsidR="00B949E1" w:rsidRPr="00201796" w:rsidRDefault="00B949E1" w:rsidP="00B9362B">
            <w:pPr>
              <w:pStyle w:val="Tabletext"/>
              <w:rPr>
                <w:szCs w:val="20"/>
              </w:rPr>
            </w:pPr>
            <w:r w:rsidRPr="00201796">
              <w:rPr>
                <w:szCs w:val="20"/>
              </w:rPr>
              <w:t xml:space="preserve">The weighted alternative is cheaper than existing EPS products. </w:t>
            </w:r>
          </w:p>
        </w:tc>
      </w:tr>
      <w:tr w:rsidR="00B949E1" w14:paraId="46BFAC40" w14:textId="77777777" w:rsidTr="00B9362B">
        <w:trPr>
          <w:gridBefore w:val="1"/>
          <w:wBefore w:w="454" w:type="dxa"/>
        </w:trPr>
        <w:tc>
          <w:tcPr>
            <w:tcW w:w="9898" w:type="dxa"/>
            <w:gridSpan w:val="6"/>
            <w:tcBorders>
              <w:bottom w:val="single" w:sz="4" w:space="0" w:color="646464"/>
            </w:tcBorders>
            <w:shd w:val="clear" w:color="auto" w:fill="auto"/>
          </w:tcPr>
          <w:p w14:paraId="608144F3" w14:textId="77777777" w:rsidR="00B949E1" w:rsidRDefault="00B949E1" w:rsidP="00B9362B">
            <w:pPr>
              <w:pStyle w:val="Note"/>
              <w:rPr>
                <w:lang w:eastAsia="en-AU"/>
              </w:rPr>
            </w:pPr>
            <w:r w:rsidRPr="00900220">
              <w:rPr>
                <w:vertAlign w:val="superscript"/>
                <w:lang w:eastAsia="en-AU"/>
              </w:rPr>
              <w:t>a</w:t>
            </w:r>
            <w:r>
              <w:rPr>
                <w:vertAlign w:val="superscript"/>
                <w:lang w:eastAsia="en-AU"/>
              </w:rPr>
              <w:t xml:space="preserve"> </w:t>
            </w:r>
            <w:r>
              <w:rPr>
                <w:lang w:eastAsia="en-AU"/>
              </w:rPr>
              <w:t>No BCR can be calculated as there are only benefits, no costs.</w:t>
            </w:r>
          </w:p>
          <w:p w14:paraId="5A3F0CCC" w14:textId="77777777" w:rsidR="00B949E1" w:rsidRDefault="00B949E1" w:rsidP="00B9362B">
            <w:pPr>
              <w:pStyle w:val="Note"/>
              <w:rPr>
                <w:lang w:eastAsia="en-AU"/>
              </w:rPr>
            </w:pPr>
            <w:r>
              <w:rPr>
                <w:lang w:eastAsia="en-AU"/>
              </w:rPr>
              <w:t>Note: NPV7 stands for net present value at a 7% discount rate. Impact by product excludes government costs.</w:t>
            </w:r>
          </w:p>
          <w:p w14:paraId="3FDAC4E0" w14:textId="77777777" w:rsidR="00B949E1" w:rsidRDefault="00B949E1" w:rsidP="00B9362B">
            <w:pPr>
              <w:pStyle w:val="Source"/>
            </w:pPr>
            <w:r>
              <w:rPr>
                <w:lang w:eastAsia="en-AU"/>
              </w:rPr>
              <w:t>Source: ACIL Allen</w:t>
            </w:r>
          </w:p>
        </w:tc>
      </w:tr>
      <w:tr w:rsidR="00B949E1" w14:paraId="2BB92309" w14:textId="77777777" w:rsidTr="00B9362B">
        <w:trPr>
          <w:gridBefore w:val="1"/>
          <w:wBefore w:w="454" w:type="dxa"/>
          <w:trHeight w:hRule="exact" w:val="160"/>
        </w:trPr>
        <w:tc>
          <w:tcPr>
            <w:tcW w:w="9898" w:type="dxa"/>
            <w:gridSpan w:val="6"/>
            <w:tcBorders>
              <w:top w:val="single" w:sz="4" w:space="0" w:color="646464"/>
              <w:bottom w:val="nil"/>
            </w:tcBorders>
            <w:shd w:val="clear" w:color="auto" w:fill="auto"/>
          </w:tcPr>
          <w:p w14:paraId="423FFC26" w14:textId="77777777" w:rsidR="00B949E1" w:rsidRDefault="00B949E1" w:rsidP="00B9362B">
            <w:pPr>
              <w:pStyle w:val="spacer"/>
            </w:pPr>
          </w:p>
        </w:tc>
      </w:tr>
    </w:tbl>
    <w:p w14:paraId="7881D2F4" w14:textId="77777777" w:rsidR="00B949E1" w:rsidRDefault="00B949E1" w:rsidP="00B949E1">
      <w:pPr>
        <w:pStyle w:val="Heading3"/>
      </w:pPr>
      <w:bookmarkStart w:id="118" w:name="_Ref133570685"/>
      <w:bookmarkStart w:id="119" w:name="_Ref131071449"/>
      <w:r>
        <w:t>Sensitivity analysis</w:t>
      </w:r>
      <w:bookmarkEnd w:id="118"/>
    </w:p>
    <w:p w14:paraId="2786CDCF" w14:textId="77777777" w:rsidR="00B949E1" w:rsidRDefault="00B949E1" w:rsidP="00B949E1">
      <w:pPr>
        <w:pStyle w:val="BodyText"/>
      </w:pPr>
      <w:r w:rsidRPr="00D23783">
        <w:t>A</w:t>
      </w:r>
      <w:r>
        <w:t xml:space="preserve"> </w:t>
      </w:r>
      <w:r w:rsidRPr="00D23783">
        <w:t>sensitivity</w:t>
      </w:r>
      <w:r>
        <w:t xml:space="preserve"> </w:t>
      </w:r>
      <w:r w:rsidRPr="00D23783">
        <w:t>analysis</w:t>
      </w:r>
      <w:r>
        <w:t xml:space="preserve"> </w:t>
      </w:r>
      <w:r w:rsidRPr="00D23783">
        <w:t>was</w:t>
      </w:r>
      <w:r>
        <w:t xml:space="preserve"> </w:t>
      </w:r>
      <w:r w:rsidRPr="00D23783">
        <w:t>conducted</w:t>
      </w:r>
      <w:r>
        <w:t xml:space="preserve"> </w:t>
      </w:r>
      <w:r w:rsidRPr="00D23783">
        <w:t>to</w:t>
      </w:r>
      <w:r>
        <w:t xml:space="preserve"> </w:t>
      </w:r>
      <w:r w:rsidRPr="00D23783">
        <w:t>address</w:t>
      </w:r>
      <w:r>
        <w:t xml:space="preserve"> 4 </w:t>
      </w:r>
      <w:r w:rsidRPr="00D23783">
        <w:t>areas</w:t>
      </w:r>
      <w:r>
        <w:t xml:space="preserve"> </w:t>
      </w:r>
      <w:r w:rsidRPr="00D23783">
        <w:t>of</w:t>
      </w:r>
      <w:r>
        <w:t xml:space="preserve"> </w:t>
      </w:r>
      <w:r w:rsidRPr="00D23783">
        <w:t>uncertainty.</w:t>
      </w:r>
      <w:r>
        <w:t xml:space="preserve"> </w:t>
      </w:r>
      <w:r w:rsidRPr="00D23783">
        <w:t>For</w:t>
      </w:r>
      <w:r>
        <w:t xml:space="preserve"> </w:t>
      </w:r>
      <w:r w:rsidRPr="00D23783">
        <w:t>each</w:t>
      </w:r>
      <w:r>
        <w:t xml:space="preserve"> </w:t>
      </w:r>
      <w:r w:rsidRPr="00D23783">
        <w:t>of</w:t>
      </w:r>
      <w:r>
        <w:t xml:space="preserve"> </w:t>
      </w:r>
      <w:r w:rsidRPr="00D23783">
        <w:t>these</w:t>
      </w:r>
      <w:r>
        <w:t xml:space="preserve"> </w:t>
      </w:r>
      <w:r w:rsidRPr="00D23783">
        <w:t>areas,</w:t>
      </w:r>
      <w:r>
        <w:t xml:space="preserve"> </w:t>
      </w:r>
      <w:r w:rsidRPr="00D23783">
        <w:t>the</w:t>
      </w:r>
      <w:r>
        <w:t xml:space="preserve"> </w:t>
      </w:r>
      <w:r w:rsidRPr="00D23783">
        <w:t>analysis</w:t>
      </w:r>
      <w:r>
        <w:t xml:space="preserve"> </w:t>
      </w:r>
      <w:r w:rsidRPr="00D23783">
        <w:t>was</w:t>
      </w:r>
      <w:r>
        <w:t xml:space="preserve"> </w:t>
      </w:r>
      <w:r w:rsidRPr="00D23783">
        <w:t>conducted</w:t>
      </w:r>
      <w:r>
        <w:t xml:space="preserve"> </w:t>
      </w:r>
      <w:r w:rsidRPr="00D23783">
        <w:t>as</w:t>
      </w:r>
      <w:r>
        <w:t xml:space="preserve"> </w:t>
      </w:r>
      <w:r w:rsidRPr="00D23783">
        <w:t>follows:</w:t>
      </w:r>
    </w:p>
    <w:p w14:paraId="799238B7" w14:textId="77777777" w:rsidR="00B949E1" w:rsidRPr="00BF4669" w:rsidRDefault="00B949E1" w:rsidP="00B949E1">
      <w:pPr>
        <w:pStyle w:val="ListBullet"/>
        <w:numPr>
          <w:ilvl w:val="0"/>
          <w:numId w:val="9"/>
        </w:numPr>
      </w:pPr>
      <w:r w:rsidRPr="00D259D1">
        <w:t>discount</w:t>
      </w:r>
      <w:r>
        <w:t xml:space="preserve"> </w:t>
      </w:r>
      <w:r w:rsidRPr="00D259D1">
        <w:t>rate</w:t>
      </w:r>
      <w:r>
        <w:t xml:space="preserve"> </w:t>
      </w:r>
      <w:r w:rsidRPr="00D259D1">
        <w:t>— a</w:t>
      </w:r>
      <w:r>
        <w:t xml:space="preserve"> </w:t>
      </w:r>
      <w:r w:rsidRPr="00D259D1">
        <w:t>low</w:t>
      </w:r>
      <w:r>
        <w:t xml:space="preserve"> </w:t>
      </w:r>
      <w:r w:rsidRPr="00D259D1">
        <w:t>discount</w:t>
      </w:r>
      <w:r>
        <w:t xml:space="preserve"> </w:t>
      </w:r>
      <w:r w:rsidRPr="00D259D1">
        <w:t>rate</w:t>
      </w:r>
      <w:r>
        <w:t xml:space="preserve"> </w:t>
      </w:r>
      <w:r w:rsidRPr="00D259D1">
        <w:t>of</w:t>
      </w:r>
      <w:r>
        <w:t xml:space="preserve"> </w:t>
      </w:r>
      <w:r w:rsidRPr="00D259D1">
        <w:t>3</w:t>
      </w:r>
      <w:r>
        <w:t xml:space="preserve">% </w:t>
      </w:r>
      <w:r w:rsidRPr="00D259D1">
        <w:t>and</w:t>
      </w:r>
      <w:r>
        <w:t xml:space="preserve"> </w:t>
      </w:r>
      <w:r w:rsidRPr="00D259D1">
        <w:t>a</w:t>
      </w:r>
      <w:r>
        <w:t xml:space="preserve"> </w:t>
      </w:r>
      <w:r w:rsidRPr="00D259D1">
        <w:t>high</w:t>
      </w:r>
      <w:r>
        <w:t xml:space="preserve"> </w:t>
      </w:r>
      <w:r w:rsidRPr="00D259D1">
        <w:t>discount</w:t>
      </w:r>
      <w:r>
        <w:t xml:space="preserve"> </w:t>
      </w:r>
      <w:r w:rsidRPr="00D259D1">
        <w:t>rate</w:t>
      </w:r>
      <w:r>
        <w:t xml:space="preserve"> </w:t>
      </w:r>
      <w:r w:rsidRPr="00D259D1">
        <w:t>of</w:t>
      </w:r>
      <w:r>
        <w:t xml:space="preserve"> </w:t>
      </w:r>
      <w:r w:rsidRPr="00D259D1">
        <w:t>10</w:t>
      </w:r>
      <w:r>
        <w:t xml:space="preserve">% </w:t>
      </w:r>
    </w:p>
    <w:p w14:paraId="7996BF5C" w14:textId="77777777" w:rsidR="00B949E1" w:rsidRDefault="00B949E1" w:rsidP="00B949E1">
      <w:pPr>
        <w:pStyle w:val="ListBullet"/>
        <w:numPr>
          <w:ilvl w:val="0"/>
          <w:numId w:val="9"/>
        </w:numPr>
      </w:pPr>
      <w:r w:rsidRPr="006B6A7E">
        <w:t>WTP</w:t>
      </w:r>
      <w:r>
        <w:t xml:space="preserve"> for </w:t>
      </w:r>
      <w:r w:rsidRPr="006B6A7E">
        <w:t>avoided</w:t>
      </w:r>
      <w:r>
        <w:t xml:space="preserve"> </w:t>
      </w:r>
      <w:r w:rsidRPr="006B6A7E">
        <w:t>litter</w:t>
      </w:r>
      <w:r>
        <w:t xml:space="preserve"> — a low and high estimate of WTP were </w:t>
      </w:r>
      <w:proofErr w:type="gramStart"/>
      <w:r>
        <w:t>tested</w:t>
      </w:r>
      <w:proofErr w:type="gramEnd"/>
    </w:p>
    <w:p w14:paraId="2738286E" w14:textId="77777777" w:rsidR="00B949E1" w:rsidRDefault="00B949E1" w:rsidP="00B949E1">
      <w:pPr>
        <w:pStyle w:val="ListBullet"/>
        <w:numPr>
          <w:ilvl w:val="0"/>
          <w:numId w:val="9"/>
        </w:numPr>
      </w:pPr>
      <w:r w:rsidRPr="006B6A7E">
        <w:t>WTP</w:t>
      </w:r>
      <w:r>
        <w:t xml:space="preserve"> for substituted </w:t>
      </w:r>
      <w:r w:rsidRPr="006B6A7E">
        <w:t>litter</w:t>
      </w:r>
      <w:r>
        <w:t xml:space="preserve"> — a low and high estimate of WTP were </w:t>
      </w:r>
      <w:proofErr w:type="gramStart"/>
      <w:r>
        <w:t>tested</w:t>
      </w:r>
      <w:proofErr w:type="gramEnd"/>
    </w:p>
    <w:p w14:paraId="3073CF1E" w14:textId="77777777" w:rsidR="00B949E1" w:rsidRPr="00BF4669" w:rsidRDefault="00B949E1" w:rsidP="00B949E1">
      <w:pPr>
        <w:pStyle w:val="ListBullet"/>
        <w:numPr>
          <w:ilvl w:val="0"/>
          <w:numId w:val="9"/>
        </w:numPr>
      </w:pPr>
      <w:r>
        <w:t xml:space="preserve">landfill operating </w:t>
      </w:r>
      <w:r w:rsidRPr="00BF4669">
        <w:t>costs</w:t>
      </w:r>
      <w:r>
        <w:t xml:space="preserve"> </w:t>
      </w:r>
      <w:r w:rsidRPr="00BF4669">
        <w:t>— an</w:t>
      </w:r>
      <w:r>
        <w:t xml:space="preserve"> </w:t>
      </w:r>
      <w:r w:rsidRPr="00BF4669">
        <w:t>increase</w:t>
      </w:r>
      <w:r>
        <w:t xml:space="preserve"> </w:t>
      </w:r>
      <w:r w:rsidRPr="00BF4669">
        <w:t>in</w:t>
      </w:r>
      <w:r>
        <w:t xml:space="preserve"> landfill operating </w:t>
      </w:r>
      <w:r w:rsidRPr="00BF4669">
        <w:t>costs</w:t>
      </w:r>
      <w:r>
        <w:t xml:space="preserve"> </w:t>
      </w:r>
      <w:r w:rsidRPr="00BF4669">
        <w:t>of</w:t>
      </w:r>
      <w:r>
        <w:t xml:space="preserve"> </w:t>
      </w:r>
      <w:r w:rsidRPr="00BF4669">
        <w:t>50</w:t>
      </w:r>
      <w:r>
        <w:t xml:space="preserve">% </w:t>
      </w:r>
      <w:r w:rsidRPr="00BF4669">
        <w:t>and</w:t>
      </w:r>
      <w:r>
        <w:t xml:space="preserve"> </w:t>
      </w:r>
      <w:r w:rsidRPr="00BF4669">
        <w:t>a</w:t>
      </w:r>
      <w:r>
        <w:t xml:space="preserve"> </w:t>
      </w:r>
      <w:r w:rsidRPr="00BF4669">
        <w:t>decrease</w:t>
      </w:r>
      <w:r>
        <w:t xml:space="preserve"> </w:t>
      </w:r>
      <w:r w:rsidRPr="00BF4669">
        <w:t>in</w:t>
      </w:r>
      <w:r>
        <w:t xml:space="preserve"> landfill operating </w:t>
      </w:r>
      <w:r w:rsidRPr="00BF4669">
        <w:t>costs</w:t>
      </w:r>
      <w:r>
        <w:t xml:space="preserve"> </w:t>
      </w:r>
      <w:r w:rsidRPr="00BF4669">
        <w:t>of</w:t>
      </w:r>
      <w:r>
        <w:t xml:space="preserve"> </w:t>
      </w:r>
      <w:r w:rsidRPr="00BF4669">
        <w:t>50</w:t>
      </w:r>
      <w:r>
        <w:t xml:space="preserve">% </w:t>
      </w:r>
      <w:r w:rsidRPr="00BF4669">
        <w:t>were</w:t>
      </w:r>
      <w:r>
        <w:t xml:space="preserve"> </w:t>
      </w:r>
      <w:r w:rsidRPr="00BF4669">
        <w:t>tested</w:t>
      </w:r>
      <w:r>
        <w:t xml:space="preserve">. </w:t>
      </w:r>
    </w:p>
    <w:p w14:paraId="65DD6C7E" w14:textId="77777777" w:rsidR="00B949E1" w:rsidRDefault="00B949E1" w:rsidP="00B949E1">
      <w:pPr>
        <w:pStyle w:val="ListBullet"/>
        <w:numPr>
          <w:ilvl w:val="0"/>
          <w:numId w:val="9"/>
        </w:numPr>
      </w:pPr>
      <w:r>
        <w:t xml:space="preserve">response to regulation — for certain items, the central analysis assumed that a proportion of SUP items were removed from the market </w:t>
      </w:r>
      <w:r w:rsidRPr="006B6A7E">
        <w:t>(i.e.,</w:t>
      </w:r>
      <w:r>
        <w:t xml:space="preserve"> </w:t>
      </w:r>
      <w:r w:rsidRPr="006B6A7E">
        <w:t>not</w:t>
      </w:r>
      <w:r>
        <w:t xml:space="preserve"> </w:t>
      </w:r>
      <w:r w:rsidRPr="006B6A7E">
        <w:t>replaced</w:t>
      </w:r>
      <w:r>
        <w:t xml:space="preserve"> </w:t>
      </w:r>
      <w:r w:rsidRPr="006B6A7E">
        <w:t>by</w:t>
      </w:r>
      <w:r>
        <w:t xml:space="preserve"> </w:t>
      </w:r>
      <w:r w:rsidRPr="006B6A7E">
        <w:t>any</w:t>
      </w:r>
      <w:r>
        <w:t xml:space="preserve"> </w:t>
      </w:r>
      <w:r w:rsidRPr="006B6A7E">
        <w:t>alternative)</w:t>
      </w:r>
      <w:r>
        <w:t xml:space="preserve"> and that a proportion were substituted by reusable items </w:t>
      </w:r>
      <w:r w:rsidRPr="006B6A7E">
        <w:t>(which</w:t>
      </w:r>
      <w:r>
        <w:t xml:space="preserve"> </w:t>
      </w:r>
      <w:r w:rsidRPr="006B6A7E">
        <w:t>are</w:t>
      </w:r>
      <w:r>
        <w:t xml:space="preserve"> </w:t>
      </w:r>
      <w:r w:rsidRPr="006B6A7E">
        <w:t>cheaper</w:t>
      </w:r>
      <w:r>
        <w:t xml:space="preserve"> o</w:t>
      </w:r>
      <w:r w:rsidRPr="006B6A7E">
        <w:t>n</w:t>
      </w:r>
      <w:r>
        <w:t xml:space="preserve"> </w:t>
      </w:r>
      <w:r w:rsidRPr="006B6A7E">
        <w:t>a</w:t>
      </w:r>
      <w:r>
        <w:t xml:space="preserve"> </w:t>
      </w:r>
      <w:r w:rsidRPr="006B6A7E">
        <w:t>per</w:t>
      </w:r>
      <w:r>
        <w:t xml:space="preserve"> </w:t>
      </w:r>
      <w:r w:rsidRPr="006B6A7E">
        <w:t>use</w:t>
      </w:r>
      <w:r>
        <w:t xml:space="preserve"> </w:t>
      </w:r>
      <w:r w:rsidRPr="006B6A7E">
        <w:t>basis).</w:t>
      </w:r>
      <w:r>
        <w:t xml:space="preserve"> To test the impact of these assumptions, we tested three scenarios:</w:t>
      </w:r>
    </w:p>
    <w:p w14:paraId="7A97F942" w14:textId="77777777" w:rsidR="00B949E1" w:rsidRDefault="00B949E1" w:rsidP="00B949E1">
      <w:pPr>
        <w:pStyle w:val="ListBullet2"/>
      </w:pPr>
      <w:r>
        <w:t xml:space="preserve">a scenario where no items are removed from the market and these items are substituted by </w:t>
      </w:r>
      <w:proofErr w:type="gramStart"/>
      <w:r>
        <w:t>single-use</w:t>
      </w:r>
      <w:proofErr w:type="gramEnd"/>
      <w:r>
        <w:t xml:space="preserve"> alternatives</w:t>
      </w:r>
    </w:p>
    <w:p w14:paraId="334250DD" w14:textId="77777777" w:rsidR="00B949E1" w:rsidRDefault="00B949E1" w:rsidP="00B949E1">
      <w:pPr>
        <w:pStyle w:val="ListBullet2"/>
      </w:pPr>
      <w:r>
        <w:t xml:space="preserve">a scenario where re-usable alternatives substitute no </w:t>
      </w:r>
      <w:proofErr w:type="gramStart"/>
      <w:r>
        <w:t>item</w:t>
      </w:r>
      <w:r w:rsidRPr="000541FB">
        <w:t>s</w:t>
      </w:r>
      <w:proofErr w:type="gramEnd"/>
      <w:r w:rsidRPr="000541FB">
        <w:t xml:space="preserve"> </w:t>
      </w:r>
      <w:r>
        <w:t>and these items are substituted by single-use alternatives</w:t>
      </w:r>
    </w:p>
    <w:p w14:paraId="1224F9BE" w14:textId="77777777" w:rsidR="00B949E1" w:rsidRDefault="00B949E1" w:rsidP="00B949E1">
      <w:pPr>
        <w:pStyle w:val="ListBullet2"/>
      </w:pPr>
      <w:r>
        <w:lastRenderedPageBreak/>
        <w:t>a scenario where no items are removed from the market, and no items are substituted by re-usable alternatives (i.e., all SUPs are substituted by single-use alternatives).</w:t>
      </w:r>
    </w:p>
    <w:p w14:paraId="2F8D9E21" w14:textId="77777777" w:rsidR="00B949E1" w:rsidRDefault="00B949E1" w:rsidP="00B949E1">
      <w:pPr>
        <w:pStyle w:val="BodyText"/>
      </w:pPr>
      <w:r>
        <w:t xml:space="preserve">These results are presented in </w:t>
      </w:r>
      <w:r w:rsidRPr="00276F20">
        <w:rPr>
          <w:b/>
          <w:bCs/>
        </w:rPr>
        <w:fldChar w:fldCharType="begin"/>
      </w:r>
      <w:r w:rsidRPr="00276F20">
        <w:rPr>
          <w:b/>
          <w:bCs/>
        </w:rPr>
        <w:instrText xml:space="preserve"> REF _Ref130826582 \h  \* MERGEFORMAT </w:instrText>
      </w:r>
      <w:r w:rsidRPr="00276F20">
        <w:rPr>
          <w:b/>
          <w:bCs/>
        </w:rPr>
      </w:r>
      <w:r w:rsidRPr="00276F20">
        <w:rPr>
          <w:b/>
          <w:bCs/>
        </w:rPr>
        <w:fldChar w:fldCharType="separate"/>
      </w:r>
      <w:r w:rsidRPr="00790266">
        <w:rPr>
          <w:rStyle w:val="CaptionLabel"/>
          <w:b w:val="0"/>
          <w:bCs/>
        </w:rPr>
        <w:t>Table 7.4</w:t>
      </w:r>
      <w:r w:rsidRPr="00276F20">
        <w:rPr>
          <w:b/>
          <w:bCs/>
        </w:rPr>
        <w:fldChar w:fldCharType="end"/>
      </w:r>
      <w:r w:rsidRPr="00276F20">
        <w:t>.</w:t>
      </w:r>
      <w:r>
        <w:t xml:space="preserve"> It shows that under all tested assumptions, the NPV is below zero. Additionally, it shows that:</w:t>
      </w:r>
    </w:p>
    <w:p w14:paraId="66F822FD" w14:textId="77777777" w:rsidR="00B949E1" w:rsidRDefault="00B949E1" w:rsidP="00B949E1">
      <w:pPr>
        <w:pStyle w:val="ListBullet"/>
        <w:numPr>
          <w:ilvl w:val="0"/>
          <w:numId w:val="9"/>
        </w:numPr>
      </w:pPr>
      <w:r>
        <w:t xml:space="preserve">a lower discount rate increases the cost in net present </w:t>
      </w:r>
      <w:proofErr w:type="gramStart"/>
      <w:r>
        <w:t>terms</w:t>
      </w:r>
      <w:proofErr w:type="gramEnd"/>
      <w:r>
        <w:t xml:space="preserve"> </w:t>
      </w:r>
    </w:p>
    <w:p w14:paraId="58633D4B" w14:textId="77777777" w:rsidR="00B949E1" w:rsidRDefault="00B949E1" w:rsidP="00B949E1">
      <w:pPr>
        <w:pStyle w:val="ListBullet"/>
        <w:numPr>
          <w:ilvl w:val="0"/>
          <w:numId w:val="9"/>
        </w:numPr>
      </w:pPr>
      <w:r>
        <w:t>a lower willingness to pay to avoid or substitute litter increases the</w:t>
      </w:r>
      <w:r w:rsidRPr="008533FD">
        <w:t xml:space="preserve"> </w:t>
      </w:r>
      <w:r>
        <w:t xml:space="preserve">cost in net present </w:t>
      </w:r>
      <w:proofErr w:type="gramStart"/>
      <w:r>
        <w:t>terms</w:t>
      </w:r>
      <w:proofErr w:type="gramEnd"/>
    </w:p>
    <w:p w14:paraId="723349F9" w14:textId="77777777" w:rsidR="00B949E1" w:rsidRDefault="00B949E1" w:rsidP="00B949E1">
      <w:pPr>
        <w:pStyle w:val="ListBullet"/>
        <w:numPr>
          <w:ilvl w:val="0"/>
          <w:numId w:val="9"/>
        </w:numPr>
      </w:pPr>
      <w:r>
        <w:t xml:space="preserve">a change in landfill costs of +/- 50% had little impact on the </w:t>
      </w:r>
      <w:proofErr w:type="gramStart"/>
      <w:r>
        <w:t>NPV</w:t>
      </w:r>
      <w:proofErr w:type="gramEnd"/>
    </w:p>
    <w:p w14:paraId="34A9CC98" w14:textId="77777777" w:rsidR="00B949E1" w:rsidRDefault="00B949E1" w:rsidP="00B949E1">
      <w:pPr>
        <w:pStyle w:val="ListBullet"/>
        <w:numPr>
          <w:ilvl w:val="0"/>
          <w:numId w:val="9"/>
        </w:numPr>
      </w:pPr>
      <w:r>
        <w:t>where fewer reusables are used, or fewer items are removed from the market, the cost in net present terms is higher.</w:t>
      </w:r>
    </w:p>
    <w:p w14:paraId="711AB5DD" w14:textId="77777777" w:rsidR="00B949E1" w:rsidRDefault="00B949E1" w:rsidP="00B949E1">
      <w:pPr>
        <w:pStyle w:val="BodyText"/>
      </w:pPr>
      <w:r w:rsidRPr="00340B1E">
        <w:t xml:space="preserve">Removed items contribute significantly to the NPV because, in the economic modelling, an item removed from the market only counts the saved costs to businesses, consumers and the environment and not the lost consumer or producer surplus resulting from the ban of a product. Reusable items contribute positively to the NPV because of their low cost per use. </w:t>
      </w:r>
    </w:p>
    <w:p w14:paraId="28BFC68A" w14:textId="77777777" w:rsidR="00B949E1" w:rsidRDefault="00B949E1" w:rsidP="00B949E1">
      <w:pPr>
        <w:pStyle w:val="Caption"/>
      </w:pPr>
      <w:bookmarkStart w:id="120" w:name="_Ref130826582"/>
      <w:bookmarkStart w:id="121" w:name="_Toc134002449"/>
      <w:r w:rsidRPr="008D7358">
        <w:rPr>
          <w:rStyle w:val="CaptionLabel"/>
        </w:rPr>
        <w:t>Table </w:t>
      </w:r>
      <w:r w:rsidRPr="008D7358">
        <w:rPr>
          <w:rStyle w:val="CaptionLabel"/>
        </w:rPr>
        <w:fldChar w:fldCharType="begin"/>
      </w:r>
      <w:r w:rsidRPr="008D7358">
        <w:rPr>
          <w:rStyle w:val="CaptionLabel"/>
        </w:rPr>
        <w:instrText xml:space="preserve"> STYLEREF 1 \S \* MERGEFORMAT </w:instrText>
      </w:r>
      <w:r w:rsidRPr="008D7358">
        <w:rPr>
          <w:rStyle w:val="CaptionLabel"/>
        </w:rPr>
        <w:fldChar w:fldCharType="separate"/>
      </w:r>
      <w:r>
        <w:rPr>
          <w:rStyle w:val="CaptionLabel"/>
          <w:noProof/>
        </w:rPr>
        <w:t>7</w:t>
      </w:r>
      <w:r w:rsidRPr="008D7358">
        <w:rPr>
          <w:rStyle w:val="CaptionLabel"/>
        </w:rPr>
        <w:fldChar w:fldCharType="end"/>
      </w:r>
      <w:r w:rsidRPr="008D7358">
        <w:rPr>
          <w:rStyle w:val="CaptionLabel"/>
        </w:rPr>
        <w:t>.</w:t>
      </w:r>
      <w:r w:rsidRPr="008D7358">
        <w:rPr>
          <w:rStyle w:val="CaptionLabel"/>
        </w:rPr>
        <w:fldChar w:fldCharType="begin"/>
      </w:r>
      <w:r w:rsidRPr="008D7358">
        <w:rPr>
          <w:rStyle w:val="CaptionLabel"/>
        </w:rPr>
        <w:instrText xml:space="preserve"> SEQ Table \* ARABIC \S 1 \* MERGEFORMAT </w:instrText>
      </w:r>
      <w:r w:rsidRPr="008D7358">
        <w:rPr>
          <w:rStyle w:val="CaptionLabel"/>
        </w:rPr>
        <w:fldChar w:fldCharType="separate"/>
      </w:r>
      <w:r>
        <w:rPr>
          <w:rStyle w:val="CaptionLabel"/>
          <w:noProof/>
        </w:rPr>
        <w:t>4</w:t>
      </w:r>
      <w:r w:rsidRPr="008D7358">
        <w:rPr>
          <w:rStyle w:val="CaptionLabel"/>
        </w:rPr>
        <w:fldChar w:fldCharType="end"/>
      </w:r>
      <w:bookmarkEnd w:id="120"/>
      <w:r>
        <w:tab/>
      </w:r>
      <w:r w:rsidRPr="0030365A">
        <w:t xml:space="preserve">Sensitivity analysis — </w:t>
      </w:r>
      <w:r>
        <w:t xml:space="preserve">the </w:t>
      </w:r>
      <w:r w:rsidRPr="0030365A">
        <w:t>impact of sensitivity tests on the NPV under each policy option ($M 2022)</w:t>
      </w:r>
      <w:bookmarkEnd w:id="121"/>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5245"/>
        <w:gridCol w:w="2691"/>
      </w:tblGrid>
      <w:tr w:rsidR="00B949E1" w14:paraId="2AD5C14E" w14:textId="77777777" w:rsidTr="00B9362B">
        <w:trPr>
          <w:tblHeader/>
        </w:trPr>
        <w:tc>
          <w:tcPr>
            <w:tcW w:w="5699" w:type="dxa"/>
            <w:gridSpan w:val="2"/>
            <w:tcBorders>
              <w:top w:val="nil"/>
              <w:bottom w:val="nil"/>
            </w:tcBorders>
            <w:shd w:val="clear" w:color="auto" w:fill="140034"/>
            <w:tcMar>
              <w:left w:w="454" w:type="dxa"/>
            </w:tcMar>
          </w:tcPr>
          <w:p w14:paraId="60305B4C" w14:textId="77777777" w:rsidR="00B949E1" w:rsidRDefault="00B949E1" w:rsidP="00B9362B">
            <w:pPr>
              <w:pStyle w:val="Tablecolumnheadings"/>
            </w:pPr>
          </w:p>
        </w:tc>
        <w:tc>
          <w:tcPr>
            <w:tcW w:w="2691" w:type="dxa"/>
            <w:tcBorders>
              <w:top w:val="nil"/>
              <w:bottom w:val="nil"/>
              <w:right w:val="single" w:sz="6" w:space="0" w:color="140034"/>
            </w:tcBorders>
            <w:shd w:val="clear" w:color="auto" w:fill="140034"/>
          </w:tcPr>
          <w:p w14:paraId="3A2B512B" w14:textId="77777777" w:rsidR="00B949E1" w:rsidRDefault="00B949E1" w:rsidP="00B9362B">
            <w:pPr>
              <w:pStyle w:val="Tablecolumnheadings"/>
            </w:pPr>
            <w:r>
              <w:t>NPV under scenarios</w:t>
            </w:r>
          </w:p>
        </w:tc>
      </w:tr>
      <w:tr w:rsidR="00B949E1" w14:paraId="3AE4FDD5" w14:textId="77777777" w:rsidTr="003E2764">
        <w:trPr>
          <w:gridBefore w:val="1"/>
          <w:wBefore w:w="454" w:type="dxa"/>
        </w:trPr>
        <w:tc>
          <w:tcPr>
            <w:tcW w:w="5245" w:type="dxa"/>
            <w:tcBorders>
              <w:top w:val="nil"/>
            </w:tcBorders>
            <w:shd w:val="clear" w:color="auto" w:fill="C4ABDC"/>
          </w:tcPr>
          <w:p w14:paraId="65658947" w14:textId="77777777" w:rsidR="00B949E1" w:rsidRDefault="00B949E1" w:rsidP="00B9362B">
            <w:pPr>
              <w:pStyle w:val="Tabletext"/>
            </w:pPr>
            <w:r w:rsidRPr="00904E17">
              <w:rPr>
                <w:b/>
                <w:bCs/>
                <w:lang w:eastAsia="en-AU"/>
              </w:rPr>
              <w:t>NPV</w:t>
            </w:r>
            <w:r>
              <w:rPr>
                <w:b/>
                <w:bCs/>
                <w:lang w:eastAsia="en-AU"/>
              </w:rPr>
              <w:t xml:space="preserve"> </w:t>
            </w:r>
            <w:r w:rsidRPr="00904E17">
              <w:rPr>
                <w:b/>
                <w:bCs/>
                <w:lang w:eastAsia="en-AU"/>
              </w:rPr>
              <w:t>under</w:t>
            </w:r>
            <w:r>
              <w:rPr>
                <w:b/>
                <w:bCs/>
                <w:lang w:eastAsia="en-AU"/>
              </w:rPr>
              <w:t xml:space="preserve"> </w:t>
            </w:r>
            <w:r w:rsidRPr="00904E17">
              <w:rPr>
                <w:b/>
                <w:bCs/>
                <w:lang w:eastAsia="en-AU"/>
              </w:rPr>
              <w:t>standard</w:t>
            </w:r>
            <w:r>
              <w:rPr>
                <w:b/>
                <w:bCs/>
                <w:lang w:eastAsia="en-AU"/>
              </w:rPr>
              <w:t xml:space="preserve"> </w:t>
            </w:r>
            <w:r w:rsidRPr="00904E17">
              <w:rPr>
                <w:b/>
                <w:bCs/>
                <w:lang w:eastAsia="en-AU"/>
              </w:rPr>
              <w:t>assumptions</w:t>
            </w:r>
            <w:r>
              <w:rPr>
                <w:b/>
                <w:bCs/>
                <w:lang w:eastAsia="en-AU"/>
              </w:rPr>
              <w:t xml:space="preserve"> </w:t>
            </w:r>
          </w:p>
        </w:tc>
        <w:tc>
          <w:tcPr>
            <w:tcW w:w="2691" w:type="dxa"/>
            <w:tcBorders>
              <w:top w:val="nil"/>
            </w:tcBorders>
            <w:shd w:val="clear" w:color="auto" w:fill="C4ABDC"/>
          </w:tcPr>
          <w:p w14:paraId="03504EA0" w14:textId="77777777" w:rsidR="00B949E1" w:rsidRPr="00086CA1" w:rsidRDefault="00B949E1" w:rsidP="00B9362B">
            <w:pPr>
              <w:pStyle w:val="Tabletext"/>
              <w:rPr>
                <w:color w:val="FF0000"/>
              </w:rPr>
            </w:pPr>
            <w:r w:rsidRPr="005F2570">
              <w:rPr>
                <w:color w:val="FF0000"/>
              </w:rPr>
              <w:t xml:space="preserve">-12.30 </w:t>
            </w:r>
          </w:p>
        </w:tc>
      </w:tr>
      <w:tr w:rsidR="00B949E1" w14:paraId="1CE2F65F" w14:textId="77777777" w:rsidTr="00B9362B">
        <w:trPr>
          <w:gridBefore w:val="1"/>
          <w:wBefore w:w="454" w:type="dxa"/>
        </w:trPr>
        <w:tc>
          <w:tcPr>
            <w:tcW w:w="5245" w:type="dxa"/>
            <w:shd w:val="clear" w:color="auto" w:fill="D9D9D9" w:themeFill="background1" w:themeFillShade="D9"/>
          </w:tcPr>
          <w:p w14:paraId="7DEAA693" w14:textId="77777777" w:rsidR="00B949E1" w:rsidRDefault="00B949E1" w:rsidP="00B9362B">
            <w:pPr>
              <w:pStyle w:val="Tabletext"/>
            </w:pPr>
            <w:r w:rsidRPr="00904E17">
              <w:rPr>
                <w:b/>
                <w:bCs/>
                <w:lang w:eastAsia="en-AU"/>
              </w:rPr>
              <w:t>Discount</w:t>
            </w:r>
            <w:r>
              <w:rPr>
                <w:b/>
                <w:bCs/>
                <w:lang w:eastAsia="en-AU"/>
              </w:rPr>
              <w:t xml:space="preserve"> </w:t>
            </w:r>
            <w:r w:rsidRPr="00904E17">
              <w:rPr>
                <w:b/>
                <w:bCs/>
                <w:lang w:eastAsia="en-AU"/>
              </w:rPr>
              <w:t>rate</w:t>
            </w:r>
            <w:r>
              <w:rPr>
                <w:b/>
                <w:bCs/>
                <w:lang w:eastAsia="en-AU"/>
              </w:rPr>
              <w:t xml:space="preserve"> (base assumption 7%)</w:t>
            </w:r>
          </w:p>
        </w:tc>
        <w:tc>
          <w:tcPr>
            <w:tcW w:w="2691" w:type="dxa"/>
            <w:shd w:val="clear" w:color="auto" w:fill="D9D9D9" w:themeFill="background1" w:themeFillShade="D9"/>
          </w:tcPr>
          <w:p w14:paraId="2E055036" w14:textId="77777777" w:rsidR="00B949E1" w:rsidRPr="00086CA1" w:rsidRDefault="00B949E1" w:rsidP="00B9362B">
            <w:pPr>
              <w:pStyle w:val="Tabletext"/>
              <w:rPr>
                <w:color w:val="FF0000"/>
              </w:rPr>
            </w:pPr>
          </w:p>
        </w:tc>
      </w:tr>
      <w:tr w:rsidR="00B949E1" w14:paraId="07104CE1" w14:textId="77777777" w:rsidTr="00B9362B">
        <w:trPr>
          <w:gridBefore w:val="1"/>
          <w:wBefore w:w="454" w:type="dxa"/>
        </w:trPr>
        <w:tc>
          <w:tcPr>
            <w:tcW w:w="5245" w:type="dxa"/>
            <w:shd w:val="clear" w:color="auto" w:fill="auto"/>
          </w:tcPr>
          <w:p w14:paraId="4A124A51" w14:textId="77777777" w:rsidR="00B949E1" w:rsidRDefault="00B949E1" w:rsidP="00B9362B">
            <w:pPr>
              <w:pStyle w:val="Tabletext"/>
            </w:pPr>
            <w:r>
              <w:rPr>
                <w:lang w:eastAsia="en-AU"/>
              </w:rPr>
              <w:t>Low estimate (</w:t>
            </w:r>
            <w:r w:rsidRPr="00904E17">
              <w:rPr>
                <w:lang w:eastAsia="en-AU"/>
              </w:rPr>
              <w:t>3%</w:t>
            </w:r>
            <w:r>
              <w:rPr>
                <w:lang w:eastAsia="en-AU"/>
              </w:rPr>
              <w:t>)</w:t>
            </w:r>
          </w:p>
        </w:tc>
        <w:tc>
          <w:tcPr>
            <w:tcW w:w="2691" w:type="dxa"/>
            <w:shd w:val="clear" w:color="auto" w:fill="auto"/>
          </w:tcPr>
          <w:p w14:paraId="3AB9DAEB" w14:textId="77777777" w:rsidR="00B949E1" w:rsidRPr="00086CA1" w:rsidRDefault="00B949E1" w:rsidP="00B9362B">
            <w:pPr>
              <w:pStyle w:val="Tabletext"/>
              <w:rPr>
                <w:color w:val="FF0000"/>
              </w:rPr>
            </w:pPr>
            <w:r w:rsidRPr="005F2570">
              <w:rPr>
                <w:color w:val="FF0000"/>
              </w:rPr>
              <w:t xml:space="preserve">-16.82 </w:t>
            </w:r>
          </w:p>
        </w:tc>
      </w:tr>
      <w:tr w:rsidR="00B949E1" w14:paraId="44F725D0" w14:textId="77777777" w:rsidTr="00B9362B">
        <w:trPr>
          <w:gridBefore w:val="1"/>
          <w:wBefore w:w="454" w:type="dxa"/>
        </w:trPr>
        <w:tc>
          <w:tcPr>
            <w:tcW w:w="5245" w:type="dxa"/>
            <w:shd w:val="clear" w:color="auto" w:fill="auto"/>
          </w:tcPr>
          <w:p w14:paraId="17620F9C" w14:textId="77777777" w:rsidR="00B949E1" w:rsidRDefault="00B949E1" w:rsidP="00B9362B">
            <w:pPr>
              <w:pStyle w:val="Tabletext"/>
            </w:pPr>
            <w:r>
              <w:rPr>
                <w:lang w:eastAsia="en-AU"/>
              </w:rPr>
              <w:t>High estimate (</w:t>
            </w:r>
            <w:r w:rsidRPr="00904E17">
              <w:rPr>
                <w:lang w:eastAsia="en-AU"/>
              </w:rPr>
              <w:t>10%</w:t>
            </w:r>
            <w:r>
              <w:rPr>
                <w:lang w:eastAsia="en-AU"/>
              </w:rPr>
              <w:t>)</w:t>
            </w:r>
          </w:p>
        </w:tc>
        <w:tc>
          <w:tcPr>
            <w:tcW w:w="2691" w:type="dxa"/>
            <w:shd w:val="clear" w:color="auto" w:fill="auto"/>
          </w:tcPr>
          <w:p w14:paraId="27FD8C2B" w14:textId="77777777" w:rsidR="00B949E1" w:rsidRPr="00086CA1" w:rsidRDefault="00B949E1" w:rsidP="00B9362B">
            <w:pPr>
              <w:pStyle w:val="Tabletext"/>
              <w:rPr>
                <w:color w:val="FF0000"/>
              </w:rPr>
            </w:pPr>
            <w:r w:rsidRPr="005F2570">
              <w:rPr>
                <w:color w:val="FF0000"/>
              </w:rPr>
              <w:t xml:space="preserve">-10.10 </w:t>
            </w:r>
          </w:p>
        </w:tc>
      </w:tr>
      <w:tr w:rsidR="00B949E1" w14:paraId="0B884C73" w14:textId="77777777" w:rsidTr="00B9362B">
        <w:trPr>
          <w:gridBefore w:val="1"/>
          <w:wBefore w:w="454" w:type="dxa"/>
        </w:trPr>
        <w:tc>
          <w:tcPr>
            <w:tcW w:w="5245" w:type="dxa"/>
            <w:shd w:val="clear" w:color="auto" w:fill="D9D9D9" w:themeFill="background1" w:themeFillShade="D9"/>
          </w:tcPr>
          <w:p w14:paraId="58726E62" w14:textId="77777777" w:rsidR="00B949E1" w:rsidRDefault="00B949E1" w:rsidP="00B9362B">
            <w:pPr>
              <w:pStyle w:val="Tabletext"/>
            </w:pPr>
            <w:r w:rsidRPr="00904E17">
              <w:rPr>
                <w:b/>
                <w:bCs/>
                <w:lang w:eastAsia="en-AU"/>
              </w:rPr>
              <w:t>WTP</w:t>
            </w:r>
            <w:r>
              <w:rPr>
                <w:b/>
                <w:bCs/>
                <w:lang w:eastAsia="en-AU"/>
              </w:rPr>
              <w:t xml:space="preserve"> for </w:t>
            </w:r>
            <w:r w:rsidRPr="00904E17">
              <w:rPr>
                <w:b/>
                <w:bCs/>
                <w:lang w:eastAsia="en-AU"/>
              </w:rPr>
              <w:t>avoided</w:t>
            </w:r>
            <w:r>
              <w:rPr>
                <w:b/>
                <w:bCs/>
                <w:lang w:eastAsia="en-AU"/>
              </w:rPr>
              <w:t xml:space="preserve"> </w:t>
            </w:r>
            <w:r w:rsidRPr="00904E17">
              <w:rPr>
                <w:b/>
                <w:bCs/>
                <w:lang w:eastAsia="en-AU"/>
              </w:rPr>
              <w:t>litter</w:t>
            </w:r>
            <w:r>
              <w:rPr>
                <w:b/>
                <w:bCs/>
                <w:lang w:eastAsia="en-AU"/>
              </w:rPr>
              <w:t xml:space="preserve"> </w:t>
            </w:r>
          </w:p>
        </w:tc>
        <w:tc>
          <w:tcPr>
            <w:tcW w:w="2691" w:type="dxa"/>
            <w:shd w:val="clear" w:color="auto" w:fill="D9D9D9" w:themeFill="background1" w:themeFillShade="D9"/>
          </w:tcPr>
          <w:p w14:paraId="39018CEE" w14:textId="77777777" w:rsidR="00B949E1" w:rsidRPr="00086CA1" w:rsidRDefault="00B949E1" w:rsidP="00B9362B">
            <w:pPr>
              <w:pStyle w:val="Tabletext"/>
              <w:rPr>
                <w:color w:val="FF0000"/>
              </w:rPr>
            </w:pPr>
          </w:p>
        </w:tc>
      </w:tr>
      <w:tr w:rsidR="00B949E1" w14:paraId="2C8B3F5F" w14:textId="77777777" w:rsidTr="00B9362B">
        <w:trPr>
          <w:gridBefore w:val="1"/>
          <w:wBefore w:w="454" w:type="dxa"/>
        </w:trPr>
        <w:tc>
          <w:tcPr>
            <w:tcW w:w="5245" w:type="dxa"/>
            <w:shd w:val="clear" w:color="auto" w:fill="auto"/>
          </w:tcPr>
          <w:p w14:paraId="06E97DEB" w14:textId="77777777" w:rsidR="00B949E1" w:rsidRDefault="00B949E1" w:rsidP="00B9362B">
            <w:pPr>
              <w:pStyle w:val="Tabletext"/>
            </w:pPr>
            <w:r w:rsidRPr="00904E17">
              <w:rPr>
                <w:lang w:eastAsia="en-AU"/>
              </w:rPr>
              <w:t>Low</w:t>
            </w:r>
            <w:r>
              <w:rPr>
                <w:lang w:eastAsia="en-AU"/>
              </w:rPr>
              <w:t xml:space="preserve"> </w:t>
            </w:r>
            <w:r w:rsidRPr="00904E17">
              <w:rPr>
                <w:lang w:eastAsia="en-AU"/>
              </w:rPr>
              <w:t>estimate</w:t>
            </w:r>
          </w:p>
        </w:tc>
        <w:tc>
          <w:tcPr>
            <w:tcW w:w="2691" w:type="dxa"/>
            <w:shd w:val="clear" w:color="auto" w:fill="auto"/>
          </w:tcPr>
          <w:p w14:paraId="4690654E" w14:textId="77777777" w:rsidR="00B949E1" w:rsidRPr="00086CA1" w:rsidRDefault="00B949E1" w:rsidP="00B9362B">
            <w:pPr>
              <w:pStyle w:val="Tabletext"/>
              <w:rPr>
                <w:color w:val="FF0000"/>
              </w:rPr>
            </w:pPr>
            <w:r w:rsidRPr="005F2570">
              <w:rPr>
                <w:color w:val="FF0000"/>
              </w:rPr>
              <w:t xml:space="preserve">-13.15 </w:t>
            </w:r>
          </w:p>
        </w:tc>
      </w:tr>
      <w:tr w:rsidR="00B949E1" w14:paraId="15E916E9" w14:textId="77777777" w:rsidTr="00B9362B">
        <w:trPr>
          <w:gridBefore w:val="1"/>
          <w:wBefore w:w="454" w:type="dxa"/>
        </w:trPr>
        <w:tc>
          <w:tcPr>
            <w:tcW w:w="5245" w:type="dxa"/>
            <w:shd w:val="clear" w:color="auto" w:fill="auto"/>
          </w:tcPr>
          <w:p w14:paraId="750AF7C6" w14:textId="77777777" w:rsidR="00B949E1" w:rsidRDefault="00B949E1" w:rsidP="00B9362B">
            <w:pPr>
              <w:pStyle w:val="Tabletext"/>
            </w:pPr>
            <w:r w:rsidRPr="00904E17">
              <w:rPr>
                <w:lang w:eastAsia="en-AU"/>
              </w:rPr>
              <w:t>High</w:t>
            </w:r>
            <w:r>
              <w:rPr>
                <w:lang w:eastAsia="en-AU"/>
              </w:rPr>
              <w:t xml:space="preserve"> </w:t>
            </w:r>
            <w:r w:rsidRPr="00904E17">
              <w:rPr>
                <w:lang w:eastAsia="en-AU"/>
              </w:rPr>
              <w:t>estimate</w:t>
            </w:r>
          </w:p>
        </w:tc>
        <w:tc>
          <w:tcPr>
            <w:tcW w:w="2691" w:type="dxa"/>
            <w:shd w:val="clear" w:color="auto" w:fill="auto"/>
          </w:tcPr>
          <w:p w14:paraId="40D06615" w14:textId="77777777" w:rsidR="00B949E1" w:rsidRPr="00086CA1" w:rsidRDefault="00B949E1" w:rsidP="00B9362B">
            <w:pPr>
              <w:pStyle w:val="Tabletext"/>
              <w:rPr>
                <w:color w:val="FF0000"/>
              </w:rPr>
            </w:pPr>
            <w:r w:rsidRPr="005F2570">
              <w:rPr>
                <w:color w:val="FF0000"/>
              </w:rPr>
              <w:t xml:space="preserve">-5.19 </w:t>
            </w:r>
          </w:p>
        </w:tc>
      </w:tr>
      <w:tr w:rsidR="00B949E1" w14:paraId="2FB7B87E" w14:textId="77777777" w:rsidTr="00B9362B">
        <w:trPr>
          <w:gridBefore w:val="1"/>
          <w:wBefore w:w="454" w:type="dxa"/>
        </w:trPr>
        <w:tc>
          <w:tcPr>
            <w:tcW w:w="5245" w:type="dxa"/>
            <w:shd w:val="clear" w:color="auto" w:fill="D9D9D9" w:themeFill="background1" w:themeFillShade="D9"/>
          </w:tcPr>
          <w:p w14:paraId="2A20B5F9" w14:textId="77777777" w:rsidR="00B949E1" w:rsidRPr="00904E17" w:rsidRDefault="00B949E1" w:rsidP="00B9362B">
            <w:pPr>
              <w:pStyle w:val="Tabletext"/>
              <w:rPr>
                <w:lang w:eastAsia="en-AU"/>
              </w:rPr>
            </w:pPr>
            <w:r w:rsidRPr="00904E17">
              <w:rPr>
                <w:b/>
                <w:bCs/>
                <w:lang w:eastAsia="en-AU"/>
              </w:rPr>
              <w:t>WTP</w:t>
            </w:r>
            <w:r>
              <w:rPr>
                <w:b/>
                <w:bCs/>
                <w:lang w:eastAsia="en-AU"/>
              </w:rPr>
              <w:t xml:space="preserve"> for </w:t>
            </w:r>
            <w:r w:rsidRPr="00904E17">
              <w:rPr>
                <w:b/>
                <w:bCs/>
                <w:lang w:eastAsia="en-AU"/>
              </w:rPr>
              <w:t>substituted</w:t>
            </w:r>
            <w:r>
              <w:rPr>
                <w:b/>
                <w:bCs/>
                <w:lang w:eastAsia="en-AU"/>
              </w:rPr>
              <w:t xml:space="preserve"> </w:t>
            </w:r>
            <w:r w:rsidRPr="00904E17">
              <w:rPr>
                <w:b/>
                <w:bCs/>
                <w:lang w:eastAsia="en-AU"/>
              </w:rPr>
              <w:t>litter</w:t>
            </w:r>
            <w:r>
              <w:rPr>
                <w:b/>
                <w:bCs/>
                <w:lang w:eastAsia="en-AU"/>
              </w:rPr>
              <w:t xml:space="preserve"> </w:t>
            </w:r>
          </w:p>
        </w:tc>
        <w:tc>
          <w:tcPr>
            <w:tcW w:w="2691" w:type="dxa"/>
            <w:shd w:val="clear" w:color="auto" w:fill="D9D9D9" w:themeFill="background1" w:themeFillShade="D9"/>
          </w:tcPr>
          <w:p w14:paraId="43F1D651" w14:textId="77777777" w:rsidR="00B949E1" w:rsidRPr="00086CA1" w:rsidRDefault="00B949E1" w:rsidP="00B9362B">
            <w:pPr>
              <w:pStyle w:val="Tabletext"/>
              <w:rPr>
                <w:color w:val="FF0000"/>
              </w:rPr>
            </w:pPr>
          </w:p>
        </w:tc>
      </w:tr>
      <w:tr w:rsidR="00B949E1" w14:paraId="5E156C6D" w14:textId="77777777" w:rsidTr="00B9362B">
        <w:trPr>
          <w:gridBefore w:val="1"/>
          <w:wBefore w:w="454" w:type="dxa"/>
        </w:trPr>
        <w:tc>
          <w:tcPr>
            <w:tcW w:w="5245" w:type="dxa"/>
            <w:shd w:val="clear" w:color="auto" w:fill="auto"/>
          </w:tcPr>
          <w:p w14:paraId="362D9629" w14:textId="77777777" w:rsidR="00B949E1" w:rsidRPr="00904E17" w:rsidRDefault="00B949E1" w:rsidP="00B9362B">
            <w:pPr>
              <w:pStyle w:val="Tabletext"/>
              <w:rPr>
                <w:lang w:eastAsia="en-AU"/>
              </w:rPr>
            </w:pPr>
            <w:r w:rsidRPr="00904E17">
              <w:rPr>
                <w:lang w:eastAsia="en-AU"/>
              </w:rPr>
              <w:t>Low</w:t>
            </w:r>
            <w:r>
              <w:rPr>
                <w:lang w:eastAsia="en-AU"/>
              </w:rPr>
              <w:t xml:space="preserve"> </w:t>
            </w:r>
            <w:r w:rsidRPr="00904E17">
              <w:rPr>
                <w:lang w:eastAsia="en-AU"/>
              </w:rPr>
              <w:t>estimate</w:t>
            </w:r>
          </w:p>
        </w:tc>
        <w:tc>
          <w:tcPr>
            <w:tcW w:w="2691" w:type="dxa"/>
            <w:shd w:val="clear" w:color="auto" w:fill="auto"/>
          </w:tcPr>
          <w:p w14:paraId="0DE67B50" w14:textId="77777777" w:rsidR="00B949E1" w:rsidRPr="00086CA1" w:rsidRDefault="00B949E1" w:rsidP="00B9362B">
            <w:pPr>
              <w:pStyle w:val="Tabletext"/>
              <w:rPr>
                <w:color w:val="FF0000"/>
              </w:rPr>
            </w:pPr>
            <w:r w:rsidRPr="005F2570">
              <w:rPr>
                <w:color w:val="FF0000"/>
              </w:rPr>
              <w:t xml:space="preserve">-13.15 </w:t>
            </w:r>
          </w:p>
        </w:tc>
      </w:tr>
      <w:tr w:rsidR="00B949E1" w14:paraId="4D3FCC3F" w14:textId="77777777" w:rsidTr="00B9362B">
        <w:trPr>
          <w:gridBefore w:val="1"/>
          <w:wBefore w:w="454" w:type="dxa"/>
        </w:trPr>
        <w:tc>
          <w:tcPr>
            <w:tcW w:w="5245" w:type="dxa"/>
            <w:shd w:val="clear" w:color="auto" w:fill="auto"/>
          </w:tcPr>
          <w:p w14:paraId="76ED6C8F" w14:textId="77777777" w:rsidR="00B949E1" w:rsidRPr="00904E17" w:rsidRDefault="00B949E1" w:rsidP="00B9362B">
            <w:pPr>
              <w:pStyle w:val="Tabletext"/>
              <w:rPr>
                <w:lang w:eastAsia="en-AU"/>
              </w:rPr>
            </w:pPr>
            <w:r w:rsidRPr="00904E17">
              <w:rPr>
                <w:lang w:eastAsia="en-AU"/>
              </w:rPr>
              <w:t>High</w:t>
            </w:r>
            <w:r>
              <w:rPr>
                <w:lang w:eastAsia="en-AU"/>
              </w:rPr>
              <w:t xml:space="preserve"> </w:t>
            </w:r>
            <w:r w:rsidRPr="00904E17">
              <w:rPr>
                <w:lang w:eastAsia="en-AU"/>
              </w:rPr>
              <w:t>estimate</w:t>
            </w:r>
          </w:p>
        </w:tc>
        <w:tc>
          <w:tcPr>
            <w:tcW w:w="2691" w:type="dxa"/>
            <w:shd w:val="clear" w:color="auto" w:fill="auto"/>
          </w:tcPr>
          <w:p w14:paraId="0D6A976C" w14:textId="77777777" w:rsidR="00B949E1" w:rsidRPr="00086CA1" w:rsidRDefault="00B949E1" w:rsidP="00B9362B">
            <w:pPr>
              <w:pStyle w:val="Tabletext"/>
              <w:rPr>
                <w:color w:val="FF0000"/>
              </w:rPr>
            </w:pPr>
            <w:r w:rsidRPr="005F2570">
              <w:rPr>
                <w:color w:val="FF0000"/>
              </w:rPr>
              <w:t xml:space="preserve">-5.25 </w:t>
            </w:r>
          </w:p>
        </w:tc>
      </w:tr>
      <w:tr w:rsidR="00B949E1" w14:paraId="0978E77F" w14:textId="77777777" w:rsidTr="00B9362B">
        <w:trPr>
          <w:gridBefore w:val="1"/>
          <w:wBefore w:w="454" w:type="dxa"/>
        </w:trPr>
        <w:tc>
          <w:tcPr>
            <w:tcW w:w="5245" w:type="dxa"/>
            <w:shd w:val="clear" w:color="auto" w:fill="D9D9D9" w:themeFill="background1" w:themeFillShade="D9"/>
          </w:tcPr>
          <w:p w14:paraId="238B67B4" w14:textId="77777777" w:rsidR="00B949E1" w:rsidRPr="00904E17" w:rsidRDefault="00B949E1" w:rsidP="00B9362B">
            <w:pPr>
              <w:pStyle w:val="Tabletext"/>
              <w:rPr>
                <w:lang w:eastAsia="en-AU"/>
              </w:rPr>
            </w:pPr>
            <w:r w:rsidRPr="00904E17">
              <w:rPr>
                <w:b/>
                <w:bCs/>
                <w:lang w:eastAsia="en-AU"/>
              </w:rPr>
              <w:t>Landfill</w:t>
            </w:r>
            <w:r>
              <w:rPr>
                <w:b/>
                <w:bCs/>
                <w:lang w:eastAsia="en-AU"/>
              </w:rPr>
              <w:t xml:space="preserve"> </w:t>
            </w:r>
            <w:r w:rsidRPr="00904E17">
              <w:rPr>
                <w:b/>
                <w:bCs/>
                <w:lang w:eastAsia="en-AU"/>
              </w:rPr>
              <w:t>operating</w:t>
            </w:r>
            <w:r>
              <w:rPr>
                <w:b/>
                <w:bCs/>
                <w:lang w:eastAsia="en-AU"/>
              </w:rPr>
              <w:t xml:space="preserve"> </w:t>
            </w:r>
            <w:r w:rsidRPr="00904E17">
              <w:rPr>
                <w:b/>
                <w:bCs/>
                <w:lang w:eastAsia="en-AU"/>
              </w:rPr>
              <w:t>costs</w:t>
            </w:r>
            <w:r>
              <w:rPr>
                <w:b/>
                <w:bCs/>
                <w:lang w:eastAsia="en-AU"/>
              </w:rPr>
              <w:t xml:space="preserve"> </w:t>
            </w:r>
          </w:p>
        </w:tc>
        <w:tc>
          <w:tcPr>
            <w:tcW w:w="2691" w:type="dxa"/>
            <w:shd w:val="clear" w:color="auto" w:fill="D9D9D9" w:themeFill="background1" w:themeFillShade="D9"/>
          </w:tcPr>
          <w:p w14:paraId="36161D90" w14:textId="77777777" w:rsidR="00B949E1" w:rsidRPr="00086CA1" w:rsidRDefault="00B949E1" w:rsidP="00B9362B">
            <w:pPr>
              <w:pStyle w:val="Tabletext"/>
              <w:rPr>
                <w:color w:val="FF0000"/>
              </w:rPr>
            </w:pPr>
          </w:p>
        </w:tc>
      </w:tr>
      <w:tr w:rsidR="00B949E1" w14:paraId="5E780CFB" w14:textId="77777777" w:rsidTr="00B9362B">
        <w:trPr>
          <w:gridBefore w:val="1"/>
          <w:wBefore w:w="454" w:type="dxa"/>
        </w:trPr>
        <w:tc>
          <w:tcPr>
            <w:tcW w:w="5245" w:type="dxa"/>
            <w:shd w:val="clear" w:color="auto" w:fill="auto"/>
          </w:tcPr>
          <w:p w14:paraId="7E559FDE" w14:textId="77777777" w:rsidR="00B949E1" w:rsidRPr="00904E17" w:rsidRDefault="00B949E1" w:rsidP="00B9362B">
            <w:pPr>
              <w:pStyle w:val="Tabletext"/>
              <w:rPr>
                <w:lang w:eastAsia="en-AU"/>
              </w:rPr>
            </w:pPr>
            <w:r w:rsidRPr="00904E17">
              <w:rPr>
                <w:lang w:eastAsia="en-AU"/>
              </w:rPr>
              <w:t>Increase</w:t>
            </w:r>
            <w:r>
              <w:rPr>
                <w:lang w:eastAsia="en-AU"/>
              </w:rPr>
              <w:t xml:space="preserve"> </w:t>
            </w:r>
            <w:r w:rsidRPr="00904E17">
              <w:rPr>
                <w:lang w:eastAsia="en-AU"/>
              </w:rPr>
              <w:t>costs</w:t>
            </w:r>
            <w:r>
              <w:rPr>
                <w:lang w:eastAsia="en-AU"/>
              </w:rPr>
              <w:t xml:space="preserve"> </w:t>
            </w:r>
            <w:r w:rsidRPr="00904E17">
              <w:rPr>
                <w:lang w:eastAsia="en-AU"/>
              </w:rPr>
              <w:t>by</w:t>
            </w:r>
            <w:r>
              <w:rPr>
                <w:lang w:eastAsia="en-AU"/>
              </w:rPr>
              <w:t xml:space="preserve"> </w:t>
            </w:r>
            <w:r w:rsidRPr="00904E17">
              <w:rPr>
                <w:lang w:eastAsia="en-AU"/>
              </w:rPr>
              <w:t>50%</w:t>
            </w:r>
          </w:p>
        </w:tc>
        <w:tc>
          <w:tcPr>
            <w:tcW w:w="2691" w:type="dxa"/>
            <w:shd w:val="clear" w:color="auto" w:fill="auto"/>
          </w:tcPr>
          <w:p w14:paraId="35E2F259" w14:textId="77777777" w:rsidR="00B949E1" w:rsidRPr="00086CA1" w:rsidRDefault="00B949E1" w:rsidP="00B9362B">
            <w:pPr>
              <w:pStyle w:val="Tabletext"/>
              <w:rPr>
                <w:color w:val="FF0000"/>
              </w:rPr>
            </w:pPr>
            <w:r w:rsidRPr="005F2570">
              <w:rPr>
                <w:color w:val="FF0000"/>
              </w:rPr>
              <w:t xml:space="preserve">-12.00 </w:t>
            </w:r>
          </w:p>
        </w:tc>
      </w:tr>
      <w:tr w:rsidR="00B949E1" w14:paraId="60C4FAC5" w14:textId="77777777" w:rsidTr="00B9362B">
        <w:trPr>
          <w:gridBefore w:val="1"/>
          <w:wBefore w:w="454" w:type="dxa"/>
        </w:trPr>
        <w:tc>
          <w:tcPr>
            <w:tcW w:w="5245" w:type="dxa"/>
            <w:shd w:val="clear" w:color="auto" w:fill="auto"/>
          </w:tcPr>
          <w:p w14:paraId="3E96F26B" w14:textId="77777777" w:rsidR="00B949E1" w:rsidRPr="00904E17" w:rsidRDefault="00B949E1" w:rsidP="00B9362B">
            <w:pPr>
              <w:pStyle w:val="Tabletext"/>
              <w:rPr>
                <w:lang w:eastAsia="en-AU"/>
              </w:rPr>
            </w:pPr>
            <w:r w:rsidRPr="00904E17">
              <w:rPr>
                <w:lang w:eastAsia="en-AU"/>
              </w:rPr>
              <w:t>Decrease</w:t>
            </w:r>
            <w:r>
              <w:rPr>
                <w:lang w:eastAsia="en-AU"/>
              </w:rPr>
              <w:t xml:space="preserve"> </w:t>
            </w:r>
            <w:r w:rsidRPr="00904E17">
              <w:rPr>
                <w:lang w:eastAsia="en-AU"/>
              </w:rPr>
              <w:t>costs</w:t>
            </w:r>
            <w:r>
              <w:rPr>
                <w:lang w:eastAsia="en-AU"/>
              </w:rPr>
              <w:t xml:space="preserve"> </w:t>
            </w:r>
            <w:r w:rsidRPr="00904E17">
              <w:rPr>
                <w:lang w:eastAsia="en-AU"/>
              </w:rPr>
              <w:t>by</w:t>
            </w:r>
            <w:r>
              <w:rPr>
                <w:lang w:eastAsia="en-AU"/>
              </w:rPr>
              <w:t xml:space="preserve"> </w:t>
            </w:r>
            <w:r w:rsidRPr="00904E17">
              <w:rPr>
                <w:lang w:eastAsia="en-AU"/>
              </w:rPr>
              <w:t>50%</w:t>
            </w:r>
          </w:p>
        </w:tc>
        <w:tc>
          <w:tcPr>
            <w:tcW w:w="2691" w:type="dxa"/>
            <w:shd w:val="clear" w:color="auto" w:fill="auto"/>
          </w:tcPr>
          <w:p w14:paraId="3FDEC8AA" w14:textId="77777777" w:rsidR="00B949E1" w:rsidRPr="00086CA1" w:rsidRDefault="00B949E1" w:rsidP="00B9362B">
            <w:pPr>
              <w:pStyle w:val="Tabletext"/>
              <w:rPr>
                <w:color w:val="FF0000"/>
              </w:rPr>
            </w:pPr>
            <w:r w:rsidRPr="005F2570">
              <w:rPr>
                <w:color w:val="FF0000"/>
              </w:rPr>
              <w:t xml:space="preserve">-12.61 </w:t>
            </w:r>
          </w:p>
        </w:tc>
      </w:tr>
      <w:tr w:rsidR="00B949E1" w14:paraId="05693B83" w14:textId="77777777" w:rsidTr="00B9362B">
        <w:trPr>
          <w:gridBefore w:val="1"/>
          <w:wBefore w:w="454" w:type="dxa"/>
        </w:trPr>
        <w:tc>
          <w:tcPr>
            <w:tcW w:w="5245" w:type="dxa"/>
            <w:shd w:val="clear" w:color="auto" w:fill="D9D9D9" w:themeFill="background1" w:themeFillShade="D9"/>
          </w:tcPr>
          <w:p w14:paraId="7FD54FAC" w14:textId="77777777" w:rsidR="00B949E1" w:rsidRPr="00904E17" w:rsidRDefault="00B949E1" w:rsidP="00B9362B">
            <w:pPr>
              <w:pStyle w:val="Tabletext"/>
              <w:rPr>
                <w:lang w:eastAsia="en-AU"/>
              </w:rPr>
            </w:pPr>
            <w:r w:rsidRPr="00904E17">
              <w:rPr>
                <w:b/>
                <w:bCs/>
                <w:lang w:eastAsia="en-AU"/>
              </w:rPr>
              <w:t>Response</w:t>
            </w:r>
            <w:r>
              <w:rPr>
                <w:b/>
                <w:bCs/>
                <w:lang w:eastAsia="en-AU"/>
              </w:rPr>
              <w:t xml:space="preserve"> </w:t>
            </w:r>
            <w:r w:rsidRPr="00904E17">
              <w:rPr>
                <w:b/>
                <w:bCs/>
                <w:lang w:eastAsia="en-AU"/>
              </w:rPr>
              <w:t>to</w:t>
            </w:r>
            <w:r>
              <w:rPr>
                <w:b/>
                <w:bCs/>
                <w:lang w:eastAsia="en-AU"/>
              </w:rPr>
              <w:t xml:space="preserve"> </w:t>
            </w:r>
            <w:r w:rsidRPr="00904E17">
              <w:rPr>
                <w:b/>
                <w:bCs/>
                <w:lang w:eastAsia="en-AU"/>
              </w:rPr>
              <w:t>regulation</w:t>
            </w:r>
          </w:p>
        </w:tc>
        <w:tc>
          <w:tcPr>
            <w:tcW w:w="2691" w:type="dxa"/>
            <w:shd w:val="clear" w:color="auto" w:fill="D9D9D9" w:themeFill="background1" w:themeFillShade="D9"/>
          </w:tcPr>
          <w:p w14:paraId="355E8035" w14:textId="77777777" w:rsidR="00B949E1" w:rsidRPr="00086CA1" w:rsidRDefault="00B949E1" w:rsidP="00B9362B">
            <w:pPr>
              <w:pStyle w:val="Tabletext"/>
              <w:rPr>
                <w:color w:val="FF0000"/>
              </w:rPr>
            </w:pPr>
          </w:p>
        </w:tc>
      </w:tr>
      <w:tr w:rsidR="00B949E1" w14:paraId="0AAD48E6" w14:textId="77777777" w:rsidTr="00B9362B">
        <w:trPr>
          <w:gridBefore w:val="1"/>
          <w:wBefore w:w="454" w:type="dxa"/>
        </w:trPr>
        <w:tc>
          <w:tcPr>
            <w:tcW w:w="5245" w:type="dxa"/>
            <w:shd w:val="clear" w:color="auto" w:fill="auto"/>
          </w:tcPr>
          <w:p w14:paraId="311CC44B" w14:textId="77777777" w:rsidR="00B949E1" w:rsidRPr="00904E17" w:rsidRDefault="00B949E1" w:rsidP="00B9362B">
            <w:pPr>
              <w:pStyle w:val="Tabletext"/>
              <w:rPr>
                <w:lang w:eastAsia="en-AU"/>
              </w:rPr>
            </w:pPr>
            <w:r w:rsidRPr="00904E17">
              <w:rPr>
                <w:lang w:eastAsia="en-AU"/>
              </w:rPr>
              <w:t>No</w:t>
            </w:r>
            <w:r>
              <w:rPr>
                <w:lang w:eastAsia="en-AU"/>
              </w:rPr>
              <w:t xml:space="preserve"> SUP </w:t>
            </w:r>
            <w:r w:rsidRPr="00904E17">
              <w:rPr>
                <w:lang w:eastAsia="en-AU"/>
              </w:rPr>
              <w:t>items</w:t>
            </w:r>
            <w:r>
              <w:rPr>
                <w:lang w:eastAsia="en-AU"/>
              </w:rPr>
              <w:t xml:space="preserve"> </w:t>
            </w:r>
            <w:r w:rsidRPr="00904E17">
              <w:rPr>
                <w:lang w:eastAsia="en-AU"/>
              </w:rPr>
              <w:t>removed</w:t>
            </w:r>
            <w:r>
              <w:rPr>
                <w:lang w:eastAsia="en-AU"/>
              </w:rPr>
              <w:t xml:space="preserve"> </w:t>
            </w:r>
            <w:r w:rsidRPr="00904E17">
              <w:rPr>
                <w:lang w:eastAsia="en-AU"/>
              </w:rPr>
              <w:t>from</w:t>
            </w:r>
            <w:r>
              <w:rPr>
                <w:lang w:eastAsia="en-AU"/>
              </w:rPr>
              <w:t xml:space="preserve"> </w:t>
            </w:r>
            <w:r w:rsidRPr="00904E17">
              <w:rPr>
                <w:lang w:eastAsia="en-AU"/>
              </w:rPr>
              <w:t>market</w:t>
            </w:r>
            <w:r>
              <w:rPr>
                <w:lang w:eastAsia="en-AU"/>
              </w:rPr>
              <w:t xml:space="preserve"> </w:t>
            </w:r>
            <w:r w:rsidRPr="00904E17">
              <w:rPr>
                <w:lang w:eastAsia="en-AU"/>
              </w:rPr>
              <w:t>(substituted</w:t>
            </w:r>
            <w:r>
              <w:rPr>
                <w:lang w:eastAsia="en-AU"/>
              </w:rPr>
              <w:t xml:space="preserve"> </w:t>
            </w:r>
            <w:r w:rsidRPr="00904E17">
              <w:rPr>
                <w:lang w:eastAsia="en-AU"/>
              </w:rPr>
              <w:t>by</w:t>
            </w:r>
            <w:r>
              <w:rPr>
                <w:lang w:eastAsia="en-AU"/>
              </w:rPr>
              <w:t xml:space="preserve"> </w:t>
            </w:r>
            <w:r w:rsidRPr="00904E17">
              <w:rPr>
                <w:lang w:eastAsia="en-AU"/>
              </w:rPr>
              <w:t>single-use</w:t>
            </w:r>
            <w:r>
              <w:rPr>
                <w:lang w:eastAsia="en-AU"/>
              </w:rPr>
              <w:t xml:space="preserve"> </w:t>
            </w:r>
            <w:r w:rsidRPr="00904E17">
              <w:rPr>
                <w:lang w:eastAsia="en-AU"/>
              </w:rPr>
              <w:t>alternatives)</w:t>
            </w:r>
          </w:p>
        </w:tc>
        <w:tc>
          <w:tcPr>
            <w:tcW w:w="2691" w:type="dxa"/>
            <w:shd w:val="clear" w:color="auto" w:fill="auto"/>
          </w:tcPr>
          <w:p w14:paraId="37A33176" w14:textId="77777777" w:rsidR="00B949E1" w:rsidRPr="00086CA1" w:rsidRDefault="00B949E1" w:rsidP="00B9362B">
            <w:pPr>
              <w:pStyle w:val="Tabletext"/>
              <w:rPr>
                <w:color w:val="FF0000"/>
              </w:rPr>
            </w:pPr>
            <w:r w:rsidRPr="005F2570">
              <w:rPr>
                <w:color w:val="FF0000"/>
              </w:rPr>
              <w:t xml:space="preserve">-16.95 </w:t>
            </w:r>
          </w:p>
        </w:tc>
      </w:tr>
      <w:tr w:rsidR="00B949E1" w14:paraId="62BABD76" w14:textId="77777777" w:rsidTr="00B9362B">
        <w:trPr>
          <w:gridBefore w:val="1"/>
          <w:wBefore w:w="454" w:type="dxa"/>
        </w:trPr>
        <w:tc>
          <w:tcPr>
            <w:tcW w:w="5245" w:type="dxa"/>
            <w:shd w:val="clear" w:color="auto" w:fill="auto"/>
          </w:tcPr>
          <w:p w14:paraId="34D2488B" w14:textId="77777777" w:rsidR="00B949E1" w:rsidRPr="00904E17" w:rsidRDefault="00B949E1" w:rsidP="00B9362B">
            <w:pPr>
              <w:pStyle w:val="Tabletext"/>
              <w:rPr>
                <w:lang w:eastAsia="en-AU"/>
              </w:rPr>
            </w:pPr>
            <w:r>
              <w:rPr>
                <w:lang w:eastAsia="en-AU"/>
              </w:rPr>
              <w:t xml:space="preserve">No SUP items replaced by re-usable products </w:t>
            </w:r>
            <w:r w:rsidRPr="00904E17">
              <w:rPr>
                <w:lang w:eastAsia="en-AU"/>
              </w:rPr>
              <w:t>(substituted</w:t>
            </w:r>
            <w:r>
              <w:rPr>
                <w:lang w:eastAsia="en-AU"/>
              </w:rPr>
              <w:t xml:space="preserve"> </w:t>
            </w:r>
            <w:r w:rsidRPr="00904E17">
              <w:rPr>
                <w:lang w:eastAsia="en-AU"/>
              </w:rPr>
              <w:t>by</w:t>
            </w:r>
            <w:r>
              <w:rPr>
                <w:lang w:eastAsia="en-AU"/>
              </w:rPr>
              <w:t xml:space="preserve"> </w:t>
            </w:r>
            <w:r w:rsidRPr="00904E17">
              <w:rPr>
                <w:lang w:eastAsia="en-AU"/>
              </w:rPr>
              <w:t>single-use</w:t>
            </w:r>
            <w:r>
              <w:rPr>
                <w:lang w:eastAsia="en-AU"/>
              </w:rPr>
              <w:t xml:space="preserve"> </w:t>
            </w:r>
            <w:r w:rsidRPr="00904E17">
              <w:rPr>
                <w:lang w:eastAsia="en-AU"/>
              </w:rPr>
              <w:t>alternatives)</w:t>
            </w:r>
          </w:p>
        </w:tc>
        <w:tc>
          <w:tcPr>
            <w:tcW w:w="2691" w:type="dxa"/>
            <w:shd w:val="clear" w:color="auto" w:fill="auto"/>
          </w:tcPr>
          <w:p w14:paraId="0235BDB0" w14:textId="77777777" w:rsidR="00B949E1" w:rsidRPr="00086CA1" w:rsidRDefault="00B949E1" w:rsidP="00B9362B">
            <w:pPr>
              <w:pStyle w:val="Tabletext"/>
              <w:rPr>
                <w:color w:val="FF0000"/>
              </w:rPr>
            </w:pPr>
            <w:r w:rsidRPr="005F2570">
              <w:rPr>
                <w:color w:val="FF0000"/>
              </w:rPr>
              <w:t xml:space="preserve">-21.04 </w:t>
            </w:r>
          </w:p>
        </w:tc>
      </w:tr>
      <w:tr w:rsidR="00B949E1" w14:paraId="1C0294CF" w14:textId="77777777" w:rsidTr="00B9362B">
        <w:trPr>
          <w:gridBefore w:val="1"/>
          <w:wBefore w:w="454" w:type="dxa"/>
        </w:trPr>
        <w:tc>
          <w:tcPr>
            <w:tcW w:w="5245" w:type="dxa"/>
            <w:shd w:val="clear" w:color="auto" w:fill="auto"/>
          </w:tcPr>
          <w:p w14:paraId="31033E5F" w14:textId="77777777" w:rsidR="00B949E1" w:rsidRPr="00904E17" w:rsidRDefault="00B949E1" w:rsidP="00B9362B">
            <w:pPr>
              <w:pStyle w:val="Tabletext"/>
              <w:rPr>
                <w:lang w:eastAsia="en-AU"/>
              </w:rPr>
            </w:pPr>
            <w:r w:rsidRPr="00904E17">
              <w:rPr>
                <w:lang w:eastAsia="en-AU"/>
              </w:rPr>
              <w:t>No</w:t>
            </w:r>
            <w:r>
              <w:rPr>
                <w:lang w:eastAsia="en-AU"/>
              </w:rPr>
              <w:t xml:space="preserve"> </w:t>
            </w:r>
            <w:r w:rsidRPr="00904E17">
              <w:rPr>
                <w:lang w:eastAsia="en-AU"/>
              </w:rPr>
              <w:t>items</w:t>
            </w:r>
            <w:r>
              <w:rPr>
                <w:lang w:eastAsia="en-AU"/>
              </w:rPr>
              <w:t xml:space="preserve"> </w:t>
            </w:r>
            <w:r w:rsidRPr="00904E17">
              <w:rPr>
                <w:lang w:eastAsia="en-AU"/>
              </w:rPr>
              <w:t>removed</w:t>
            </w:r>
            <w:r>
              <w:rPr>
                <w:lang w:eastAsia="en-AU"/>
              </w:rPr>
              <w:t xml:space="preserve"> </w:t>
            </w:r>
            <w:r w:rsidRPr="00904E17">
              <w:rPr>
                <w:lang w:eastAsia="en-AU"/>
              </w:rPr>
              <w:t>from</w:t>
            </w:r>
            <w:r>
              <w:rPr>
                <w:lang w:eastAsia="en-AU"/>
              </w:rPr>
              <w:t xml:space="preserve"> </w:t>
            </w:r>
            <w:r w:rsidRPr="00904E17">
              <w:rPr>
                <w:lang w:eastAsia="en-AU"/>
              </w:rPr>
              <w:t>market</w:t>
            </w:r>
            <w:r>
              <w:rPr>
                <w:lang w:eastAsia="en-AU"/>
              </w:rPr>
              <w:t xml:space="preserve"> </w:t>
            </w:r>
            <w:r w:rsidRPr="00904E17">
              <w:rPr>
                <w:lang w:eastAsia="en-AU"/>
              </w:rPr>
              <w:t>+ no</w:t>
            </w:r>
            <w:r>
              <w:rPr>
                <w:lang w:eastAsia="en-AU"/>
              </w:rPr>
              <w:t xml:space="preserve"> </w:t>
            </w:r>
            <w:r w:rsidRPr="00904E17">
              <w:rPr>
                <w:lang w:eastAsia="en-AU"/>
              </w:rPr>
              <w:t>reusables</w:t>
            </w:r>
            <w:r>
              <w:rPr>
                <w:lang w:eastAsia="en-AU"/>
              </w:rPr>
              <w:t xml:space="preserve"> </w:t>
            </w:r>
            <w:r>
              <w:t>(</w:t>
            </w:r>
            <w:r w:rsidRPr="002753D8">
              <w:rPr>
                <w:u w:val="single"/>
              </w:rPr>
              <w:t>all</w:t>
            </w:r>
            <w:r>
              <w:rPr>
                <w:u w:val="single"/>
              </w:rPr>
              <w:t xml:space="preserve"> </w:t>
            </w:r>
            <w:r>
              <w:t>SUPs are substituted by single-use alternatives)</w:t>
            </w:r>
          </w:p>
        </w:tc>
        <w:tc>
          <w:tcPr>
            <w:tcW w:w="2691" w:type="dxa"/>
            <w:shd w:val="clear" w:color="auto" w:fill="auto"/>
          </w:tcPr>
          <w:p w14:paraId="647C9F92" w14:textId="77777777" w:rsidR="00B949E1" w:rsidRPr="00086CA1" w:rsidRDefault="00B949E1" w:rsidP="00B9362B">
            <w:pPr>
              <w:pStyle w:val="Tabletext"/>
              <w:rPr>
                <w:color w:val="FF0000"/>
              </w:rPr>
            </w:pPr>
            <w:r w:rsidRPr="005F2570">
              <w:rPr>
                <w:color w:val="FF0000"/>
              </w:rPr>
              <w:t xml:space="preserve">-25.68 </w:t>
            </w:r>
          </w:p>
        </w:tc>
      </w:tr>
      <w:tr w:rsidR="00B949E1" w14:paraId="4AC21214" w14:textId="77777777" w:rsidTr="00B9362B">
        <w:trPr>
          <w:gridBefore w:val="1"/>
          <w:wBefore w:w="454" w:type="dxa"/>
        </w:trPr>
        <w:tc>
          <w:tcPr>
            <w:tcW w:w="7936" w:type="dxa"/>
            <w:gridSpan w:val="2"/>
            <w:tcBorders>
              <w:bottom w:val="single" w:sz="4" w:space="0" w:color="646464"/>
            </w:tcBorders>
            <w:shd w:val="clear" w:color="auto" w:fill="auto"/>
          </w:tcPr>
          <w:p w14:paraId="2A138AD7" w14:textId="77777777" w:rsidR="00B949E1" w:rsidRDefault="00B949E1" w:rsidP="00B9362B">
            <w:pPr>
              <w:pStyle w:val="Source"/>
            </w:pPr>
            <w:r>
              <w:t>Source: ACIL Allen</w:t>
            </w:r>
          </w:p>
        </w:tc>
      </w:tr>
      <w:tr w:rsidR="00B949E1" w14:paraId="2FE4094E" w14:textId="77777777" w:rsidTr="00B9362B">
        <w:trPr>
          <w:gridBefore w:val="1"/>
          <w:wBefore w:w="454" w:type="dxa"/>
          <w:trHeight w:hRule="exact" w:val="160"/>
        </w:trPr>
        <w:tc>
          <w:tcPr>
            <w:tcW w:w="7936" w:type="dxa"/>
            <w:gridSpan w:val="2"/>
            <w:tcBorders>
              <w:top w:val="single" w:sz="4" w:space="0" w:color="646464"/>
              <w:bottom w:val="nil"/>
            </w:tcBorders>
            <w:shd w:val="clear" w:color="auto" w:fill="auto"/>
          </w:tcPr>
          <w:p w14:paraId="123C570B" w14:textId="77777777" w:rsidR="00B949E1" w:rsidRDefault="00B949E1" w:rsidP="00B9362B">
            <w:pPr>
              <w:pStyle w:val="spacer"/>
            </w:pPr>
          </w:p>
        </w:tc>
      </w:tr>
    </w:tbl>
    <w:p w14:paraId="5A45B3AD" w14:textId="77777777" w:rsidR="00B949E1" w:rsidRDefault="00B949E1" w:rsidP="00B949E1">
      <w:pPr>
        <w:pStyle w:val="BodyText"/>
      </w:pPr>
    </w:p>
    <w:p w14:paraId="3F0AD27C" w14:textId="77777777" w:rsidR="00B949E1" w:rsidRDefault="00B949E1" w:rsidP="00B949E1">
      <w:pPr>
        <w:pStyle w:val="Heading2"/>
      </w:pPr>
      <w:bookmarkStart w:id="122" w:name="_Ref133419889"/>
      <w:bookmarkStart w:id="123" w:name="_Toc136872635"/>
      <w:r>
        <w:lastRenderedPageBreak/>
        <w:t>Non-quantified costs</w:t>
      </w:r>
      <w:bookmarkEnd w:id="119"/>
      <w:bookmarkEnd w:id="122"/>
      <w:bookmarkEnd w:id="123"/>
    </w:p>
    <w:p w14:paraId="1D39A256" w14:textId="77777777" w:rsidR="00B949E1" w:rsidRDefault="00B949E1" w:rsidP="00B949E1">
      <w:pPr>
        <w:pStyle w:val="Heading3"/>
      </w:pPr>
      <w:r>
        <w:t>Industry</w:t>
      </w:r>
    </w:p>
    <w:p w14:paraId="47157510" w14:textId="77777777" w:rsidR="00B949E1" w:rsidRDefault="00B949E1" w:rsidP="00A42F85">
      <w:pPr>
        <w:pStyle w:val="Heading4"/>
        <w:numPr>
          <w:ilvl w:val="0"/>
          <w:numId w:val="0"/>
        </w:numPr>
      </w:pPr>
      <w:r>
        <w:t>Costs to manufacturers, wholesalers and distributors</w:t>
      </w:r>
    </w:p>
    <w:p w14:paraId="1D38CD04" w14:textId="77777777" w:rsidR="00B949E1" w:rsidRDefault="00B949E1" w:rsidP="00B949E1">
      <w:pPr>
        <w:pStyle w:val="BodyText"/>
      </w:pPr>
      <w:r>
        <w:t xml:space="preserve">It is unknown how many plastic wholesalers and distributers exist within the ACT. The desktop research conducted as a part of this RIS identified that many wholesalers sold SUP and alternatives. This suggests these businesses could shift their product offerings with minimal disruption. </w:t>
      </w:r>
    </w:p>
    <w:p w14:paraId="271DE301" w14:textId="77777777" w:rsidR="00B949E1" w:rsidRDefault="00B949E1" w:rsidP="00B949E1">
      <w:pPr>
        <w:pStyle w:val="BodyText"/>
      </w:pPr>
      <w:r>
        <w:t xml:space="preserve">There appear to be few plastics manufacturers in the ACT (see </w:t>
      </w:r>
      <w:r w:rsidRPr="00904655">
        <w:rPr>
          <w:b/>
          <w:bCs/>
        </w:rPr>
        <w:fldChar w:fldCharType="begin"/>
      </w:r>
      <w:r w:rsidRPr="00904655">
        <w:rPr>
          <w:b/>
          <w:bCs/>
        </w:rPr>
        <w:instrText xml:space="preserve"> REF _Ref130808250 \h  \* MERGEFORMAT </w:instrText>
      </w:r>
      <w:r w:rsidRPr="00904655">
        <w:rPr>
          <w:b/>
          <w:bCs/>
        </w:rPr>
      </w:r>
      <w:r w:rsidRPr="00904655">
        <w:rPr>
          <w:b/>
          <w:bCs/>
        </w:rPr>
        <w:fldChar w:fldCharType="separate"/>
      </w:r>
      <w:r w:rsidRPr="00790266">
        <w:rPr>
          <w:rStyle w:val="CaptionLabel"/>
          <w:b w:val="0"/>
          <w:bCs/>
        </w:rPr>
        <w:t>Figure 7.1</w:t>
      </w:r>
      <w:r w:rsidRPr="00904655">
        <w:rPr>
          <w:b/>
          <w:bCs/>
        </w:rPr>
        <w:fldChar w:fldCharType="end"/>
      </w:r>
      <w:r w:rsidRPr="00904655">
        <w:t xml:space="preserve">). </w:t>
      </w:r>
      <w:r>
        <w:t xml:space="preserve">The impact on those who manufacture is unknown but expected to be small. This is because any facility of scale is unlikely to rely on the ACT as a market alone. </w:t>
      </w:r>
      <w:r w:rsidRPr="0011202F">
        <w:t xml:space="preserve">IBISWorld’s industry analysis indicates that the Plastic Pipe and Plastic Packaging Material Manufacturing industry is </w:t>
      </w:r>
      <w:r>
        <w:t>declining in</w:t>
      </w:r>
      <w:r w:rsidRPr="0011202F">
        <w:t xml:space="preserve"> its economic life cycle. IBISWorld’s analysis note</w:t>
      </w:r>
      <w:r>
        <w:t>s</w:t>
      </w:r>
      <w:r w:rsidRPr="0011202F">
        <w:t xml:space="preserve"> that local manufacturers have faced </w:t>
      </w:r>
      <w:r>
        <w:t>hars</w:t>
      </w:r>
      <w:r w:rsidRPr="0011202F">
        <w:t xml:space="preserve">h operating conditions over the past </w:t>
      </w:r>
      <w:r>
        <w:t>5</w:t>
      </w:r>
      <w:r w:rsidRPr="0011202F">
        <w:t xml:space="preserve"> years due to greater import penetration/intense competition from low-cost operators in China.</w:t>
      </w:r>
      <w:r>
        <w:t xml:space="preserve"> As such, most plastic manufacturers in the ACT will likely be headquartered in other jurisdictions or have significant operations in other locations. Those based in the ACT may be able to repurpose facilities for non-banned plastics and continue to export to markets where bans are not in place. There may, however, be costs associated with losing the ACT market. </w:t>
      </w:r>
    </w:p>
    <w:tbl>
      <w:tblPr>
        <w:tblW w:w="0" w:type="auto"/>
        <w:tblLayout w:type="fixed"/>
        <w:tblCellMar>
          <w:left w:w="0" w:type="dxa"/>
          <w:right w:w="0" w:type="dxa"/>
        </w:tblCellMar>
        <w:tblLook w:val="0000" w:firstRow="0" w:lastRow="0" w:firstColumn="0" w:lastColumn="0" w:noHBand="0" w:noVBand="0"/>
      </w:tblPr>
      <w:tblGrid>
        <w:gridCol w:w="3968"/>
        <w:gridCol w:w="3968"/>
      </w:tblGrid>
      <w:tr w:rsidR="00B949E1" w14:paraId="7CA02851" w14:textId="77777777" w:rsidTr="00B9362B">
        <w:tc>
          <w:tcPr>
            <w:tcW w:w="7936" w:type="dxa"/>
            <w:gridSpan w:val="2"/>
            <w:tcBorders>
              <w:bottom w:val="single" w:sz="4" w:space="0" w:color="000100"/>
            </w:tcBorders>
            <w:shd w:val="clear" w:color="auto" w:fill="auto"/>
            <w:tcMar>
              <w:top w:w="160" w:type="dxa"/>
              <w:bottom w:w="8" w:type="dxa"/>
            </w:tcMar>
          </w:tcPr>
          <w:p w14:paraId="409A5AF4" w14:textId="77777777" w:rsidR="00B949E1" w:rsidRDefault="00B949E1" w:rsidP="00B9362B">
            <w:pPr>
              <w:pStyle w:val="Caption"/>
            </w:pPr>
            <w:bookmarkStart w:id="124" w:name="_Ref130808250"/>
            <w:bookmarkStart w:id="125" w:name="_Toc134002436"/>
            <w:r w:rsidRPr="001027CE">
              <w:rPr>
                <w:rStyle w:val="CaptionLabel"/>
              </w:rPr>
              <w:t>Figure </w:t>
            </w:r>
            <w:r w:rsidRPr="001027CE">
              <w:rPr>
                <w:rStyle w:val="CaptionLabel"/>
              </w:rPr>
              <w:fldChar w:fldCharType="begin"/>
            </w:r>
            <w:r w:rsidRPr="001027CE">
              <w:rPr>
                <w:rStyle w:val="CaptionLabel"/>
              </w:rPr>
              <w:instrText xml:space="preserve"> STYLEREF 1 \S \* MERGEFORMAT </w:instrText>
            </w:r>
            <w:r w:rsidRPr="001027CE">
              <w:rPr>
                <w:rStyle w:val="CaptionLabel"/>
              </w:rPr>
              <w:fldChar w:fldCharType="separate"/>
            </w:r>
            <w:r>
              <w:rPr>
                <w:rStyle w:val="CaptionLabel"/>
                <w:noProof/>
              </w:rPr>
              <w:t>7</w:t>
            </w:r>
            <w:r w:rsidRPr="001027CE">
              <w:rPr>
                <w:rStyle w:val="CaptionLabel"/>
              </w:rPr>
              <w:fldChar w:fldCharType="end"/>
            </w:r>
            <w:r w:rsidRPr="001027CE">
              <w:rPr>
                <w:rStyle w:val="CaptionLabel"/>
              </w:rPr>
              <w:t>.</w:t>
            </w:r>
            <w:r w:rsidRPr="001027CE">
              <w:rPr>
                <w:rStyle w:val="CaptionLabel"/>
              </w:rPr>
              <w:fldChar w:fldCharType="begin"/>
            </w:r>
            <w:r w:rsidRPr="001027CE">
              <w:rPr>
                <w:rStyle w:val="CaptionLabel"/>
              </w:rPr>
              <w:instrText xml:space="preserve"> SEQ Figure \* ARABIC \S 1 \* MERGEFORMAT </w:instrText>
            </w:r>
            <w:r w:rsidRPr="001027CE">
              <w:rPr>
                <w:rStyle w:val="CaptionLabel"/>
              </w:rPr>
              <w:fldChar w:fldCharType="separate"/>
            </w:r>
            <w:r>
              <w:rPr>
                <w:rStyle w:val="CaptionLabel"/>
                <w:noProof/>
              </w:rPr>
              <w:t>1</w:t>
            </w:r>
            <w:r w:rsidRPr="001027CE">
              <w:rPr>
                <w:rStyle w:val="CaptionLabel"/>
              </w:rPr>
              <w:fldChar w:fldCharType="end"/>
            </w:r>
            <w:bookmarkEnd w:id="124"/>
            <w:r>
              <w:tab/>
              <w:t>Concentration of Plastic Pipe and Plastic Packaging Material manufacturers and P</w:t>
            </w:r>
            <w:r w:rsidRPr="005A65FF">
              <w:t>lastic</w:t>
            </w:r>
            <w:r>
              <w:t xml:space="preserve"> </w:t>
            </w:r>
            <w:r w:rsidRPr="005A65FF">
              <w:t>Bag</w:t>
            </w:r>
            <w:r>
              <w:t xml:space="preserve"> a</w:t>
            </w:r>
            <w:r w:rsidRPr="005A65FF">
              <w:t>nd</w:t>
            </w:r>
            <w:r>
              <w:t xml:space="preserve"> </w:t>
            </w:r>
            <w:r w:rsidRPr="005A65FF">
              <w:t>Film</w:t>
            </w:r>
            <w:r>
              <w:t xml:space="preserve"> manufacturers </w:t>
            </w:r>
            <w:r w:rsidRPr="001027CE">
              <w:t>in</w:t>
            </w:r>
            <w:r>
              <w:t xml:space="preserve"> </w:t>
            </w:r>
            <w:r w:rsidRPr="001027CE">
              <w:t>Australia</w:t>
            </w:r>
            <w:bookmarkEnd w:id="125"/>
          </w:p>
        </w:tc>
      </w:tr>
      <w:tr w:rsidR="00B949E1" w14:paraId="2208620B" w14:textId="77777777" w:rsidTr="00B9362B">
        <w:tblPrEx>
          <w:tblCellMar>
            <w:left w:w="108" w:type="dxa"/>
            <w:right w:w="108" w:type="dxa"/>
          </w:tblCellMar>
        </w:tblPrEx>
        <w:tc>
          <w:tcPr>
            <w:tcW w:w="3968" w:type="dxa"/>
            <w:tcBorders>
              <w:top w:val="single" w:sz="4" w:space="0" w:color="000100"/>
            </w:tcBorders>
            <w:shd w:val="clear" w:color="auto" w:fill="auto"/>
          </w:tcPr>
          <w:p w14:paraId="273797EC" w14:textId="77777777" w:rsidR="00B949E1" w:rsidRPr="00E7101B" w:rsidRDefault="00B949E1" w:rsidP="00B9362B">
            <w:pPr>
              <w:spacing w:before="0" w:after="0" w:line="240" w:lineRule="auto"/>
              <w:jc w:val="center"/>
              <w:rPr>
                <w:rFonts w:cs="Times New Roman"/>
                <w:b/>
                <w:bCs/>
                <w:color w:val="000000"/>
              </w:rPr>
            </w:pPr>
            <w:r w:rsidRPr="00E7101B">
              <w:rPr>
                <w:b/>
                <w:bCs/>
                <w:color w:val="000000"/>
                <w:sz w:val="20"/>
                <w:szCs w:val="20"/>
              </w:rPr>
              <w:t>Plastic Pipe and Plastic Packaging Material Manufacturing</w:t>
            </w:r>
          </w:p>
        </w:tc>
        <w:tc>
          <w:tcPr>
            <w:tcW w:w="3968" w:type="dxa"/>
            <w:tcBorders>
              <w:top w:val="single" w:sz="4" w:space="0" w:color="000100"/>
            </w:tcBorders>
            <w:shd w:val="clear" w:color="auto" w:fill="auto"/>
          </w:tcPr>
          <w:p w14:paraId="1ACC132D" w14:textId="77777777" w:rsidR="00B949E1" w:rsidRPr="00E7101B" w:rsidRDefault="00B949E1" w:rsidP="00B9362B">
            <w:pPr>
              <w:spacing w:before="0" w:after="0" w:line="240" w:lineRule="auto"/>
              <w:jc w:val="center"/>
              <w:rPr>
                <w:rFonts w:cs="Times New Roman"/>
                <w:b/>
                <w:bCs/>
                <w:color w:val="000000"/>
                <w:sz w:val="20"/>
                <w:szCs w:val="20"/>
              </w:rPr>
            </w:pPr>
            <w:r w:rsidRPr="00E7101B">
              <w:rPr>
                <w:b/>
                <w:bCs/>
                <w:color w:val="000000"/>
                <w:sz w:val="20"/>
                <w:szCs w:val="20"/>
              </w:rPr>
              <w:t>Plastic Bag and Film Manufacturing</w:t>
            </w:r>
          </w:p>
        </w:tc>
      </w:tr>
      <w:tr w:rsidR="00B949E1" w14:paraId="354F58AA" w14:textId="77777777" w:rsidTr="00B9362B">
        <w:tblPrEx>
          <w:tblCellMar>
            <w:left w:w="108" w:type="dxa"/>
            <w:right w:w="108" w:type="dxa"/>
          </w:tblCellMar>
        </w:tblPrEx>
        <w:tc>
          <w:tcPr>
            <w:tcW w:w="3968" w:type="dxa"/>
            <w:tcBorders>
              <w:top w:val="single" w:sz="4" w:space="0" w:color="000100"/>
            </w:tcBorders>
            <w:shd w:val="clear" w:color="auto" w:fill="auto"/>
          </w:tcPr>
          <w:p w14:paraId="36A5F86B" w14:textId="1E160C4E" w:rsidR="00B949E1" w:rsidRDefault="007E1D93" w:rsidP="00B9362B">
            <w:pPr>
              <w:pStyle w:val="Figure"/>
              <w:tabs>
                <w:tab w:val="left" w:pos="2943"/>
              </w:tabs>
              <w:rPr>
                <w:noProof/>
              </w:rPr>
            </w:pPr>
            <w:r>
              <w:rPr>
                <w:noProof/>
              </w:rPr>
              <w:drawing>
                <wp:inline distT="0" distB="0" distL="0" distR="0" wp14:anchorId="4EE2BE63" wp14:editId="6BAEC2B0">
                  <wp:extent cx="2382520" cy="1820849"/>
                  <wp:effectExtent l="0" t="0" r="0" b="8255"/>
                  <wp:docPr id="71" name="Chart 71">
                    <a:extLst xmlns:a="http://schemas.openxmlformats.org/drawingml/2006/main">
                      <a:ext uri="{FF2B5EF4-FFF2-40B4-BE49-F238E27FC236}">
                        <a16:creationId xmlns:a16="http://schemas.microsoft.com/office/drawing/2014/main" id="{02CAB7D3-31FD-249E-1315-275836613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968" w:type="dxa"/>
            <w:tcBorders>
              <w:top w:val="single" w:sz="4" w:space="0" w:color="000100"/>
            </w:tcBorders>
            <w:shd w:val="clear" w:color="auto" w:fill="auto"/>
          </w:tcPr>
          <w:p w14:paraId="1837F219" w14:textId="4120639D" w:rsidR="00B949E1" w:rsidRDefault="007E1D93" w:rsidP="00B9362B">
            <w:pPr>
              <w:pStyle w:val="Figure"/>
              <w:tabs>
                <w:tab w:val="left" w:pos="2943"/>
              </w:tabs>
              <w:rPr>
                <w:noProof/>
              </w:rPr>
            </w:pPr>
            <w:r>
              <w:rPr>
                <w:noProof/>
              </w:rPr>
              <w:drawing>
                <wp:inline distT="0" distB="0" distL="0" distR="0" wp14:anchorId="129A4C30" wp14:editId="7C055874">
                  <wp:extent cx="2382520" cy="1852653"/>
                  <wp:effectExtent l="0" t="0" r="0" b="0"/>
                  <wp:docPr id="72" name="Chart 72">
                    <a:extLst xmlns:a="http://schemas.openxmlformats.org/drawingml/2006/main">
                      <a:ext uri="{FF2B5EF4-FFF2-40B4-BE49-F238E27FC236}">
                        <a16:creationId xmlns:a16="http://schemas.microsoft.com/office/drawing/2014/main" id="{FF05C6AA-9F53-277A-332B-2502EC328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B949E1" w14:paraId="3BDD49D6" w14:textId="77777777" w:rsidTr="00B9362B">
        <w:trPr>
          <w:trHeight w:val="125"/>
        </w:trPr>
        <w:tc>
          <w:tcPr>
            <w:tcW w:w="7936" w:type="dxa"/>
            <w:gridSpan w:val="2"/>
            <w:tcBorders>
              <w:bottom w:val="single" w:sz="4" w:space="0" w:color="000100"/>
            </w:tcBorders>
            <w:shd w:val="clear" w:color="auto" w:fill="auto"/>
            <w:tcMar>
              <w:top w:w="12" w:type="dxa"/>
              <w:bottom w:w="113" w:type="dxa"/>
            </w:tcMar>
          </w:tcPr>
          <w:p w14:paraId="40093259" w14:textId="77777777" w:rsidR="00B949E1" w:rsidRDefault="00B949E1" w:rsidP="00B9362B">
            <w:pPr>
              <w:pStyle w:val="Source"/>
            </w:pPr>
            <w:r>
              <w:t>Source: IBISWorld 2021, Plastic Pipe and Plastic Packaging Material Manufacturing in Australia, April. IBISWorld 2021, Plastic Bag and Film Manufacturing in Australia, March</w:t>
            </w:r>
          </w:p>
        </w:tc>
      </w:tr>
      <w:tr w:rsidR="00B949E1" w14:paraId="7D10A941" w14:textId="77777777" w:rsidTr="00B9362B">
        <w:trPr>
          <w:trHeight w:hRule="exact" w:val="160"/>
        </w:trPr>
        <w:tc>
          <w:tcPr>
            <w:tcW w:w="7936" w:type="dxa"/>
            <w:gridSpan w:val="2"/>
            <w:tcBorders>
              <w:top w:val="single" w:sz="4" w:space="0" w:color="000100"/>
            </w:tcBorders>
            <w:shd w:val="clear" w:color="auto" w:fill="auto"/>
            <w:tcMar>
              <w:top w:w="0" w:type="dxa"/>
              <w:bottom w:w="40" w:type="dxa"/>
            </w:tcMar>
          </w:tcPr>
          <w:p w14:paraId="336677DA" w14:textId="77777777" w:rsidR="00B949E1" w:rsidRDefault="00B949E1" w:rsidP="00B9362B">
            <w:pPr>
              <w:pStyle w:val="spacer"/>
            </w:pPr>
          </w:p>
        </w:tc>
      </w:tr>
    </w:tbl>
    <w:p w14:paraId="033A1243" w14:textId="77777777" w:rsidR="00B949E1" w:rsidRDefault="00B949E1" w:rsidP="00A42F85">
      <w:pPr>
        <w:pStyle w:val="Heading4"/>
        <w:numPr>
          <w:ilvl w:val="0"/>
          <w:numId w:val="0"/>
        </w:numPr>
      </w:pPr>
      <w:r>
        <w:t xml:space="preserve">Compliance and inventory costs and costs for hospitality and retail businesses to change </w:t>
      </w:r>
      <w:proofErr w:type="gramStart"/>
      <w:r>
        <w:t>suppliers</w:t>
      </w:r>
      <w:proofErr w:type="gramEnd"/>
    </w:p>
    <w:p w14:paraId="65DB3A54" w14:textId="77777777" w:rsidR="00B949E1" w:rsidRPr="00562F58" w:rsidRDefault="00B949E1" w:rsidP="00B949E1">
      <w:pPr>
        <w:pStyle w:val="BodyText"/>
      </w:pPr>
      <w:r>
        <w:t>There is also likely to be a compliance cost associated with the new regulations. This may include the time it takes to check products businesses stock are compliant and those which need to change. This cost can be mitigated through education campaigns.</w:t>
      </w:r>
    </w:p>
    <w:p w14:paraId="265985E1" w14:textId="77777777" w:rsidR="00B949E1" w:rsidRDefault="00B949E1" w:rsidP="00B949E1">
      <w:pPr>
        <w:pStyle w:val="BodyText"/>
      </w:pPr>
      <w:r>
        <w:t xml:space="preserve">Several stakeholders raised the cost of unused inventory. While this may be a cost for businesses, this can be alleviated by adequate consultation and notice. Similarly, businesses may be able to transfer their products across the border, particularly where there are businesses with cross-jurisdictional locations. However, there is a cost associated with transferring material from one jurisdiction to another. </w:t>
      </w:r>
    </w:p>
    <w:p w14:paraId="5371DFA7" w14:textId="77777777" w:rsidR="00B949E1" w:rsidRPr="0084746E" w:rsidRDefault="00B949E1" w:rsidP="00B949E1">
      <w:pPr>
        <w:pStyle w:val="BodyText"/>
      </w:pPr>
      <w:r>
        <w:lastRenderedPageBreak/>
        <w:t xml:space="preserve">Stakeholders also suggested some costs may be associated with finding suitable compliant alternatives. This cost can be partially alleviated with educational campaigns funded by the ACT government and supported by existing suppliers offering compliant </w:t>
      </w:r>
      <w:r w:rsidRPr="0084746E">
        <w:t>alternatives.</w:t>
      </w:r>
    </w:p>
    <w:p w14:paraId="529DFE7B" w14:textId="77777777" w:rsidR="00B949E1" w:rsidRPr="0084746E" w:rsidRDefault="00B949E1" w:rsidP="001838A8">
      <w:pPr>
        <w:pStyle w:val="Heading4"/>
        <w:numPr>
          <w:ilvl w:val="0"/>
          <w:numId w:val="0"/>
        </w:numPr>
      </w:pPr>
      <w:r>
        <w:t>The i</w:t>
      </w:r>
      <w:r w:rsidRPr="0084746E">
        <w:t xml:space="preserve">ncreased cost of procuring for those who are exempt, including in medical and other </w:t>
      </w:r>
      <w:proofErr w:type="gramStart"/>
      <w:r w:rsidRPr="0084746E">
        <w:t>sectors</w:t>
      </w:r>
      <w:proofErr w:type="gramEnd"/>
    </w:p>
    <w:p w14:paraId="12389558" w14:textId="77777777" w:rsidR="00B949E1" w:rsidRPr="0084746E" w:rsidRDefault="00B949E1" w:rsidP="00B949E1">
      <w:pPr>
        <w:pStyle w:val="BodyText"/>
      </w:pPr>
      <w:r w:rsidRPr="0084746E">
        <w:t xml:space="preserve">Some sectors, such as medical, require </w:t>
      </w:r>
      <w:r>
        <w:t>SUP</w:t>
      </w:r>
      <w:r w:rsidRPr="0084746E">
        <w:t xml:space="preserve"> items, as existing alternatives are unsuitable. People who rely on these products, whether daily due to medical or disability needs or for a limited time (e.g., when recovery from an illness or injury), will be impacted by the proposed bans. </w:t>
      </w:r>
    </w:p>
    <w:p w14:paraId="1FC61096" w14:textId="77777777" w:rsidR="00B949E1" w:rsidRPr="0084746E" w:rsidRDefault="00B949E1" w:rsidP="00B949E1">
      <w:pPr>
        <w:pStyle w:val="BodyText"/>
      </w:pPr>
      <w:r w:rsidRPr="0084746E">
        <w:t xml:space="preserve">Stakeholders have identified </w:t>
      </w:r>
      <w:r>
        <w:t>that other sectors will have increased costs following the ban, including veterinary industry that will witness negative sales impact due to no EPS packaging alternatives for transporting animal health products, and increased labour costs</w:t>
      </w:r>
      <w:r w:rsidRPr="0084746E">
        <w:t xml:space="preserve"> for charities and not-for-profit canteens when switching to reusable alternatives.</w:t>
      </w:r>
    </w:p>
    <w:p w14:paraId="0C770623" w14:textId="77777777" w:rsidR="00B949E1" w:rsidRPr="0084746E" w:rsidRDefault="00B949E1" w:rsidP="001838A8">
      <w:pPr>
        <w:pStyle w:val="Heading4"/>
        <w:numPr>
          <w:ilvl w:val="0"/>
          <w:numId w:val="0"/>
        </w:numPr>
      </w:pPr>
      <w:r w:rsidRPr="0084746E">
        <w:t>Other industry costs</w:t>
      </w:r>
    </w:p>
    <w:p w14:paraId="4D3336AB" w14:textId="77777777" w:rsidR="00B949E1" w:rsidRPr="0084746E" w:rsidRDefault="00B949E1" w:rsidP="00B949E1">
      <w:pPr>
        <w:pStyle w:val="BodyText"/>
      </w:pPr>
      <w:r w:rsidRPr="0084746E">
        <w:t>Stakeholders also cited costs to peak industry bodies associated with the ban, including</w:t>
      </w:r>
      <w:r>
        <w:t xml:space="preserve"> costs to educate</w:t>
      </w:r>
      <w:r w:rsidRPr="0084746E">
        <w:t>:</w:t>
      </w:r>
    </w:p>
    <w:p w14:paraId="40C522AD" w14:textId="77777777" w:rsidR="00B949E1" w:rsidRPr="0084746E" w:rsidRDefault="00B949E1" w:rsidP="00B949E1">
      <w:pPr>
        <w:pStyle w:val="ListBullet"/>
        <w:numPr>
          <w:ilvl w:val="0"/>
          <w:numId w:val="9"/>
        </w:numPr>
      </w:pPr>
      <w:r w:rsidRPr="0084746E">
        <w:t>retailers, suppliers and manufacturers on alternative materials (for all items but plastic microbeads)</w:t>
      </w:r>
    </w:p>
    <w:p w14:paraId="65D0178B" w14:textId="77777777" w:rsidR="00B949E1" w:rsidRPr="0084746E" w:rsidRDefault="00B949E1" w:rsidP="00B949E1">
      <w:pPr>
        <w:pStyle w:val="ListBullet"/>
        <w:numPr>
          <w:ilvl w:val="0"/>
          <w:numId w:val="9"/>
        </w:numPr>
      </w:pPr>
      <w:r w:rsidRPr="0084746E">
        <w:t xml:space="preserve">suppliers on the use of equipment to produce alternatives for all items but plastic microbeads). </w:t>
      </w:r>
    </w:p>
    <w:p w14:paraId="7B242162" w14:textId="77777777" w:rsidR="00B949E1" w:rsidRPr="0084746E" w:rsidRDefault="00B949E1" w:rsidP="00B949E1">
      <w:pPr>
        <w:pStyle w:val="BodyText"/>
      </w:pPr>
      <w:r w:rsidRPr="0084746E">
        <w:t>These costs can be expected to be partially alleviated through government education. The extent to which these costs are to be reduced depends on the effectiveness of education campaigns about the alternatives.</w:t>
      </w:r>
    </w:p>
    <w:p w14:paraId="3421B067" w14:textId="77777777" w:rsidR="00B949E1" w:rsidRPr="0084746E" w:rsidRDefault="00B949E1" w:rsidP="00B949E1">
      <w:pPr>
        <w:pStyle w:val="ListBullet"/>
        <w:numPr>
          <w:ilvl w:val="0"/>
          <w:numId w:val="0"/>
        </w:numPr>
      </w:pPr>
      <w:r w:rsidRPr="0084746E">
        <w:t xml:space="preserve">In addition, the stakeholders from waste management industry identified there could be more food waste and damaged goods entering landfill, therefore increasing landfill operating costs. The potential costs from this increased waste are not quantified due to </w:t>
      </w:r>
      <w:r>
        <w:t xml:space="preserve">a </w:t>
      </w:r>
      <w:r w:rsidRPr="0084746E">
        <w:t xml:space="preserve">lack of data. </w:t>
      </w:r>
    </w:p>
    <w:p w14:paraId="0B792661" w14:textId="77777777" w:rsidR="00B949E1" w:rsidRPr="003E1B5E" w:rsidRDefault="00B949E1" w:rsidP="00B949E1">
      <w:pPr>
        <w:pStyle w:val="ListBullet"/>
        <w:numPr>
          <w:ilvl w:val="0"/>
          <w:numId w:val="0"/>
        </w:numPr>
      </w:pPr>
      <w:r w:rsidRPr="0084746E">
        <w:t>Moreover, some stakeholders have suggested in their submissions that there could be potential toxic contamination in composting facilities from fibre-based alternatives containing PFAS (per- and poly-fluoroalkyl substances), resulting in increased cost of contamination treatment.</w:t>
      </w:r>
      <w:r>
        <w:t xml:space="preserve"> Once again, without suitable data, it is difficult to understand the potential magnitude of these costs.</w:t>
      </w:r>
    </w:p>
    <w:p w14:paraId="41C20B3D" w14:textId="77777777" w:rsidR="00B949E1" w:rsidRDefault="00B949E1" w:rsidP="00B949E1">
      <w:pPr>
        <w:pStyle w:val="Heading3"/>
      </w:pPr>
      <w:r>
        <w:t>Costs to consumers</w:t>
      </w:r>
    </w:p>
    <w:p w14:paraId="4C35FF3F" w14:textId="77777777" w:rsidR="00B949E1" w:rsidRPr="00B17ECC" w:rsidRDefault="00B949E1" w:rsidP="001838A8">
      <w:pPr>
        <w:pStyle w:val="Heading4"/>
        <w:numPr>
          <w:ilvl w:val="0"/>
          <w:numId w:val="0"/>
        </w:numPr>
      </w:pPr>
      <w:r w:rsidRPr="00B17ECC">
        <w:t>Perceived</w:t>
      </w:r>
      <w:r>
        <w:t xml:space="preserve"> </w:t>
      </w:r>
      <w:r w:rsidRPr="00B17ECC">
        <w:t>quality</w:t>
      </w:r>
      <w:r>
        <w:t xml:space="preserve"> </w:t>
      </w:r>
      <w:r w:rsidRPr="00B17ECC">
        <w:t>of</w:t>
      </w:r>
      <w:r>
        <w:t xml:space="preserve"> </w:t>
      </w:r>
      <w:r w:rsidRPr="00B17ECC">
        <w:t>alternatives</w:t>
      </w:r>
    </w:p>
    <w:p w14:paraId="4E8DF6CB" w14:textId="77777777" w:rsidR="00B949E1" w:rsidRDefault="00B949E1" w:rsidP="00B949E1">
      <w:pPr>
        <w:pStyle w:val="BodyText"/>
      </w:pPr>
      <w:r>
        <w:t xml:space="preserve">Some alternative products are less desirable to consumers for their purpose as single-use items. As stated in section </w:t>
      </w:r>
      <w:r>
        <w:fldChar w:fldCharType="begin"/>
      </w:r>
      <w:r>
        <w:instrText xml:space="preserve"> REF _Ref130998144 \r \h </w:instrText>
      </w:r>
      <w:r>
        <w:fldChar w:fldCharType="separate"/>
      </w:r>
      <w:r>
        <w:t>7.1</w:t>
      </w:r>
      <w:r>
        <w:fldChar w:fldCharType="end"/>
      </w:r>
      <w:r>
        <w:t>, there are several product categories where the existing alternative is cheaper than the currently used single-use alternative. This may be because consumers value the plastic product's attributes over the alternatives. For example, plastic bowls might be valued over other single-use alternatives due to their ability to withstand moisture for a prolonged period.</w:t>
      </w:r>
    </w:p>
    <w:p w14:paraId="37419A98" w14:textId="77777777" w:rsidR="00B949E1" w:rsidRPr="0084746E" w:rsidRDefault="00B949E1" w:rsidP="00B949E1">
      <w:pPr>
        <w:pStyle w:val="BodyText"/>
      </w:pPr>
      <w:r w:rsidRPr="0084746E">
        <w:t>On the other hand, consumers may experience satisfaction from using compostable or reusable products and, therefore</w:t>
      </w:r>
      <w:r>
        <w:t>,</w:t>
      </w:r>
      <w:r w:rsidRPr="0084746E">
        <w:t xml:space="preserve"> might experience a benefit as a result of the ban.</w:t>
      </w:r>
    </w:p>
    <w:p w14:paraId="6AD492AE" w14:textId="77777777" w:rsidR="00B949E1" w:rsidRPr="0084746E" w:rsidRDefault="00B949E1" w:rsidP="001838A8">
      <w:pPr>
        <w:pStyle w:val="Heading4"/>
        <w:numPr>
          <w:ilvl w:val="0"/>
          <w:numId w:val="0"/>
        </w:numPr>
      </w:pPr>
      <w:r w:rsidRPr="0084746E">
        <w:t>Increased risk of food safety compromises</w:t>
      </w:r>
    </w:p>
    <w:p w14:paraId="780C18C4" w14:textId="77777777" w:rsidR="00B949E1" w:rsidRDefault="00B949E1" w:rsidP="00B949E1">
      <w:pPr>
        <w:pStyle w:val="BodyText"/>
      </w:pPr>
      <w:r w:rsidRPr="0084746E">
        <w:t>Stakeholder submissions also identified that alternative food packaging products m</w:t>
      </w:r>
      <w:r>
        <w:t>ight</w:t>
      </w:r>
      <w:r w:rsidRPr="0084746E">
        <w:t xml:space="preserve"> increase the likelihood of foodborne illness and allergen</w:t>
      </w:r>
      <w:r>
        <w:t>s</w:t>
      </w:r>
      <w:r w:rsidRPr="0084746E">
        <w:t xml:space="preserve">. These risks could mean </w:t>
      </w:r>
      <w:r>
        <w:t>decreased</w:t>
      </w:r>
      <w:r w:rsidRPr="0084746E">
        <w:t xml:space="preserve"> health and quality of life</w:t>
      </w:r>
      <w:r>
        <w:t xml:space="preserve"> and</w:t>
      </w:r>
      <w:r w:rsidRPr="0084746E">
        <w:t xml:space="preserve"> </w:t>
      </w:r>
      <w:r>
        <w:t xml:space="preserve">generate </w:t>
      </w:r>
      <w:r w:rsidRPr="0084746E">
        <w:t xml:space="preserve">costs to consumers. </w:t>
      </w:r>
      <w:r>
        <w:t>These risks can be deemed small and insignificant if alternatives adhere to food and safety standards</w:t>
      </w:r>
      <w:r w:rsidRPr="0084746E">
        <w:t>.</w:t>
      </w:r>
    </w:p>
    <w:p w14:paraId="031F0547" w14:textId="77777777" w:rsidR="00B949E1" w:rsidRPr="0030259E" w:rsidRDefault="00B949E1" w:rsidP="00B949E1">
      <w:pPr>
        <w:pStyle w:val="Heading2"/>
      </w:pPr>
      <w:bookmarkStart w:id="126" w:name="_Ref131162469"/>
      <w:bookmarkStart w:id="127" w:name="_Toc136872636"/>
      <w:r>
        <w:lastRenderedPageBreak/>
        <w:t>Non-quantified benefits</w:t>
      </w:r>
      <w:bookmarkEnd w:id="126"/>
      <w:bookmarkEnd w:id="127"/>
    </w:p>
    <w:p w14:paraId="581A21D3" w14:textId="77777777" w:rsidR="00B949E1" w:rsidRDefault="00B949E1" w:rsidP="00B949E1">
      <w:pPr>
        <w:pStyle w:val="Heading3"/>
      </w:pPr>
      <w:r>
        <w:t>Environmental benefits and the social cost of plastic</w:t>
      </w:r>
    </w:p>
    <w:p w14:paraId="7D907BDC" w14:textId="77777777" w:rsidR="00B949E1" w:rsidRDefault="00B949E1" w:rsidP="001838A8">
      <w:pPr>
        <w:pStyle w:val="Heading4"/>
        <w:numPr>
          <w:ilvl w:val="0"/>
          <w:numId w:val="0"/>
        </w:numPr>
      </w:pPr>
      <w:r>
        <w:t>The social cost of plastic</w:t>
      </w:r>
    </w:p>
    <w:p w14:paraId="2AECA075" w14:textId="77777777" w:rsidR="00B949E1" w:rsidRDefault="00B949E1" w:rsidP="00B949E1">
      <w:pPr>
        <w:pStyle w:val="BodyText"/>
      </w:pPr>
      <w:r>
        <w:t xml:space="preserve">The environmental impact of plastic is one of the key drivers for policy action across jurisdictions. However, it is not quantified in this model. </w:t>
      </w:r>
    </w:p>
    <w:p w14:paraId="52D473F5" w14:textId="77777777" w:rsidR="00B949E1" w:rsidRDefault="00B949E1" w:rsidP="00B949E1">
      <w:pPr>
        <w:pStyle w:val="BodyText"/>
      </w:pPr>
      <w:r>
        <w:t>Other CBAs have partially costed the impact of plastic pollution in the environment as the “social cost of plastic”. Typically, this cost is quantified through consumer surveys on the WIP to preserve biodiversity and protect endangered species. One example of this costing is CIE’s report ‘</w:t>
      </w:r>
      <w:r>
        <w:rPr>
          <w:i/>
          <w:iCs/>
        </w:rPr>
        <w:t>Measuring the environmental costs of form litter and illegal dumping</w:t>
      </w:r>
      <w:r>
        <w:t>’. Estimates for the social cost of plastic range from $185 per tonne</w:t>
      </w:r>
      <w:r>
        <w:rPr>
          <w:rStyle w:val="FootnoteReference"/>
        </w:rPr>
        <w:footnoteReference w:id="92"/>
      </w:r>
      <w:r>
        <w:t xml:space="preserve"> to $3,994 per tonne</w:t>
      </w:r>
      <w:r>
        <w:rPr>
          <w:rStyle w:val="FootnoteReference"/>
        </w:rPr>
        <w:footnoteReference w:id="93"/>
      </w:r>
      <w:r>
        <w:t xml:space="preserve">. </w:t>
      </w:r>
    </w:p>
    <w:p w14:paraId="3B715479" w14:textId="77777777" w:rsidR="00B949E1" w:rsidRDefault="00B949E1" w:rsidP="00B949E1">
      <w:pPr>
        <w:pStyle w:val="BodyText"/>
      </w:pPr>
      <w:r>
        <w:t>While these values have been employed in other analyses, all estimates uncovered in the desktop review are derived from marine and aquatic benefits. The ACT is a landlocked territory, and without robust quantitative estimates for the terrestrial environmental impact, this key benefit cannot be included in the model.</w:t>
      </w:r>
    </w:p>
    <w:p w14:paraId="05C270F7" w14:textId="77777777" w:rsidR="00B949E1" w:rsidRDefault="00B949E1" w:rsidP="00B949E1">
      <w:pPr>
        <w:pStyle w:val="BodyText"/>
      </w:pPr>
      <w:r>
        <w:t>If the CIE estimate of $3,994 was simply input into the model, it would increase the benefits by $4.3 million, increasing the BCR from 0.3 to 0.5. While the CIE’s estimate only partially quantifies the impact, this value would represent a best-case scenario estimate.</w:t>
      </w:r>
    </w:p>
    <w:p w14:paraId="0F746064" w14:textId="77777777" w:rsidR="00B949E1" w:rsidRPr="0065798E" w:rsidRDefault="00B949E1" w:rsidP="001838A8">
      <w:pPr>
        <w:pStyle w:val="Heading4"/>
        <w:numPr>
          <w:ilvl w:val="0"/>
          <w:numId w:val="0"/>
        </w:numPr>
      </w:pPr>
      <w:r>
        <w:t>Impact on human health</w:t>
      </w:r>
    </w:p>
    <w:p w14:paraId="7EA299B1" w14:textId="77777777" w:rsidR="00B949E1" w:rsidRDefault="00B949E1" w:rsidP="00B949E1">
      <w:pPr>
        <w:pStyle w:val="BodyText"/>
      </w:pPr>
      <w:r>
        <w:t>The methods to estimate the social cost of plastic do not include the impact on human health. The impact on human health is still emerging, but current evidence suggests that Australians consume up to a credit card’s worth of plastic every week through food, water and the air as a result of microplastics that enter the environment.</w:t>
      </w:r>
      <w:r>
        <w:rPr>
          <w:rStyle w:val="FootnoteReference"/>
        </w:rPr>
        <w:footnoteReference w:id="94"/>
      </w:r>
      <w:r>
        <w:t xml:space="preserve"> </w:t>
      </w:r>
    </w:p>
    <w:p w14:paraId="3EEF1270" w14:textId="77777777" w:rsidR="00B949E1" w:rsidRDefault="00B949E1" w:rsidP="00B949E1">
      <w:pPr>
        <w:pStyle w:val="BodyText"/>
      </w:pPr>
      <w:r>
        <w:t xml:space="preserve">Where preliminary results have been found for microplastics’ interaction with human health, they suggest that microplastics can potentially </w:t>
      </w:r>
      <w:r w:rsidRPr="00574722">
        <w:t>provok</w:t>
      </w:r>
      <w:r>
        <w:t xml:space="preserve">e </w:t>
      </w:r>
      <w:r w:rsidRPr="00574722">
        <w:t>immune</w:t>
      </w:r>
      <w:r>
        <w:t xml:space="preserve"> </w:t>
      </w:r>
      <w:r w:rsidRPr="00574722">
        <w:t>and</w:t>
      </w:r>
      <w:r>
        <w:t xml:space="preserve"> </w:t>
      </w:r>
      <w:r w:rsidRPr="00574722">
        <w:t>stress</w:t>
      </w:r>
      <w:r>
        <w:t xml:space="preserve"> </w:t>
      </w:r>
      <w:r w:rsidRPr="00574722">
        <w:t>responses</w:t>
      </w:r>
      <w:r>
        <w:t xml:space="preserve"> and </w:t>
      </w:r>
      <w:r w:rsidRPr="00574722">
        <w:t>induc</w:t>
      </w:r>
      <w:r>
        <w:t xml:space="preserve">e </w:t>
      </w:r>
      <w:r w:rsidRPr="00574722">
        <w:t>reproductive</w:t>
      </w:r>
      <w:r>
        <w:t xml:space="preserve"> </w:t>
      </w:r>
      <w:r w:rsidRPr="00574722">
        <w:t>and</w:t>
      </w:r>
      <w:r>
        <w:t xml:space="preserve"> </w:t>
      </w:r>
      <w:r w:rsidRPr="00574722">
        <w:t>developmental</w:t>
      </w:r>
      <w:r>
        <w:t xml:space="preserve"> </w:t>
      </w:r>
      <w:r w:rsidRPr="00574722">
        <w:t>toxicit</w:t>
      </w:r>
      <w:r>
        <w:t>y.</w:t>
      </w:r>
      <w:r>
        <w:rPr>
          <w:rStyle w:val="FootnoteReference"/>
        </w:rPr>
        <w:footnoteReference w:id="95"/>
      </w:r>
      <w:r>
        <w:t xml:space="preserve"> Some research has found significant concern amongst the public when informed of the potential for microplastics to harm human health. This research suggests that a high WTP may manifest once the public better understands the human health impacts of microplastics.</w:t>
      </w:r>
      <w:r>
        <w:rPr>
          <w:rStyle w:val="FootnoteReference"/>
        </w:rPr>
        <w:footnoteReference w:id="96"/>
      </w:r>
      <w:r w:rsidRPr="00705B86">
        <w:t xml:space="preserve"> </w:t>
      </w:r>
    </w:p>
    <w:p w14:paraId="74A32555" w14:textId="77777777" w:rsidR="00B949E1" w:rsidRDefault="00B949E1" w:rsidP="00B949E1">
      <w:pPr>
        <w:pStyle w:val="BodyText"/>
      </w:pPr>
      <w:r>
        <w:t xml:space="preserve">Microplastics are an international issue, as they can travel through the air, oceans and even through rain clouds. As such, a significant proportion of the microplastics consumed by residents of the ACT or produced by industries operating in the Territory will impact other jurisdictions. </w:t>
      </w:r>
    </w:p>
    <w:p w14:paraId="31DC1522" w14:textId="77777777" w:rsidR="00B949E1" w:rsidRDefault="00B949E1" w:rsidP="00B949E1">
      <w:pPr>
        <w:pStyle w:val="BodyText"/>
      </w:pPr>
      <w:r>
        <w:t xml:space="preserve">Finally, while some stakeholders have identified the risks of foodborne illness from SUP alternatives, such as for packaging, these risks are deemed insignificant. They can be further </w:t>
      </w:r>
      <w:r>
        <w:lastRenderedPageBreak/>
        <w:t xml:space="preserve">mitigated by consultation and education campaigns, informing consumers and businesses of appropriate alternatives. </w:t>
      </w:r>
    </w:p>
    <w:p w14:paraId="63237884" w14:textId="77777777" w:rsidR="00B949E1" w:rsidRDefault="00B949E1" w:rsidP="00B949E1">
      <w:pPr>
        <w:pStyle w:val="BodyText"/>
      </w:pPr>
      <w:r>
        <w:t xml:space="preserve">These impacts, while have been recognised in </w:t>
      </w:r>
      <w:proofErr w:type="gramStart"/>
      <w:r>
        <w:t>a number of</w:t>
      </w:r>
      <w:proofErr w:type="gramEnd"/>
      <w:r>
        <w:t xml:space="preserve"> studies, have not been quantified and monetised in any research. The impacts of plastic on the human health are recognised in this RIS, and therefore the benefits associated with the reduction of plastic.</w:t>
      </w:r>
    </w:p>
    <w:p w14:paraId="62D33E83" w14:textId="77777777" w:rsidR="00B949E1" w:rsidRPr="005F2570" w:rsidRDefault="00B949E1" w:rsidP="001838A8">
      <w:pPr>
        <w:pStyle w:val="Heading4"/>
        <w:numPr>
          <w:ilvl w:val="0"/>
          <w:numId w:val="0"/>
        </w:numPr>
      </w:pPr>
      <w:r w:rsidRPr="005F2570">
        <w:t>Climate change</w:t>
      </w:r>
    </w:p>
    <w:p w14:paraId="5D120A45" w14:textId="77777777" w:rsidR="00B949E1" w:rsidRPr="005104E1" w:rsidRDefault="00B949E1" w:rsidP="00B949E1">
      <w:pPr>
        <w:pStyle w:val="BodyText"/>
      </w:pPr>
      <w:r w:rsidRPr="005104E1">
        <w:t xml:space="preserve">Banning </w:t>
      </w:r>
      <w:r>
        <w:t>SUPs</w:t>
      </w:r>
      <w:r w:rsidRPr="005104E1">
        <w:t xml:space="preserve"> could have significant benefits for the climate, as well as for the environment and human health</w:t>
      </w:r>
      <w:r>
        <w:t>.</w:t>
      </w:r>
      <w:r w:rsidRPr="005104E1">
        <w:t xml:space="preserve"> </w:t>
      </w:r>
      <w:r>
        <w:t>H</w:t>
      </w:r>
      <w:r w:rsidRPr="005104E1">
        <w:t>owever</w:t>
      </w:r>
      <w:r>
        <w:t>,</w:t>
      </w:r>
      <w:r w:rsidRPr="005104E1">
        <w:t xml:space="preserve"> both the magnitude and direction of this impact depends strongly on the type of product that is substituted for the SUP</w:t>
      </w:r>
      <w:r>
        <w:t xml:space="preserve">, and </w:t>
      </w:r>
      <w:r w:rsidRPr="005104E1">
        <w:t xml:space="preserve">the method and place of production for that substitute. Given the wide variety of alternatives and the even wider variety of production methods, it is impractical to create an estimate of GHG impact under </w:t>
      </w:r>
      <w:r>
        <w:t>Option 2</w:t>
      </w:r>
      <w:r w:rsidRPr="005104E1">
        <w:t>, and it is not typically considered in RIS’s for other jurisdictions. As such, the impacts are described qualitatively below.</w:t>
      </w:r>
    </w:p>
    <w:p w14:paraId="1820DB60" w14:textId="77777777" w:rsidR="00B949E1" w:rsidRPr="005104E1" w:rsidRDefault="00B949E1" w:rsidP="00B949E1">
      <w:pPr>
        <w:pStyle w:val="BodyText"/>
      </w:pPr>
      <w:r w:rsidRPr="005104E1">
        <w:t xml:space="preserve">There are </w:t>
      </w:r>
      <w:r>
        <w:t xml:space="preserve">several </w:t>
      </w:r>
      <w:r w:rsidRPr="005104E1">
        <w:t xml:space="preserve">ways </w:t>
      </w:r>
      <w:r>
        <w:t xml:space="preserve">that a reduction in </w:t>
      </w:r>
      <w:r w:rsidRPr="005104E1">
        <w:t>plastic production might have a positive impact on the climate:</w:t>
      </w:r>
    </w:p>
    <w:p w14:paraId="3F8CB157" w14:textId="77777777" w:rsidR="00B949E1" w:rsidRPr="005104E1" w:rsidRDefault="00B949E1" w:rsidP="00B949E1">
      <w:pPr>
        <w:pStyle w:val="ListBullet"/>
        <w:numPr>
          <w:ilvl w:val="0"/>
          <w:numId w:val="9"/>
        </w:numPr>
      </w:pPr>
      <w:r w:rsidRPr="005104E1">
        <w:t>SUPs are made from fossil fuels, which emit greenhouse gases when extracted, refined and transported.</w:t>
      </w:r>
      <w:r w:rsidRPr="005104E1">
        <w:rPr>
          <w:rStyle w:val="FootnoteReference"/>
        </w:rPr>
        <w:footnoteReference w:id="97"/>
      </w:r>
      <w:r w:rsidRPr="005104E1">
        <w:t xml:space="preserve"> </w:t>
      </w:r>
    </w:p>
    <w:p w14:paraId="137C2AAE" w14:textId="77777777" w:rsidR="00B949E1" w:rsidRPr="005104E1" w:rsidRDefault="00B949E1" w:rsidP="00B949E1">
      <w:pPr>
        <w:pStyle w:val="ListBullet"/>
        <w:numPr>
          <w:ilvl w:val="0"/>
          <w:numId w:val="9"/>
        </w:numPr>
      </w:pPr>
      <w:r>
        <w:t xml:space="preserve">SUPs </w:t>
      </w:r>
      <w:r w:rsidRPr="005104E1">
        <w:t>release methane and ethylene when they break down in landfills or in the ocean, particularly in sunlight.</w:t>
      </w:r>
      <w:r w:rsidRPr="005104E1">
        <w:rPr>
          <w:rStyle w:val="FootnoteReference"/>
        </w:rPr>
        <w:footnoteReference w:id="98"/>
      </w:r>
      <w:r w:rsidRPr="005104E1">
        <w:t xml:space="preserve"> </w:t>
      </w:r>
    </w:p>
    <w:p w14:paraId="1D7E010C" w14:textId="77777777" w:rsidR="00B949E1" w:rsidRPr="005104E1" w:rsidRDefault="00B949E1" w:rsidP="00B949E1">
      <w:pPr>
        <w:pStyle w:val="ListBullet"/>
        <w:numPr>
          <w:ilvl w:val="0"/>
          <w:numId w:val="9"/>
        </w:numPr>
      </w:pPr>
      <w:r w:rsidRPr="005104E1">
        <w:t>SUPs affect the ability of marine microorganisms to produce oxygen and capture carbon dioxide, which are essential for regulating the climate.</w:t>
      </w:r>
      <w:r w:rsidRPr="005104E1">
        <w:rPr>
          <w:rStyle w:val="FootnoteReference"/>
        </w:rPr>
        <w:footnoteReference w:id="99"/>
      </w:r>
      <w:r w:rsidRPr="005104E1">
        <w:t xml:space="preserve"> </w:t>
      </w:r>
    </w:p>
    <w:p w14:paraId="05FAE6CE" w14:textId="77777777" w:rsidR="00B949E1" w:rsidRPr="005104E1" w:rsidRDefault="00B949E1" w:rsidP="00B949E1">
      <w:pPr>
        <w:pStyle w:val="BodyText"/>
      </w:pPr>
      <w:r w:rsidRPr="005104E1">
        <w:t xml:space="preserve">However, </w:t>
      </w:r>
      <w:r>
        <w:t xml:space="preserve">the environmental impact depends on </w:t>
      </w:r>
      <w:r w:rsidRPr="005104E1">
        <w:t xml:space="preserve">what alternatives are used </w:t>
      </w:r>
      <w:r>
        <w:t xml:space="preserve">to substitute </w:t>
      </w:r>
      <w:r w:rsidRPr="005104E1">
        <w:t xml:space="preserve">SUPs. For example, some reusable or biodegradable products may require more energy or water to produce or wash than </w:t>
      </w:r>
      <w:r>
        <w:t>SUPs</w:t>
      </w:r>
      <w:r w:rsidRPr="005104E1">
        <w:t>. They may also have a higher carbon footprint if they are transported over long distances or disposed of improperly.</w:t>
      </w:r>
      <w:r w:rsidRPr="005104E1">
        <w:rPr>
          <w:rStyle w:val="FootnoteReference"/>
        </w:rPr>
        <w:footnoteReference w:id="100"/>
      </w:r>
      <w:r w:rsidRPr="005104E1">
        <w:t xml:space="preserve"> Further, one study by the World Economic Forum found that if some reusable items </w:t>
      </w:r>
      <w:r>
        <w:t xml:space="preserve">are not </w:t>
      </w:r>
      <w:r w:rsidRPr="005104E1">
        <w:t xml:space="preserve">used </w:t>
      </w:r>
      <w:r>
        <w:t xml:space="preserve">many </w:t>
      </w:r>
      <w:r w:rsidRPr="005104E1">
        <w:t>times</w:t>
      </w:r>
      <w:r>
        <w:t xml:space="preserve"> making their environmental impact potentially </w:t>
      </w:r>
      <w:r w:rsidRPr="005104E1">
        <w:t>higher impact than a single-use disposable item.</w:t>
      </w:r>
      <w:r w:rsidRPr="005104E1">
        <w:rPr>
          <w:rStyle w:val="FootnoteReference"/>
        </w:rPr>
        <w:footnoteReference w:id="101"/>
      </w:r>
    </w:p>
    <w:p w14:paraId="05751E38" w14:textId="77777777" w:rsidR="00B949E1" w:rsidRDefault="00B949E1" w:rsidP="001838A8">
      <w:pPr>
        <w:pStyle w:val="Heading4"/>
        <w:numPr>
          <w:ilvl w:val="0"/>
          <w:numId w:val="0"/>
        </w:numPr>
      </w:pPr>
      <w:r w:rsidRPr="005F2570">
        <w:t xml:space="preserve">A ban on SUPs will increase progress towards a circular economy. However, given the high number of different impacts across the lifecycle of SUPs and their alternatives, it is difficult to </w:t>
      </w:r>
      <w:r>
        <w:t xml:space="preserve">quantify with certainty </w:t>
      </w:r>
      <w:r w:rsidRPr="005F2570">
        <w:t xml:space="preserve">whether a SUP ban will positively or negatively impact the climate. </w:t>
      </w:r>
      <w:r>
        <w:t xml:space="preserve">Removal of microbeads from the environment </w:t>
      </w:r>
    </w:p>
    <w:p w14:paraId="7914F25A" w14:textId="77777777" w:rsidR="00B949E1" w:rsidRDefault="00B949E1" w:rsidP="00B949E1">
      <w:pPr>
        <w:pStyle w:val="BodyText"/>
      </w:pPr>
      <w:r>
        <w:t xml:space="preserve">As discussed in this RIS, microplastics (especially microbeads) </w:t>
      </w:r>
      <w:r w:rsidRPr="00162BF1">
        <w:t xml:space="preserve">cannot be filtered out during normal sewage treatment works. Once in the water, microbeads have the potential to cause harm </w:t>
      </w:r>
      <w:r>
        <w:t>to</w:t>
      </w:r>
      <w:r w:rsidRPr="00162BF1">
        <w:t xml:space="preserve"> the environment and human health due to their composition </w:t>
      </w:r>
      <w:r>
        <w:t xml:space="preserve">and </w:t>
      </w:r>
      <w:r w:rsidRPr="00162BF1">
        <w:t xml:space="preserve">ability to attract toxins and transfer </w:t>
      </w:r>
      <w:r>
        <w:lastRenderedPageBreak/>
        <w:t xml:space="preserve">them </w:t>
      </w:r>
      <w:r w:rsidRPr="00162BF1">
        <w:t>up the food chain</w:t>
      </w:r>
      <w:r>
        <w:rPr>
          <w:rStyle w:val="FootnoteReference"/>
        </w:rPr>
        <w:footnoteReference w:id="102"/>
      </w:r>
      <w:r w:rsidRPr="00162BF1">
        <w:t xml:space="preserve">. These tiny plastics persist in the environment and </w:t>
      </w:r>
      <w:r>
        <w:t>damage</w:t>
      </w:r>
      <w:r w:rsidRPr="00162BF1">
        <w:t xml:space="preserve"> marine life, the environment and human health</w:t>
      </w:r>
      <w:r>
        <w:rPr>
          <w:rStyle w:val="FootnoteReference"/>
        </w:rPr>
        <w:footnoteReference w:id="103"/>
      </w:r>
      <w:r w:rsidRPr="00162BF1">
        <w:t>. Micro</w:t>
      </w:r>
      <w:r>
        <w:t>beads</w:t>
      </w:r>
      <w:r w:rsidRPr="00162BF1">
        <w:t xml:space="preserve"> </w:t>
      </w:r>
      <w:r>
        <w:t>can</w:t>
      </w:r>
      <w:r w:rsidRPr="00162BF1">
        <w:t xml:space="preserve"> affect marine life, land animals</w:t>
      </w:r>
      <w:r>
        <w:t xml:space="preserve"> </w:t>
      </w:r>
      <w:r w:rsidRPr="00162BF1">
        <w:t>and human</w:t>
      </w:r>
      <w:r>
        <w:t>s. However, the impact on human life is unclear. In addition to interrupting the digestive system of aquatic species, microbeads</w:t>
      </w:r>
      <w:r w:rsidRPr="00801D9A">
        <w:t xml:space="preserve"> can </w:t>
      </w:r>
      <w:proofErr w:type="gramStart"/>
      <w:r w:rsidRPr="00801D9A">
        <w:t>actually absorb</w:t>
      </w:r>
      <w:proofErr w:type="gramEnd"/>
      <w:r w:rsidRPr="00801D9A">
        <w:t xml:space="preserve"> and concentrate other toxins in </w:t>
      </w:r>
      <w:r>
        <w:t xml:space="preserve">the </w:t>
      </w:r>
      <w:r w:rsidRPr="00801D9A">
        <w:t xml:space="preserve">water. When ingested in large numbers, these toxins can be absorbed into the fish itself and accumulate up the food chain, potentially ending up </w:t>
      </w:r>
      <w:r>
        <w:t>in food consumed by humans.</w:t>
      </w:r>
      <w:r>
        <w:rPr>
          <w:rStyle w:val="FootnoteReference"/>
        </w:rPr>
        <w:footnoteReference w:id="104"/>
      </w:r>
      <w:r>
        <w:t xml:space="preserve"> </w:t>
      </w:r>
    </w:p>
    <w:p w14:paraId="33A266C0" w14:textId="77777777" w:rsidR="00B949E1" w:rsidRDefault="00B949E1" w:rsidP="00B949E1">
      <w:pPr>
        <w:pStyle w:val="BodyText"/>
        <w:rPr>
          <w:rFonts w:cs="Times New Roman"/>
        </w:rPr>
      </w:pPr>
      <w:r>
        <w:t>In 2016, the Australian Environment Ministers agreed to support a voluntary phase-out of plastic microbeads found in rinse-off personal care, cosmetic and cleaning products. The phase-out is led by Accord Australasia (Accord) through their BeadRecede campaign, and overseen by the Commonwealth Department of Agriculture, Water and the Environment and the NSW Environment Protection Authority.</w:t>
      </w:r>
      <w:r>
        <w:rPr>
          <w:rStyle w:val="FootnoteReference"/>
        </w:rPr>
        <w:footnoteReference w:id="105"/>
      </w:r>
      <w:r>
        <w:t xml:space="preserve"> In conjunction with this, the 2019 National Waste Policy Action Plan</w:t>
      </w:r>
      <w:r>
        <w:rPr>
          <w:rStyle w:val="FootnoteReference"/>
        </w:rPr>
        <w:footnoteReference w:id="106"/>
      </w:r>
      <w:r>
        <w:t xml:space="preserve"> incorporates a wider commitment from the business industry, sector, and governments to phase-out 100% of plastic microbeads from the outlined rinse-off products. </w:t>
      </w:r>
    </w:p>
    <w:p w14:paraId="784C978F" w14:textId="77777777" w:rsidR="00B949E1" w:rsidRDefault="00B949E1" w:rsidP="00B949E1">
      <w:pPr>
        <w:pStyle w:val="BodyText"/>
        <w:rPr>
          <w:sz w:val="24"/>
          <w:szCs w:val="24"/>
        </w:rPr>
      </w:pPr>
      <w:r>
        <w:t xml:space="preserve">There are reasons to believe that industry’s voluntary phase-out of plastic microbeads has been successful. The </w:t>
      </w:r>
      <w:r>
        <w:rPr>
          <w:i/>
          <w:iCs/>
        </w:rPr>
        <w:t xml:space="preserve">Assessment of the presence of microbeads in rinse-off personal care, cosmetic and cleaning products currently available within the Australian retail market </w:t>
      </w:r>
      <w:r>
        <w:t>conducted by the Department of Agriculture, Water and the Environment in 2020 found that out of 8,100 unique products inspected, only 0.7% contained microbeads.</w:t>
      </w:r>
      <w:r>
        <w:rPr>
          <w:rStyle w:val="FootnoteReference"/>
        </w:rPr>
        <w:footnoteReference w:id="107"/>
      </w:r>
    </w:p>
    <w:p w14:paraId="2D5F318D" w14:textId="77777777" w:rsidR="00B949E1" w:rsidRDefault="00B949E1" w:rsidP="00B949E1">
      <w:pPr>
        <w:pStyle w:val="BodyText"/>
      </w:pPr>
      <w:r>
        <w:t xml:space="preserve">Furthermore, the </w:t>
      </w:r>
      <w:r w:rsidRPr="00D01336">
        <w:rPr>
          <w:i/>
          <w:iCs/>
        </w:rPr>
        <w:t>Plastic Reduction and Circular Economy Act 2021</w:t>
      </w:r>
      <w:r>
        <w:t xml:space="preserve"> bans the supply of rinse-off personal care products containing microbeads in NSW from 1 November 2022.</w:t>
      </w:r>
      <w:r>
        <w:rPr>
          <w:rStyle w:val="FootnoteReference"/>
        </w:rPr>
        <w:footnoteReference w:id="108"/>
      </w:r>
      <w:r>
        <w:t xml:space="preserve"> With NSW being a major economy and market within Australia, this ban further incentivises industry to phase-out microbeads.</w:t>
      </w:r>
    </w:p>
    <w:p w14:paraId="37FCB794" w14:textId="77777777" w:rsidR="00B949E1" w:rsidRDefault="00B949E1" w:rsidP="00B949E1">
      <w:pPr>
        <w:pStyle w:val="BodyText"/>
      </w:pPr>
      <w:r>
        <w:t xml:space="preserve">In summary, microbeads appear to have a high environmental cost associated with their use. Governments have taken policy action in other jurisdictions, and there are existing industry commitments to phase-out their use which will see the level of microplastics consumption approach zero in the ACT. </w:t>
      </w:r>
    </w:p>
    <w:p w14:paraId="751B7BEF" w14:textId="77777777" w:rsidR="00B949E1" w:rsidRDefault="00B949E1" w:rsidP="00B949E1">
      <w:pPr>
        <w:pStyle w:val="BodyText"/>
      </w:pPr>
      <w:r>
        <w:t>While a significant proportion of microbeads will exit the market due to voluntary bans, a small proportion will continue to exist. There is evidence to suggest that there are human and wildlife health benefits associated with the total phase-out of microbeads.</w:t>
      </w:r>
    </w:p>
    <w:p w14:paraId="3A6E717E" w14:textId="77777777" w:rsidR="00B949E1" w:rsidRDefault="00B949E1" w:rsidP="00B949E1">
      <w:pPr>
        <w:pStyle w:val="Heading3"/>
      </w:pPr>
      <w:r>
        <w:lastRenderedPageBreak/>
        <w:t xml:space="preserve">Reduced contamination of recycling streams </w:t>
      </w:r>
    </w:p>
    <w:p w14:paraId="3A04B761" w14:textId="77777777" w:rsidR="00B949E1" w:rsidRDefault="00B949E1" w:rsidP="00B949E1">
      <w:pPr>
        <w:pStyle w:val="BodyText"/>
      </w:pPr>
      <w:r>
        <w:t>Many SUPs are misplaced in recycling bins by consumers.</w:t>
      </w:r>
      <w:r>
        <w:rPr>
          <w:rStyle w:val="FootnoteReference"/>
        </w:rPr>
        <w:footnoteReference w:id="109"/>
      </w:r>
      <w:r>
        <w:t xml:space="preserve"> Where this occurs, the recycling system is said to be contaminated. This contamination can impose major costs on recycling facilities through additional requirements for sorting and damage to machinery.</w:t>
      </w:r>
      <w:r>
        <w:rPr>
          <w:rStyle w:val="FootnoteReference"/>
        </w:rPr>
        <w:footnoteReference w:id="110"/>
      </w:r>
      <w:r>
        <w:t xml:space="preserve"> EPS and other fragmentable items can also contaminate organic recycling streams or home compost systems.</w:t>
      </w:r>
      <w:r>
        <w:rPr>
          <w:rStyle w:val="FootnoteReference"/>
        </w:rPr>
        <w:footnoteReference w:id="111"/>
      </w:r>
    </w:p>
    <w:p w14:paraId="61FBDE73" w14:textId="77777777" w:rsidR="00B949E1" w:rsidRDefault="00B949E1" w:rsidP="00B949E1">
      <w:pPr>
        <w:pStyle w:val="BodyText"/>
      </w:pPr>
      <w:r>
        <w:t>Removing SUPs from sale will reduce the amount of recycling contamination that occurs and reduce the need for sorting. This will make recycling more efficient and reduce recycling costs.</w:t>
      </w:r>
    </w:p>
    <w:p w14:paraId="1691D64B" w14:textId="77777777" w:rsidR="00B949E1" w:rsidRPr="0084746E" w:rsidRDefault="00B949E1" w:rsidP="00B949E1">
      <w:pPr>
        <w:pStyle w:val="BodyText"/>
      </w:pPr>
      <w:r>
        <w:t xml:space="preserve">No suitable data exists on the efficiency gains associated with removing SUPs from recycling </w:t>
      </w:r>
      <w:r w:rsidRPr="0084746E">
        <w:t xml:space="preserve">systems. As such, this benefit (although real) has not been modelled. </w:t>
      </w:r>
    </w:p>
    <w:p w14:paraId="73D6C007" w14:textId="77777777" w:rsidR="00B949E1" w:rsidRPr="0084746E" w:rsidRDefault="00B949E1" w:rsidP="00B949E1">
      <w:pPr>
        <w:pStyle w:val="Heading3"/>
      </w:pPr>
      <w:r w:rsidRPr="0084746E">
        <w:t>Policy and strategy alignment</w:t>
      </w:r>
    </w:p>
    <w:p w14:paraId="1091C302" w14:textId="77777777" w:rsidR="00B949E1" w:rsidRPr="0084746E" w:rsidRDefault="00B949E1" w:rsidP="00B949E1">
      <w:pPr>
        <w:pStyle w:val="BodyText"/>
      </w:pPr>
      <w:r w:rsidRPr="0084746E">
        <w:t>Several benefits of alignment to current policy and strategy, both within the Territory and nationally, have been identified by stakeholders during the consultation process for tranche 3 items. In particular, the regulation would support alignment with the following strategies, policies and targets</w:t>
      </w:r>
      <w:r>
        <w:t xml:space="preserve"> (see Section </w:t>
      </w:r>
      <w:r>
        <w:fldChar w:fldCharType="begin"/>
      </w:r>
      <w:r>
        <w:instrText xml:space="preserve"> REF _Ref131592168 \r \h </w:instrText>
      </w:r>
      <w:r>
        <w:fldChar w:fldCharType="separate"/>
      </w:r>
      <w:r>
        <w:t>2.3</w:t>
      </w:r>
      <w:r>
        <w:fldChar w:fldCharType="end"/>
      </w:r>
      <w:r>
        <w:t xml:space="preserve"> for more details)</w:t>
      </w:r>
      <w:r w:rsidRPr="0084746E">
        <w:t>:</w:t>
      </w:r>
    </w:p>
    <w:p w14:paraId="42F2DDF2" w14:textId="77777777" w:rsidR="00B949E1" w:rsidRPr="0084746E" w:rsidRDefault="00B949E1" w:rsidP="00B949E1">
      <w:pPr>
        <w:pStyle w:val="ListBullet"/>
        <w:numPr>
          <w:ilvl w:val="0"/>
          <w:numId w:val="9"/>
        </w:numPr>
      </w:pPr>
      <w:r w:rsidRPr="0084746E">
        <w:t xml:space="preserve">ACT </w:t>
      </w:r>
      <w:r>
        <w:t>C</w:t>
      </w:r>
      <w:r w:rsidRPr="0084746E">
        <w:t>ircular Economy Strategy 2022-2025</w:t>
      </w:r>
    </w:p>
    <w:p w14:paraId="7A396BEB" w14:textId="77777777" w:rsidR="00B949E1" w:rsidRPr="0084746E" w:rsidRDefault="00B949E1" w:rsidP="00B949E1">
      <w:pPr>
        <w:pStyle w:val="ListBullet"/>
        <w:numPr>
          <w:ilvl w:val="0"/>
          <w:numId w:val="9"/>
        </w:numPr>
      </w:pPr>
      <w:r w:rsidRPr="0084746E">
        <w:t>National Waste Policy Action Plan 2019</w:t>
      </w:r>
    </w:p>
    <w:p w14:paraId="07EE22DE" w14:textId="77777777" w:rsidR="00B949E1" w:rsidRPr="0084746E" w:rsidRDefault="00B949E1" w:rsidP="00B949E1">
      <w:pPr>
        <w:pStyle w:val="ListBullet"/>
        <w:numPr>
          <w:ilvl w:val="0"/>
          <w:numId w:val="9"/>
        </w:numPr>
      </w:pPr>
      <w:r w:rsidRPr="0084746E">
        <w:t>National Plastics Plan 2021</w:t>
      </w:r>
    </w:p>
    <w:p w14:paraId="55BC41F0" w14:textId="77777777" w:rsidR="00B949E1" w:rsidRPr="0084746E" w:rsidRDefault="00B949E1" w:rsidP="00B949E1">
      <w:pPr>
        <w:pStyle w:val="ListBullet"/>
        <w:numPr>
          <w:ilvl w:val="0"/>
          <w:numId w:val="9"/>
        </w:numPr>
      </w:pPr>
      <w:r w:rsidRPr="0084746E">
        <w:t>2025 National Packaging targets</w:t>
      </w:r>
    </w:p>
    <w:p w14:paraId="323A833B" w14:textId="77777777" w:rsidR="00B949E1" w:rsidRPr="0084746E" w:rsidRDefault="00B949E1" w:rsidP="00B949E1">
      <w:pPr>
        <w:pStyle w:val="ListBullet"/>
        <w:numPr>
          <w:ilvl w:val="0"/>
          <w:numId w:val="9"/>
        </w:numPr>
      </w:pPr>
      <w:r w:rsidRPr="0084746E">
        <w:t>APCO’s EPS Roadmap</w:t>
      </w:r>
    </w:p>
    <w:p w14:paraId="09C94F9F" w14:textId="77777777" w:rsidR="00B949E1" w:rsidRPr="0084746E" w:rsidRDefault="00B949E1" w:rsidP="00B949E1">
      <w:pPr>
        <w:pStyle w:val="ListBullet"/>
        <w:numPr>
          <w:ilvl w:val="0"/>
          <w:numId w:val="9"/>
        </w:numPr>
      </w:pPr>
      <w:r w:rsidRPr="0084746E">
        <w:t>BeadRecede Voluntary Industry Code</w:t>
      </w:r>
    </w:p>
    <w:p w14:paraId="0B002A6E" w14:textId="77777777" w:rsidR="00B949E1" w:rsidRPr="0084746E" w:rsidRDefault="00B949E1" w:rsidP="00B949E1">
      <w:pPr>
        <w:pStyle w:val="BodyText"/>
      </w:pPr>
      <w:r w:rsidRPr="0084746E">
        <w:t xml:space="preserve">Given the relatively small market of the ACT and its reliance on national supply chains for SUPs and alternatives, </w:t>
      </w:r>
      <w:r>
        <w:t>economic benefits are</w:t>
      </w:r>
      <w:r w:rsidRPr="0084746E">
        <w:t xml:space="preserve"> associated </w:t>
      </w:r>
      <w:r>
        <w:t xml:space="preserve">with </w:t>
      </w:r>
      <w:r w:rsidRPr="0084746E">
        <w:t xml:space="preserve">ensuring alignment </w:t>
      </w:r>
      <w:r>
        <w:t xml:space="preserve">to </w:t>
      </w:r>
      <w:r w:rsidRPr="0084746E">
        <w:t>national strategies and targets.</w:t>
      </w:r>
    </w:p>
    <w:p w14:paraId="2068831F" w14:textId="77777777" w:rsidR="00B949E1" w:rsidRDefault="00B949E1" w:rsidP="00B949E1">
      <w:pPr>
        <w:pStyle w:val="Heading2"/>
      </w:pPr>
      <w:bookmarkStart w:id="128" w:name="_Ref131163140"/>
      <w:bookmarkStart w:id="129" w:name="_Toc136872637"/>
      <w:r>
        <w:t>Transboundary impacts</w:t>
      </w:r>
      <w:bookmarkEnd w:id="128"/>
      <w:bookmarkEnd w:id="129"/>
    </w:p>
    <w:p w14:paraId="647B08D6" w14:textId="77777777" w:rsidR="00B949E1" w:rsidRPr="00466786" w:rsidRDefault="00B949E1" w:rsidP="00B949E1">
      <w:pPr>
        <w:pStyle w:val="Heading3"/>
      </w:pPr>
      <w:r w:rsidRPr="00466786">
        <w:t>Mutual recognition principle</w:t>
      </w:r>
    </w:p>
    <w:p w14:paraId="5F0EEC02" w14:textId="77777777" w:rsidR="00B949E1" w:rsidRPr="00754A0D" w:rsidRDefault="00B949E1" w:rsidP="00B949E1">
      <w:pPr>
        <w:pStyle w:val="BodyText"/>
      </w:pPr>
      <w:r>
        <w:t>In Australia, t</w:t>
      </w:r>
      <w:r w:rsidRPr="00754A0D">
        <w:t xml:space="preserve">he </w:t>
      </w:r>
      <w:r w:rsidRPr="00D01336">
        <w:rPr>
          <w:i/>
          <w:iCs/>
        </w:rPr>
        <w:t>Mutual Recognition Act 1992</w:t>
      </w:r>
      <w:r w:rsidRPr="00754A0D">
        <w:t xml:space="preserve"> and the </w:t>
      </w:r>
      <w:r w:rsidRPr="00D01336">
        <w:rPr>
          <w:i/>
          <w:iCs/>
        </w:rPr>
        <w:t>Trans-Tasman Mutual Recognition Act 1997</w:t>
      </w:r>
      <w:r w:rsidRPr="00754A0D">
        <w:t xml:space="preserve"> aim to remove regulatory barriers to the free flow of goods and labour between Australian states and territories. </w:t>
      </w:r>
      <w:r>
        <w:t xml:space="preserve">In the ACT, the </w:t>
      </w:r>
      <w:r w:rsidRPr="001850CE">
        <w:rPr>
          <w:i/>
          <w:iCs/>
        </w:rPr>
        <w:t>Mutual Recognition Act (ACT) 1992</w:t>
      </w:r>
      <w:r>
        <w:t xml:space="preserve"> and the </w:t>
      </w:r>
      <w:r w:rsidRPr="001850CE">
        <w:rPr>
          <w:i/>
          <w:iCs/>
        </w:rPr>
        <w:t>Trans-Tasman Mutual Recognition Act (ACT) 1997</w:t>
      </w:r>
      <w:r>
        <w:t xml:space="preserve"> apply as laws.</w:t>
      </w:r>
    </w:p>
    <w:p w14:paraId="5A80E2A4" w14:textId="77777777" w:rsidR="00B949E1" w:rsidRDefault="00B949E1" w:rsidP="00B949E1">
      <w:pPr>
        <w:pStyle w:val="BodyText"/>
      </w:pPr>
      <w:r>
        <w:t>These Acts apply the</w:t>
      </w:r>
      <w:r w:rsidRPr="00754A0D">
        <w:t xml:space="preserve"> ‘mutual recognition principle’</w:t>
      </w:r>
      <w:r>
        <w:t xml:space="preserve">: </w:t>
      </w:r>
      <w:r w:rsidRPr="00754A0D">
        <w:t>goods produced or imported into one Australian jurisdiction can be distributed and sold freely throughout Australia</w:t>
      </w:r>
      <w:r>
        <w:t>, and in, extension, to New Zealand.</w:t>
      </w:r>
    </w:p>
    <w:p w14:paraId="1D838639" w14:textId="77777777" w:rsidR="00B949E1" w:rsidRDefault="00B949E1" w:rsidP="00B949E1">
      <w:pPr>
        <w:pStyle w:val="BodyText"/>
      </w:pPr>
      <w:r w:rsidRPr="00CF5B42">
        <w:t xml:space="preserve">The principle of these Acts is that when goods are sold across borders, they do not need to meet ‘additional requirements’ that the importing jurisdiction might otherwise impose under its laws. These include standards for quality or performance, inspection criteria and labelling rules. </w:t>
      </w:r>
    </w:p>
    <w:p w14:paraId="59C0E79C" w14:textId="77777777" w:rsidR="00B949E1" w:rsidRDefault="00B949E1" w:rsidP="00B949E1">
      <w:pPr>
        <w:pStyle w:val="Heading3"/>
      </w:pPr>
      <w:r>
        <w:lastRenderedPageBreak/>
        <w:t>Impacts of the Regulation on mutual recognition</w:t>
      </w:r>
    </w:p>
    <w:p w14:paraId="588240A2" w14:textId="77777777" w:rsidR="00B949E1" w:rsidRPr="00103891" w:rsidRDefault="00B949E1" w:rsidP="00B949E1">
      <w:pPr>
        <w:pStyle w:val="BodyText"/>
      </w:pPr>
      <w:r w:rsidRPr="00291FC5">
        <w:t xml:space="preserve">Several jurisdictions have already achieved temporary exemptions under Mutual Recognition </w:t>
      </w:r>
      <w:r>
        <w:t>legislation;</w:t>
      </w:r>
      <w:r w:rsidRPr="00291FC5">
        <w:t xml:space="preserve"> </w:t>
      </w:r>
      <w:r>
        <w:t xml:space="preserve">however, </w:t>
      </w:r>
      <w:r w:rsidRPr="00291FC5">
        <w:t xml:space="preserve">no jurisdiction has achieved a permanent exemption for their </w:t>
      </w:r>
      <w:r>
        <w:t xml:space="preserve">SUPs </w:t>
      </w:r>
      <w:r w:rsidRPr="00291FC5">
        <w:t>ban</w:t>
      </w:r>
      <w:r>
        <w:t xml:space="preserve"> at the time of writing this RIS</w:t>
      </w:r>
      <w:r w:rsidRPr="00291FC5">
        <w:t>. The ACT has signalled its intention to achieve this exemption with other jurisdictions, and no issues or points of contention have been raised</w:t>
      </w:r>
      <w:r>
        <w:t xml:space="preserve"> to date</w:t>
      </w:r>
      <w:r w:rsidRPr="00291FC5">
        <w:t>.</w:t>
      </w:r>
      <w:r>
        <w:t xml:space="preserve"> </w:t>
      </w:r>
    </w:p>
    <w:p w14:paraId="17F67573" w14:textId="77777777" w:rsidR="00B949E1" w:rsidRDefault="00B949E1" w:rsidP="00B949E1">
      <w:pPr>
        <w:pStyle w:val="BodyText"/>
      </w:pPr>
      <w:r w:rsidRPr="00CF5B42">
        <w:t xml:space="preserve">As other Australian jurisdictions also move forward with phasing out </w:t>
      </w:r>
      <w:r>
        <w:t xml:space="preserve">SUP </w:t>
      </w:r>
      <w:r w:rsidRPr="00CF5B42">
        <w:t xml:space="preserve">items and cross-jurisdictional cooperation continues, the ACT Government </w:t>
      </w:r>
      <w:r>
        <w:t>should make required amendments as needed.</w:t>
      </w:r>
    </w:p>
    <w:p w14:paraId="65047426" w14:textId="77777777" w:rsidR="00B949E1" w:rsidRPr="00291FC5" w:rsidRDefault="00B949E1" w:rsidP="00B949E1">
      <w:pPr>
        <w:pStyle w:val="BodyText"/>
      </w:pPr>
      <w:r>
        <w:t xml:space="preserve">As discussed in Section </w:t>
      </w:r>
      <w:r>
        <w:fldChar w:fldCharType="begin"/>
      </w:r>
      <w:r>
        <w:instrText xml:space="preserve"> REF _Ref131583004 \r \h </w:instrText>
      </w:r>
      <w:r>
        <w:fldChar w:fldCharType="separate"/>
      </w:r>
      <w:r>
        <w:t>4.2.3</w:t>
      </w:r>
      <w:r>
        <w:fldChar w:fldCharType="end"/>
      </w:r>
      <w:r>
        <w:t xml:space="preserve"> and shown in </w:t>
      </w:r>
      <w:r w:rsidRPr="00C55DD8">
        <w:rPr>
          <w:b/>
          <w:bCs/>
        </w:rPr>
        <w:fldChar w:fldCharType="begin"/>
      </w:r>
      <w:r w:rsidRPr="00C55DD8">
        <w:rPr>
          <w:b/>
          <w:bCs/>
        </w:rPr>
        <w:instrText xml:space="preserve"> REF _Ref130560469 \h </w:instrText>
      </w:r>
      <w:r>
        <w:rPr>
          <w:b/>
          <w:bCs/>
        </w:rPr>
        <w:instrText xml:space="preserve"> \* MERGEFORMAT </w:instrText>
      </w:r>
      <w:r w:rsidRPr="00C55DD8">
        <w:rPr>
          <w:b/>
          <w:bCs/>
        </w:rPr>
      </w:r>
      <w:r w:rsidRPr="00C55DD8">
        <w:rPr>
          <w:b/>
          <w:bCs/>
        </w:rPr>
        <w:fldChar w:fldCharType="separate"/>
      </w:r>
      <w:r w:rsidRPr="00790266">
        <w:rPr>
          <w:rStyle w:val="CaptionLabel"/>
          <w:b w:val="0"/>
          <w:bCs/>
        </w:rPr>
        <w:t>Table 4.1</w:t>
      </w:r>
      <w:r w:rsidRPr="00C55DD8">
        <w:rPr>
          <w:b/>
          <w:bCs/>
        </w:rPr>
        <w:fldChar w:fldCharType="end"/>
      </w:r>
      <w:r>
        <w:t xml:space="preserve">, several other jurisdictions have been or looking to ban the SUPs considered in this RIS. </w:t>
      </w:r>
      <w:r w:rsidRPr="00291FC5">
        <w:t xml:space="preserve">While progress is being made in most jurisdictions on at least some of these items, jurisdictions have also developed bespoke actions on </w:t>
      </w:r>
      <w:r>
        <w:t xml:space="preserve">SUP </w:t>
      </w:r>
      <w:r w:rsidRPr="00291FC5">
        <w:t>items identified as problematic in their own jurisdiction. Jurisdictions continue to identify any issues or opportunities for shared action.</w:t>
      </w:r>
    </w:p>
    <w:p w14:paraId="76E8B88F" w14:textId="77777777" w:rsidR="00B949E1" w:rsidRPr="00291FC5" w:rsidRDefault="00B949E1" w:rsidP="00B949E1">
      <w:pPr>
        <w:pStyle w:val="BodyText"/>
      </w:pPr>
      <w:r w:rsidRPr="00291FC5">
        <w:t xml:space="preserve">The phase-out of </w:t>
      </w:r>
      <w:r>
        <w:t xml:space="preserve">SUP </w:t>
      </w:r>
      <w:r w:rsidRPr="00291FC5">
        <w:t xml:space="preserve">in the ACT may also </w:t>
      </w:r>
      <w:r>
        <w:t>positively impact</w:t>
      </w:r>
      <w:r w:rsidRPr="00291FC5">
        <w:t xml:space="preserve"> phase</w:t>
      </w:r>
      <w:r>
        <w:t>-</w:t>
      </w:r>
      <w:r w:rsidRPr="00291FC5">
        <w:t xml:space="preserve">outs in other states and territories and New Zealand. For instance, prohibiting items in the ACT that are not yet prohibited in other jurisdictions may allow other jurisdictions to learn from the challenges and opportunities in introducing bans for </w:t>
      </w:r>
      <w:r>
        <w:t>specific</w:t>
      </w:r>
      <w:r w:rsidRPr="00291FC5">
        <w:t xml:space="preserve"> </w:t>
      </w:r>
      <w:r>
        <w:t>SUPs</w:t>
      </w:r>
      <w:r w:rsidRPr="00291FC5">
        <w:t xml:space="preserve">. It may also </w:t>
      </w:r>
      <w:r>
        <w:t xml:space="preserve">encourage the development of industries and </w:t>
      </w:r>
      <w:r w:rsidRPr="00291FC5">
        <w:t>markets for alternative products.</w:t>
      </w:r>
    </w:p>
    <w:p w14:paraId="58FD2F39" w14:textId="77777777" w:rsidR="00B949E1" w:rsidRPr="00291FC5" w:rsidRDefault="00B949E1" w:rsidP="00B949E1">
      <w:pPr>
        <w:pStyle w:val="BodyText"/>
      </w:pPr>
      <w:r w:rsidRPr="00291FC5">
        <w:t xml:space="preserve">In addition, the phase-out of </w:t>
      </w:r>
      <w:r>
        <w:t xml:space="preserve">SUPs </w:t>
      </w:r>
      <w:r w:rsidRPr="00291FC5">
        <w:t xml:space="preserve">will have a positive environmental impact on some other states </w:t>
      </w:r>
      <w:r>
        <w:t xml:space="preserve">(most likely NSW) </w:t>
      </w:r>
      <w:r w:rsidRPr="00291FC5">
        <w:t xml:space="preserve">because </w:t>
      </w:r>
      <w:r>
        <w:t xml:space="preserve">of </w:t>
      </w:r>
      <w:r w:rsidRPr="00291FC5">
        <w:t xml:space="preserve">the problems </w:t>
      </w:r>
      <w:r>
        <w:t>concerning</w:t>
      </w:r>
      <w:r w:rsidRPr="00291FC5">
        <w:t xml:space="preserve"> litter and pollution of the environment (</w:t>
      </w:r>
      <w:proofErr w:type="gramStart"/>
      <w:r w:rsidRPr="00291FC5">
        <w:t>e.g.</w:t>
      </w:r>
      <w:proofErr w:type="gramEnd"/>
      <w:r w:rsidRPr="00291FC5">
        <w:t xml:space="preserve"> </w:t>
      </w:r>
      <w:r>
        <w:t xml:space="preserve">in the </w:t>
      </w:r>
      <w:r w:rsidRPr="00291FC5">
        <w:t>waterways</w:t>
      </w:r>
      <w:r>
        <w:t xml:space="preserve"> and river systems connecting ACT to other jurisdictions</w:t>
      </w:r>
      <w:r w:rsidRPr="00291FC5">
        <w:t xml:space="preserve">) caused by </w:t>
      </w:r>
      <w:r>
        <w:t xml:space="preserve">SUP </w:t>
      </w:r>
      <w:r w:rsidRPr="00291FC5">
        <w:t xml:space="preserve">are not restricted by jurisdictional boundaries. While most of the litter and waste from </w:t>
      </w:r>
      <w:r>
        <w:t xml:space="preserve">SUP </w:t>
      </w:r>
      <w:r w:rsidRPr="00291FC5">
        <w:t>supplied in the ACT is likely to occur within the ACT</w:t>
      </w:r>
      <w:r>
        <w:t>,</w:t>
      </w:r>
      <w:r w:rsidRPr="00291FC5">
        <w:t xml:space="preserve"> it may also occur </w:t>
      </w:r>
      <w:r>
        <w:t>in</w:t>
      </w:r>
      <w:r w:rsidRPr="00291FC5">
        <w:t xml:space="preserve"> surrounding areas of NSW or further afield.</w:t>
      </w:r>
    </w:p>
    <w:p w14:paraId="04097F7E" w14:textId="77777777" w:rsidR="00B949E1" w:rsidRPr="00103891" w:rsidRDefault="00B949E1" w:rsidP="00B949E1">
      <w:pPr>
        <w:pStyle w:val="BodyText"/>
      </w:pPr>
      <w:r w:rsidRPr="00291FC5">
        <w:t xml:space="preserve">Banning the sale and supply of </w:t>
      </w:r>
      <w:r>
        <w:t xml:space="preserve">these SUPs </w:t>
      </w:r>
      <w:r w:rsidRPr="00291FC5">
        <w:t xml:space="preserve">in the ACT will affect other Australian states and territories and New Zealand in situations where the supply of these products occurs across multiple jurisdictions. </w:t>
      </w:r>
      <w:r>
        <w:t xml:space="preserve">However, as noted in Section </w:t>
      </w:r>
      <w:r>
        <w:fldChar w:fldCharType="begin"/>
      </w:r>
      <w:r>
        <w:instrText xml:space="preserve"> REF _Ref131071449 \r \h </w:instrText>
      </w:r>
      <w:r>
        <w:fldChar w:fldCharType="separate"/>
      </w:r>
      <w:r>
        <w:t>7.1.2</w:t>
      </w:r>
      <w:r>
        <w:fldChar w:fldCharType="end"/>
      </w:r>
      <w:r>
        <w:t>, the plastic manufacturing industry of the ACT occupies approximately 0.5% share of the market in Australia.</w:t>
      </w:r>
      <w:r>
        <w:rPr>
          <w:rStyle w:val="FootnoteReference"/>
        </w:rPr>
        <w:footnoteReference w:id="112"/>
      </w:r>
      <w:r>
        <w:t xml:space="preserve"> It is unlikely that any ban on the production and supply of plastic within the ACT will have a major impact on other territories. </w:t>
      </w:r>
    </w:p>
    <w:p w14:paraId="7B6CB9D2" w14:textId="77777777" w:rsidR="00B949E1" w:rsidRPr="00291FC5" w:rsidRDefault="00B949E1" w:rsidP="00B949E1">
      <w:pPr>
        <w:pStyle w:val="BodyText"/>
      </w:pPr>
      <w:r w:rsidRPr="00291FC5">
        <w:t xml:space="preserve">Canberra is the main regional hub for the surrounding area in NSW. Therefore, those </w:t>
      </w:r>
      <w:r>
        <w:t>living in NSW and working or accessing</w:t>
      </w:r>
      <w:r w:rsidRPr="00291FC5">
        <w:t xml:space="preserve"> services in the ACT will be subject to different rules in each jurisdiction, as will businesses on either side of the border. Busines</w:t>
      </w:r>
      <w:r>
        <w:t>se</w:t>
      </w:r>
      <w:r w:rsidRPr="00291FC5">
        <w:t>s in the ACT may be impacted by being subject to different rules from competing businesses across the border. However, NSW</w:t>
      </w:r>
      <w:r>
        <w:t>’s</w:t>
      </w:r>
      <w:r w:rsidRPr="00291FC5">
        <w:t xml:space="preserve"> ban on </w:t>
      </w:r>
      <w:r>
        <w:t xml:space="preserve">SUPs </w:t>
      </w:r>
      <w:r w:rsidRPr="00291FC5">
        <w:t>from 2022</w:t>
      </w:r>
      <w:r>
        <w:t xml:space="preserve"> onwards means that a ban in the ACT </w:t>
      </w:r>
      <w:r w:rsidRPr="00291FC5">
        <w:t xml:space="preserve">is unlikely to </w:t>
      </w:r>
      <w:r>
        <w:t>have significant long-term implications for NSW</w:t>
      </w:r>
      <w:r w:rsidRPr="00291FC5">
        <w:t>.</w:t>
      </w:r>
    </w:p>
    <w:p w14:paraId="15219E35" w14:textId="77777777" w:rsidR="00B949E1" w:rsidRPr="00291FC5" w:rsidRDefault="00B949E1" w:rsidP="00B949E1">
      <w:pPr>
        <w:pStyle w:val="BodyText"/>
      </w:pPr>
      <w:r>
        <w:t xml:space="preserve">In summary, the </w:t>
      </w:r>
      <w:r w:rsidRPr="00291FC5">
        <w:t>impacts on other jurisdictions from the ban in the ACT will only arise in a jurisdiction where an item that is banned in the ACT is not banned in that jurisdiction. Because most items are likely to be banned in most jurisdictions, these impacts are not expected to be large. Also, because of the small size of the ACT, if an item is banned but continues to be supplied elsewhere, this will likely only result in a small reduction in the market for these products. In the context of the overall economic impact of banning items, which will mainly affect businesses supplying relevant products in the ACT, and the positive environmental impact of the ban, the impact on other jurisdictions will likely be relatively small.</w:t>
      </w:r>
    </w:p>
    <w:p w14:paraId="45BF26E7" w14:textId="77777777" w:rsidR="00B949E1" w:rsidRDefault="00B949E1" w:rsidP="00B949E1">
      <w:pPr>
        <w:pStyle w:val="BodyText"/>
      </w:pPr>
    </w:p>
    <w:p w14:paraId="514448FA" w14:textId="77777777" w:rsidR="00B949E1" w:rsidRDefault="00B949E1" w:rsidP="00B949E1">
      <w:pPr>
        <w:pStyle w:val="BodyText"/>
      </w:pPr>
      <w:r>
        <w:lastRenderedPageBreak/>
        <w:t>the extent to which the proposed Regulation will impinge these rights, exemptions for medical, scientific or health requirements have been provided for. While the reform will introduce additional strict liability offences, the offences are intended to deter people from failing to comply with the Act and are considered necessary to achieve the objectives of the reform.</w:t>
      </w:r>
    </w:p>
    <w:p w14:paraId="43B08F96" w14:textId="77777777" w:rsidR="00B949E1" w:rsidRDefault="00B949E1" w:rsidP="00B949E1">
      <w:pPr>
        <w:pStyle w:val="Heading2"/>
      </w:pPr>
      <w:bookmarkStart w:id="130" w:name="_Toc136872638"/>
      <w:r>
        <w:t>Human Rights Analysis</w:t>
      </w:r>
      <w:bookmarkEnd w:id="130"/>
    </w:p>
    <w:p w14:paraId="6781557E" w14:textId="77777777" w:rsidR="00B949E1" w:rsidRDefault="00B949E1" w:rsidP="00B949E1">
      <w:pPr>
        <w:pStyle w:val="BodyText"/>
      </w:pPr>
      <w:r>
        <w:t>Directorates are obliged under the Human Rights Act 2004 (HR Act) to act and make decisions consistently with human rights.</w:t>
      </w:r>
    </w:p>
    <w:p w14:paraId="67B9A11B" w14:textId="77777777" w:rsidR="00B949E1" w:rsidRDefault="00B949E1" w:rsidP="00B949E1">
      <w:pPr>
        <w:pStyle w:val="BodyText"/>
      </w:pPr>
      <w:r>
        <w:t>This includes ensuring any amendments result in a law that is proportionate (as per s28 of the HR Act) – that is, that it limits rights in the least restrictive way possible to achieve the purpose of the legislation. This includes considering if any amendment is going to have a disproportionate impact on low-income earners or other vulnerable people, engaging the right to equality provision under s8 of the HR Act.</w:t>
      </w:r>
    </w:p>
    <w:p w14:paraId="57667CF2" w14:textId="77777777" w:rsidR="00B949E1" w:rsidRDefault="00B949E1" w:rsidP="00B949E1">
      <w:pPr>
        <w:pStyle w:val="BodyText"/>
      </w:pPr>
      <w:r>
        <w:t xml:space="preserve">The Plastic Reduction Bill 2020 engaged with </w:t>
      </w:r>
      <w:proofErr w:type="gramStart"/>
      <w:r>
        <w:t>a number of</w:t>
      </w:r>
      <w:proofErr w:type="gramEnd"/>
      <w:r>
        <w:t xml:space="preserve"> human rights which were examined as part of the RIS prepared for the first tranche of single-use plastic reform. The associated policy development was supported by engagement with the ACT Justice and Community Safety Directorate, Human Rights and Social Policy Unit, and the ACT Human Rights Commission via the Human Rights Team and Commissioner for Discrimination, Health Services, and Disability and Community Services.</w:t>
      </w:r>
    </w:p>
    <w:p w14:paraId="11D43E96" w14:textId="77777777" w:rsidR="00B949E1" w:rsidRDefault="00B949E1" w:rsidP="00B949E1">
      <w:pPr>
        <w:pStyle w:val="BodyText"/>
      </w:pPr>
      <w:r>
        <w:t>This third tranche of proposed reform seeks to expand the regulation of prohibited items under the Act. The matters considered relevant from a human rights perspective have been considered through the development of this RIS and are discussed in the following sections.</w:t>
      </w:r>
    </w:p>
    <w:p w14:paraId="1671BED6" w14:textId="77777777" w:rsidR="00B949E1" w:rsidRPr="00C65934" w:rsidRDefault="00B949E1" w:rsidP="00B949E1">
      <w:pPr>
        <w:pStyle w:val="BodyText"/>
        <w:rPr>
          <w:b/>
          <w:bCs/>
        </w:rPr>
      </w:pPr>
      <w:r w:rsidRPr="00C65934">
        <w:rPr>
          <w:b/>
          <w:bCs/>
        </w:rPr>
        <w:t>Recognition and equality before the law</w:t>
      </w:r>
    </w:p>
    <w:p w14:paraId="24B2D004" w14:textId="77777777" w:rsidR="00B949E1" w:rsidRDefault="00B949E1" w:rsidP="00B949E1">
      <w:pPr>
        <w:pStyle w:val="BodyText"/>
      </w:pPr>
      <w:r>
        <w:t xml:space="preserve">The proposed reform has been identified as engaging s8 of the HR Act, which provides a right to recognition and equality before the law, specifically s8(3) which provides protection against discrimination on any grounds. </w:t>
      </w:r>
    </w:p>
    <w:p w14:paraId="7AE2ECBC" w14:textId="77777777" w:rsidR="00B949E1" w:rsidRPr="00C65934" w:rsidRDefault="00B949E1" w:rsidP="00B949E1">
      <w:pPr>
        <w:pStyle w:val="BodyText"/>
        <w:rPr>
          <w:b/>
          <w:bCs/>
        </w:rPr>
      </w:pPr>
      <w:r w:rsidRPr="00C65934">
        <w:rPr>
          <w:b/>
          <w:bCs/>
        </w:rPr>
        <w:t>Right to life</w:t>
      </w:r>
    </w:p>
    <w:p w14:paraId="6EA0ECD8" w14:textId="77777777" w:rsidR="00B949E1" w:rsidRDefault="00B949E1" w:rsidP="00B949E1">
      <w:pPr>
        <w:pStyle w:val="BodyText"/>
      </w:pPr>
      <w:r>
        <w:t>The proposed reform has been identified as engaging s9 of the HR Act, which provides for the right to life. This right requires government to take appropriate measures to safeguard life to protect its citizens and consider their right to life when making decisions that may affect an individuals’ life expectancy.</w:t>
      </w:r>
    </w:p>
    <w:p w14:paraId="2EAB00BF" w14:textId="77777777" w:rsidR="00B949E1" w:rsidRDefault="00B949E1" w:rsidP="00B949E1">
      <w:pPr>
        <w:pStyle w:val="BodyText"/>
      </w:pPr>
      <w:r>
        <w:t xml:space="preserve">Under Part 5 of the Act, the Minister </w:t>
      </w:r>
      <w:proofErr w:type="gramStart"/>
      <w:r>
        <w:t>has the ability to</w:t>
      </w:r>
      <w:proofErr w:type="gramEnd"/>
      <w:r>
        <w:t xml:space="preserve"> introduce exemptions upon application or of their own initiative. The exemption can apply to a person or a plastic product. The ability for the Minister to grant exemptions ensures that people who require single-use plastic </w:t>
      </w:r>
      <w:proofErr w:type="gramStart"/>
      <w:r>
        <w:t>products  will</w:t>
      </w:r>
      <w:proofErr w:type="gramEnd"/>
      <w:r>
        <w:t xml:space="preserve"> still have access to the products they need.</w:t>
      </w:r>
    </w:p>
    <w:p w14:paraId="714876FA" w14:textId="77777777" w:rsidR="00B949E1" w:rsidRDefault="00B949E1" w:rsidP="00B949E1">
      <w:pPr>
        <w:pStyle w:val="BodyText"/>
      </w:pPr>
      <w:r>
        <w:t xml:space="preserve">For these reasons the proposed changes are not expected to impact this right and </w:t>
      </w:r>
      <w:proofErr w:type="gramStart"/>
      <w:r>
        <w:t>are considered to be</w:t>
      </w:r>
      <w:proofErr w:type="gramEnd"/>
      <w:r>
        <w:t xml:space="preserve"> reasonable and proportionate.</w:t>
      </w:r>
    </w:p>
    <w:p w14:paraId="04093BA0" w14:textId="77777777" w:rsidR="00B949E1" w:rsidRPr="00C65934" w:rsidRDefault="00B949E1" w:rsidP="00B949E1">
      <w:pPr>
        <w:pStyle w:val="BodyText"/>
        <w:rPr>
          <w:b/>
          <w:bCs/>
        </w:rPr>
      </w:pPr>
      <w:r w:rsidRPr="00C65934">
        <w:rPr>
          <w:b/>
          <w:bCs/>
        </w:rPr>
        <w:t>Right to privacy</w:t>
      </w:r>
    </w:p>
    <w:p w14:paraId="714124B1" w14:textId="77777777" w:rsidR="00B949E1" w:rsidRDefault="00B949E1" w:rsidP="00B949E1">
      <w:pPr>
        <w:pStyle w:val="BodyText"/>
      </w:pPr>
      <w:r>
        <w:t xml:space="preserve">The proposed reform has been identified as engaging s12(a) of the HR Act, which provides a right to not have one’s privacy interfered with, particularly regarding any potential requirement to disclose private information (e.g., medical information). </w:t>
      </w:r>
    </w:p>
    <w:p w14:paraId="6B2983A6" w14:textId="77777777" w:rsidR="00B949E1" w:rsidRDefault="00B949E1" w:rsidP="00B949E1">
      <w:pPr>
        <w:pStyle w:val="BodyText"/>
      </w:pPr>
      <w:r>
        <w:t>There will be no requirement under the proposed reform for individuals to demonstrate they have a medical requirement or disability to gain access to single-use plastics.</w:t>
      </w:r>
    </w:p>
    <w:p w14:paraId="32AC6021" w14:textId="77777777" w:rsidR="00B949E1" w:rsidRDefault="00B949E1" w:rsidP="00B949E1">
      <w:pPr>
        <w:pStyle w:val="BodyText"/>
      </w:pPr>
      <w:r>
        <w:t xml:space="preserve">For these reasons, the proposed changes are not expected to impact this right and </w:t>
      </w:r>
      <w:proofErr w:type="gramStart"/>
      <w:r>
        <w:t>are considered to be</w:t>
      </w:r>
      <w:proofErr w:type="gramEnd"/>
      <w:r>
        <w:t xml:space="preserve"> reasonable and proportionate.</w:t>
      </w:r>
    </w:p>
    <w:p w14:paraId="19F0B053" w14:textId="77777777" w:rsidR="00B949E1" w:rsidRPr="00C65934" w:rsidRDefault="00B949E1" w:rsidP="00B949E1">
      <w:pPr>
        <w:pStyle w:val="BodyText"/>
        <w:rPr>
          <w:b/>
          <w:bCs/>
        </w:rPr>
      </w:pPr>
      <w:r w:rsidRPr="00C65934">
        <w:rPr>
          <w:b/>
          <w:bCs/>
        </w:rPr>
        <w:lastRenderedPageBreak/>
        <w:t>Right to not have reputation unlawfully attacked</w:t>
      </w:r>
    </w:p>
    <w:p w14:paraId="41A92DEE" w14:textId="77777777" w:rsidR="00B949E1" w:rsidRDefault="00B949E1" w:rsidP="00B949E1">
      <w:pPr>
        <w:pStyle w:val="BodyText"/>
      </w:pPr>
      <w:r>
        <w:t>The proposed reform has been identified as engaging s12(b) of the HR Act which provides a right to not have one’s reputation unlawfully attacked. This right may be engaged through the ability for an Authorised person to request the personal information, including the name, birthdate and home address, of an individual if they are suspected of selling or distributing regulated single-use plastic products in the ACT.</w:t>
      </w:r>
    </w:p>
    <w:p w14:paraId="1253CBC5" w14:textId="77777777" w:rsidR="00B949E1" w:rsidRDefault="00B949E1" w:rsidP="00B949E1">
      <w:pPr>
        <w:pStyle w:val="BodyText"/>
      </w:pPr>
      <w:r>
        <w:t>Given the importance of being able to accurately identify individuals in order to support investigations, requiring individuals to provide this information is considered to ultimately support this right (i.e., there will be a reduced likelihood that individuals will be incorrectly identified as being subject to an investigation). In addition, the power for Authorised people to obtain information also ensures that individuals are afforded an opportunity to provide evidence that an item is not a prohibited plastic product, supported by the abrogation of privilege against self-incrimination and that a warning must be given.</w:t>
      </w:r>
    </w:p>
    <w:p w14:paraId="33BD02E8" w14:textId="77777777" w:rsidR="00B949E1" w:rsidRDefault="00B949E1" w:rsidP="00B949E1">
      <w:pPr>
        <w:pStyle w:val="BodyText"/>
      </w:pPr>
      <w:r>
        <w:t xml:space="preserve">Given the serious nature of the illegal sale and/or distribution of these regulated products, these provisions </w:t>
      </w:r>
      <w:proofErr w:type="gramStart"/>
      <w:r>
        <w:t>are considered to be</w:t>
      </w:r>
      <w:proofErr w:type="gramEnd"/>
      <w:r>
        <w:t xml:space="preserve"> reasonable and proportionate.</w:t>
      </w:r>
    </w:p>
    <w:p w14:paraId="75255CEA" w14:textId="77777777" w:rsidR="00B949E1" w:rsidRPr="00C65934" w:rsidRDefault="00B949E1" w:rsidP="00B949E1">
      <w:pPr>
        <w:pStyle w:val="BodyText"/>
        <w:rPr>
          <w:b/>
          <w:bCs/>
        </w:rPr>
      </w:pPr>
      <w:r w:rsidRPr="00C65934">
        <w:rPr>
          <w:b/>
          <w:bCs/>
        </w:rPr>
        <w:t>Right to be presumed innocent until proven guilty</w:t>
      </w:r>
    </w:p>
    <w:p w14:paraId="356A66A8" w14:textId="77777777" w:rsidR="00B949E1" w:rsidRDefault="00B949E1" w:rsidP="00B949E1">
      <w:pPr>
        <w:pStyle w:val="BodyText"/>
      </w:pPr>
      <w:r>
        <w:t>Strict liability offences engage the presumption of innocence under s22(1) of the HR Act by removing the fault elements from an offence. This means an accused will be automatically presumed guilty, unless they successfully raise the defence of reasonable and honest mistake. The strict liability approach to offences and associated penalties is outlined in the Act.</w:t>
      </w:r>
    </w:p>
    <w:p w14:paraId="4DF1195E" w14:textId="77777777" w:rsidR="00B949E1" w:rsidRDefault="00B949E1" w:rsidP="00B949E1">
      <w:pPr>
        <w:pStyle w:val="BodyText"/>
      </w:pPr>
      <w:r>
        <w:t>The Regulation will expand the items subject to the strict liability offences under the Act which regulate the sale, supply and/or distribution of prohibited single-use products in the ACT. These provisions will affect industry, business, community organisations and individuals who sell, supply and/or distribute these regulated products in the ACT.</w:t>
      </w:r>
    </w:p>
    <w:p w14:paraId="3566F8ED" w14:textId="77777777" w:rsidR="00B949E1" w:rsidRDefault="00B949E1" w:rsidP="00B949E1">
      <w:pPr>
        <w:pStyle w:val="BodyText"/>
      </w:pPr>
      <w:r>
        <w:t xml:space="preserve">While the proposed reform expands the scope of the offences, the implementation of compliance and enforcement activities will continue to be subject to the existing compliance and enforcement frameworks, and will not further expand the degree to which the right is </w:t>
      </w:r>
      <w:proofErr w:type="gramStart"/>
      <w:r>
        <w:t>affected</w:t>
      </w:r>
      <w:proofErr w:type="gramEnd"/>
    </w:p>
    <w:p w14:paraId="4A686467" w14:textId="77777777" w:rsidR="00B949E1" w:rsidRPr="00C65934" w:rsidRDefault="00B949E1" w:rsidP="00B949E1">
      <w:pPr>
        <w:pStyle w:val="BodyText"/>
        <w:rPr>
          <w:b/>
          <w:bCs/>
        </w:rPr>
      </w:pPr>
      <w:r w:rsidRPr="00C65934">
        <w:rPr>
          <w:b/>
          <w:bCs/>
        </w:rPr>
        <w:t>Rights in criminal proceedings</w:t>
      </w:r>
    </w:p>
    <w:p w14:paraId="21E0A820" w14:textId="77777777" w:rsidR="00B949E1" w:rsidRDefault="00B949E1" w:rsidP="00B949E1">
      <w:pPr>
        <w:pStyle w:val="BodyText"/>
      </w:pPr>
      <w:r>
        <w:t>The reform has been identified as engaging s22(2)(i) of the HR Act which provides rights in criminal proceedings, particularly the right not to be compelled to testify against oneself or confess guilt. The purpose of these provisions is to assist authorised officers in their function as truth-seekers and their ability to undertake full and proper investigations.</w:t>
      </w:r>
    </w:p>
    <w:p w14:paraId="429E8BE5" w14:textId="77777777" w:rsidR="00B949E1" w:rsidRDefault="00B949E1" w:rsidP="00B949E1">
      <w:pPr>
        <w:pStyle w:val="BodyText"/>
      </w:pPr>
      <w:r>
        <w:t>The restriction on the right against self-incrimination is proportionate. Any self-incriminating material directly or indirectly obtained as a result of a person being compelled to provide information cannot be used as evidence against that person in later court proceedings, other than an offence in relation to the falsity or the misleading nature of the answer, document or information or an offence against the Criminal Code, Chapter 7 (Administration of justice offences).</w:t>
      </w:r>
    </w:p>
    <w:p w14:paraId="5769B9D7" w14:textId="77777777" w:rsidR="00B949E1" w:rsidRDefault="00B949E1" w:rsidP="00B949E1">
      <w:pPr>
        <w:pStyle w:val="BodyText"/>
      </w:pPr>
      <w:r>
        <w:t>These provisions support Authorised officers to be able to fully consider all available information when exercising their functions, while protecting the people providing the information by conferring ‘use immunity’.</w:t>
      </w:r>
    </w:p>
    <w:p w14:paraId="0E0B4B4B" w14:textId="77777777" w:rsidR="00B949E1" w:rsidRDefault="00B949E1" w:rsidP="00B949E1">
      <w:pPr>
        <w:pStyle w:val="BodyText"/>
      </w:pPr>
      <w:r>
        <w:t>Use immunity is a well-established practice in relation to investigative agencies in the ACT, including the Human Rights Commission, Integrity Commission and Inspector of Correctional Services. The limitation is further circumscribed by way of the Act providing that an authorised officer must satisfy the reasonable belief test in exercising powers, and that a person must be warned that failure to comply is an offence.</w:t>
      </w:r>
    </w:p>
    <w:p w14:paraId="62543C15" w14:textId="77777777" w:rsidR="00B949E1" w:rsidRDefault="00B949E1" w:rsidP="00B949E1">
      <w:pPr>
        <w:pStyle w:val="BodyText"/>
      </w:pPr>
      <w:r>
        <w:lastRenderedPageBreak/>
        <w:t xml:space="preserve">The proposed reform does not expand or alter the </w:t>
      </w:r>
      <w:proofErr w:type="gramStart"/>
      <w:r>
        <w:t>manner in which</w:t>
      </w:r>
      <w:proofErr w:type="gramEnd"/>
      <w:r>
        <w:t xml:space="preserve"> the Act engages with rights in criminal proceedings.</w:t>
      </w:r>
    </w:p>
    <w:p w14:paraId="5491E88A" w14:textId="77777777" w:rsidR="00B949E1" w:rsidRPr="00C65934" w:rsidRDefault="00B949E1" w:rsidP="00B949E1">
      <w:pPr>
        <w:pStyle w:val="BodyText"/>
        <w:rPr>
          <w:b/>
          <w:bCs/>
        </w:rPr>
      </w:pPr>
      <w:r w:rsidRPr="00C65934">
        <w:rPr>
          <w:b/>
          <w:bCs/>
        </w:rPr>
        <w:t>Consistency with legislative scrutiny principles</w:t>
      </w:r>
    </w:p>
    <w:p w14:paraId="7C92DA15" w14:textId="77777777" w:rsidR="00B949E1" w:rsidRDefault="00B949E1" w:rsidP="00B949E1">
      <w:pPr>
        <w:pStyle w:val="BodyText"/>
      </w:pPr>
      <w:r>
        <w:t>The proposed regulation is consistent with the legislative scrutiny principles considered by the Standing Committee on Justice and Community Safety on the basis that the proposed regulation:</w:t>
      </w:r>
    </w:p>
    <w:p w14:paraId="28C563AC" w14:textId="77777777" w:rsidR="00B949E1" w:rsidRDefault="00B949E1" w:rsidP="00B949E1">
      <w:pPr>
        <w:pStyle w:val="BodyText"/>
      </w:pPr>
    </w:p>
    <w:p w14:paraId="378D83B1" w14:textId="77777777" w:rsidR="00B949E1" w:rsidRDefault="00B949E1" w:rsidP="00B949E1">
      <w:pPr>
        <w:pStyle w:val="BodyText"/>
        <w:numPr>
          <w:ilvl w:val="0"/>
          <w:numId w:val="70"/>
        </w:numPr>
      </w:pPr>
      <w:r>
        <w:t xml:space="preserve">is in general accordance with the objects of the </w:t>
      </w:r>
      <w:proofErr w:type="gramStart"/>
      <w:r>
        <w:t>Act;</w:t>
      </w:r>
      <w:proofErr w:type="gramEnd"/>
    </w:p>
    <w:p w14:paraId="4B01FEB5" w14:textId="77777777" w:rsidR="00B949E1" w:rsidRDefault="00B949E1" w:rsidP="00B949E1">
      <w:pPr>
        <w:pStyle w:val="BodyText"/>
        <w:numPr>
          <w:ilvl w:val="0"/>
          <w:numId w:val="70"/>
        </w:numPr>
      </w:pPr>
      <w:r>
        <w:t>does not unduly trespass on rights previously established by law, including consideration of rights prescribed by the HR Act; and</w:t>
      </w:r>
    </w:p>
    <w:p w14:paraId="269544B1" w14:textId="77777777" w:rsidR="00B949E1" w:rsidRDefault="00B949E1" w:rsidP="00B949E1">
      <w:pPr>
        <w:pStyle w:val="BodyText"/>
        <w:numPr>
          <w:ilvl w:val="0"/>
          <w:numId w:val="70"/>
        </w:numPr>
      </w:pPr>
      <w:r>
        <w:t>does not make rights, liberties and/or obligations unduly dependent on non-reviewable decisions.</w:t>
      </w:r>
    </w:p>
    <w:p w14:paraId="4778F319" w14:textId="77777777" w:rsidR="00B949E1" w:rsidRDefault="00B949E1" w:rsidP="00B949E1">
      <w:pPr>
        <w:pStyle w:val="BodyText"/>
      </w:pPr>
      <w:r>
        <w:t xml:space="preserve">The proposed Regulation engages with </w:t>
      </w:r>
      <w:proofErr w:type="gramStart"/>
      <w:r>
        <w:t>a number of</w:t>
      </w:r>
      <w:proofErr w:type="gramEnd"/>
      <w:r>
        <w:t xml:space="preserve"> human rights as discussed in the human rights analysis component of this RIS. To reduce the extent to which the proposed Regulation will impinge these rights, exemptions for medical, scientific or health requirements have been provided for. While the reform will introduce additional strict liability offences, the offences are intended to deter people from failing to comply with the Act and are considered necessary to achieve the objectives of the reform.</w:t>
      </w:r>
    </w:p>
    <w:p w14:paraId="0612D3C9" w14:textId="77777777" w:rsidR="00B949E1" w:rsidRPr="00C65934" w:rsidRDefault="00B949E1" w:rsidP="00B949E1">
      <w:pPr>
        <w:pStyle w:val="BodyText"/>
        <w:rPr>
          <w:b/>
          <w:bCs/>
        </w:rPr>
      </w:pPr>
      <w:r w:rsidRPr="00C65934">
        <w:rPr>
          <w:b/>
          <w:bCs/>
        </w:rPr>
        <w:t>Summary</w:t>
      </w:r>
    </w:p>
    <w:p w14:paraId="1B53875C" w14:textId="77777777" w:rsidR="00B949E1" w:rsidRDefault="00B949E1" w:rsidP="00B949E1">
      <w:pPr>
        <w:pStyle w:val="BodyText"/>
      </w:pPr>
      <w:r>
        <w:t>Human rights have been considered in developing this RIS and any limits to rights have been developed in the least restrictive way possible, while achieving the objectives of this RIS and the legislation.</w:t>
      </w:r>
    </w:p>
    <w:p w14:paraId="6E7C96E1" w14:textId="77777777" w:rsidR="00B949E1" w:rsidRDefault="00B949E1" w:rsidP="00B949E1">
      <w:pPr>
        <w:pStyle w:val="BodyText"/>
        <w:sectPr w:rsidR="00B949E1" w:rsidSect="00003C6B">
          <w:headerReference w:type="even" r:id="rId99"/>
          <w:headerReference w:type="default" r:id="rId100"/>
          <w:footerReference w:type="even" r:id="rId101"/>
          <w:footerReference w:type="default" r:id="rId102"/>
          <w:headerReference w:type="first" r:id="rId103"/>
          <w:footerReference w:type="first" r:id="rId104"/>
          <w:pgSz w:w="11906" w:h="16838" w:code="9"/>
          <w:pgMar w:top="1134" w:right="851" w:bottom="1134" w:left="3119" w:header="454" w:footer="454" w:gutter="0"/>
          <w:cols w:space="708"/>
          <w:docGrid w:linePitch="360"/>
        </w:sectPr>
      </w:pPr>
      <w:r>
        <w:t>When considered as a complete package, which includes the ability for the Minister to grant exemptions for people who require access to single-use plastic products, the impacts on people’s rights, as a result of the reform, is considered reasonable and proportionate to the objectives of the legislation and the risks and outcomes for the community.</w:t>
      </w: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26FDFB64" w14:textId="77777777" w:rsidTr="00B9362B">
        <w:trPr>
          <w:trHeight w:hRule="exact" w:val="382"/>
        </w:trPr>
        <w:tc>
          <w:tcPr>
            <w:tcW w:w="5570" w:type="dxa"/>
          </w:tcPr>
          <w:p w14:paraId="3CB53A5D" w14:textId="77777777" w:rsidR="00B949E1" w:rsidRDefault="00B949E1" w:rsidP="00B9362B">
            <w:pPr>
              <w:pStyle w:val="tagchapterBanner"/>
            </w:pPr>
            <w:r>
              <w:rPr>
                <w:noProof/>
              </w:rPr>
              <w:lastRenderedPageBreak/>
              <w:drawing>
                <wp:anchor distT="0" distB="0" distL="114300" distR="114300" simplePos="0" relativeHeight="251652608" behindDoc="1" locked="1" layoutInCell="1" allowOverlap="1" wp14:anchorId="0628B923" wp14:editId="63532936">
                  <wp:simplePos x="0" y="0"/>
                  <wp:positionH relativeFrom="page">
                    <wp:posOffset>0</wp:posOffset>
                  </wp:positionH>
                  <wp:positionV relativeFrom="page">
                    <wp:posOffset>0</wp:posOffset>
                  </wp:positionV>
                  <wp:extent cx="5039360" cy="1995170"/>
                  <wp:effectExtent l="0" t="0" r="8890" b="5080"/>
                  <wp:wrapNone/>
                  <wp:docPr id="60"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0F8CC8BF" w14:textId="77777777" w:rsidR="00B949E1" w:rsidRDefault="00B949E1" w:rsidP="00B9362B">
            <w:pPr>
              <w:pStyle w:val="spacer"/>
            </w:pPr>
          </w:p>
        </w:tc>
      </w:tr>
      <w:tr w:rsidR="00B949E1" w14:paraId="3C5CFB56" w14:textId="77777777" w:rsidTr="00B9362B">
        <w:trPr>
          <w:trHeight w:hRule="exact" w:val="2760"/>
        </w:trPr>
        <w:tc>
          <w:tcPr>
            <w:tcW w:w="5570" w:type="dxa"/>
            <w:vAlign w:val="bottom"/>
          </w:tcPr>
          <w:p w14:paraId="78A1E10C" w14:textId="4B413607" w:rsidR="00B949E1" w:rsidRDefault="00B949E1" w:rsidP="00F008F9">
            <w:pPr>
              <w:pStyle w:val="Heading1"/>
              <w:ind w:left="248" w:hanging="384"/>
            </w:pPr>
            <w:bookmarkStart w:id="131" w:name="_Ref129854209"/>
            <w:bookmarkStart w:id="132" w:name="_Toc136872639"/>
            <w:r>
              <w:t>Recommended option</w:t>
            </w:r>
            <w:bookmarkEnd w:id="131"/>
            <w:bookmarkEnd w:id="132"/>
          </w:p>
        </w:tc>
        <w:tc>
          <w:tcPr>
            <w:tcW w:w="2366" w:type="dxa"/>
            <w:tcMar>
              <w:right w:w="224" w:type="dxa"/>
            </w:tcMar>
            <w:vAlign w:val="bottom"/>
          </w:tcPr>
          <w:p w14:paraId="754392A0" w14:textId="77777777" w:rsidR="00B949E1" w:rsidRDefault="00B949E1" w:rsidP="00B9362B">
            <w:pPr>
              <w:pStyle w:val="HeadingChapter"/>
            </w:pPr>
            <w:r>
              <w:t>8</w:t>
            </w:r>
          </w:p>
        </w:tc>
      </w:tr>
      <w:tr w:rsidR="00B949E1" w14:paraId="131CC2CD" w14:textId="77777777" w:rsidTr="00B9362B">
        <w:trPr>
          <w:trHeight w:hRule="exact" w:val="228"/>
        </w:trPr>
        <w:tc>
          <w:tcPr>
            <w:tcW w:w="5570" w:type="dxa"/>
          </w:tcPr>
          <w:p w14:paraId="5622EBC8" w14:textId="77777777" w:rsidR="00B949E1" w:rsidRDefault="00B949E1" w:rsidP="00B9362B">
            <w:pPr>
              <w:pStyle w:val="spacer"/>
            </w:pPr>
          </w:p>
        </w:tc>
        <w:tc>
          <w:tcPr>
            <w:tcW w:w="2366" w:type="dxa"/>
          </w:tcPr>
          <w:p w14:paraId="14BC33D2" w14:textId="77777777" w:rsidR="00B949E1" w:rsidRDefault="00B949E1" w:rsidP="00B9362B">
            <w:pPr>
              <w:pStyle w:val="spacer"/>
            </w:pPr>
          </w:p>
        </w:tc>
      </w:tr>
    </w:tbl>
    <w:p w14:paraId="5169FF33" w14:textId="77777777" w:rsidR="00B949E1" w:rsidRDefault="00B949E1" w:rsidP="00B949E1">
      <w:pPr>
        <w:pStyle w:val="BodyText"/>
      </w:pPr>
      <w:r>
        <w:t>Two options have been considered as part of this RIS: do not introduce a regulation at this time (Option 1</w:t>
      </w:r>
      <w:proofErr w:type="gramStart"/>
      <w:r>
        <w:t>), and</w:t>
      </w:r>
      <w:proofErr w:type="gramEnd"/>
      <w:r>
        <w:t xml:space="preserve"> progress the Regulation (Option 2).</w:t>
      </w:r>
    </w:p>
    <w:p w14:paraId="6A70215D" w14:textId="77777777" w:rsidR="00B949E1" w:rsidRDefault="00B949E1" w:rsidP="00B949E1">
      <w:pPr>
        <w:pStyle w:val="BodyText"/>
      </w:pPr>
      <w:r>
        <w:t>Individual product analysis shows that for bowls, bowl lids, plates, and EPS trays a ban has a positive net impact. In contrast, the analysis shows that for boutique and heavyweight plastic bags, plastic take-away containers, and container lids a ban has a negative net impact. The aggregate analysis shows that while the aggregate quantified costs outweigh the benefits in Option 2 (in the quantitative assessment), there is a range of other policy reasons why banning the products is justified:</w:t>
      </w:r>
    </w:p>
    <w:p w14:paraId="6ABCE4D1" w14:textId="77777777" w:rsidR="00B949E1" w:rsidRDefault="00B949E1" w:rsidP="00B949E1">
      <w:pPr>
        <w:pStyle w:val="ListBullet"/>
        <w:numPr>
          <w:ilvl w:val="0"/>
          <w:numId w:val="9"/>
        </w:numPr>
      </w:pPr>
      <w:r>
        <w:t>The CBA was based on assumptions developed from our research, the best available information, and ACT NoWaste’s inputs.</w:t>
      </w:r>
      <w:r w:rsidRPr="00165A9D">
        <w:t xml:space="preserve"> </w:t>
      </w:r>
      <w:r>
        <w:t>While the CBA is based on existing data sources, over time, additional data about Territorians’ WTP for environmental benefits will become available and will likely improve the CBR of options. These elements will improve over time, allowing more of the benefits to be quantified.</w:t>
      </w:r>
    </w:p>
    <w:p w14:paraId="6BA325AD" w14:textId="77777777" w:rsidR="00B949E1" w:rsidRDefault="00B949E1" w:rsidP="00B949E1">
      <w:pPr>
        <w:pStyle w:val="ListBullet"/>
        <w:numPr>
          <w:ilvl w:val="0"/>
          <w:numId w:val="9"/>
        </w:numPr>
      </w:pPr>
      <w:r>
        <w:t>The value of unquantified benefits to the environment and society, including human health, of reducing plastic waste. In particular, the environmental benefits that other jurisdictions have been able to quantify based on avoided environmental ocean impacts of SUP.</w:t>
      </w:r>
    </w:p>
    <w:p w14:paraId="6CE9526F" w14:textId="77777777" w:rsidR="00B949E1" w:rsidRDefault="00B949E1" w:rsidP="00B949E1">
      <w:pPr>
        <w:pStyle w:val="ListBullet"/>
        <w:numPr>
          <w:ilvl w:val="0"/>
          <w:numId w:val="9"/>
        </w:numPr>
      </w:pPr>
      <w:r>
        <w:t xml:space="preserve">The effect of the bans on the cost of alternatives. The analysis does not reflect the possibility for the cost of alternatives to decrease over time due to innovation and technological developments, hence assuming the costs of alternatives to be </w:t>
      </w:r>
      <w:proofErr w:type="gramStart"/>
      <w:r>
        <w:t>at this point in time</w:t>
      </w:r>
      <w:proofErr w:type="gramEnd"/>
      <w:r>
        <w:t>. If alternatives’ prices were to decrease further, the NPV would improve.</w:t>
      </w:r>
    </w:p>
    <w:p w14:paraId="4E0C5E71" w14:textId="77777777" w:rsidR="00B949E1" w:rsidRDefault="00B949E1" w:rsidP="00B949E1">
      <w:pPr>
        <w:pStyle w:val="ListBullet"/>
        <w:numPr>
          <w:ilvl w:val="0"/>
          <w:numId w:val="9"/>
        </w:numPr>
      </w:pPr>
      <w:r>
        <w:t>The availability of suitable alternative products to substitute SUP products.</w:t>
      </w:r>
    </w:p>
    <w:p w14:paraId="4B8FE11A" w14:textId="77777777" w:rsidR="00B949E1" w:rsidRDefault="00B949E1" w:rsidP="00B949E1">
      <w:pPr>
        <w:pStyle w:val="ListBullet"/>
        <w:numPr>
          <w:ilvl w:val="0"/>
          <w:numId w:val="9"/>
        </w:numPr>
      </w:pPr>
      <w:r>
        <w:t xml:space="preserve">Feedback from stakeholders regarding the need for bans. </w:t>
      </w:r>
    </w:p>
    <w:p w14:paraId="69BB8A4B" w14:textId="77777777" w:rsidR="00B949E1" w:rsidRDefault="00B949E1" w:rsidP="00B949E1">
      <w:pPr>
        <w:pStyle w:val="ListBullet"/>
        <w:numPr>
          <w:ilvl w:val="0"/>
          <w:numId w:val="9"/>
        </w:numPr>
      </w:pPr>
      <w:r>
        <w:t xml:space="preserve">The actions taken by other Australian jurisdictions and New Zealand to reduce SUP and the low level of impact a ban in the ACT will have on other jurisdictions. </w:t>
      </w:r>
    </w:p>
    <w:p w14:paraId="5AB55602" w14:textId="77777777" w:rsidR="00B949E1" w:rsidRDefault="00B949E1" w:rsidP="00B949E1">
      <w:pPr>
        <w:pStyle w:val="Heading2"/>
      </w:pPr>
      <w:bookmarkStart w:id="133" w:name="_Toc136872640"/>
      <w:r>
        <w:t xml:space="preserve">Recommended </w:t>
      </w:r>
      <w:proofErr w:type="gramStart"/>
      <w:r>
        <w:t>option</w:t>
      </w:r>
      <w:bookmarkEnd w:id="133"/>
      <w:proofErr w:type="gramEnd"/>
    </w:p>
    <w:p w14:paraId="79B160BE" w14:textId="77777777" w:rsidR="00B949E1" w:rsidRDefault="00B949E1" w:rsidP="00B949E1">
      <w:pPr>
        <w:pStyle w:val="BodyText"/>
      </w:pPr>
      <w:r>
        <w:t>Considering the results of the CBA (which only partially quantifies the impacts associated with phasing-out SUP), other jurisdictions’ actions taken, stakeholder feedback, alignment with government policy on the phasing out of SUP, Option 2 is the preferred approach.</w:t>
      </w:r>
    </w:p>
    <w:p w14:paraId="24D946F2" w14:textId="77777777" w:rsidR="00B949E1" w:rsidRDefault="00B949E1" w:rsidP="00B949E1">
      <w:pPr>
        <w:pStyle w:val="BodyText"/>
      </w:pPr>
      <w:r>
        <w:t>That said, the RIS has also identified concerns stakeholder has regarding the implementation of the regulation, including timeframes for introducing the ban and potential exemptions for certain sectors. The stakeholders-identified timeframes and possible exemptions are discussed in further detail in Appendix E.</w:t>
      </w:r>
    </w:p>
    <w:p w14:paraId="3E83775F" w14:textId="77777777" w:rsidR="00B949E1" w:rsidRDefault="00B949E1" w:rsidP="00B949E1">
      <w:pPr>
        <w:pStyle w:val="BodyText"/>
      </w:pPr>
      <w:r>
        <w:t xml:space="preserve">Health, veterinary, and charity sectors that use some SUPs expressed concerns about the bans. Certain SUP products have no viable alternatives for these sectors (see Appendix Section E.6.2). </w:t>
      </w:r>
      <w:r>
        <w:lastRenderedPageBreak/>
        <w:t>Safeguards need to be introduced to ensure the potential impacts to vulnerable members of the community and sectors are well considered and managed.</w:t>
      </w:r>
      <w:r w:rsidRPr="00A64DC8">
        <w:rPr>
          <w:highlight w:val="yellow"/>
        </w:rPr>
        <w:t xml:space="preserve"> </w:t>
      </w:r>
    </w:p>
    <w:p w14:paraId="54875FF6" w14:textId="77777777" w:rsidR="00B949E1" w:rsidRDefault="00B949E1" w:rsidP="00B949E1">
      <w:pPr>
        <w:pStyle w:val="BodyText"/>
      </w:pPr>
      <w:r>
        <w:t xml:space="preserve">In addition, the RIS has identified that plastic microbeads have been mostly phased-out by industry; however, to eliminate the remaining microbeads in the market and the ‘free-rider’ problem, it is recommended that a regulatory approach (Option 2) should be undertaken. </w:t>
      </w:r>
    </w:p>
    <w:p w14:paraId="68794225" w14:textId="77777777" w:rsidR="00B949E1" w:rsidRDefault="00B949E1" w:rsidP="00B949E1">
      <w:pPr>
        <w:pStyle w:val="BodyText"/>
        <w:sectPr w:rsidR="00B949E1" w:rsidSect="00003C6B">
          <w:headerReference w:type="even" r:id="rId105"/>
          <w:headerReference w:type="default" r:id="rId106"/>
          <w:footerReference w:type="even" r:id="rId107"/>
          <w:footerReference w:type="default" r:id="rId108"/>
          <w:headerReference w:type="first" r:id="rId109"/>
          <w:footerReference w:type="first" r:id="rId110"/>
          <w:pgSz w:w="11906" w:h="16838" w:code="9"/>
          <w:pgMar w:top="1134" w:right="851" w:bottom="1134" w:left="3119" w:header="454" w:footer="454"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B949E1" w14:paraId="694CFC20" w14:textId="77777777" w:rsidTr="00B9362B">
        <w:trPr>
          <w:trHeight w:hRule="exact" w:val="382"/>
        </w:trPr>
        <w:tc>
          <w:tcPr>
            <w:tcW w:w="5570" w:type="dxa"/>
          </w:tcPr>
          <w:p w14:paraId="0EEB8738" w14:textId="77777777" w:rsidR="00B949E1" w:rsidRDefault="00B949E1" w:rsidP="00B9362B">
            <w:pPr>
              <w:pStyle w:val="tagchapterBanner"/>
            </w:pPr>
            <w:r>
              <w:rPr>
                <w:noProof/>
              </w:rPr>
              <w:lastRenderedPageBreak/>
              <w:drawing>
                <wp:anchor distT="0" distB="0" distL="114300" distR="114300" simplePos="0" relativeHeight="251648512" behindDoc="1" locked="1" layoutInCell="1" allowOverlap="1" wp14:anchorId="0860F0FC" wp14:editId="0A09AA66">
                  <wp:simplePos x="0" y="0"/>
                  <wp:positionH relativeFrom="page">
                    <wp:posOffset>0</wp:posOffset>
                  </wp:positionH>
                  <wp:positionV relativeFrom="page">
                    <wp:posOffset>0</wp:posOffset>
                  </wp:positionV>
                  <wp:extent cx="5039360" cy="1995170"/>
                  <wp:effectExtent l="0" t="0" r="8890" b="5080"/>
                  <wp:wrapNone/>
                  <wp:docPr id="22"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7CAF39E5" w14:textId="77777777" w:rsidR="00B949E1" w:rsidRDefault="00B949E1" w:rsidP="00B9362B">
            <w:pPr>
              <w:pStyle w:val="spacer"/>
            </w:pPr>
          </w:p>
        </w:tc>
      </w:tr>
      <w:tr w:rsidR="00B949E1" w14:paraId="2BA22B94" w14:textId="77777777" w:rsidTr="00B9362B">
        <w:trPr>
          <w:trHeight w:hRule="exact" w:val="2760"/>
        </w:trPr>
        <w:tc>
          <w:tcPr>
            <w:tcW w:w="5570" w:type="dxa"/>
            <w:vAlign w:val="bottom"/>
          </w:tcPr>
          <w:p w14:paraId="4971543B" w14:textId="19F0CF47" w:rsidR="00B949E1" w:rsidRDefault="00B949E1" w:rsidP="00F008F9">
            <w:pPr>
              <w:pStyle w:val="Heading1"/>
              <w:ind w:left="248" w:hanging="384"/>
            </w:pPr>
            <w:bookmarkStart w:id="134" w:name="_Ref129941662"/>
            <w:bookmarkStart w:id="135" w:name="_Ref131163170"/>
            <w:bookmarkStart w:id="136" w:name="_Toc136872641"/>
            <w:r>
              <w:t>Implementation and evaluation</w:t>
            </w:r>
            <w:bookmarkEnd w:id="134"/>
            <w:bookmarkEnd w:id="135"/>
            <w:bookmarkEnd w:id="136"/>
          </w:p>
        </w:tc>
        <w:tc>
          <w:tcPr>
            <w:tcW w:w="2366" w:type="dxa"/>
            <w:tcMar>
              <w:right w:w="224" w:type="dxa"/>
            </w:tcMar>
            <w:vAlign w:val="bottom"/>
          </w:tcPr>
          <w:p w14:paraId="1BB937E6" w14:textId="77777777" w:rsidR="00B949E1" w:rsidRDefault="00B949E1" w:rsidP="00B9362B">
            <w:pPr>
              <w:pStyle w:val="HeadingChapter"/>
            </w:pPr>
            <w:r>
              <w:t>9</w:t>
            </w:r>
          </w:p>
        </w:tc>
      </w:tr>
      <w:tr w:rsidR="00B949E1" w14:paraId="0AB568C4" w14:textId="77777777" w:rsidTr="00B9362B">
        <w:trPr>
          <w:trHeight w:hRule="exact" w:val="228"/>
        </w:trPr>
        <w:tc>
          <w:tcPr>
            <w:tcW w:w="5570" w:type="dxa"/>
          </w:tcPr>
          <w:p w14:paraId="076E8903" w14:textId="77777777" w:rsidR="00B949E1" w:rsidRDefault="00B949E1" w:rsidP="00B9362B">
            <w:pPr>
              <w:pStyle w:val="spacer"/>
            </w:pPr>
          </w:p>
        </w:tc>
        <w:tc>
          <w:tcPr>
            <w:tcW w:w="2366" w:type="dxa"/>
          </w:tcPr>
          <w:p w14:paraId="368AED11" w14:textId="77777777" w:rsidR="00B949E1" w:rsidRDefault="00B949E1" w:rsidP="00B9362B">
            <w:pPr>
              <w:pStyle w:val="spacer"/>
            </w:pPr>
          </w:p>
        </w:tc>
      </w:tr>
    </w:tbl>
    <w:p w14:paraId="6C80D488" w14:textId="77777777" w:rsidR="00B949E1" w:rsidRDefault="00B949E1" w:rsidP="00B949E1">
      <w:pPr>
        <w:pStyle w:val="BodyText"/>
      </w:pPr>
      <w:r>
        <w:t xml:space="preserve">ACIL Allen </w:t>
      </w:r>
      <w:r w:rsidRPr="00DB2B46">
        <w:t>has developed a detailed business case to implement the reform efficiently and effectively. The implementation and evaluation activities are outlined in further detail below.</w:t>
      </w:r>
    </w:p>
    <w:p w14:paraId="2566617D" w14:textId="77777777" w:rsidR="00B949E1" w:rsidRDefault="00B949E1" w:rsidP="00B949E1">
      <w:pPr>
        <w:pStyle w:val="Heading2"/>
      </w:pPr>
      <w:bookmarkStart w:id="137" w:name="_Toc136872642"/>
      <w:r>
        <w:t>Implementation</w:t>
      </w:r>
      <w:bookmarkEnd w:id="137"/>
    </w:p>
    <w:p w14:paraId="63B6CA74" w14:textId="77777777" w:rsidR="00B949E1" w:rsidRPr="00754AF3" w:rsidRDefault="00B949E1" w:rsidP="00B949E1">
      <w:pPr>
        <w:pStyle w:val="BodyText"/>
      </w:pPr>
      <w:r>
        <w:t>A range of implementation actions or considerations is needed to support the regulations’ implementation. Most mirror the considerations outlined in the tranche 2 RIS, given the similarities of the regulations that are proposed for the tranche 3 phase-out. These are discussed below.</w:t>
      </w:r>
    </w:p>
    <w:p w14:paraId="7681C05E" w14:textId="77777777" w:rsidR="00B949E1" w:rsidRDefault="00B949E1" w:rsidP="00B949E1">
      <w:pPr>
        <w:pStyle w:val="Heading3"/>
      </w:pPr>
      <w:r>
        <w:t>Timeframes for implementation</w:t>
      </w:r>
    </w:p>
    <w:p w14:paraId="6ABDDC7E" w14:textId="77777777" w:rsidR="00B949E1" w:rsidRPr="00754AF3" w:rsidRDefault="00B949E1" w:rsidP="00B949E1">
      <w:r w:rsidRPr="00754AF3">
        <w:t xml:space="preserve">The proposed reform is an extended application of the existing Act through the establishment of a </w:t>
      </w:r>
      <w:r>
        <w:t>r</w:t>
      </w:r>
      <w:r w:rsidRPr="00754AF3">
        <w:t xml:space="preserve">egulation to regulate additional SUP products. The proposed </w:t>
      </w:r>
      <w:r>
        <w:t xml:space="preserve">option is not </w:t>
      </w:r>
      <w:r w:rsidRPr="00754AF3">
        <w:t>retrospective.</w:t>
      </w:r>
    </w:p>
    <w:p w14:paraId="10C0C1D7" w14:textId="77777777" w:rsidR="00B949E1" w:rsidRDefault="00B949E1" w:rsidP="00B949E1">
      <w:pPr>
        <w:pStyle w:val="BodyText"/>
      </w:pPr>
      <w:r>
        <w:t>However, given the timing of this RIS and its proximity to a 1 July 2023 implementation of the regulation (Option 2), it will be important to provide industry, the wholesale and retail sectors, consumers and other SUP stakeholders time to prepare.</w:t>
      </w:r>
    </w:p>
    <w:p w14:paraId="4DD91671" w14:textId="77777777" w:rsidR="00B949E1" w:rsidRDefault="00B949E1" w:rsidP="00B949E1">
      <w:pPr>
        <w:pStyle w:val="BodyText"/>
      </w:pPr>
      <w:r>
        <w:t xml:space="preserve">It is widely acknowledged in the written submissions that the introduction of the regulations should provide stakeholders with </w:t>
      </w:r>
      <w:r w:rsidRPr="00DA17B0">
        <w:t>approximately 6-1</w:t>
      </w:r>
      <w:r>
        <w:t>8</w:t>
      </w:r>
      <w:r w:rsidRPr="00DA17B0">
        <w:t xml:space="preserve"> months</w:t>
      </w:r>
      <w:r w:rsidRPr="00754AF3">
        <w:t xml:space="preserve"> to prepare. This delay will provide time for stakeholders to support the regulations once approved. </w:t>
      </w:r>
      <w:r>
        <w:t xml:space="preserve">This delay </w:t>
      </w:r>
      <w:r w:rsidRPr="00754AF3">
        <w:t xml:space="preserve">will </w:t>
      </w:r>
      <w:r>
        <w:t xml:space="preserve">not </w:t>
      </w:r>
      <w:r w:rsidRPr="00754AF3">
        <w:t xml:space="preserve">significantly change the costs or benefit profile of </w:t>
      </w:r>
      <w:r>
        <w:t>O</w:t>
      </w:r>
      <w:r w:rsidRPr="00754AF3">
        <w:t>ption 2</w:t>
      </w:r>
      <w:r>
        <w:t xml:space="preserve">; it merely provides additional time for stakeholders to adjust to the new regulations. A summary of the timeframes suggested by stakeholders is provided in </w:t>
      </w:r>
      <w:r w:rsidRPr="00DA17B0">
        <w:rPr>
          <w:b/>
          <w:bCs/>
        </w:rPr>
        <w:fldChar w:fldCharType="begin"/>
      </w:r>
      <w:r w:rsidRPr="00DA17B0">
        <w:rPr>
          <w:b/>
          <w:bCs/>
        </w:rPr>
        <w:instrText xml:space="preserve"> REF _Ref131585857 \h </w:instrText>
      </w:r>
      <w:r>
        <w:rPr>
          <w:b/>
          <w:bCs/>
        </w:rPr>
        <w:instrText xml:space="preserve"> \* MERGEFORMAT </w:instrText>
      </w:r>
      <w:r w:rsidRPr="00DA17B0">
        <w:rPr>
          <w:b/>
          <w:bCs/>
        </w:rPr>
      </w:r>
      <w:r w:rsidRPr="00DA17B0">
        <w:rPr>
          <w:b/>
          <w:bCs/>
        </w:rPr>
        <w:fldChar w:fldCharType="separate"/>
      </w:r>
      <w:r w:rsidRPr="00790266">
        <w:rPr>
          <w:rStyle w:val="CaptionLabel"/>
          <w:b w:val="0"/>
          <w:bCs/>
        </w:rPr>
        <w:t>Table 9.1</w:t>
      </w:r>
      <w:r w:rsidRPr="00DA17B0">
        <w:rPr>
          <w:b/>
          <w:bCs/>
        </w:rPr>
        <w:fldChar w:fldCharType="end"/>
      </w:r>
      <w:r w:rsidRPr="00DA17B0">
        <w:rPr>
          <w:b/>
          <w:bCs/>
        </w:rPr>
        <w:t xml:space="preserve"> </w:t>
      </w:r>
      <w:r>
        <w:t>below.</w:t>
      </w:r>
    </w:p>
    <w:p w14:paraId="1C3ED5E1" w14:textId="77777777" w:rsidR="00B949E1" w:rsidRDefault="00B949E1" w:rsidP="00B949E1">
      <w:pPr>
        <w:pStyle w:val="Caption"/>
      </w:pPr>
      <w:bookmarkStart w:id="138" w:name="_Ref131585857"/>
      <w:bookmarkStart w:id="139" w:name="_Toc134002450"/>
      <w:r w:rsidRPr="009F7166">
        <w:rPr>
          <w:rStyle w:val="CaptionLabel"/>
        </w:rPr>
        <w:t>Table </w:t>
      </w:r>
      <w:r w:rsidRPr="009F7166">
        <w:rPr>
          <w:rStyle w:val="CaptionLabel"/>
        </w:rPr>
        <w:fldChar w:fldCharType="begin"/>
      </w:r>
      <w:r w:rsidRPr="009F7166">
        <w:rPr>
          <w:rStyle w:val="CaptionLabel"/>
        </w:rPr>
        <w:instrText xml:space="preserve"> STYLEREF 1 \S \* MERGEFORMAT </w:instrText>
      </w:r>
      <w:r w:rsidRPr="009F7166">
        <w:rPr>
          <w:rStyle w:val="CaptionLabel"/>
        </w:rPr>
        <w:fldChar w:fldCharType="separate"/>
      </w:r>
      <w:r>
        <w:rPr>
          <w:rStyle w:val="CaptionLabel"/>
          <w:noProof/>
        </w:rPr>
        <w:t>9</w:t>
      </w:r>
      <w:r w:rsidRPr="009F7166">
        <w:rPr>
          <w:rStyle w:val="CaptionLabel"/>
        </w:rPr>
        <w:fldChar w:fldCharType="end"/>
      </w:r>
      <w:r w:rsidRPr="009F7166">
        <w:rPr>
          <w:rStyle w:val="CaptionLabel"/>
        </w:rPr>
        <w:t>.</w:t>
      </w:r>
      <w:r w:rsidRPr="009F7166">
        <w:rPr>
          <w:rStyle w:val="CaptionLabel"/>
        </w:rPr>
        <w:fldChar w:fldCharType="begin"/>
      </w:r>
      <w:r w:rsidRPr="009F7166">
        <w:rPr>
          <w:rStyle w:val="CaptionLabel"/>
        </w:rPr>
        <w:instrText xml:space="preserve"> SEQ Table \* ARABIC \S 1 \* MERGEFORMAT </w:instrText>
      </w:r>
      <w:r w:rsidRPr="009F7166">
        <w:rPr>
          <w:rStyle w:val="CaptionLabel"/>
        </w:rPr>
        <w:fldChar w:fldCharType="separate"/>
      </w:r>
      <w:r>
        <w:rPr>
          <w:rStyle w:val="CaptionLabel"/>
          <w:noProof/>
        </w:rPr>
        <w:t>1</w:t>
      </w:r>
      <w:r w:rsidRPr="009F7166">
        <w:rPr>
          <w:rStyle w:val="CaptionLabel"/>
        </w:rPr>
        <w:fldChar w:fldCharType="end"/>
      </w:r>
      <w:bookmarkEnd w:id="138"/>
      <w:r>
        <w:tab/>
        <w:t>Summary of stakeholders’ suggested timeframes for regulation</w:t>
      </w:r>
      <w:bookmarkEnd w:id="139"/>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3968"/>
        <w:gridCol w:w="3968"/>
      </w:tblGrid>
      <w:tr w:rsidR="00B949E1" w14:paraId="2053E69C" w14:textId="77777777" w:rsidTr="00B9362B">
        <w:trPr>
          <w:tblHeader/>
        </w:trPr>
        <w:tc>
          <w:tcPr>
            <w:tcW w:w="4422" w:type="dxa"/>
            <w:gridSpan w:val="2"/>
            <w:tcBorders>
              <w:top w:val="nil"/>
              <w:bottom w:val="nil"/>
            </w:tcBorders>
            <w:shd w:val="clear" w:color="auto" w:fill="140034"/>
            <w:tcMar>
              <w:left w:w="454" w:type="dxa"/>
            </w:tcMar>
          </w:tcPr>
          <w:p w14:paraId="319FD0A3" w14:textId="77777777" w:rsidR="00B949E1" w:rsidRDefault="00B949E1" w:rsidP="00B9362B">
            <w:pPr>
              <w:pStyle w:val="Tablecolumnheadings"/>
            </w:pPr>
            <w:r>
              <w:t>Stakeholder group</w:t>
            </w:r>
          </w:p>
        </w:tc>
        <w:tc>
          <w:tcPr>
            <w:tcW w:w="3968" w:type="dxa"/>
            <w:tcBorders>
              <w:top w:val="nil"/>
              <w:bottom w:val="nil"/>
              <w:right w:val="single" w:sz="6" w:space="0" w:color="140034"/>
            </w:tcBorders>
            <w:shd w:val="clear" w:color="auto" w:fill="140034"/>
          </w:tcPr>
          <w:p w14:paraId="5B13C405" w14:textId="77777777" w:rsidR="00B949E1" w:rsidRDefault="00B949E1" w:rsidP="00B9362B">
            <w:pPr>
              <w:pStyle w:val="Tablecolumnheadings"/>
            </w:pPr>
            <w:r>
              <w:t>Timeframe for regulation</w:t>
            </w:r>
          </w:p>
        </w:tc>
      </w:tr>
      <w:tr w:rsidR="00B949E1" w14:paraId="1C37D368" w14:textId="77777777" w:rsidTr="003E2764">
        <w:trPr>
          <w:gridBefore w:val="1"/>
          <w:wBefore w:w="454" w:type="dxa"/>
        </w:trPr>
        <w:tc>
          <w:tcPr>
            <w:tcW w:w="3968" w:type="dxa"/>
            <w:tcBorders>
              <w:top w:val="nil"/>
            </w:tcBorders>
            <w:shd w:val="clear" w:color="auto" w:fill="C8C8C8"/>
          </w:tcPr>
          <w:p w14:paraId="4DC2ACA3" w14:textId="77777777" w:rsidR="00B949E1" w:rsidRPr="00074AE7" w:rsidRDefault="00B949E1" w:rsidP="00B9362B">
            <w:pPr>
              <w:pStyle w:val="Tabletext"/>
              <w:rPr>
                <w:b/>
                <w:bCs/>
              </w:rPr>
            </w:pPr>
            <w:r w:rsidRPr="00074AE7">
              <w:rPr>
                <w:b/>
                <w:bCs/>
              </w:rPr>
              <w:t>Plastic microbeads</w:t>
            </w:r>
          </w:p>
        </w:tc>
        <w:tc>
          <w:tcPr>
            <w:tcW w:w="3968" w:type="dxa"/>
            <w:tcBorders>
              <w:top w:val="nil"/>
            </w:tcBorders>
            <w:shd w:val="clear" w:color="auto" w:fill="C8C8C8"/>
          </w:tcPr>
          <w:p w14:paraId="4065CB5F" w14:textId="77777777" w:rsidR="00B949E1" w:rsidRDefault="00B949E1" w:rsidP="00B9362B">
            <w:pPr>
              <w:pStyle w:val="Tabletext"/>
            </w:pPr>
          </w:p>
        </w:tc>
      </w:tr>
      <w:tr w:rsidR="00B949E1" w14:paraId="3D609116" w14:textId="77777777" w:rsidTr="00B9362B">
        <w:trPr>
          <w:gridBefore w:val="1"/>
          <w:wBefore w:w="454" w:type="dxa"/>
        </w:trPr>
        <w:tc>
          <w:tcPr>
            <w:tcW w:w="3968" w:type="dxa"/>
            <w:shd w:val="clear" w:color="auto" w:fill="auto"/>
          </w:tcPr>
          <w:p w14:paraId="24B5F2BB" w14:textId="77777777" w:rsidR="00B949E1" w:rsidRDefault="00B949E1" w:rsidP="00B9362B">
            <w:pPr>
              <w:pStyle w:val="Tabletext"/>
            </w:pPr>
            <w:r>
              <w:t>Government</w:t>
            </w:r>
          </w:p>
        </w:tc>
        <w:tc>
          <w:tcPr>
            <w:tcW w:w="3968" w:type="dxa"/>
            <w:shd w:val="clear" w:color="auto" w:fill="auto"/>
          </w:tcPr>
          <w:p w14:paraId="732DC161" w14:textId="77777777" w:rsidR="00B949E1" w:rsidRDefault="00B949E1" w:rsidP="00B9362B">
            <w:pPr>
              <w:pStyle w:val="Tabletext"/>
            </w:pPr>
            <w:r>
              <w:t>July 2023</w:t>
            </w:r>
          </w:p>
        </w:tc>
      </w:tr>
      <w:tr w:rsidR="00B949E1" w14:paraId="36D34DCD" w14:textId="77777777" w:rsidTr="00B9362B">
        <w:trPr>
          <w:gridBefore w:val="1"/>
          <w:wBefore w:w="454" w:type="dxa"/>
        </w:trPr>
        <w:tc>
          <w:tcPr>
            <w:tcW w:w="3968" w:type="dxa"/>
            <w:shd w:val="clear" w:color="auto" w:fill="auto"/>
          </w:tcPr>
          <w:p w14:paraId="3CAAD3BB" w14:textId="77777777" w:rsidR="00B949E1" w:rsidRDefault="00B949E1" w:rsidP="00B9362B">
            <w:pPr>
              <w:pStyle w:val="Tabletext"/>
            </w:pPr>
            <w:r>
              <w:t>Community</w:t>
            </w:r>
          </w:p>
        </w:tc>
        <w:tc>
          <w:tcPr>
            <w:tcW w:w="3968" w:type="dxa"/>
            <w:shd w:val="clear" w:color="auto" w:fill="auto"/>
          </w:tcPr>
          <w:p w14:paraId="00898581" w14:textId="77777777" w:rsidR="00B949E1" w:rsidRDefault="00B949E1" w:rsidP="00B9362B">
            <w:pPr>
              <w:pStyle w:val="Tabletext"/>
            </w:pPr>
            <w:r>
              <w:t>July 2023</w:t>
            </w:r>
          </w:p>
        </w:tc>
      </w:tr>
      <w:tr w:rsidR="00B949E1" w14:paraId="429E7F49" w14:textId="77777777" w:rsidTr="00B9362B">
        <w:trPr>
          <w:gridBefore w:val="1"/>
          <w:wBefore w:w="454" w:type="dxa"/>
        </w:trPr>
        <w:tc>
          <w:tcPr>
            <w:tcW w:w="3968" w:type="dxa"/>
            <w:shd w:val="clear" w:color="auto" w:fill="auto"/>
          </w:tcPr>
          <w:p w14:paraId="635C8431" w14:textId="77777777" w:rsidR="00B949E1" w:rsidRDefault="00B949E1" w:rsidP="00B9362B">
            <w:pPr>
              <w:pStyle w:val="Tabletext"/>
            </w:pPr>
            <w:r>
              <w:t>Retailers</w:t>
            </w:r>
          </w:p>
        </w:tc>
        <w:tc>
          <w:tcPr>
            <w:tcW w:w="3968" w:type="dxa"/>
            <w:shd w:val="clear" w:color="auto" w:fill="auto"/>
          </w:tcPr>
          <w:p w14:paraId="6F48457B" w14:textId="77777777" w:rsidR="00B949E1" w:rsidRDefault="00B949E1" w:rsidP="00B9362B">
            <w:pPr>
              <w:pStyle w:val="Tabletext"/>
            </w:pPr>
            <w:r>
              <w:t>September 2023</w:t>
            </w:r>
          </w:p>
        </w:tc>
      </w:tr>
      <w:tr w:rsidR="00B949E1" w14:paraId="572BFB4D" w14:textId="77777777" w:rsidTr="003E2764">
        <w:trPr>
          <w:gridBefore w:val="1"/>
          <w:wBefore w:w="454" w:type="dxa"/>
        </w:trPr>
        <w:tc>
          <w:tcPr>
            <w:tcW w:w="3968" w:type="dxa"/>
            <w:tcBorders>
              <w:bottom w:val="single" w:sz="4" w:space="0" w:color="646464"/>
            </w:tcBorders>
            <w:shd w:val="clear" w:color="auto" w:fill="auto"/>
          </w:tcPr>
          <w:p w14:paraId="5585FA3F" w14:textId="77777777" w:rsidR="00B949E1" w:rsidRDefault="00B949E1" w:rsidP="00B9362B">
            <w:pPr>
              <w:pStyle w:val="Tabletext"/>
            </w:pPr>
            <w:r>
              <w:t>Industry associations</w:t>
            </w:r>
          </w:p>
        </w:tc>
        <w:tc>
          <w:tcPr>
            <w:tcW w:w="3968" w:type="dxa"/>
            <w:tcBorders>
              <w:bottom w:val="single" w:sz="4" w:space="0" w:color="646464"/>
            </w:tcBorders>
            <w:shd w:val="clear" w:color="auto" w:fill="auto"/>
          </w:tcPr>
          <w:p w14:paraId="0FDE1DDA" w14:textId="77777777" w:rsidR="00B949E1" w:rsidRDefault="00B949E1" w:rsidP="00B9362B">
            <w:pPr>
              <w:pStyle w:val="Tabletext"/>
            </w:pPr>
            <w:r>
              <w:t>September 2023</w:t>
            </w:r>
          </w:p>
        </w:tc>
      </w:tr>
      <w:tr w:rsidR="00B949E1" w14:paraId="39E53716" w14:textId="77777777" w:rsidTr="003E2764">
        <w:trPr>
          <w:gridBefore w:val="1"/>
          <w:wBefore w:w="454" w:type="dxa"/>
        </w:trPr>
        <w:tc>
          <w:tcPr>
            <w:tcW w:w="3968" w:type="dxa"/>
            <w:tcBorders>
              <w:top w:val="single" w:sz="4" w:space="0" w:color="646464"/>
            </w:tcBorders>
            <w:shd w:val="clear" w:color="auto" w:fill="C8C8C8"/>
          </w:tcPr>
          <w:p w14:paraId="4D54A146" w14:textId="77777777" w:rsidR="00B949E1" w:rsidRPr="00074AE7" w:rsidRDefault="00B949E1" w:rsidP="00B9362B">
            <w:pPr>
              <w:pStyle w:val="Tabletext"/>
              <w:rPr>
                <w:b/>
                <w:bCs/>
              </w:rPr>
            </w:pPr>
            <w:r w:rsidRPr="00074AE7">
              <w:rPr>
                <w:b/>
                <w:bCs/>
              </w:rPr>
              <w:t>EPS loose-fill packaging and trays</w:t>
            </w:r>
          </w:p>
        </w:tc>
        <w:tc>
          <w:tcPr>
            <w:tcW w:w="3968" w:type="dxa"/>
            <w:tcBorders>
              <w:top w:val="single" w:sz="4" w:space="0" w:color="646464"/>
            </w:tcBorders>
            <w:shd w:val="clear" w:color="auto" w:fill="C8C8C8"/>
          </w:tcPr>
          <w:p w14:paraId="42BBCE46" w14:textId="77777777" w:rsidR="00B949E1" w:rsidRDefault="00B949E1" w:rsidP="00B9362B">
            <w:pPr>
              <w:pStyle w:val="Tabletext"/>
            </w:pPr>
          </w:p>
        </w:tc>
      </w:tr>
      <w:tr w:rsidR="00B949E1" w14:paraId="3EF11083" w14:textId="77777777" w:rsidTr="00B9362B">
        <w:trPr>
          <w:gridBefore w:val="1"/>
          <w:wBefore w:w="454" w:type="dxa"/>
        </w:trPr>
        <w:tc>
          <w:tcPr>
            <w:tcW w:w="3968" w:type="dxa"/>
            <w:shd w:val="clear" w:color="auto" w:fill="auto"/>
          </w:tcPr>
          <w:p w14:paraId="297F10CC" w14:textId="77777777" w:rsidR="00B949E1" w:rsidRDefault="00B949E1" w:rsidP="00B9362B">
            <w:pPr>
              <w:pStyle w:val="Tabletext"/>
            </w:pPr>
            <w:r w:rsidRPr="00463E1E">
              <w:t>Government</w:t>
            </w:r>
          </w:p>
        </w:tc>
        <w:tc>
          <w:tcPr>
            <w:tcW w:w="3968" w:type="dxa"/>
            <w:shd w:val="clear" w:color="auto" w:fill="auto"/>
          </w:tcPr>
          <w:p w14:paraId="0AB438BB" w14:textId="77777777" w:rsidR="00B949E1" w:rsidRDefault="00B949E1" w:rsidP="00B9362B">
            <w:pPr>
              <w:pStyle w:val="Tabletext"/>
            </w:pPr>
            <w:r>
              <w:t>July 2023</w:t>
            </w:r>
          </w:p>
        </w:tc>
      </w:tr>
      <w:tr w:rsidR="00B949E1" w14:paraId="0473D839" w14:textId="77777777" w:rsidTr="00B9362B">
        <w:trPr>
          <w:gridBefore w:val="1"/>
          <w:wBefore w:w="454" w:type="dxa"/>
        </w:trPr>
        <w:tc>
          <w:tcPr>
            <w:tcW w:w="3968" w:type="dxa"/>
            <w:shd w:val="clear" w:color="auto" w:fill="auto"/>
          </w:tcPr>
          <w:p w14:paraId="41133C5E" w14:textId="77777777" w:rsidR="00B949E1" w:rsidRDefault="00B949E1" w:rsidP="00B9362B">
            <w:pPr>
              <w:pStyle w:val="Tabletext"/>
            </w:pPr>
            <w:r>
              <w:t>Community</w:t>
            </w:r>
          </w:p>
        </w:tc>
        <w:tc>
          <w:tcPr>
            <w:tcW w:w="3968" w:type="dxa"/>
            <w:shd w:val="clear" w:color="auto" w:fill="auto"/>
          </w:tcPr>
          <w:p w14:paraId="19FFC6A1" w14:textId="77777777" w:rsidR="00B949E1" w:rsidRDefault="00B949E1" w:rsidP="00B9362B">
            <w:pPr>
              <w:pStyle w:val="Tabletext"/>
            </w:pPr>
            <w:r>
              <w:t>July 2023</w:t>
            </w:r>
          </w:p>
        </w:tc>
      </w:tr>
      <w:tr w:rsidR="00B949E1" w14:paraId="221709CC" w14:textId="77777777" w:rsidTr="00B9362B">
        <w:trPr>
          <w:gridBefore w:val="1"/>
          <w:wBefore w:w="454" w:type="dxa"/>
        </w:trPr>
        <w:tc>
          <w:tcPr>
            <w:tcW w:w="3968" w:type="dxa"/>
            <w:shd w:val="clear" w:color="auto" w:fill="auto"/>
          </w:tcPr>
          <w:p w14:paraId="6B3AABFD" w14:textId="77777777" w:rsidR="00B949E1" w:rsidRDefault="00B949E1" w:rsidP="00B9362B">
            <w:pPr>
              <w:pStyle w:val="Tabletext"/>
            </w:pPr>
            <w:r>
              <w:t>Retail and services industry</w:t>
            </w:r>
          </w:p>
        </w:tc>
        <w:tc>
          <w:tcPr>
            <w:tcW w:w="3968" w:type="dxa"/>
            <w:shd w:val="clear" w:color="auto" w:fill="auto"/>
          </w:tcPr>
          <w:p w14:paraId="44E50C56" w14:textId="77777777" w:rsidR="00B949E1" w:rsidRDefault="00B949E1" w:rsidP="00B9362B">
            <w:pPr>
              <w:pStyle w:val="Tabletext"/>
            </w:pPr>
            <w:r>
              <w:t>January – July 2025</w:t>
            </w:r>
          </w:p>
        </w:tc>
      </w:tr>
      <w:tr w:rsidR="00B949E1" w14:paraId="13B837A6" w14:textId="77777777" w:rsidTr="00B9362B">
        <w:trPr>
          <w:gridBefore w:val="1"/>
          <w:wBefore w:w="454" w:type="dxa"/>
        </w:trPr>
        <w:tc>
          <w:tcPr>
            <w:tcW w:w="3968" w:type="dxa"/>
            <w:shd w:val="clear" w:color="auto" w:fill="auto"/>
          </w:tcPr>
          <w:p w14:paraId="68DFA6AE" w14:textId="77777777" w:rsidR="00B949E1" w:rsidRDefault="00B949E1" w:rsidP="00B9362B">
            <w:pPr>
              <w:pStyle w:val="Tabletext"/>
            </w:pPr>
            <w:r>
              <w:t>Manufacturers, suppliers and distributors</w:t>
            </w:r>
          </w:p>
        </w:tc>
        <w:tc>
          <w:tcPr>
            <w:tcW w:w="3968" w:type="dxa"/>
            <w:shd w:val="clear" w:color="auto" w:fill="auto"/>
          </w:tcPr>
          <w:p w14:paraId="670A5DAA" w14:textId="77777777" w:rsidR="00B949E1" w:rsidRDefault="00B949E1" w:rsidP="00B9362B">
            <w:pPr>
              <w:pStyle w:val="Tabletext"/>
            </w:pPr>
            <w:r>
              <w:t>January – July 2025</w:t>
            </w:r>
          </w:p>
        </w:tc>
      </w:tr>
      <w:tr w:rsidR="00B949E1" w14:paraId="73D56BC9" w14:textId="77777777" w:rsidTr="00B9362B">
        <w:trPr>
          <w:gridBefore w:val="1"/>
          <w:wBefore w:w="454" w:type="dxa"/>
        </w:trPr>
        <w:tc>
          <w:tcPr>
            <w:tcW w:w="3968" w:type="dxa"/>
            <w:shd w:val="clear" w:color="auto" w:fill="auto"/>
          </w:tcPr>
          <w:p w14:paraId="1D3B9C92" w14:textId="77777777" w:rsidR="00B949E1" w:rsidRPr="00463E1E" w:rsidRDefault="00B949E1" w:rsidP="00B9362B">
            <w:pPr>
              <w:pStyle w:val="Tabletext"/>
            </w:pPr>
            <w:r>
              <w:t>Industry associations</w:t>
            </w:r>
          </w:p>
        </w:tc>
        <w:tc>
          <w:tcPr>
            <w:tcW w:w="3968" w:type="dxa"/>
            <w:shd w:val="clear" w:color="auto" w:fill="auto"/>
          </w:tcPr>
          <w:p w14:paraId="12F24889" w14:textId="77777777" w:rsidR="00B949E1" w:rsidRDefault="00B949E1" w:rsidP="00B9362B">
            <w:pPr>
              <w:pStyle w:val="Tabletext"/>
            </w:pPr>
            <w:r>
              <w:t>January – July 2025</w:t>
            </w:r>
          </w:p>
        </w:tc>
      </w:tr>
      <w:tr w:rsidR="00B949E1" w14:paraId="07CA1AF3" w14:textId="77777777" w:rsidTr="00B9362B">
        <w:trPr>
          <w:gridBefore w:val="1"/>
          <w:wBefore w:w="454" w:type="dxa"/>
        </w:trPr>
        <w:tc>
          <w:tcPr>
            <w:tcW w:w="3968" w:type="dxa"/>
            <w:shd w:val="clear" w:color="auto" w:fill="auto"/>
          </w:tcPr>
          <w:p w14:paraId="5D94EAD0" w14:textId="77777777" w:rsidR="00B949E1" w:rsidRPr="00463E1E" w:rsidRDefault="00B949E1" w:rsidP="00B9362B">
            <w:pPr>
              <w:pStyle w:val="Tabletext"/>
            </w:pPr>
            <w:r>
              <w:lastRenderedPageBreak/>
              <w:t>Waste management</w:t>
            </w:r>
          </w:p>
        </w:tc>
        <w:tc>
          <w:tcPr>
            <w:tcW w:w="3968" w:type="dxa"/>
            <w:shd w:val="clear" w:color="auto" w:fill="auto"/>
          </w:tcPr>
          <w:p w14:paraId="350123E0" w14:textId="77777777" w:rsidR="00B949E1" w:rsidRDefault="00B949E1" w:rsidP="00B9362B">
            <w:pPr>
              <w:pStyle w:val="Tabletext"/>
            </w:pPr>
            <w:r>
              <w:t>January – July 2025</w:t>
            </w:r>
          </w:p>
        </w:tc>
      </w:tr>
      <w:tr w:rsidR="00B949E1" w14:paraId="6F457B01" w14:textId="77777777" w:rsidTr="003E2764">
        <w:trPr>
          <w:gridBefore w:val="1"/>
          <w:wBefore w:w="454" w:type="dxa"/>
        </w:trPr>
        <w:tc>
          <w:tcPr>
            <w:tcW w:w="3968" w:type="dxa"/>
            <w:tcBorders>
              <w:bottom w:val="single" w:sz="4" w:space="0" w:color="646464"/>
            </w:tcBorders>
            <w:shd w:val="clear" w:color="auto" w:fill="auto"/>
          </w:tcPr>
          <w:p w14:paraId="6F789632" w14:textId="77777777" w:rsidR="00B949E1" w:rsidRPr="00463E1E" w:rsidRDefault="00B949E1" w:rsidP="00B9362B">
            <w:pPr>
              <w:pStyle w:val="Tabletext"/>
            </w:pPr>
            <w:r>
              <w:t>Animal health products sector</w:t>
            </w:r>
          </w:p>
        </w:tc>
        <w:tc>
          <w:tcPr>
            <w:tcW w:w="3968" w:type="dxa"/>
            <w:tcBorders>
              <w:bottom w:val="single" w:sz="4" w:space="0" w:color="646464"/>
            </w:tcBorders>
            <w:shd w:val="clear" w:color="auto" w:fill="auto"/>
          </w:tcPr>
          <w:p w14:paraId="0026E5AB" w14:textId="77777777" w:rsidR="00B949E1" w:rsidRDefault="00B949E1" w:rsidP="00B9362B">
            <w:pPr>
              <w:pStyle w:val="Tabletext"/>
            </w:pPr>
            <w:r>
              <w:t>January – July 2025</w:t>
            </w:r>
          </w:p>
        </w:tc>
      </w:tr>
      <w:tr w:rsidR="00B949E1" w14:paraId="243B27CE" w14:textId="77777777" w:rsidTr="003E2764">
        <w:trPr>
          <w:gridBefore w:val="1"/>
          <w:wBefore w:w="454" w:type="dxa"/>
        </w:trPr>
        <w:tc>
          <w:tcPr>
            <w:tcW w:w="3968" w:type="dxa"/>
            <w:tcBorders>
              <w:top w:val="single" w:sz="4" w:space="0" w:color="646464"/>
            </w:tcBorders>
            <w:shd w:val="clear" w:color="auto" w:fill="C8C8C8"/>
          </w:tcPr>
          <w:p w14:paraId="578CC3CF" w14:textId="77777777" w:rsidR="00B949E1" w:rsidRPr="00074AE7" w:rsidRDefault="00B949E1" w:rsidP="00B9362B">
            <w:pPr>
              <w:pStyle w:val="Tabletext"/>
              <w:rPr>
                <w:b/>
                <w:bCs/>
              </w:rPr>
            </w:pPr>
            <w:r w:rsidRPr="00074AE7">
              <w:rPr>
                <w:b/>
                <w:bCs/>
              </w:rPr>
              <w:t xml:space="preserve">SUP </w:t>
            </w:r>
            <w:r>
              <w:rPr>
                <w:b/>
                <w:bCs/>
              </w:rPr>
              <w:t>take-away</w:t>
            </w:r>
            <w:r w:rsidRPr="00074AE7">
              <w:rPr>
                <w:b/>
                <w:bCs/>
              </w:rPr>
              <w:t xml:space="preserve"> containers</w:t>
            </w:r>
          </w:p>
        </w:tc>
        <w:tc>
          <w:tcPr>
            <w:tcW w:w="3968" w:type="dxa"/>
            <w:tcBorders>
              <w:top w:val="single" w:sz="4" w:space="0" w:color="646464"/>
            </w:tcBorders>
            <w:shd w:val="clear" w:color="auto" w:fill="C8C8C8"/>
          </w:tcPr>
          <w:p w14:paraId="4E40BA62" w14:textId="77777777" w:rsidR="00B949E1" w:rsidRDefault="00B949E1" w:rsidP="00B9362B">
            <w:pPr>
              <w:pStyle w:val="Tabletext"/>
            </w:pPr>
          </w:p>
        </w:tc>
      </w:tr>
      <w:tr w:rsidR="00B949E1" w14:paraId="4317BE44" w14:textId="77777777" w:rsidTr="00B9362B">
        <w:trPr>
          <w:gridBefore w:val="1"/>
          <w:wBefore w:w="454" w:type="dxa"/>
        </w:trPr>
        <w:tc>
          <w:tcPr>
            <w:tcW w:w="3968" w:type="dxa"/>
            <w:shd w:val="clear" w:color="auto" w:fill="auto"/>
          </w:tcPr>
          <w:p w14:paraId="0C72DA63" w14:textId="77777777" w:rsidR="00B949E1" w:rsidRDefault="00B949E1" w:rsidP="00B9362B">
            <w:pPr>
              <w:pStyle w:val="Tabletext"/>
            </w:pPr>
            <w:r>
              <w:t>Government</w:t>
            </w:r>
          </w:p>
        </w:tc>
        <w:tc>
          <w:tcPr>
            <w:tcW w:w="3968" w:type="dxa"/>
            <w:shd w:val="clear" w:color="auto" w:fill="auto"/>
          </w:tcPr>
          <w:p w14:paraId="2D30C58F" w14:textId="77777777" w:rsidR="00B949E1" w:rsidRDefault="00B949E1" w:rsidP="00B9362B">
            <w:pPr>
              <w:pStyle w:val="Tabletext"/>
            </w:pPr>
            <w:r>
              <w:t>July 2023</w:t>
            </w:r>
          </w:p>
        </w:tc>
      </w:tr>
      <w:tr w:rsidR="00B949E1" w14:paraId="5DF95FC4" w14:textId="77777777" w:rsidTr="00B9362B">
        <w:trPr>
          <w:gridBefore w:val="1"/>
          <w:wBefore w:w="454" w:type="dxa"/>
        </w:trPr>
        <w:tc>
          <w:tcPr>
            <w:tcW w:w="3968" w:type="dxa"/>
            <w:shd w:val="clear" w:color="auto" w:fill="auto"/>
          </w:tcPr>
          <w:p w14:paraId="00EAFCD7" w14:textId="77777777" w:rsidR="00B949E1" w:rsidRDefault="00B949E1" w:rsidP="00B9362B">
            <w:pPr>
              <w:pStyle w:val="Tabletext"/>
            </w:pPr>
            <w:r>
              <w:t>Community</w:t>
            </w:r>
          </w:p>
        </w:tc>
        <w:tc>
          <w:tcPr>
            <w:tcW w:w="3968" w:type="dxa"/>
            <w:shd w:val="clear" w:color="auto" w:fill="auto"/>
          </w:tcPr>
          <w:p w14:paraId="51F2782E" w14:textId="77777777" w:rsidR="00B949E1" w:rsidRDefault="00B949E1" w:rsidP="00B9362B">
            <w:pPr>
              <w:pStyle w:val="Tabletext"/>
            </w:pPr>
            <w:r>
              <w:t>July 2023</w:t>
            </w:r>
          </w:p>
        </w:tc>
      </w:tr>
      <w:tr w:rsidR="00B949E1" w14:paraId="67A0E690" w14:textId="77777777" w:rsidTr="00B9362B">
        <w:trPr>
          <w:gridBefore w:val="1"/>
          <w:wBefore w:w="454" w:type="dxa"/>
        </w:trPr>
        <w:tc>
          <w:tcPr>
            <w:tcW w:w="3968" w:type="dxa"/>
            <w:shd w:val="clear" w:color="auto" w:fill="auto"/>
          </w:tcPr>
          <w:p w14:paraId="42DBCC74" w14:textId="77777777" w:rsidR="00B949E1" w:rsidRDefault="00B949E1" w:rsidP="00B9362B">
            <w:pPr>
              <w:pStyle w:val="Tabletext"/>
            </w:pPr>
            <w:r>
              <w:t>Retail and services industry</w:t>
            </w:r>
          </w:p>
        </w:tc>
        <w:tc>
          <w:tcPr>
            <w:tcW w:w="3968" w:type="dxa"/>
            <w:shd w:val="clear" w:color="auto" w:fill="auto"/>
          </w:tcPr>
          <w:p w14:paraId="053F4759" w14:textId="77777777" w:rsidR="00B949E1" w:rsidRDefault="00B949E1" w:rsidP="00B9362B">
            <w:pPr>
              <w:pStyle w:val="Tabletext"/>
            </w:pPr>
            <w:r>
              <w:t>No sooner than September 2024</w:t>
            </w:r>
          </w:p>
        </w:tc>
      </w:tr>
      <w:tr w:rsidR="00B949E1" w14:paraId="2AD65BB3" w14:textId="77777777" w:rsidTr="00B9362B">
        <w:trPr>
          <w:gridBefore w:val="1"/>
          <w:wBefore w:w="454" w:type="dxa"/>
        </w:trPr>
        <w:tc>
          <w:tcPr>
            <w:tcW w:w="3968" w:type="dxa"/>
            <w:shd w:val="clear" w:color="auto" w:fill="auto"/>
          </w:tcPr>
          <w:p w14:paraId="22BA1C39" w14:textId="77777777" w:rsidR="00B949E1" w:rsidRDefault="00B949E1" w:rsidP="00B9362B">
            <w:pPr>
              <w:pStyle w:val="Tabletext"/>
            </w:pPr>
            <w:r>
              <w:t>Manufacturers, suppliers and distributors</w:t>
            </w:r>
          </w:p>
        </w:tc>
        <w:tc>
          <w:tcPr>
            <w:tcW w:w="3968" w:type="dxa"/>
            <w:shd w:val="clear" w:color="auto" w:fill="auto"/>
          </w:tcPr>
          <w:p w14:paraId="58D97E7D" w14:textId="77777777" w:rsidR="00B949E1" w:rsidRDefault="00B949E1" w:rsidP="00B9362B">
            <w:pPr>
              <w:pStyle w:val="Tabletext"/>
            </w:pPr>
            <w:r>
              <w:t>No sooner than September 2024</w:t>
            </w:r>
          </w:p>
        </w:tc>
      </w:tr>
      <w:tr w:rsidR="00B949E1" w14:paraId="6D30E524" w14:textId="77777777" w:rsidTr="00B9362B">
        <w:trPr>
          <w:gridBefore w:val="1"/>
          <w:wBefore w:w="454" w:type="dxa"/>
        </w:trPr>
        <w:tc>
          <w:tcPr>
            <w:tcW w:w="3968" w:type="dxa"/>
            <w:shd w:val="clear" w:color="auto" w:fill="auto"/>
          </w:tcPr>
          <w:p w14:paraId="7C88B724" w14:textId="77777777" w:rsidR="00B949E1" w:rsidRDefault="00B949E1" w:rsidP="00B9362B">
            <w:pPr>
              <w:pStyle w:val="Tabletext"/>
            </w:pPr>
            <w:r>
              <w:t>Not-for-profits sector</w:t>
            </w:r>
          </w:p>
        </w:tc>
        <w:tc>
          <w:tcPr>
            <w:tcW w:w="3968" w:type="dxa"/>
            <w:shd w:val="clear" w:color="auto" w:fill="auto"/>
          </w:tcPr>
          <w:p w14:paraId="23E6ED78" w14:textId="77777777" w:rsidR="00B949E1" w:rsidRDefault="00B949E1" w:rsidP="00B9362B">
            <w:pPr>
              <w:pStyle w:val="Tabletext"/>
            </w:pPr>
            <w:r>
              <w:t>No sooner than September 2024</w:t>
            </w:r>
          </w:p>
        </w:tc>
      </w:tr>
      <w:tr w:rsidR="00B949E1" w14:paraId="52F4825E" w14:textId="77777777" w:rsidTr="003E2764">
        <w:trPr>
          <w:gridBefore w:val="1"/>
          <w:wBefore w:w="454" w:type="dxa"/>
        </w:trPr>
        <w:tc>
          <w:tcPr>
            <w:tcW w:w="3968" w:type="dxa"/>
            <w:tcBorders>
              <w:bottom w:val="single" w:sz="4" w:space="0" w:color="646464"/>
            </w:tcBorders>
            <w:shd w:val="clear" w:color="auto" w:fill="auto"/>
          </w:tcPr>
          <w:p w14:paraId="07D37A09" w14:textId="77777777" w:rsidR="00B949E1" w:rsidRDefault="00B949E1" w:rsidP="00B9362B">
            <w:pPr>
              <w:pStyle w:val="Tabletext"/>
            </w:pPr>
            <w:r>
              <w:t>Waste management</w:t>
            </w:r>
          </w:p>
        </w:tc>
        <w:tc>
          <w:tcPr>
            <w:tcW w:w="3968" w:type="dxa"/>
            <w:tcBorders>
              <w:bottom w:val="single" w:sz="4" w:space="0" w:color="646464"/>
            </w:tcBorders>
            <w:shd w:val="clear" w:color="auto" w:fill="auto"/>
          </w:tcPr>
          <w:p w14:paraId="56FD6ABC" w14:textId="77777777" w:rsidR="00B949E1" w:rsidRDefault="00B949E1" w:rsidP="00B9362B">
            <w:pPr>
              <w:pStyle w:val="Tabletext"/>
            </w:pPr>
            <w:r>
              <w:t>No sooner than September 2024</w:t>
            </w:r>
          </w:p>
        </w:tc>
      </w:tr>
      <w:tr w:rsidR="00B949E1" w14:paraId="5A341CAB" w14:textId="77777777" w:rsidTr="003E2764">
        <w:trPr>
          <w:gridBefore w:val="1"/>
          <w:wBefore w:w="454" w:type="dxa"/>
        </w:trPr>
        <w:tc>
          <w:tcPr>
            <w:tcW w:w="3968" w:type="dxa"/>
            <w:tcBorders>
              <w:top w:val="single" w:sz="4" w:space="0" w:color="646464"/>
            </w:tcBorders>
            <w:shd w:val="clear" w:color="auto" w:fill="C8C8C8"/>
          </w:tcPr>
          <w:p w14:paraId="093A2259" w14:textId="77777777" w:rsidR="00B949E1" w:rsidRPr="00074AE7" w:rsidRDefault="00B949E1" w:rsidP="00B9362B">
            <w:pPr>
              <w:pStyle w:val="Tabletext"/>
              <w:rPr>
                <w:b/>
                <w:bCs/>
              </w:rPr>
            </w:pPr>
            <w:r w:rsidRPr="00074AE7">
              <w:rPr>
                <w:b/>
                <w:bCs/>
              </w:rPr>
              <w:t>SUP plates and bowls</w:t>
            </w:r>
          </w:p>
        </w:tc>
        <w:tc>
          <w:tcPr>
            <w:tcW w:w="3968" w:type="dxa"/>
            <w:tcBorders>
              <w:top w:val="single" w:sz="4" w:space="0" w:color="646464"/>
            </w:tcBorders>
            <w:shd w:val="clear" w:color="auto" w:fill="C8C8C8"/>
          </w:tcPr>
          <w:p w14:paraId="16446DC7" w14:textId="77777777" w:rsidR="00B949E1" w:rsidRDefault="00B949E1" w:rsidP="00B9362B">
            <w:pPr>
              <w:pStyle w:val="Tabletext"/>
            </w:pPr>
          </w:p>
        </w:tc>
      </w:tr>
      <w:tr w:rsidR="00B949E1" w14:paraId="0D41F7C6" w14:textId="77777777" w:rsidTr="00B9362B">
        <w:trPr>
          <w:gridBefore w:val="1"/>
          <w:wBefore w:w="454" w:type="dxa"/>
        </w:trPr>
        <w:tc>
          <w:tcPr>
            <w:tcW w:w="3968" w:type="dxa"/>
            <w:shd w:val="clear" w:color="auto" w:fill="auto"/>
          </w:tcPr>
          <w:p w14:paraId="1C3CC0DD" w14:textId="77777777" w:rsidR="00B949E1" w:rsidRDefault="00B949E1" w:rsidP="00B9362B">
            <w:pPr>
              <w:pStyle w:val="Tabletext"/>
              <w:tabs>
                <w:tab w:val="left" w:pos="930"/>
              </w:tabs>
            </w:pPr>
            <w:r>
              <w:t>Government</w:t>
            </w:r>
          </w:p>
        </w:tc>
        <w:tc>
          <w:tcPr>
            <w:tcW w:w="3968" w:type="dxa"/>
            <w:shd w:val="clear" w:color="auto" w:fill="auto"/>
          </w:tcPr>
          <w:p w14:paraId="61BF919C" w14:textId="77777777" w:rsidR="00B949E1" w:rsidRDefault="00B949E1" w:rsidP="00B9362B">
            <w:pPr>
              <w:pStyle w:val="Tabletext"/>
            </w:pPr>
            <w:r>
              <w:t>July 2023</w:t>
            </w:r>
          </w:p>
        </w:tc>
      </w:tr>
      <w:tr w:rsidR="00B949E1" w14:paraId="55FE1528" w14:textId="77777777" w:rsidTr="00B9362B">
        <w:trPr>
          <w:gridBefore w:val="1"/>
          <w:wBefore w:w="454" w:type="dxa"/>
        </w:trPr>
        <w:tc>
          <w:tcPr>
            <w:tcW w:w="3968" w:type="dxa"/>
            <w:shd w:val="clear" w:color="auto" w:fill="auto"/>
          </w:tcPr>
          <w:p w14:paraId="36CB2233" w14:textId="77777777" w:rsidR="00B949E1" w:rsidRDefault="00B949E1" w:rsidP="00B9362B">
            <w:pPr>
              <w:pStyle w:val="Tabletext"/>
              <w:tabs>
                <w:tab w:val="left" w:pos="930"/>
              </w:tabs>
            </w:pPr>
            <w:r>
              <w:t>Community</w:t>
            </w:r>
          </w:p>
        </w:tc>
        <w:tc>
          <w:tcPr>
            <w:tcW w:w="3968" w:type="dxa"/>
            <w:shd w:val="clear" w:color="auto" w:fill="auto"/>
          </w:tcPr>
          <w:p w14:paraId="29EBCC01" w14:textId="77777777" w:rsidR="00B949E1" w:rsidRDefault="00B949E1" w:rsidP="00B9362B">
            <w:pPr>
              <w:pStyle w:val="Tabletext"/>
            </w:pPr>
            <w:r>
              <w:t>July 2023</w:t>
            </w:r>
          </w:p>
        </w:tc>
      </w:tr>
      <w:tr w:rsidR="00B949E1" w14:paraId="0302F58F" w14:textId="77777777" w:rsidTr="00B9362B">
        <w:trPr>
          <w:gridBefore w:val="1"/>
          <w:wBefore w:w="454" w:type="dxa"/>
        </w:trPr>
        <w:tc>
          <w:tcPr>
            <w:tcW w:w="3968" w:type="dxa"/>
            <w:shd w:val="clear" w:color="auto" w:fill="auto"/>
          </w:tcPr>
          <w:p w14:paraId="0F7E94B9" w14:textId="77777777" w:rsidR="00B949E1" w:rsidRDefault="00B949E1" w:rsidP="00B9362B">
            <w:pPr>
              <w:pStyle w:val="Tabletext"/>
              <w:tabs>
                <w:tab w:val="left" w:pos="930"/>
              </w:tabs>
            </w:pPr>
            <w:r>
              <w:t>Retail and services industry</w:t>
            </w:r>
          </w:p>
        </w:tc>
        <w:tc>
          <w:tcPr>
            <w:tcW w:w="3968" w:type="dxa"/>
            <w:shd w:val="clear" w:color="auto" w:fill="auto"/>
          </w:tcPr>
          <w:p w14:paraId="061C33FC" w14:textId="77777777" w:rsidR="00B949E1" w:rsidRDefault="00B949E1" w:rsidP="00B9362B">
            <w:pPr>
              <w:pStyle w:val="Tabletext"/>
            </w:pPr>
            <w:r>
              <w:t>September 2023 – November 2024</w:t>
            </w:r>
          </w:p>
        </w:tc>
      </w:tr>
      <w:tr w:rsidR="00B949E1" w14:paraId="6DF391CE" w14:textId="77777777" w:rsidTr="00B9362B">
        <w:trPr>
          <w:gridBefore w:val="1"/>
          <w:wBefore w:w="454" w:type="dxa"/>
        </w:trPr>
        <w:tc>
          <w:tcPr>
            <w:tcW w:w="3968" w:type="dxa"/>
            <w:shd w:val="clear" w:color="auto" w:fill="auto"/>
          </w:tcPr>
          <w:p w14:paraId="23932C78" w14:textId="77777777" w:rsidR="00B949E1" w:rsidRDefault="00B949E1" w:rsidP="00B9362B">
            <w:pPr>
              <w:pStyle w:val="Tabletext"/>
              <w:tabs>
                <w:tab w:val="left" w:pos="930"/>
              </w:tabs>
            </w:pPr>
            <w:r>
              <w:t>Manufacturers, suppliers and distributors</w:t>
            </w:r>
          </w:p>
        </w:tc>
        <w:tc>
          <w:tcPr>
            <w:tcW w:w="3968" w:type="dxa"/>
            <w:shd w:val="clear" w:color="auto" w:fill="auto"/>
          </w:tcPr>
          <w:p w14:paraId="601DAFF1" w14:textId="77777777" w:rsidR="00B949E1" w:rsidRDefault="00B949E1" w:rsidP="00B9362B">
            <w:pPr>
              <w:pStyle w:val="Tabletext"/>
            </w:pPr>
            <w:r>
              <w:t>September 2023 – November 2024</w:t>
            </w:r>
          </w:p>
        </w:tc>
      </w:tr>
      <w:tr w:rsidR="00B949E1" w14:paraId="46FEF37F" w14:textId="77777777" w:rsidTr="00B9362B">
        <w:trPr>
          <w:gridBefore w:val="1"/>
          <w:wBefore w:w="454" w:type="dxa"/>
        </w:trPr>
        <w:tc>
          <w:tcPr>
            <w:tcW w:w="3968" w:type="dxa"/>
            <w:shd w:val="clear" w:color="auto" w:fill="auto"/>
          </w:tcPr>
          <w:p w14:paraId="342D8333" w14:textId="77777777" w:rsidR="00B949E1" w:rsidRDefault="00B949E1" w:rsidP="00B9362B">
            <w:pPr>
              <w:pStyle w:val="Tabletext"/>
              <w:tabs>
                <w:tab w:val="left" w:pos="930"/>
              </w:tabs>
            </w:pPr>
            <w:r>
              <w:t>Industry associations</w:t>
            </w:r>
          </w:p>
        </w:tc>
        <w:tc>
          <w:tcPr>
            <w:tcW w:w="3968" w:type="dxa"/>
            <w:shd w:val="clear" w:color="auto" w:fill="auto"/>
          </w:tcPr>
          <w:p w14:paraId="510EFCA4" w14:textId="77777777" w:rsidR="00B949E1" w:rsidRDefault="00B949E1" w:rsidP="00B9362B">
            <w:pPr>
              <w:pStyle w:val="Tabletext"/>
            </w:pPr>
            <w:r>
              <w:t>September 2023 – November 2024</w:t>
            </w:r>
          </w:p>
        </w:tc>
      </w:tr>
      <w:tr w:rsidR="00B949E1" w14:paraId="7EA7F2AB" w14:textId="77777777" w:rsidTr="00B9362B">
        <w:trPr>
          <w:gridBefore w:val="1"/>
          <w:wBefore w:w="454" w:type="dxa"/>
        </w:trPr>
        <w:tc>
          <w:tcPr>
            <w:tcW w:w="3968" w:type="dxa"/>
            <w:shd w:val="clear" w:color="auto" w:fill="auto"/>
          </w:tcPr>
          <w:p w14:paraId="3DD039C3" w14:textId="77777777" w:rsidR="00B949E1" w:rsidRDefault="00B949E1" w:rsidP="00B9362B">
            <w:pPr>
              <w:pStyle w:val="Tabletext"/>
              <w:tabs>
                <w:tab w:val="left" w:pos="930"/>
              </w:tabs>
            </w:pPr>
            <w:r>
              <w:t>Waste management</w:t>
            </w:r>
          </w:p>
        </w:tc>
        <w:tc>
          <w:tcPr>
            <w:tcW w:w="3968" w:type="dxa"/>
            <w:shd w:val="clear" w:color="auto" w:fill="auto"/>
          </w:tcPr>
          <w:p w14:paraId="7844B385" w14:textId="77777777" w:rsidR="00B949E1" w:rsidRDefault="00B949E1" w:rsidP="00B9362B">
            <w:pPr>
              <w:pStyle w:val="Tabletext"/>
            </w:pPr>
            <w:r>
              <w:t>September 2023 – November 2024</w:t>
            </w:r>
          </w:p>
        </w:tc>
      </w:tr>
      <w:tr w:rsidR="00B949E1" w14:paraId="10D95142" w14:textId="77777777" w:rsidTr="003E2764">
        <w:trPr>
          <w:gridBefore w:val="1"/>
          <w:wBefore w:w="454" w:type="dxa"/>
        </w:trPr>
        <w:tc>
          <w:tcPr>
            <w:tcW w:w="3968" w:type="dxa"/>
            <w:tcBorders>
              <w:bottom w:val="single" w:sz="4" w:space="0" w:color="646464"/>
            </w:tcBorders>
            <w:shd w:val="clear" w:color="auto" w:fill="auto"/>
          </w:tcPr>
          <w:p w14:paraId="0C1585FB" w14:textId="77777777" w:rsidR="00B949E1" w:rsidRDefault="00B949E1" w:rsidP="00B9362B">
            <w:pPr>
              <w:pStyle w:val="Tabletext"/>
              <w:tabs>
                <w:tab w:val="left" w:pos="930"/>
              </w:tabs>
            </w:pPr>
            <w:r>
              <w:t>Health sector</w:t>
            </w:r>
          </w:p>
        </w:tc>
        <w:tc>
          <w:tcPr>
            <w:tcW w:w="3968" w:type="dxa"/>
            <w:tcBorders>
              <w:bottom w:val="single" w:sz="4" w:space="0" w:color="646464"/>
            </w:tcBorders>
            <w:shd w:val="clear" w:color="auto" w:fill="auto"/>
          </w:tcPr>
          <w:p w14:paraId="30C1AB67" w14:textId="77777777" w:rsidR="00B949E1" w:rsidRDefault="00B949E1" w:rsidP="00B9362B">
            <w:pPr>
              <w:pStyle w:val="Tabletext"/>
            </w:pPr>
            <w:r>
              <w:t>September 2023 – November 2024</w:t>
            </w:r>
          </w:p>
        </w:tc>
      </w:tr>
      <w:tr w:rsidR="00B949E1" w14:paraId="15C1A6CB" w14:textId="77777777" w:rsidTr="003E2764">
        <w:trPr>
          <w:gridBefore w:val="1"/>
          <w:wBefore w:w="454" w:type="dxa"/>
        </w:trPr>
        <w:tc>
          <w:tcPr>
            <w:tcW w:w="3968" w:type="dxa"/>
            <w:tcBorders>
              <w:top w:val="single" w:sz="4" w:space="0" w:color="646464"/>
            </w:tcBorders>
            <w:shd w:val="clear" w:color="auto" w:fill="C8C8C8"/>
          </w:tcPr>
          <w:p w14:paraId="7C0F0559" w14:textId="77777777" w:rsidR="00B949E1" w:rsidRPr="00074AE7" w:rsidRDefault="00B949E1" w:rsidP="00B9362B">
            <w:pPr>
              <w:pStyle w:val="Tabletext"/>
              <w:tabs>
                <w:tab w:val="left" w:pos="930"/>
              </w:tabs>
              <w:rPr>
                <w:b/>
                <w:bCs/>
              </w:rPr>
            </w:pPr>
            <w:r w:rsidRPr="00074AE7">
              <w:rPr>
                <w:b/>
                <w:bCs/>
              </w:rPr>
              <w:t>Heavyweight and boutique plastic bags</w:t>
            </w:r>
          </w:p>
        </w:tc>
        <w:tc>
          <w:tcPr>
            <w:tcW w:w="3968" w:type="dxa"/>
            <w:tcBorders>
              <w:top w:val="single" w:sz="4" w:space="0" w:color="646464"/>
            </w:tcBorders>
            <w:shd w:val="clear" w:color="auto" w:fill="C8C8C8"/>
          </w:tcPr>
          <w:p w14:paraId="674D2642" w14:textId="77777777" w:rsidR="00B949E1" w:rsidRDefault="00B949E1" w:rsidP="00B9362B">
            <w:pPr>
              <w:pStyle w:val="Tabletext"/>
            </w:pPr>
          </w:p>
        </w:tc>
      </w:tr>
      <w:tr w:rsidR="00B949E1" w14:paraId="24C407AE" w14:textId="77777777" w:rsidTr="00B9362B">
        <w:trPr>
          <w:gridBefore w:val="1"/>
          <w:wBefore w:w="454" w:type="dxa"/>
        </w:trPr>
        <w:tc>
          <w:tcPr>
            <w:tcW w:w="3968" w:type="dxa"/>
            <w:shd w:val="clear" w:color="auto" w:fill="auto"/>
          </w:tcPr>
          <w:p w14:paraId="4128740A" w14:textId="77777777" w:rsidR="00B949E1" w:rsidRDefault="00B949E1" w:rsidP="00B9362B">
            <w:pPr>
              <w:pStyle w:val="Tabletext"/>
              <w:tabs>
                <w:tab w:val="left" w:pos="930"/>
              </w:tabs>
            </w:pPr>
            <w:r>
              <w:t>Government</w:t>
            </w:r>
          </w:p>
        </w:tc>
        <w:tc>
          <w:tcPr>
            <w:tcW w:w="3968" w:type="dxa"/>
            <w:shd w:val="clear" w:color="auto" w:fill="auto"/>
          </w:tcPr>
          <w:p w14:paraId="47F8899C" w14:textId="77777777" w:rsidR="00B949E1" w:rsidRDefault="00B949E1" w:rsidP="00B9362B">
            <w:pPr>
              <w:pStyle w:val="Tabletext"/>
            </w:pPr>
            <w:r>
              <w:t>July 2023</w:t>
            </w:r>
          </w:p>
        </w:tc>
      </w:tr>
      <w:tr w:rsidR="00B949E1" w14:paraId="5216B742" w14:textId="77777777" w:rsidTr="00B9362B">
        <w:trPr>
          <w:gridBefore w:val="1"/>
          <w:wBefore w:w="454" w:type="dxa"/>
        </w:trPr>
        <w:tc>
          <w:tcPr>
            <w:tcW w:w="3968" w:type="dxa"/>
            <w:shd w:val="clear" w:color="auto" w:fill="auto"/>
          </w:tcPr>
          <w:p w14:paraId="0F67682B" w14:textId="77777777" w:rsidR="00B949E1" w:rsidRDefault="00B949E1" w:rsidP="00B9362B">
            <w:pPr>
              <w:pStyle w:val="Tabletext"/>
              <w:tabs>
                <w:tab w:val="left" w:pos="930"/>
              </w:tabs>
            </w:pPr>
            <w:r>
              <w:t>Community</w:t>
            </w:r>
          </w:p>
        </w:tc>
        <w:tc>
          <w:tcPr>
            <w:tcW w:w="3968" w:type="dxa"/>
            <w:shd w:val="clear" w:color="auto" w:fill="auto"/>
          </w:tcPr>
          <w:p w14:paraId="0D13F7D1" w14:textId="77777777" w:rsidR="00B949E1" w:rsidRDefault="00B949E1" w:rsidP="00B9362B">
            <w:pPr>
              <w:pStyle w:val="Tabletext"/>
            </w:pPr>
            <w:r>
              <w:t>July 2023</w:t>
            </w:r>
          </w:p>
        </w:tc>
      </w:tr>
      <w:tr w:rsidR="00B949E1" w14:paraId="0D763CE1" w14:textId="77777777" w:rsidTr="00B9362B">
        <w:trPr>
          <w:gridBefore w:val="1"/>
          <w:wBefore w:w="454" w:type="dxa"/>
        </w:trPr>
        <w:tc>
          <w:tcPr>
            <w:tcW w:w="3968" w:type="dxa"/>
            <w:shd w:val="clear" w:color="auto" w:fill="auto"/>
          </w:tcPr>
          <w:p w14:paraId="4C8150DE" w14:textId="77777777" w:rsidR="00B949E1" w:rsidRDefault="00B949E1" w:rsidP="00B9362B">
            <w:pPr>
              <w:pStyle w:val="Tabletext"/>
              <w:tabs>
                <w:tab w:val="left" w:pos="930"/>
              </w:tabs>
            </w:pPr>
            <w:r>
              <w:t>Retail and services industry</w:t>
            </w:r>
          </w:p>
        </w:tc>
        <w:tc>
          <w:tcPr>
            <w:tcW w:w="3968" w:type="dxa"/>
            <w:shd w:val="clear" w:color="auto" w:fill="auto"/>
          </w:tcPr>
          <w:p w14:paraId="18083216" w14:textId="77777777" w:rsidR="00B949E1" w:rsidRDefault="00B949E1" w:rsidP="00B9362B">
            <w:pPr>
              <w:pStyle w:val="Tabletext"/>
            </w:pPr>
            <w:r>
              <w:t>July 2024 – July 2025</w:t>
            </w:r>
          </w:p>
        </w:tc>
      </w:tr>
      <w:tr w:rsidR="00B949E1" w14:paraId="0DFEEF77" w14:textId="77777777" w:rsidTr="00B9362B">
        <w:trPr>
          <w:gridBefore w:val="1"/>
          <w:wBefore w:w="454" w:type="dxa"/>
        </w:trPr>
        <w:tc>
          <w:tcPr>
            <w:tcW w:w="3968" w:type="dxa"/>
            <w:shd w:val="clear" w:color="auto" w:fill="auto"/>
          </w:tcPr>
          <w:p w14:paraId="0C0A30C6" w14:textId="77777777" w:rsidR="00B949E1" w:rsidRDefault="00B949E1" w:rsidP="00B9362B">
            <w:pPr>
              <w:pStyle w:val="Tabletext"/>
              <w:tabs>
                <w:tab w:val="left" w:pos="930"/>
              </w:tabs>
            </w:pPr>
            <w:r>
              <w:t>Manufacturers, suppliers and distributors</w:t>
            </w:r>
          </w:p>
        </w:tc>
        <w:tc>
          <w:tcPr>
            <w:tcW w:w="3968" w:type="dxa"/>
            <w:shd w:val="clear" w:color="auto" w:fill="auto"/>
          </w:tcPr>
          <w:p w14:paraId="7DFDD5C5" w14:textId="77777777" w:rsidR="00B949E1" w:rsidRDefault="00B949E1" w:rsidP="00B9362B">
            <w:pPr>
              <w:pStyle w:val="Tabletext"/>
            </w:pPr>
            <w:r>
              <w:t>July 2024 – July 2025</w:t>
            </w:r>
          </w:p>
        </w:tc>
      </w:tr>
      <w:tr w:rsidR="00B949E1" w14:paraId="1DAB66DD" w14:textId="77777777" w:rsidTr="00B9362B">
        <w:trPr>
          <w:gridBefore w:val="1"/>
          <w:wBefore w:w="454" w:type="dxa"/>
        </w:trPr>
        <w:tc>
          <w:tcPr>
            <w:tcW w:w="3968" w:type="dxa"/>
            <w:shd w:val="clear" w:color="auto" w:fill="auto"/>
          </w:tcPr>
          <w:p w14:paraId="08355651" w14:textId="77777777" w:rsidR="00B949E1" w:rsidRDefault="00B949E1" w:rsidP="00B9362B">
            <w:pPr>
              <w:pStyle w:val="Tabletext"/>
              <w:tabs>
                <w:tab w:val="left" w:pos="930"/>
              </w:tabs>
            </w:pPr>
            <w:r>
              <w:t>Industry associations</w:t>
            </w:r>
          </w:p>
        </w:tc>
        <w:tc>
          <w:tcPr>
            <w:tcW w:w="3968" w:type="dxa"/>
            <w:shd w:val="clear" w:color="auto" w:fill="auto"/>
          </w:tcPr>
          <w:p w14:paraId="013D09BE" w14:textId="77777777" w:rsidR="00B949E1" w:rsidRDefault="00B949E1" w:rsidP="00B9362B">
            <w:pPr>
              <w:pStyle w:val="Tabletext"/>
            </w:pPr>
            <w:r>
              <w:t>July 2024 – July 2025</w:t>
            </w:r>
          </w:p>
        </w:tc>
      </w:tr>
      <w:tr w:rsidR="00B949E1" w14:paraId="1517327F" w14:textId="77777777" w:rsidTr="00B9362B">
        <w:trPr>
          <w:gridBefore w:val="1"/>
          <w:wBefore w:w="454" w:type="dxa"/>
        </w:trPr>
        <w:tc>
          <w:tcPr>
            <w:tcW w:w="3968" w:type="dxa"/>
            <w:shd w:val="clear" w:color="auto" w:fill="auto"/>
          </w:tcPr>
          <w:p w14:paraId="5395DF89" w14:textId="77777777" w:rsidR="00B949E1" w:rsidRDefault="00B949E1" w:rsidP="00B9362B">
            <w:pPr>
              <w:pStyle w:val="Tabletext"/>
              <w:tabs>
                <w:tab w:val="left" w:pos="930"/>
              </w:tabs>
            </w:pPr>
            <w:r>
              <w:t>Waste management</w:t>
            </w:r>
          </w:p>
        </w:tc>
        <w:tc>
          <w:tcPr>
            <w:tcW w:w="3968" w:type="dxa"/>
            <w:shd w:val="clear" w:color="auto" w:fill="auto"/>
          </w:tcPr>
          <w:p w14:paraId="37AD7967" w14:textId="77777777" w:rsidR="00B949E1" w:rsidRDefault="00B949E1" w:rsidP="00B9362B">
            <w:pPr>
              <w:pStyle w:val="Tabletext"/>
            </w:pPr>
            <w:r>
              <w:t>July 2024 – July 2025</w:t>
            </w:r>
          </w:p>
        </w:tc>
      </w:tr>
      <w:tr w:rsidR="00B949E1" w14:paraId="2A1A37DD" w14:textId="77777777" w:rsidTr="00B9362B">
        <w:trPr>
          <w:gridBefore w:val="1"/>
          <w:wBefore w:w="454" w:type="dxa"/>
        </w:trPr>
        <w:tc>
          <w:tcPr>
            <w:tcW w:w="7936" w:type="dxa"/>
            <w:gridSpan w:val="2"/>
            <w:tcBorders>
              <w:bottom w:val="single" w:sz="4" w:space="0" w:color="646464"/>
            </w:tcBorders>
            <w:shd w:val="clear" w:color="auto" w:fill="auto"/>
          </w:tcPr>
          <w:p w14:paraId="35F8EFF4" w14:textId="77777777" w:rsidR="00B949E1" w:rsidRDefault="00B949E1" w:rsidP="00B9362B">
            <w:pPr>
              <w:pStyle w:val="Source"/>
            </w:pPr>
            <w:r>
              <w:t>Source: ACIL Allen based on a review of submissions</w:t>
            </w:r>
          </w:p>
        </w:tc>
      </w:tr>
      <w:tr w:rsidR="00B949E1" w14:paraId="3AF69BA6" w14:textId="77777777" w:rsidTr="00B9362B">
        <w:trPr>
          <w:gridBefore w:val="1"/>
          <w:wBefore w:w="454" w:type="dxa"/>
          <w:trHeight w:hRule="exact" w:val="160"/>
        </w:trPr>
        <w:tc>
          <w:tcPr>
            <w:tcW w:w="7936" w:type="dxa"/>
            <w:gridSpan w:val="2"/>
            <w:tcBorders>
              <w:top w:val="single" w:sz="4" w:space="0" w:color="646464"/>
              <w:bottom w:val="nil"/>
            </w:tcBorders>
            <w:shd w:val="clear" w:color="auto" w:fill="auto"/>
          </w:tcPr>
          <w:p w14:paraId="4ADDD30E" w14:textId="77777777" w:rsidR="00B949E1" w:rsidRDefault="00B949E1" w:rsidP="00B9362B">
            <w:pPr>
              <w:pStyle w:val="spacer"/>
            </w:pPr>
          </w:p>
        </w:tc>
      </w:tr>
    </w:tbl>
    <w:p w14:paraId="21BE07CC" w14:textId="77777777" w:rsidR="00B949E1" w:rsidRDefault="00B949E1" w:rsidP="00B949E1">
      <w:pPr>
        <w:pStyle w:val="Heading3"/>
      </w:pPr>
      <w:r>
        <w:t>Potential exemption</w:t>
      </w:r>
    </w:p>
    <w:p w14:paraId="123DE472" w14:textId="77777777" w:rsidR="00B949E1" w:rsidRDefault="00B949E1" w:rsidP="00B949E1">
      <w:pPr>
        <w:pStyle w:val="BodyText"/>
      </w:pPr>
      <w:r>
        <w:t xml:space="preserve">Certain sectors might be disproportionately impacted by the regulation as there is no viable alternatives for certain special items. Stakeholders have identified these sectors and items, shown in </w:t>
      </w:r>
      <w:r w:rsidRPr="00F6429E">
        <w:rPr>
          <w:b/>
          <w:bCs/>
        </w:rPr>
        <w:fldChar w:fldCharType="begin"/>
      </w:r>
      <w:r w:rsidRPr="00F6429E">
        <w:rPr>
          <w:b/>
          <w:bCs/>
        </w:rPr>
        <w:instrText xml:space="preserve"> REF _Ref131673200 \h </w:instrText>
      </w:r>
      <w:r>
        <w:rPr>
          <w:b/>
          <w:bCs/>
        </w:rPr>
        <w:instrText xml:space="preserve"> \* MERGEFORMAT </w:instrText>
      </w:r>
      <w:r w:rsidRPr="00F6429E">
        <w:rPr>
          <w:b/>
          <w:bCs/>
        </w:rPr>
      </w:r>
      <w:r w:rsidRPr="00F6429E">
        <w:rPr>
          <w:b/>
          <w:bCs/>
        </w:rPr>
        <w:fldChar w:fldCharType="separate"/>
      </w:r>
      <w:r w:rsidRPr="00790266">
        <w:rPr>
          <w:rStyle w:val="CaptionLabel"/>
          <w:b w:val="0"/>
          <w:bCs/>
        </w:rPr>
        <w:t>Table 9.2</w:t>
      </w:r>
      <w:r w:rsidRPr="00F6429E">
        <w:rPr>
          <w:b/>
          <w:bCs/>
        </w:rPr>
        <w:fldChar w:fldCharType="end"/>
      </w:r>
      <w:r>
        <w:t xml:space="preserve"> below. The implementation of the regulation should consider the implied impacts on these sectors.</w:t>
      </w:r>
    </w:p>
    <w:p w14:paraId="6B7199E4" w14:textId="77777777" w:rsidR="00B949E1" w:rsidRDefault="00B949E1" w:rsidP="00B949E1">
      <w:pPr>
        <w:pStyle w:val="Caption"/>
      </w:pPr>
      <w:bookmarkStart w:id="140" w:name="_Ref131673200"/>
      <w:bookmarkStart w:id="141" w:name="_Toc134002451"/>
      <w:r w:rsidRPr="00F6429E">
        <w:rPr>
          <w:rStyle w:val="CaptionLabel"/>
        </w:rPr>
        <w:t>Table </w:t>
      </w:r>
      <w:r w:rsidRPr="00F6429E">
        <w:rPr>
          <w:rStyle w:val="CaptionLabel"/>
        </w:rPr>
        <w:fldChar w:fldCharType="begin"/>
      </w:r>
      <w:r w:rsidRPr="00F6429E">
        <w:rPr>
          <w:rStyle w:val="CaptionLabel"/>
        </w:rPr>
        <w:instrText xml:space="preserve"> STYLEREF 1 \S \* MERGEFORMAT </w:instrText>
      </w:r>
      <w:r w:rsidRPr="00F6429E">
        <w:rPr>
          <w:rStyle w:val="CaptionLabel"/>
        </w:rPr>
        <w:fldChar w:fldCharType="separate"/>
      </w:r>
      <w:r>
        <w:rPr>
          <w:rStyle w:val="CaptionLabel"/>
          <w:noProof/>
        </w:rPr>
        <w:t>9</w:t>
      </w:r>
      <w:r w:rsidRPr="00F6429E">
        <w:rPr>
          <w:rStyle w:val="CaptionLabel"/>
        </w:rPr>
        <w:fldChar w:fldCharType="end"/>
      </w:r>
      <w:r w:rsidRPr="00F6429E">
        <w:rPr>
          <w:rStyle w:val="CaptionLabel"/>
        </w:rPr>
        <w:t>.</w:t>
      </w:r>
      <w:r w:rsidRPr="00F6429E">
        <w:rPr>
          <w:rStyle w:val="CaptionLabel"/>
        </w:rPr>
        <w:fldChar w:fldCharType="begin"/>
      </w:r>
      <w:r w:rsidRPr="00F6429E">
        <w:rPr>
          <w:rStyle w:val="CaptionLabel"/>
        </w:rPr>
        <w:instrText xml:space="preserve"> SEQ Table \* ARABIC \S 1 \* MERGEFORMAT </w:instrText>
      </w:r>
      <w:r w:rsidRPr="00F6429E">
        <w:rPr>
          <w:rStyle w:val="CaptionLabel"/>
        </w:rPr>
        <w:fldChar w:fldCharType="separate"/>
      </w:r>
      <w:r>
        <w:rPr>
          <w:rStyle w:val="CaptionLabel"/>
          <w:noProof/>
        </w:rPr>
        <w:t>2</w:t>
      </w:r>
      <w:r w:rsidRPr="00F6429E">
        <w:rPr>
          <w:rStyle w:val="CaptionLabel"/>
        </w:rPr>
        <w:fldChar w:fldCharType="end"/>
      </w:r>
      <w:bookmarkEnd w:id="140"/>
      <w:r>
        <w:tab/>
        <w:t>Summary of stakeholders’ suggested exemptions</w:t>
      </w:r>
      <w:bookmarkEnd w:id="141"/>
      <w:r>
        <w:t xml:space="preserve"> </w:t>
      </w:r>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645"/>
        <w:gridCol w:w="2645"/>
        <w:gridCol w:w="2646"/>
      </w:tblGrid>
      <w:tr w:rsidR="00B949E1" w14:paraId="50205C3F" w14:textId="77777777" w:rsidTr="00B9362B">
        <w:trPr>
          <w:tblHeader/>
        </w:trPr>
        <w:tc>
          <w:tcPr>
            <w:tcW w:w="3099" w:type="dxa"/>
            <w:gridSpan w:val="2"/>
            <w:tcBorders>
              <w:top w:val="nil"/>
              <w:bottom w:val="nil"/>
            </w:tcBorders>
            <w:shd w:val="clear" w:color="auto" w:fill="140034"/>
            <w:tcMar>
              <w:left w:w="454" w:type="dxa"/>
            </w:tcMar>
          </w:tcPr>
          <w:p w14:paraId="0029ADAD" w14:textId="77777777" w:rsidR="00B949E1" w:rsidRDefault="00B949E1" w:rsidP="00B9362B">
            <w:pPr>
              <w:pStyle w:val="Tablecolumnheadings"/>
            </w:pPr>
            <w:r>
              <w:t>Sector</w:t>
            </w:r>
          </w:p>
        </w:tc>
        <w:tc>
          <w:tcPr>
            <w:tcW w:w="2645" w:type="dxa"/>
            <w:tcBorders>
              <w:top w:val="nil"/>
              <w:bottom w:val="nil"/>
            </w:tcBorders>
            <w:shd w:val="clear" w:color="auto" w:fill="140034"/>
          </w:tcPr>
          <w:p w14:paraId="59F88469" w14:textId="77777777" w:rsidR="00B949E1" w:rsidRDefault="00B949E1" w:rsidP="00B9362B">
            <w:pPr>
              <w:pStyle w:val="Tablecolumnheadings"/>
            </w:pPr>
            <w:r>
              <w:t>Item</w:t>
            </w:r>
          </w:p>
        </w:tc>
        <w:tc>
          <w:tcPr>
            <w:tcW w:w="2646" w:type="dxa"/>
            <w:tcBorders>
              <w:top w:val="nil"/>
              <w:bottom w:val="nil"/>
              <w:right w:val="single" w:sz="6" w:space="0" w:color="140034"/>
            </w:tcBorders>
            <w:shd w:val="clear" w:color="auto" w:fill="140034"/>
          </w:tcPr>
          <w:p w14:paraId="2DFCA3B0" w14:textId="77777777" w:rsidR="00B949E1" w:rsidRDefault="00B949E1" w:rsidP="00B9362B">
            <w:pPr>
              <w:pStyle w:val="Tablecolumnheadings"/>
            </w:pPr>
            <w:r>
              <w:t>Reason</w:t>
            </w:r>
          </w:p>
        </w:tc>
      </w:tr>
      <w:tr w:rsidR="00B949E1" w14:paraId="0F04E4F3" w14:textId="77777777" w:rsidTr="00B9362B">
        <w:trPr>
          <w:gridBefore w:val="1"/>
          <w:wBefore w:w="454" w:type="dxa"/>
        </w:trPr>
        <w:tc>
          <w:tcPr>
            <w:tcW w:w="2645" w:type="dxa"/>
            <w:tcBorders>
              <w:top w:val="nil"/>
            </w:tcBorders>
            <w:shd w:val="clear" w:color="auto" w:fill="auto"/>
          </w:tcPr>
          <w:p w14:paraId="047FB767" w14:textId="77777777" w:rsidR="00B949E1" w:rsidRDefault="00B949E1" w:rsidP="00B9362B">
            <w:pPr>
              <w:pStyle w:val="Tabletext"/>
            </w:pPr>
            <w:r>
              <w:t>Health</w:t>
            </w:r>
          </w:p>
        </w:tc>
        <w:tc>
          <w:tcPr>
            <w:tcW w:w="2645" w:type="dxa"/>
            <w:tcBorders>
              <w:top w:val="nil"/>
            </w:tcBorders>
            <w:shd w:val="clear" w:color="auto" w:fill="auto"/>
          </w:tcPr>
          <w:p w14:paraId="32ABAE14" w14:textId="77777777" w:rsidR="00B949E1" w:rsidRDefault="00B949E1" w:rsidP="00B9362B">
            <w:pPr>
              <w:pStyle w:val="Tabletext"/>
            </w:pPr>
            <w:r>
              <w:t>Plastic kidney bowl</w:t>
            </w:r>
          </w:p>
          <w:p w14:paraId="7F420FED" w14:textId="77777777" w:rsidR="00B949E1" w:rsidRDefault="00B949E1" w:rsidP="00B9362B">
            <w:pPr>
              <w:pStyle w:val="Tabletext"/>
            </w:pPr>
            <w:r>
              <w:t>Plastic pill cup</w:t>
            </w:r>
          </w:p>
        </w:tc>
        <w:tc>
          <w:tcPr>
            <w:tcW w:w="2646" w:type="dxa"/>
            <w:tcBorders>
              <w:top w:val="nil"/>
            </w:tcBorders>
            <w:shd w:val="clear" w:color="auto" w:fill="auto"/>
          </w:tcPr>
          <w:p w14:paraId="2469EF0F" w14:textId="77777777" w:rsidR="00B949E1" w:rsidRDefault="00B949E1" w:rsidP="00B9362B">
            <w:pPr>
              <w:pStyle w:val="Tabletext"/>
            </w:pPr>
            <w:r>
              <w:t>There are currently no suitable alternatives for these items</w:t>
            </w:r>
          </w:p>
        </w:tc>
      </w:tr>
      <w:tr w:rsidR="00B949E1" w14:paraId="73188AF3" w14:textId="77777777" w:rsidTr="00B9362B">
        <w:trPr>
          <w:gridBefore w:val="1"/>
          <w:wBefore w:w="454" w:type="dxa"/>
        </w:trPr>
        <w:tc>
          <w:tcPr>
            <w:tcW w:w="2645" w:type="dxa"/>
            <w:shd w:val="clear" w:color="auto" w:fill="auto"/>
          </w:tcPr>
          <w:p w14:paraId="49CFF13A" w14:textId="77777777" w:rsidR="00B949E1" w:rsidRDefault="00B949E1" w:rsidP="00B9362B">
            <w:pPr>
              <w:pStyle w:val="Tabletext"/>
            </w:pPr>
            <w:r>
              <w:t>Veterinary</w:t>
            </w:r>
          </w:p>
        </w:tc>
        <w:tc>
          <w:tcPr>
            <w:tcW w:w="2645" w:type="dxa"/>
            <w:shd w:val="clear" w:color="auto" w:fill="auto"/>
          </w:tcPr>
          <w:p w14:paraId="49662BB1" w14:textId="77777777" w:rsidR="00B949E1" w:rsidRDefault="00B949E1" w:rsidP="00B9362B">
            <w:pPr>
              <w:pStyle w:val="Tabletext"/>
            </w:pPr>
            <w:r>
              <w:t>EPS packaging for animal health products</w:t>
            </w:r>
          </w:p>
        </w:tc>
        <w:tc>
          <w:tcPr>
            <w:tcW w:w="2646" w:type="dxa"/>
            <w:shd w:val="clear" w:color="auto" w:fill="auto"/>
          </w:tcPr>
          <w:p w14:paraId="6FA6F52C" w14:textId="77777777" w:rsidR="00B949E1" w:rsidRDefault="00B949E1" w:rsidP="00B9362B">
            <w:pPr>
              <w:pStyle w:val="Tabletext"/>
            </w:pPr>
            <w:r>
              <w:t>There are currently no suitable alternatives for these items</w:t>
            </w:r>
          </w:p>
        </w:tc>
      </w:tr>
      <w:tr w:rsidR="00B949E1" w14:paraId="184885CB" w14:textId="77777777" w:rsidTr="00B9362B">
        <w:trPr>
          <w:gridBefore w:val="1"/>
          <w:wBefore w:w="454" w:type="dxa"/>
        </w:trPr>
        <w:tc>
          <w:tcPr>
            <w:tcW w:w="2645" w:type="dxa"/>
            <w:shd w:val="clear" w:color="auto" w:fill="auto"/>
          </w:tcPr>
          <w:p w14:paraId="0F9770C2" w14:textId="77777777" w:rsidR="00B949E1" w:rsidRDefault="00B949E1" w:rsidP="00B9362B">
            <w:pPr>
              <w:pStyle w:val="Tabletext"/>
            </w:pPr>
            <w:r>
              <w:t>Charity and not-for-profit</w:t>
            </w:r>
          </w:p>
        </w:tc>
        <w:tc>
          <w:tcPr>
            <w:tcW w:w="2645" w:type="dxa"/>
            <w:shd w:val="clear" w:color="auto" w:fill="auto"/>
          </w:tcPr>
          <w:p w14:paraId="3FCD8C48" w14:textId="77777777" w:rsidR="00B949E1" w:rsidRDefault="00B949E1" w:rsidP="00B9362B">
            <w:pPr>
              <w:pStyle w:val="Tabletext"/>
            </w:pPr>
            <w:r>
              <w:t xml:space="preserve">SUP take-away </w:t>
            </w:r>
            <w:proofErr w:type="gramStart"/>
            <w:r>
              <w:t>containers</w:t>
            </w:r>
            <w:proofErr w:type="gramEnd"/>
          </w:p>
          <w:p w14:paraId="4B8B7CC6" w14:textId="77777777" w:rsidR="00B949E1" w:rsidRDefault="00B949E1" w:rsidP="00B9362B">
            <w:pPr>
              <w:pStyle w:val="Tabletext"/>
            </w:pPr>
            <w:r>
              <w:t>SUP plates and bowls</w:t>
            </w:r>
          </w:p>
        </w:tc>
        <w:tc>
          <w:tcPr>
            <w:tcW w:w="2646" w:type="dxa"/>
            <w:shd w:val="clear" w:color="auto" w:fill="auto"/>
          </w:tcPr>
          <w:p w14:paraId="413E90DF" w14:textId="77777777" w:rsidR="00B949E1" w:rsidRDefault="00B949E1" w:rsidP="00B9362B">
            <w:pPr>
              <w:pStyle w:val="Tabletext"/>
            </w:pPr>
            <w:r>
              <w:t xml:space="preserve">The increased labour and time costs associated with switching to reusable alternatives </w:t>
            </w:r>
          </w:p>
        </w:tc>
      </w:tr>
      <w:tr w:rsidR="00B949E1" w14:paraId="38133A04" w14:textId="77777777" w:rsidTr="00B9362B">
        <w:trPr>
          <w:gridBefore w:val="1"/>
          <w:wBefore w:w="454" w:type="dxa"/>
        </w:trPr>
        <w:tc>
          <w:tcPr>
            <w:tcW w:w="7936" w:type="dxa"/>
            <w:gridSpan w:val="3"/>
            <w:tcBorders>
              <w:bottom w:val="single" w:sz="4" w:space="0" w:color="646464"/>
            </w:tcBorders>
            <w:shd w:val="clear" w:color="auto" w:fill="auto"/>
          </w:tcPr>
          <w:p w14:paraId="31417ADD" w14:textId="77777777" w:rsidR="00B949E1" w:rsidRDefault="00B949E1" w:rsidP="00B9362B">
            <w:pPr>
              <w:pStyle w:val="Source"/>
            </w:pPr>
            <w:r>
              <w:t>Source: ACIL Allen based on a review of submissions</w:t>
            </w:r>
          </w:p>
        </w:tc>
      </w:tr>
      <w:tr w:rsidR="00B949E1" w14:paraId="6B707181" w14:textId="77777777" w:rsidTr="00B9362B">
        <w:trPr>
          <w:gridBefore w:val="1"/>
          <w:wBefore w:w="454" w:type="dxa"/>
          <w:trHeight w:hRule="exact" w:val="160"/>
        </w:trPr>
        <w:tc>
          <w:tcPr>
            <w:tcW w:w="7936" w:type="dxa"/>
            <w:gridSpan w:val="3"/>
            <w:tcBorders>
              <w:top w:val="single" w:sz="4" w:space="0" w:color="646464"/>
              <w:bottom w:val="nil"/>
            </w:tcBorders>
            <w:shd w:val="clear" w:color="auto" w:fill="auto"/>
          </w:tcPr>
          <w:p w14:paraId="54A57B1A" w14:textId="77777777" w:rsidR="00B949E1" w:rsidRDefault="00B949E1" w:rsidP="00B9362B">
            <w:pPr>
              <w:pStyle w:val="spacer"/>
            </w:pPr>
          </w:p>
        </w:tc>
      </w:tr>
    </w:tbl>
    <w:p w14:paraId="53BF52A1" w14:textId="77777777" w:rsidR="00B949E1" w:rsidRPr="00754AF3" w:rsidRDefault="00B949E1" w:rsidP="00B949E1">
      <w:pPr>
        <w:pStyle w:val="Heading3"/>
      </w:pPr>
      <w:r w:rsidRPr="00754AF3">
        <w:lastRenderedPageBreak/>
        <w:t xml:space="preserve">Facilitate national legislation amendments for mutual </w:t>
      </w:r>
      <w:proofErr w:type="gramStart"/>
      <w:r w:rsidRPr="00754AF3">
        <w:t>recognition</w:t>
      </w:r>
      <w:proofErr w:type="gramEnd"/>
    </w:p>
    <w:p w14:paraId="6DD1D290" w14:textId="77777777" w:rsidR="00B949E1" w:rsidRPr="00754AF3" w:rsidRDefault="00B949E1" w:rsidP="00B949E1">
      <w:pPr>
        <w:pStyle w:val="BodyText"/>
      </w:pPr>
      <w:r w:rsidRPr="00754AF3">
        <w:t>To support the introduction of the Regulation the ACT Government will need to continue to work closely with other Australian jurisdictions to progress a permanent exemption to national legislation for mutual recognition.</w:t>
      </w:r>
    </w:p>
    <w:p w14:paraId="2587C39E" w14:textId="77777777" w:rsidR="00B949E1" w:rsidRPr="00754AF3" w:rsidRDefault="00B949E1" w:rsidP="00B949E1">
      <w:pPr>
        <w:pStyle w:val="BodyText"/>
      </w:pPr>
      <w:r w:rsidRPr="00754AF3">
        <w:t>This process was successfully completed for the ACT Container Deposit Scheme and plastic bag ban in earlier tranches of the phase-out. Initial consultation</w:t>
      </w:r>
      <w:r>
        <w:t>s</w:t>
      </w:r>
      <w:r w:rsidRPr="00754AF3">
        <w:t xml:space="preserve"> with other Australian jurisdictions </w:t>
      </w:r>
      <w:r>
        <w:t>considering similar legislative approaches to reduce plastic consumption have been positive. T</w:t>
      </w:r>
      <w:r w:rsidRPr="00754AF3">
        <w:t xml:space="preserve">he ACT Government has </w:t>
      </w:r>
      <w:r>
        <w:t xml:space="preserve">expressed </w:t>
      </w:r>
      <w:r w:rsidRPr="00754AF3">
        <w:t>confidence in its ability to work through the process for the required amendments.</w:t>
      </w:r>
    </w:p>
    <w:p w14:paraId="64684E0D" w14:textId="77777777" w:rsidR="00B949E1" w:rsidRPr="00754AF3" w:rsidRDefault="00B949E1" w:rsidP="00B949E1">
      <w:pPr>
        <w:pStyle w:val="Heading3"/>
      </w:pPr>
      <w:r w:rsidRPr="00754AF3">
        <w:t>Plastic free events</w:t>
      </w:r>
    </w:p>
    <w:p w14:paraId="108737C5" w14:textId="77777777" w:rsidR="00B949E1" w:rsidRPr="00754AF3" w:rsidRDefault="00B949E1" w:rsidP="00B949E1">
      <w:pPr>
        <w:pStyle w:val="BodyText"/>
      </w:pPr>
      <w:r w:rsidRPr="00754AF3">
        <w:t xml:space="preserve">The ACT Government has </w:t>
      </w:r>
      <w:r>
        <w:t>declared several events plastic-</w:t>
      </w:r>
      <w:r w:rsidRPr="00754AF3">
        <w:t>free. Through the delivery of plastic</w:t>
      </w:r>
      <w:r>
        <w:t>-</w:t>
      </w:r>
      <w:r w:rsidRPr="00754AF3">
        <w:t>free events, the ACT Government can inspire and empower local businesses to become early adopters of SUP alternatives and actions that support broader policy goals for recycling and waste reduction.</w:t>
      </w:r>
    </w:p>
    <w:p w14:paraId="2E733B63" w14:textId="77777777" w:rsidR="00B949E1" w:rsidRPr="00754AF3" w:rsidRDefault="00B949E1" w:rsidP="00B949E1">
      <w:pPr>
        <w:pStyle w:val="Heading3"/>
      </w:pPr>
      <w:r w:rsidRPr="00754AF3">
        <w:t>Education campaigns</w:t>
      </w:r>
    </w:p>
    <w:p w14:paraId="15BA0EFF" w14:textId="77777777" w:rsidR="00B949E1" w:rsidRPr="00754AF3" w:rsidRDefault="00B949E1" w:rsidP="00B949E1">
      <w:pPr>
        <w:pStyle w:val="BodyText"/>
      </w:pPr>
      <w:r w:rsidRPr="00754AF3">
        <w:t>The regulation should be supported by a comprehensive public campaign t</w:t>
      </w:r>
      <w:r>
        <w:t>o educate consumers and local businesses</w:t>
      </w:r>
      <w:r w:rsidRPr="00754AF3">
        <w:t xml:space="preserve"> about the reform. Education campaigns should be implemented ahead of the regulation taking effect. This will ensure affected stakeholders, including affected businesses, </w:t>
      </w:r>
      <w:r>
        <w:t>can</w:t>
      </w:r>
      <w:r w:rsidRPr="00754AF3">
        <w:t xml:space="preserve"> make informed decisions and implement required changes. Given the importance of consumption avoidance, education campaigns will target changes in consumer behaviour.</w:t>
      </w:r>
    </w:p>
    <w:p w14:paraId="1DDE11CC" w14:textId="77777777" w:rsidR="00B949E1" w:rsidRPr="00754AF3" w:rsidRDefault="00B949E1" w:rsidP="00B949E1">
      <w:pPr>
        <w:pStyle w:val="Heading3"/>
      </w:pPr>
      <w:r w:rsidRPr="00754AF3">
        <w:t>Baseline data and monitoring</w:t>
      </w:r>
    </w:p>
    <w:p w14:paraId="6B5D8BAF" w14:textId="77777777" w:rsidR="00B949E1" w:rsidRPr="00754AF3" w:rsidRDefault="00B949E1" w:rsidP="00B949E1">
      <w:pPr>
        <w:pStyle w:val="BodyText"/>
      </w:pPr>
      <w:r w:rsidRPr="00754AF3">
        <w:t>Data on the consumption and littering of the targeted SUP products is limited. This is not unique to the ACT because these streams are a relatively small fraction of overall waste generation and have typically been disposed</w:t>
      </w:r>
      <w:r>
        <w:t xml:space="preserve"> of</w:t>
      </w:r>
      <w:r w:rsidRPr="00754AF3">
        <w:t xml:space="preserve"> in public place bins, commercial premises or as litter in the environment. In each case, there is limited available data on composition and volume which was clearly identified by the social CBA undertaken for the Plastics Reduction Bill 2020.</w:t>
      </w:r>
    </w:p>
    <w:p w14:paraId="7EC4AAD6" w14:textId="77777777" w:rsidR="00B949E1" w:rsidRPr="00754AF3" w:rsidRDefault="00B949E1" w:rsidP="00B949E1">
      <w:pPr>
        <w:pStyle w:val="BodyText"/>
      </w:pPr>
      <w:r w:rsidRPr="00754AF3">
        <w:t>The ACT Government should continue to explore opportunities to improve understanding of the impact of these products as litter and in the waste and recycling streams to support the evaluation and monitoring of the tranche 3 regulations and other SUP phase-outs.</w:t>
      </w:r>
    </w:p>
    <w:p w14:paraId="59DAD418" w14:textId="77777777" w:rsidR="00B949E1" w:rsidRPr="00754AF3" w:rsidRDefault="00B949E1" w:rsidP="00B949E1">
      <w:pPr>
        <w:pStyle w:val="Heading3"/>
      </w:pPr>
      <w:r w:rsidRPr="00754AF3">
        <w:t>Compliance and enforcement</w:t>
      </w:r>
    </w:p>
    <w:p w14:paraId="3B077C67" w14:textId="77777777" w:rsidR="00B949E1" w:rsidRPr="004803D9" w:rsidRDefault="00B949E1" w:rsidP="00B949E1">
      <w:pPr>
        <w:pStyle w:val="BodyText"/>
        <w:tabs>
          <w:tab w:val="left" w:pos="2670"/>
        </w:tabs>
      </w:pPr>
      <w:r w:rsidRPr="00754AF3">
        <w:t xml:space="preserve">Compliance and enforcement will be undertaken in line with the provisions of the </w:t>
      </w:r>
      <w:r w:rsidRPr="00754AF3">
        <w:rPr>
          <w:i/>
          <w:iCs/>
        </w:rPr>
        <w:t>Plastic Reduction Act 2021</w:t>
      </w:r>
      <w:r w:rsidRPr="00754AF3">
        <w:t>. An infringement notice framework has been established by the Magistrates Court (Plastic Reduction Infringement Notices) Regulation 2021.</w:t>
      </w:r>
    </w:p>
    <w:p w14:paraId="293C5389" w14:textId="77777777" w:rsidR="00B949E1" w:rsidRDefault="00B949E1" w:rsidP="00B949E1">
      <w:pPr>
        <w:pStyle w:val="Heading2"/>
      </w:pPr>
      <w:bookmarkStart w:id="142" w:name="_Toc136872643"/>
      <w:r>
        <w:t>Evaluation</w:t>
      </w:r>
      <w:bookmarkEnd w:id="142"/>
    </w:p>
    <w:p w14:paraId="0A5D79A0" w14:textId="77777777" w:rsidR="00B949E1" w:rsidRPr="00754AF3" w:rsidRDefault="00B949E1" w:rsidP="00B949E1">
      <w:pPr>
        <w:pStyle w:val="BodyText"/>
      </w:pPr>
      <w:r w:rsidRPr="00754AF3">
        <w:t xml:space="preserve">Good regulatory practice (as recommended by ACT Treasury and </w:t>
      </w:r>
      <w:r>
        <w:t xml:space="preserve">the </w:t>
      </w:r>
      <w:r w:rsidRPr="00754AF3">
        <w:t xml:space="preserve">OIA) requires ongoing monitoring and review of </w:t>
      </w:r>
      <w:r>
        <w:t xml:space="preserve">regulation </w:t>
      </w:r>
      <w:r w:rsidRPr="00754AF3">
        <w:t xml:space="preserve">after a sensible period to ensure </w:t>
      </w:r>
      <w:r>
        <w:t xml:space="preserve">it </w:t>
      </w:r>
      <w:r w:rsidRPr="00754AF3">
        <w:t>remains relevant and fit</w:t>
      </w:r>
      <w:r>
        <w:t>-</w:t>
      </w:r>
      <w:r w:rsidRPr="00754AF3">
        <w:t>for</w:t>
      </w:r>
      <w:r>
        <w:t>-</w:t>
      </w:r>
      <w:r w:rsidRPr="00754AF3">
        <w:t>purpose. It is recommended that ACT NoWaste develop an evaluation framework that will assist with this purpose.</w:t>
      </w:r>
    </w:p>
    <w:p w14:paraId="3F0FB436" w14:textId="77777777" w:rsidR="00B949E1" w:rsidRPr="00754AF3" w:rsidRDefault="00B949E1" w:rsidP="00B949E1">
      <w:pPr>
        <w:pStyle w:val="Heading3"/>
      </w:pPr>
      <w:r w:rsidRPr="00754AF3">
        <w:t>Evaluation framework</w:t>
      </w:r>
    </w:p>
    <w:p w14:paraId="58814139" w14:textId="77777777" w:rsidR="00B949E1" w:rsidRPr="00754AF3" w:rsidRDefault="00B949E1" w:rsidP="00B949E1">
      <w:pPr>
        <w:pStyle w:val="BodyText"/>
      </w:pPr>
      <w:r w:rsidRPr="00754AF3">
        <w:t xml:space="preserve">The </w:t>
      </w:r>
      <w:r>
        <w:t>r</w:t>
      </w:r>
      <w:r w:rsidRPr="00754AF3">
        <w:t xml:space="preserve">egulation should </w:t>
      </w:r>
      <w:r>
        <w:t>have an appropriate evaluation framework to ensure its objectives are met efficiently and effectively</w:t>
      </w:r>
      <w:r w:rsidRPr="00754AF3">
        <w:t xml:space="preserve"> and community expectations are maintained. Under good practice, the framework should have 2 elements: </w:t>
      </w:r>
    </w:p>
    <w:p w14:paraId="71B01E17" w14:textId="77777777" w:rsidR="00B949E1" w:rsidRPr="00754AF3" w:rsidRDefault="00B949E1" w:rsidP="00B949E1">
      <w:pPr>
        <w:pStyle w:val="ListBullet"/>
        <w:numPr>
          <w:ilvl w:val="0"/>
          <w:numId w:val="9"/>
        </w:numPr>
      </w:pPr>
      <w:r w:rsidRPr="00754AF3">
        <w:lastRenderedPageBreak/>
        <w:t>Performance evaluation: to assess the efficiency of the delivery of the Regulation.</w:t>
      </w:r>
    </w:p>
    <w:p w14:paraId="0C7F5843" w14:textId="77777777" w:rsidR="00B949E1" w:rsidRPr="00754AF3" w:rsidRDefault="00B949E1" w:rsidP="00B949E1">
      <w:pPr>
        <w:pStyle w:val="ListBullet"/>
        <w:numPr>
          <w:ilvl w:val="0"/>
          <w:numId w:val="9"/>
        </w:numPr>
      </w:pPr>
      <w:r w:rsidRPr="00754AF3">
        <w:t xml:space="preserve">Outcomes assurance: to assess the effectiveness of the Regulation (i.e., its success in lowering the use of </w:t>
      </w:r>
      <w:r>
        <w:t>SUP</w:t>
      </w:r>
      <w:r w:rsidRPr="00754AF3">
        <w:t>s that are harmful or unnecessary).</w:t>
      </w:r>
    </w:p>
    <w:p w14:paraId="0C69B837" w14:textId="77777777" w:rsidR="00B949E1" w:rsidRPr="00754AF3" w:rsidRDefault="00B949E1" w:rsidP="001838A8">
      <w:pPr>
        <w:pStyle w:val="Heading4"/>
        <w:numPr>
          <w:ilvl w:val="0"/>
          <w:numId w:val="0"/>
        </w:numPr>
      </w:pPr>
      <w:r w:rsidRPr="00754AF3">
        <w:t>Performance evaluation</w:t>
      </w:r>
    </w:p>
    <w:p w14:paraId="4ECCE075" w14:textId="77777777" w:rsidR="00B949E1" w:rsidRPr="00754AF3" w:rsidRDefault="00B949E1" w:rsidP="00B949E1">
      <w:pPr>
        <w:pStyle w:val="BodyText"/>
      </w:pPr>
      <w:r w:rsidRPr="00754AF3">
        <w:t>Performance evaluation focuses on the efficient delivery of the Regulation. There are several approaches to measure procedural assurance, including:</w:t>
      </w:r>
    </w:p>
    <w:p w14:paraId="24CBD77A" w14:textId="77777777" w:rsidR="00B949E1" w:rsidRPr="00754AF3" w:rsidRDefault="00B949E1" w:rsidP="00B949E1">
      <w:pPr>
        <w:pStyle w:val="ListBullet"/>
        <w:numPr>
          <w:ilvl w:val="0"/>
          <w:numId w:val="9"/>
        </w:numPr>
      </w:pPr>
      <w:r w:rsidRPr="00754AF3">
        <w:t>periodic evaluation of processes and systems</w:t>
      </w:r>
    </w:p>
    <w:p w14:paraId="3B16172C" w14:textId="77777777" w:rsidR="00B949E1" w:rsidRPr="00754AF3" w:rsidRDefault="00B949E1" w:rsidP="00B949E1">
      <w:pPr>
        <w:pStyle w:val="ListBullet"/>
        <w:numPr>
          <w:ilvl w:val="0"/>
          <w:numId w:val="9"/>
        </w:numPr>
      </w:pPr>
      <w:r w:rsidRPr="00754AF3">
        <w:t>provision of transitional and five-yearly reviews,</w:t>
      </w:r>
    </w:p>
    <w:p w14:paraId="5983C122" w14:textId="77777777" w:rsidR="00B949E1" w:rsidRPr="00754AF3" w:rsidRDefault="00B949E1" w:rsidP="00B949E1">
      <w:pPr>
        <w:pStyle w:val="ListBullet"/>
        <w:numPr>
          <w:ilvl w:val="0"/>
          <w:numId w:val="9"/>
        </w:numPr>
      </w:pPr>
      <w:r w:rsidRPr="00754AF3">
        <w:t>reporting mechanisms to provide confidence and transparency to the community, and</w:t>
      </w:r>
    </w:p>
    <w:p w14:paraId="2E952080" w14:textId="77777777" w:rsidR="00B949E1" w:rsidRPr="00754AF3" w:rsidRDefault="00B949E1" w:rsidP="00B949E1">
      <w:pPr>
        <w:pStyle w:val="ListBullet"/>
        <w:numPr>
          <w:ilvl w:val="0"/>
          <w:numId w:val="9"/>
        </w:numPr>
      </w:pPr>
      <w:r w:rsidRPr="00754AF3">
        <w:t>ongoing monitoring and continuous improvement mechanisms.</w:t>
      </w:r>
    </w:p>
    <w:p w14:paraId="2A0C9E9A" w14:textId="77777777" w:rsidR="00B949E1" w:rsidRPr="00754AF3" w:rsidRDefault="00B949E1" w:rsidP="001838A8">
      <w:pPr>
        <w:pStyle w:val="Heading4"/>
        <w:numPr>
          <w:ilvl w:val="0"/>
          <w:numId w:val="0"/>
        </w:numPr>
      </w:pPr>
      <w:r w:rsidRPr="00754AF3">
        <w:t>Outcomes evaluation</w:t>
      </w:r>
    </w:p>
    <w:p w14:paraId="412D3417" w14:textId="77777777" w:rsidR="00B949E1" w:rsidRPr="00754AF3" w:rsidRDefault="00B949E1" w:rsidP="00B949E1">
      <w:pPr>
        <w:pStyle w:val="BodyText"/>
      </w:pPr>
      <w:r w:rsidRPr="00754AF3">
        <w:t xml:space="preserve">Outcomes evaluation will focus on the effectiveness of the </w:t>
      </w:r>
      <w:r>
        <w:t>r</w:t>
      </w:r>
      <w:r w:rsidRPr="00754AF3">
        <w:t xml:space="preserve">egulation. Outcomes assurance may consider whether the objectives of the </w:t>
      </w:r>
      <w:r>
        <w:t>r</w:t>
      </w:r>
      <w:r w:rsidRPr="00754AF3">
        <w:t>egulation are being achieved and whether the anticipated environmental, social and economic outcomes of the Regulation, including changes to consumer behaviour and a reduction in plastic pollution and litter, are being achieved.</w:t>
      </w:r>
    </w:p>
    <w:p w14:paraId="7E342E65" w14:textId="77777777" w:rsidR="00B949E1" w:rsidRDefault="00B949E1" w:rsidP="00B949E1">
      <w:pPr>
        <w:pStyle w:val="BodyText"/>
      </w:pPr>
      <w:r w:rsidRPr="00754AF3">
        <w:t>Outcomes assurance will be informed by best practice standards and underpinned by clear and measurable targets. Achieving this will require the ACT to maintain access to good data and information.</w:t>
      </w:r>
    </w:p>
    <w:p w14:paraId="32E4C2F1" w14:textId="77777777" w:rsidR="00B949E1" w:rsidRPr="00754AF3" w:rsidRDefault="00B949E1" w:rsidP="00B949E1">
      <w:pPr>
        <w:pStyle w:val="BodyText"/>
      </w:pPr>
    </w:p>
    <w:p w14:paraId="0D1760E9" w14:textId="77777777" w:rsidR="00B949E1" w:rsidRPr="00A811F7" w:rsidRDefault="00B949E1" w:rsidP="00B949E1">
      <w:pPr>
        <w:sectPr w:rsidR="00B949E1" w:rsidRPr="00A811F7" w:rsidSect="00B949E1">
          <w:headerReference w:type="even" r:id="rId111"/>
          <w:headerReference w:type="default" r:id="rId112"/>
          <w:footerReference w:type="even" r:id="rId113"/>
          <w:footerReference w:type="default" r:id="rId114"/>
          <w:headerReference w:type="first" r:id="rId115"/>
          <w:footerReference w:type="first" r:id="rId116"/>
          <w:pgSz w:w="11906" w:h="16838" w:code="9"/>
          <w:pgMar w:top="1134" w:right="851" w:bottom="1134" w:left="3119" w:header="454" w:footer="454" w:gutter="0"/>
          <w:cols w:space="708"/>
          <w:docGrid w:linePitch="360"/>
        </w:sectPr>
      </w:pPr>
    </w:p>
    <w:bookmarkEnd w:id="0"/>
    <w:p w14:paraId="54ED7773" w14:textId="77777777" w:rsidR="00B949E1" w:rsidRPr="00361FF9" w:rsidRDefault="00B949E1" w:rsidP="00B949E1">
      <w:pPr>
        <w:pStyle w:val="BodyText"/>
      </w:pPr>
    </w:p>
    <w:sectPr w:rsidR="00B949E1" w:rsidRPr="00361FF9" w:rsidSect="00B949E1">
      <w:headerReference w:type="even" r:id="rId117"/>
      <w:headerReference w:type="default" r:id="rId118"/>
      <w:footerReference w:type="even" r:id="rId119"/>
      <w:footerReference w:type="default" r:id="rId120"/>
      <w:headerReference w:type="first" r:id="rId121"/>
      <w:footerReference w:type="first" r:id="rId122"/>
      <w:type w:val="continuous"/>
      <w:pgSz w:w="11906" w:h="16838" w:code="9"/>
      <w:pgMar w:top="1134" w:right="851" w:bottom="1134" w:left="3119" w:header="45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4685" w14:textId="77777777" w:rsidR="00B949E1" w:rsidRDefault="00B949E1" w:rsidP="00B949E1">
      <w:pPr>
        <w:spacing w:before="0" w:after="0" w:line="240" w:lineRule="auto"/>
      </w:pPr>
      <w:r>
        <w:separator/>
      </w:r>
    </w:p>
  </w:endnote>
  <w:endnote w:type="continuationSeparator" w:id="0">
    <w:p w14:paraId="5655A29A" w14:textId="77777777" w:rsidR="00B949E1" w:rsidRDefault="00B949E1" w:rsidP="00B949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modern"/>
    <w:notTrueType/>
    <w:pitch w:val="variable"/>
    <w:sig w:usb0="A000002F" w:usb1="40000048" w:usb2="00000000" w:usb3="00000000" w:csb0="00000111"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Segoe UI"/>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1014"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3AFAE122" w14:textId="77777777" w:rsidTr="00003C6B">
      <w:tc>
        <w:tcPr>
          <w:tcW w:w="7192" w:type="dxa"/>
          <w:shd w:val="clear" w:color="auto" w:fill="auto"/>
          <w:tcMar>
            <w:right w:w="108" w:type="dxa"/>
          </w:tcMar>
          <w:vAlign w:val="bottom"/>
        </w:tcPr>
        <w:p w14:paraId="09EE6C17" w14:textId="5E1AD84F" w:rsidR="00B949E1" w:rsidRDefault="00A42F85" w:rsidP="00EA31D6">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1AB55E99" w14:textId="77777777" w:rsidR="00B949E1" w:rsidRDefault="00B949E1" w:rsidP="00EA31D6">
          <w:pPr>
            <w:pStyle w:val="pageNumber0"/>
          </w:pPr>
          <w:r>
            <w:fldChar w:fldCharType="begin"/>
          </w:r>
          <w:r>
            <w:instrText xml:space="preserve"> PAGE  \* MERGEFORMAT </w:instrText>
          </w:r>
          <w:r>
            <w:fldChar w:fldCharType="separate"/>
          </w:r>
          <w:r>
            <w:rPr>
              <w:noProof/>
            </w:rPr>
            <w:t>7</w:t>
          </w:r>
          <w:r>
            <w:fldChar w:fldCharType="end"/>
          </w:r>
        </w:p>
      </w:tc>
    </w:tr>
  </w:tbl>
  <w:p w14:paraId="459BAF1E"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40D6" w14:textId="77777777" w:rsidR="00B949E1" w:rsidRPr="00EA31D6" w:rsidRDefault="00B949E1" w:rsidP="00EA31D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9B23" w14:textId="77777777" w:rsidR="00B949E1" w:rsidRDefault="00B949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78E32016" w14:textId="77777777" w:rsidTr="00003C6B">
      <w:tc>
        <w:tcPr>
          <w:tcW w:w="7192" w:type="dxa"/>
          <w:shd w:val="clear" w:color="auto" w:fill="auto"/>
          <w:tcMar>
            <w:right w:w="108" w:type="dxa"/>
          </w:tcMar>
          <w:vAlign w:val="bottom"/>
        </w:tcPr>
        <w:p w14:paraId="75C0091E" w14:textId="7EE9DE4E" w:rsidR="00B949E1" w:rsidRDefault="00A42F85" w:rsidP="00361FF9">
          <w:pPr>
            <w:pStyle w:val="FooterText"/>
            <w:jc w:val="right"/>
          </w:pPr>
          <w:r>
            <w:fldChar w:fldCharType="begin"/>
          </w:r>
          <w:r>
            <w:instrText xml:space="preserve"> STYLEREF "Cp Title" \* MERGEFORMAT </w:instrText>
          </w:r>
          <w:r>
            <w:fldChar w:fldCharType="separate"/>
          </w:r>
          <w:r w:rsidRPr="00A42F85">
            <w:rPr>
              <w:noProof/>
              <w:lang w:val="en-US"/>
            </w:rPr>
            <w:t>Proposed ban</w:t>
          </w:r>
          <w:r>
            <w:rPr>
              <w:noProof/>
            </w:rPr>
            <w:t xml:space="preserve">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sidRPr="00A42F85">
            <w:rPr>
              <w:noProof/>
              <w:lang w:val="en-US"/>
            </w:rPr>
            <w:t>Regulatory Impact Statement</w:t>
          </w:r>
          <w:r>
            <w:rPr>
              <w:noProof/>
              <w:lang w:val="en-US"/>
            </w:rPr>
            <w:fldChar w:fldCharType="end"/>
          </w:r>
        </w:p>
      </w:tc>
      <w:tc>
        <w:tcPr>
          <w:tcW w:w="744" w:type="dxa"/>
          <w:shd w:val="clear" w:color="auto" w:fill="auto"/>
          <w:tcMar>
            <w:right w:w="104" w:type="dxa"/>
          </w:tcMar>
          <w:vAlign w:val="bottom"/>
        </w:tcPr>
        <w:p w14:paraId="632AB809" w14:textId="77777777" w:rsidR="00B949E1" w:rsidRDefault="00B949E1" w:rsidP="00361FF9">
          <w:pPr>
            <w:pStyle w:val="pageNumber0"/>
          </w:pPr>
          <w:r>
            <w:fldChar w:fldCharType="begin"/>
          </w:r>
          <w:r>
            <w:instrText xml:space="preserve"> PAGE  \* MERGEFORMAT </w:instrText>
          </w:r>
          <w:r>
            <w:fldChar w:fldCharType="separate"/>
          </w:r>
          <w:r>
            <w:rPr>
              <w:noProof/>
            </w:rPr>
            <w:t>1</w:t>
          </w:r>
          <w:r>
            <w:fldChar w:fldCharType="end"/>
          </w:r>
        </w:p>
      </w:tc>
    </w:tr>
  </w:tbl>
  <w:p w14:paraId="3C52DEA2"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9C22" w14:textId="77777777" w:rsidR="00B949E1" w:rsidRDefault="00B949E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63B1" w14:textId="77777777" w:rsidR="00B949E1" w:rsidRPr="00AB701D" w:rsidRDefault="00B949E1" w:rsidP="00AB701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45EE3D8D" w14:textId="77777777" w:rsidTr="00003C6B">
      <w:tc>
        <w:tcPr>
          <w:tcW w:w="7192" w:type="dxa"/>
          <w:shd w:val="clear" w:color="auto" w:fill="auto"/>
          <w:tcMar>
            <w:right w:w="108" w:type="dxa"/>
          </w:tcMar>
          <w:vAlign w:val="bottom"/>
        </w:tcPr>
        <w:p w14:paraId="5DB14A0C" w14:textId="490A7EF7" w:rsidR="00B949E1" w:rsidRDefault="00A42F85" w:rsidP="00AB701D">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75728892" w14:textId="77777777" w:rsidR="00B949E1" w:rsidRDefault="00B949E1" w:rsidP="00AB701D">
          <w:pPr>
            <w:pStyle w:val="pageNumber0"/>
          </w:pPr>
          <w:r>
            <w:fldChar w:fldCharType="begin"/>
          </w:r>
          <w:r>
            <w:instrText xml:space="preserve"> PAGE  \* MERGEFORMAT </w:instrText>
          </w:r>
          <w:r>
            <w:fldChar w:fldCharType="separate"/>
          </w:r>
          <w:r>
            <w:rPr>
              <w:noProof/>
            </w:rPr>
            <w:t>2</w:t>
          </w:r>
          <w:r>
            <w:fldChar w:fldCharType="end"/>
          </w:r>
        </w:p>
      </w:tc>
    </w:tr>
  </w:tbl>
  <w:p w14:paraId="5FBC3572"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5D5F" w14:textId="77777777" w:rsidR="00B949E1" w:rsidRPr="00AB701D" w:rsidRDefault="00B949E1" w:rsidP="00AB701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AAE8" w14:textId="77777777" w:rsidR="00B949E1" w:rsidRDefault="00B949E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3B5B2FA5" w14:textId="77777777" w:rsidTr="00003C6B">
      <w:tc>
        <w:tcPr>
          <w:tcW w:w="7192" w:type="dxa"/>
          <w:shd w:val="clear" w:color="auto" w:fill="auto"/>
          <w:tcMar>
            <w:right w:w="108" w:type="dxa"/>
          </w:tcMar>
          <w:vAlign w:val="bottom"/>
        </w:tcPr>
        <w:p w14:paraId="11070E97" w14:textId="5E15A475" w:rsidR="00B949E1" w:rsidRDefault="00A42F85" w:rsidP="00361FF9">
          <w:pPr>
            <w:pStyle w:val="FooterText"/>
            <w:jc w:val="right"/>
          </w:pPr>
          <w:r>
            <w:fldChar w:fldCharType="begin"/>
          </w:r>
          <w:r>
            <w:instrText xml:space="preserve"> STYLEREF "Cp Title" \* MERGEFORMAT </w:instrText>
          </w:r>
          <w:r>
            <w:fldChar w:fldCharType="separate"/>
          </w:r>
          <w:r w:rsidRPr="00A42F85">
            <w:rPr>
              <w:noProof/>
              <w:lang w:val="en-US"/>
            </w:rPr>
            <w:t>Proposed</w:t>
          </w:r>
          <w:r>
            <w:rPr>
              <w:noProof/>
            </w:rPr>
            <w:t xml:space="preserve"> ban of a third tranche of single-use plastic items</w:t>
          </w:r>
          <w:r>
            <w:rPr>
              <w:noProof/>
            </w:rPr>
            <w:fldChar w:fldCharType="end"/>
          </w:r>
          <w:r w:rsidR="00B949E1">
            <w:t xml:space="preserve"> </w:t>
          </w:r>
          <w:r>
            <w:fldChar w:fldCharType="begin"/>
          </w:r>
          <w:r>
            <w:instrText xml:space="preserve"> STYLEREF "Cp SubTitle"</w:instrText>
          </w:r>
          <w:r>
            <w:instrText xml:space="preserv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56C76ADB" w14:textId="77777777" w:rsidR="00B949E1" w:rsidRDefault="00B949E1" w:rsidP="00361FF9">
          <w:pPr>
            <w:pStyle w:val="pageNumber0"/>
          </w:pPr>
          <w:r>
            <w:fldChar w:fldCharType="begin"/>
          </w:r>
          <w:r>
            <w:instrText xml:space="preserve"> PAGE  \* MERGEFORMAT </w:instrText>
          </w:r>
          <w:r>
            <w:fldChar w:fldCharType="separate"/>
          </w:r>
          <w:r>
            <w:rPr>
              <w:noProof/>
            </w:rPr>
            <w:t>1</w:t>
          </w:r>
          <w:r>
            <w:fldChar w:fldCharType="end"/>
          </w:r>
        </w:p>
      </w:tc>
    </w:tr>
  </w:tbl>
  <w:p w14:paraId="343FAFD9"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AD46"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BBA2" w14:textId="77777777" w:rsidR="00B949E1" w:rsidRDefault="00B949E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CEA5" w14:textId="77777777" w:rsidR="00B949E1" w:rsidRPr="00896F96" w:rsidRDefault="00B949E1" w:rsidP="00896F9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25159A3E" w14:textId="77777777" w:rsidTr="00003C6B">
      <w:tc>
        <w:tcPr>
          <w:tcW w:w="7192" w:type="dxa"/>
          <w:shd w:val="clear" w:color="auto" w:fill="auto"/>
          <w:tcMar>
            <w:right w:w="108" w:type="dxa"/>
          </w:tcMar>
          <w:vAlign w:val="bottom"/>
        </w:tcPr>
        <w:p w14:paraId="7DF4252E" w14:textId="0612ECE1" w:rsidR="00B949E1" w:rsidRDefault="00A42F85" w:rsidP="00896F96">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1A435B63" w14:textId="77777777" w:rsidR="00B949E1" w:rsidRDefault="00B949E1" w:rsidP="00896F96">
          <w:pPr>
            <w:pStyle w:val="pageNumber0"/>
          </w:pPr>
          <w:r>
            <w:fldChar w:fldCharType="begin"/>
          </w:r>
          <w:r>
            <w:instrText xml:space="preserve"> PAGE  \* MERGEFORMAT </w:instrText>
          </w:r>
          <w:r>
            <w:fldChar w:fldCharType="separate"/>
          </w:r>
          <w:r>
            <w:rPr>
              <w:noProof/>
            </w:rPr>
            <w:t>18</w:t>
          </w:r>
          <w:r>
            <w:fldChar w:fldCharType="end"/>
          </w:r>
        </w:p>
      </w:tc>
    </w:tr>
  </w:tbl>
  <w:p w14:paraId="48CAF59E"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5760" w14:textId="77777777" w:rsidR="00B949E1" w:rsidRPr="00896F96" w:rsidRDefault="00B949E1" w:rsidP="00896F9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4BF9" w14:textId="77777777" w:rsidR="00B949E1" w:rsidRPr="00303260" w:rsidRDefault="00B949E1" w:rsidP="0030326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44B37FD6" w14:textId="77777777" w:rsidTr="00003C6B">
      <w:tc>
        <w:tcPr>
          <w:tcW w:w="7192" w:type="dxa"/>
          <w:shd w:val="clear" w:color="auto" w:fill="auto"/>
          <w:tcMar>
            <w:right w:w="108" w:type="dxa"/>
          </w:tcMar>
          <w:vAlign w:val="bottom"/>
        </w:tcPr>
        <w:p w14:paraId="25BB1E0D" w14:textId="14884B10" w:rsidR="00B949E1" w:rsidRDefault="00A42F85" w:rsidP="00303260">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167C96D7" w14:textId="77777777" w:rsidR="00B949E1" w:rsidRDefault="00B949E1" w:rsidP="00303260">
          <w:pPr>
            <w:pStyle w:val="pageNumber0"/>
          </w:pPr>
          <w:r>
            <w:fldChar w:fldCharType="begin"/>
          </w:r>
          <w:r>
            <w:instrText xml:space="preserve"> PAGE  \* MERGEFORMAT </w:instrText>
          </w:r>
          <w:r>
            <w:fldChar w:fldCharType="separate"/>
          </w:r>
          <w:r>
            <w:rPr>
              <w:noProof/>
            </w:rPr>
            <w:t>17</w:t>
          </w:r>
          <w:r>
            <w:fldChar w:fldCharType="end"/>
          </w:r>
        </w:p>
      </w:tc>
    </w:tr>
  </w:tbl>
  <w:p w14:paraId="353C0464"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BF29" w14:textId="77777777" w:rsidR="00B949E1" w:rsidRPr="00303260" w:rsidRDefault="00B949E1" w:rsidP="0030326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5636" w14:textId="77777777" w:rsidR="00B949E1" w:rsidRPr="00BD5BF3" w:rsidRDefault="00B949E1" w:rsidP="00BD5BF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305CA91B" w14:textId="77777777" w:rsidTr="00003C6B">
      <w:tc>
        <w:tcPr>
          <w:tcW w:w="7192" w:type="dxa"/>
          <w:shd w:val="clear" w:color="auto" w:fill="auto"/>
          <w:tcMar>
            <w:right w:w="108" w:type="dxa"/>
          </w:tcMar>
          <w:vAlign w:val="bottom"/>
        </w:tcPr>
        <w:p w14:paraId="0D4ADAF6" w14:textId="0CF0B37D" w:rsidR="00B949E1" w:rsidRDefault="00A42F85" w:rsidP="00BD5BF3">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0BBEC372" w14:textId="77777777" w:rsidR="00B949E1" w:rsidRDefault="00B949E1" w:rsidP="00BD5BF3">
          <w:pPr>
            <w:pStyle w:val="pageNumber0"/>
          </w:pPr>
          <w:r>
            <w:fldChar w:fldCharType="begin"/>
          </w:r>
          <w:r>
            <w:instrText xml:space="preserve"> PAGE  \* MERGEFORMAT </w:instrText>
          </w:r>
          <w:r>
            <w:fldChar w:fldCharType="separate"/>
          </w:r>
          <w:r>
            <w:rPr>
              <w:noProof/>
            </w:rPr>
            <w:t>2</w:t>
          </w:r>
          <w:r>
            <w:fldChar w:fldCharType="end"/>
          </w:r>
        </w:p>
      </w:tc>
    </w:tr>
  </w:tbl>
  <w:p w14:paraId="6DD04F97"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7073" w14:textId="77777777" w:rsidR="00B949E1" w:rsidRPr="00BD5BF3" w:rsidRDefault="00B949E1" w:rsidP="00BD5B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1884" w14:textId="77777777" w:rsidR="00B949E1" w:rsidRPr="00361FF9" w:rsidRDefault="00B949E1" w:rsidP="00361FF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C1A8" w14:textId="77777777" w:rsidR="00B949E1" w:rsidRPr="00BD5BF3" w:rsidRDefault="00B949E1" w:rsidP="00BD5BF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68" w:type="dxa"/>
      <w:tblLayout w:type="fixed"/>
      <w:tblCellMar>
        <w:left w:w="0" w:type="dxa"/>
        <w:right w:w="0" w:type="dxa"/>
      </w:tblCellMar>
      <w:tblLook w:val="0000" w:firstRow="0" w:lastRow="0" w:firstColumn="0" w:lastColumn="0" w:noHBand="0" w:noVBand="0"/>
    </w:tblPr>
    <w:tblGrid>
      <w:gridCol w:w="12124"/>
      <w:gridCol w:w="744"/>
    </w:tblGrid>
    <w:tr w:rsidR="00B949E1" w14:paraId="282DC031" w14:textId="77777777" w:rsidTr="00003C6B">
      <w:tc>
        <w:tcPr>
          <w:tcW w:w="12124" w:type="dxa"/>
          <w:shd w:val="clear" w:color="auto" w:fill="auto"/>
          <w:tcMar>
            <w:right w:w="108" w:type="dxa"/>
          </w:tcMar>
          <w:vAlign w:val="bottom"/>
        </w:tcPr>
        <w:p w14:paraId="1F06D091" w14:textId="78BB79F7" w:rsidR="00B949E1" w:rsidRDefault="00A42F85" w:rsidP="00BD5BF3">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637C0737" w14:textId="77777777" w:rsidR="00B949E1" w:rsidRDefault="00B949E1" w:rsidP="00BD5BF3">
          <w:pPr>
            <w:pStyle w:val="pageNumber0"/>
          </w:pPr>
          <w:r>
            <w:fldChar w:fldCharType="begin"/>
          </w:r>
          <w:r>
            <w:instrText xml:space="preserve"> PAGE  \* MERGEFORMAT </w:instrText>
          </w:r>
          <w:r>
            <w:fldChar w:fldCharType="separate"/>
          </w:r>
          <w:r>
            <w:rPr>
              <w:noProof/>
            </w:rPr>
            <w:t>2</w:t>
          </w:r>
          <w:r>
            <w:fldChar w:fldCharType="end"/>
          </w:r>
        </w:p>
      </w:tc>
    </w:tr>
  </w:tbl>
  <w:p w14:paraId="7E32F143"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C6A2" w14:textId="77777777" w:rsidR="00B949E1" w:rsidRPr="00BD5BF3" w:rsidRDefault="00B949E1" w:rsidP="00BD5BF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D92B" w14:textId="77777777" w:rsidR="00B949E1" w:rsidRPr="00BD5BF3" w:rsidRDefault="00B949E1" w:rsidP="00BD5B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7F355033" w14:textId="77777777" w:rsidTr="00003C6B">
      <w:tc>
        <w:tcPr>
          <w:tcW w:w="7192" w:type="dxa"/>
          <w:shd w:val="clear" w:color="auto" w:fill="auto"/>
          <w:tcMar>
            <w:right w:w="108" w:type="dxa"/>
          </w:tcMar>
          <w:vAlign w:val="bottom"/>
        </w:tcPr>
        <w:p w14:paraId="7B56DF7C" w14:textId="6894BAC8" w:rsidR="00B949E1" w:rsidRDefault="00A42F85" w:rsidP="00BD5BF3">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4EC88F7B" w14:textId="77777777" w:rsidR="00B949E1" w:rsidRDefault="00B949E1" w:rsidP="00BD5BF3">
          <w:pPr>
            <w:pStyle w:val="pageNumber0"/>
          </w:pPr>
          <w:r>
            <w:fldChar w:fldCharType="begin"/>
          </w:r>
          <w:r>
            <w:instrText xml:space="preserve"> PAGE  \* MERGEFORMAT </w:instrText>
          </w:r>
          <w:r>
            <w:fldChar w:fldCharType="separate"/>
          </w:r>
          <w:r>
            <w:rPr>
              <w:noProof/>
            </w:rPr>
            <w:t>2</w:t>
          </w:r>
          <w:r>
            <w:fldChar w:fldCharType="end"/>
          </w:r>
        </w:p>
      </w:tc>
    </w:tr>
  </w:tbl>
  <w:p w14:paraId="3B52B1A9"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FA62" w14:textId="77777777" w:rsidR="00B949E1" w:rsidRPr="00BD5BF3" w:rsidRDefault="00B949E1" w:rsidP="00BD5BF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2A4E" w14:textId="77777777" w:rsidR="00B949E1" w:rsidRPr="00BD5BF3" w:rsidRDefault="00B949E1" w:rsidP="00BD5BF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68" w:type="dxa"/>
      <w:tblLayout w:type="fixed"/>
      <w:tblCellMar>
        <w:left w:w="0" w:type="dxa"/>
        <w:right w:w="0" w:type="dxa"/>
      </w:tblCellMar>
      <w:tblLook w:val="0000" w:firstRow="0" w:lastRow="0" w:firstColumn="0" w:lastColumn="0" w:noHBand="0" w:noVBand="0"/>
    </w:tblPr>
    <w:tblGrid>
      <w:gridCol w:w="12124"/>
      <w:gridCol w:w="744"/>
    </w:tblGrid>
    <w:tr w:rsidR="00B949E1" w14:paraId="33CE91B5" w14:textId="77777777" w:rsidTr="00003C6B">
      <w:tc>
        <w:tcPr>
          <w:tcW w:w="12124" w:type="dxa"/>
          <w:shd w:val="clear" w:color="auto" w:fill="auto"/>
          <w:tcMar>
            <w:right w:w="108" w:type="dxa"/>
          </w:tcMar>
          <w:vAlign w:val="bottom"/>
        </w:tcPr>
        <w:p w14:paraId="237B5302" w14:textId="3F333B6B" w:rsidR="00B949E1" w:rsidRDefault="00A42F85" w:rsidP="00BD5BF3">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4D2C33DD" w14:textId="77777777" w:rsidR="00B949E1" w:rsidRDefault="00B949E1" w:rsidP="00BD5BF3">
          <w:pPr>
            <w:pStyle w:val="pageNumber0"/>
          </w:pPr>
          <w:r>
            <w:fldChar w:fldCharType="begin"/>
          </w:r>
          <w:r>
            <w:instrText xml:space="preserve"> PAGE  \* MERGEFORMAT </w:instrText>
          </w:r>
          <w:r>
            <w:fldChar w:fldCharType="separate"/>
          </w:r>
          <w:r>
            <w:rPr>
              <w:noProof/>
            </w:rPr>
            <w:t>2</w:t>
          </w:r>
          <w:r>
            <w:fldChar w:fldCharType="end"/>
          </w:r>
        </w:p>
      </w:tc>
    </w:tr>
  </w:tbl>
  <w:p w14:paraId="16B8A03A"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F66E" w14:textId="77777777" w:rsidR="00B949E1" w:rsidRPr="00BD5BF3" w:rsidRDefault="00B949E1" w:rsidP="00BD5BF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F489" w14:textId="77777777" w:rsidR="00B949E1" w:rsidRPr="00C32B0D" w:rsidRDefault="00B949E1" w:rsidP="00C32B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542C"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3D7FBC8B" w14:textId="77777777" w:rsidTr="00003C6B">
      <w:tc>
        <w:tcPr>
          <w:tcW w:w="7192" w:type="dxa"/>
          <w:shd w:val="clear" w:color="auto" w:fill="auto"/>
          <w:tcMar>
            <w:right w:w="108" w:type="dxa"/>
          </w:tcMar>
          <w:vAlign w:val="bottom"/>
        </w:tcPr>
        <w:p w14:paraId="6AAA887B" w14:textId="1B8266F0" w:rsidR="00B949E1" w:rsidRDefault="00A42F85" w:rsidP="00C32B0D">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2B42D204" w14:textId="77777777" w:rsidR="00B949E1" w:rsidRDefault="00B949E1" w:rsidP="00C32B0D">
          <w:pPr>
            <w:pStyle w:val="pageNumber0"/>
          </w:pPr>
          <w:r>
            <w:fldChar w:fldCharType="begin"/>
          </w:r>
          <w:r>
            <w:instrText xml:space="preserve"> PAGE  \* MERGEFORMAT </w:instrText>
          </w:r>
          <w:r>
            <w:fldChar w:fldCharType="separate"/>
          </w:r>
          <w:r>
            <w:rPr>
              <w:noProof/>
            </w:rPr>
            <w:t>18</w:t>
          </w:r>
          <w:r>
            <w:fldChar w:fldCharType="end"/>
          </w:r>
        </w:p>
      </w:tc>
    </w:tr>
  </w:tbl>
  <w:p w14:paraId="6870F936"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AA5F" w14:textId="77777777" w:rsidR="00B949E1" w:rsidRPr="00C32B0D" w:rsidRDefault="00B949E1" w:rsidP="00C32B0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01FA" w14:textId="77777777" w:rsidR="00B949E1" w:rsidRPr="00303260" w:rsidRDefault="00B949E1" w:rsidP="0030326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3C6E97AE" w14:textId="77777777" w:rsidTr="00003C6B">
      <w:tc>
        <w:tcPr>
          <w:tcW w:w="7192" w:type="dxa"/>
          <w:shd w:val="clear" w:color="auto" w:fill="auto"/>
          <w:tcMar>
            <w:right w:w="108" w:type="dxa"/>
          </w:tcMar>
          <w:vAlign w:val="bottom"/>
        </w:tcPr>
        <w:p w14:paraId="5B4D0869" w14:textId="5F2FA812" w:rsidR="00B949E1" w:rsidRDefault="00A42F85" w:rsidP="00303260">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35489450" w14:textId="77777777" w:rsidR="00B949E1" w:rsidRDefault="00B949E1" w:rsidP="00303260">
          <w:pPr>
            <w:pStyle w:val="pageNumber0"/>
          </w:pPr>
          <w:r>
            <w:fldChar w:fldCharType="begin"/>
          </w:r>
          <w:r>
            <w:instrText xml:space="preserve"> PAGE  \* MERGEFORMAT </w:instrText>
          </w:r>
          <w:r>
            <w:fldChar w:fldCharType="separate"/>
          </w:r>
          <w:r>
            <w:rPr>
              <w:noProof/>
            </w:rPr>
            <w:t>47</w:t>
          </w:r>
          <w:r>
            <w:fldChar w:fldCharType="end"/>
          </w:r>
        </w:p>
      </w:tc>
    </w:tr>
  </w:tbl>
  <w:p w14:paraId="79BDC726" w14:textId="77777777" w:rsidR="00B949E1" w:rsidRPr="00D229F8" w:rsidRDefault="00B949E1" w:rsidP="00513C97">
    <w:pPr>
      <w:pStyle w:val="Footer"/>
      <w:jc w:val="center"/>
      <w:rPr>
        <w:rFonts w:ascii="Arial" w:hAnsi="Arial"/>
        <w:sz w:val="14"/>
      </w:rPr>
    </w:pPr>
    <w:r w:rsidRPr="00D229F8">
      <w:rPr>
        <w:rFonts w:ascii="Arial" w:hAnsi="Arial"/>
        <w:sz w:val="14"/>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A321" w14:textId="77777777" w:rsidR="00B949E1" w:rsidRPr="00303260" w:rsidRDefault="00B949E1" w:rsidP="0030326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6AF7" w14:textId="77777777" w:rsidR="00B949E1" w:rsidRPr="00990A8C" w:rsidRDefault="00B949E1" w:rsidP="00990A8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57EBD87E" w14:textId="77777777" w:rsidTr="00003C6B">
      <w:tc>
        <w:tcPr>
          <w:tcW w:w="7192" w:type="dxa"/>
          <w:shd w:val="clear" w:color="auto" w:fill="auto"/>
          <w:tcMar>
            <w:right w:w="108" w:type="dxa"/>
          </w:tcMar>
          <w:vAlign w:val="bottom"/>
        </w:tcPr>
        <w:p w14:paraId="1DEE17B6" w14:textId="24AE5EA4" w:rsidR="00B949E1" w:rsidRDefault="00A42F85" w:rsidP="00990A8C">
          <w:pPr>
            <w:pStyle w:val="FooterText"/>
            <w:jc w:val="right"/>
          </w:pPr>
          <w:r>
            <w:fldChar w:fldCharType="begin"/>
          </w:r>
          <w:r>
            <w:instrText xml:space="preserve"> STYLEREF "Cp Title" \* MERGEFORMAT </w:instrText>
          </w:r>
          <w:r>
            <w:fldChar w:fldCharType="separate"/>
          </w:r>
          <w:r>
            <w:rPr>
              <w:noProof/>
            </w:rPr>
            <w:t>Proposed ban of a third tranche of single-use plastic items</w:t>
          </w:r>
          <w:r>
            <w:rPr>
              <w:noProof/>
            </w:rPr>
            <w:fldChar w:fldCharType="end"/>
          </w:r>
          <w:r w:rsidR="00B949E1">
            <w:t xml:space="preserve"> </w:t>
          </w:r>
          <w:r>
            <w:fldChar w:fldCharType="begin"/>
          </w:r>
          <w:r>
            <w:instrText xml:space="preserve"> STYLEREF "Cp SubTitle" \* MERGEFORMAT </w:instrText>
          </w:r>
          <w:r>
            <w:fldChar w:fldCharType="separate"/>
          </w:r>
          <w:r>
            <w:rPr>
              <w:noProof/>
            </w:rPr>
            <w:t>Regulatory Impact Statement</w:t>
          </w:r>
          <w:r>
            <w:rPr>
              <w:noProof/>
            </w:rPr>
            <w:fldChar w:fldCharType="end"/>
          </w:r>
        </w:p>
      </w:tc>
      <w:tc>
        <w:tcPr>
          <w:tcW w:w="744" w:type="dxa"/>
          <w:shd w:val="clear" w:color="auto" w:fill="auto"/>
          <w:tcMar>
            <w:right w:w="104" w:type="dxa"/>
          </w:tcMar>
          <w:vAlign w:val="bottom"/>
        </w:tcPr>
        <w:p w14:paraId="52105724" w14:textId="77777777" w:rsidR="00B949E1" w:rsidRDefault="00B949E1" w:rsidP="00990A8C">
          <w:pPr>
            <w:pStyle w:val="pageNumber0"/>
          </w:pPr>
          <w:r>
            <w:fldChar w:fldCharType="begin"/>
          </w:r>
          <w:r>
            <w:instrText xml:space="preserve"> PAGE  \* MERGEFORMAT </w:instrText>
          </w:r>
          <w:r>
            <w:fldChar w:fldCharType="separate"/>
          </w:r>
          <w:r>
            <w:rPr>
              <w:noProof/>
            </w:rPr>
            <w:t>11</w:t>
          </w:r>
          <w:r>
            <w:fldChar w:fldCharType="end"/>
          </w:r>
        </w:p>
      </w:tc>
    </w:tr>
  </w:tbl>
  <w:p w14:paraId="0DDD4081"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3036" w14:textId="77777777" w:rsidR="00B949E1" w:rsidRPr="00990A8C" w:rsidRDefault="00B949E1" w:rsidP="00990A8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FFA4" w14:textId="77777777" w:rsidR="00B949E1" w:rsidRDefault="00B949E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6" w:type="dxa"/>
      <w:tblLayout w:type="fixed"/>
      <w:tblCellMar>
        <w:left w:w="0" w:type="dxa"/>
        <w:right w:w="0" w:type="dxa"/>
      </w:tblCellMar>
      <w:tblLook w:val="0000" w:firstRow="0" w:lastRow="0" w:firstColumn="0" w:lastColumn="0" w:noHBand="0" w:noVBand="0"/>
    </w:tblPr>
    <w:tblGrid>
      <w:gridCol w:w="7192"/>
      <w:gridCol w:w="744"/>
    </w:tblGrid>
    <w:tr w:rsidR="00B949E1" w14:paraId="5ADF7746" w14:textId="77777777" w:rsidTr="00003C6B">
      <w:tc>
        <w:tcPr>
          <w:tcW w:w="7192" w:type="dxa"/>
          <w:shd w:val="clear" w:color="auto" w:fill="auto"/>
          <w:tcMar>
            <w:right w:w="108" w:type="dxa"/>
          </w:tcMar>
          <w:vAlign w:val="bottom"/>
        </w:tcPr>
        <w:p w14:paraId="628B9F29" w14:textId="18601F3D" w:rsidR="00B949E1" w:rsidRDefault="00A42F85" w:rsidP="00361FF9">
          <w:pPr>
            <w:pStyle w:val="FooterText"/>
            <w:jc w:val="right"/>
          </w:pPr>
          <w:r>
            <w:fldChar w:fldCharType="begin"/>
          </w:r>
          <w:r>
            <w:instrText xml:space="preserve"> STYLEREF "Cp Title" \* MERGEFORMAT </w:instrText>
          </w:r>
          <w:r>
            <w:fldChar w:fldCharType="separate"/>
          </w:r>
          <w:r w:rsidRPr="00A42F85">
            <w:rPr>
              <w:noProof/>
              <w:lang w:val="en-US"/>
            </w:rPr>
            <w:t>Proposed ban</w:t>
          </w:r>
          <w:r>
            <w:rPr>
              <w:noProof/>
            </w:rPr>
            <w:t xml:space="preserve"> of a third tranche of single-use plastic items</w:t>
          </w:r>
          <w:r>
            <w:rPr>
              <w:noProof/>
            </w:rPr>
            <w:fldChar w:fldCharType="end"/>
          </w:r>
          <w:r w:rsidR="00B949E1" w:rsidRPr="00003C6B">
            <w:t xml:space="preserve"> </w:t>
          </w:r>
          <w:r>
            <w:fldChar w:fldCharType="begin"/>
          </w:r>
          <w:r>
            <w:instrText xml:space="preserve"> STYLEREF "Cp SubTitle" \* MERGEFORMAT </w:instrText>
          </w:r>
          <w:r>
            <w:fldChar w:fldCharType="separate"/>
          </w:r>
          <w:r w:rsidRPr="00A42F85">
            <w:rPr>
              <w:noProof/>
              <w:lang w:val="en-US"/>
            </w:rPr>
            <w:t>Regulatory Impact Statement</w:t>
          </w:r>
          <w:r>
            <w:rPr>
              <w:noProof/>
              <w:lang w:val="en-US"/>
            </w:rPr>
            <w:fldChar w:fldCharType="end"/>
          </w:r>
        </w:p>
      </w:tc>
      <w:tc>
        <w:tcPr>
          <w:tcW w:w="744" w:type="dxa"/>
          <w:shd w:val="clear" w:color="auto" w:fill="auto"/>
          <w:tcMar>
            <w:right w:w="104" w:type="dxa"/>
          </w:tcMar>
          <w:vAlign w:val="bottom"/>
        </w:tcPr>
        <w:p w14:paraId="2165D66A" w14:textId="77777777" w:rsidR="00B949E1" w:rsidRDefault="00B949E1" w:rsidP="00361FF9">
          <w:pPr>
            <w:pStyle w:val="pageNumber0"/>
          </w:pPr>
          <w:r>
            <w:fldChar w:fldCharType="begin"/>
          </w:r>
          <w:r>
            <w:instrText xml:space="preserve"> PAGE  \* MERGEFORMAT </w:instrText>
          </w:r>
          <w:r>
            <w:fldChar w:fldCharType="separate"/>
          </w:r>
          <w:r>
            <w:rPr>
              <w:noProof/>
            </w:rPr>
            <w:t>1</w:t>
          </w:r>
          <w:r>
            <w:fldChar w:fldCharType="end"/>
          </w:r>
        </w:p>
      </w:tc>
    </w:tr>
  </w:tbl>
  <w:p w14:paraId="49EF9F4E"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F35B" w14:textId="77777777" w:rsidR="00B949E1" w:rsidRPr="00361FF9" w:rsidRDefault="00B949E1" w:rsidP="00361FF9">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DE3C" w14:textId="77777777" w:rsidR="00B949E1" w:rsidRDefault="00B949E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DC7E" w14:textId="77777777" w:rsidR="00361FF9" w:rsidRDefault="00A42F8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C9B7" w14:textId="77777777" w:rsidR="00361FF9" w:rsidRPr="00513C97" w:rsidRDefault="001838A8"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1387" w14:textId="77777777" w:rsidR="00361FF9" w:rsidRPr="00513C97" w:rsidRDefault="001838A8"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4BE6" w14:textId="77777777" w:rsidR="00B949E1" w:rsidRDefault="00B949E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4661" w14:textId="77777777" w:rsidR="00B949E1" w:rsidRPr="00513C97" w:rsidRDefault="00B949E1" w:rsidP="00513C97">
    <w:pPr>
      <w:pStyle w:val="Footer"/>
      <w:jc w:val="center"/>
      <w:rPr>
        <w:rFonts w:ascii="Arial" w:hAnsi="Arial"/>
        <w:sz w:val="14"/>
      </w:rPr>
    </w:pPr>
    <w:r w:rsidRPr="00513C97">
      <w:rPr>
        <w:rFonts w:ascii="Arial" w:hAnsi="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121E" w14:textId="77777777" w:rsidR="00B949E1" w:rsidRDefault="00B949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1394" w14:textId="77777777" w:rsidR="00B949E1" w:rsidRPr="00EA31D6" w:rsidRDefault="00B949E1" w:rsidP="00EA3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2CED" w14:textId="77777777" w:rsidR="00B949E1" w:rsidRDefault="00B949E1" w:rsidP="00B949E1">
      <w:pPr>
        <w:spacing w:before="0" w:after="0" w:line="240" w:lineRule="auto"/>
      </w:pPr>
      <w:r>
        <w:separator/>
      </w:r>
    </w:p>
  </w:footnote>
  <w:footnote w:type="continuationSeparator" w:id="0">
    <w:p w14:paraId="4941BB6F" w14:textId="77777777" w:rsidR="00B949E1" w:rsidRDefault="00B949E1" w:rsidP="00B949E1">
      <w:pPr>
        <w:spacing w:before="0" w:after="0" w:line="240" w:lineRule="auto"/>
      </w:pPr>
      <w:r>
        <w:continuationSeparator/>
      </w:r>
    </w:p>
  </w:footnote>
  <w:footnote w:id="1">
    <w:p w14:paraId="2FDABD08" w14:textId="77777777" w:rsidR="00B949E1" w:rsidRDefault="00B949E1" w:rsidP="00B949E1">
      <w:pPr>
        <w:pStyle w:val="FootnoteText"/>
      </w:pPr>
      <w:r>
        <w:rPr>
          <w:rStyle w:val="FootnoteReference"/>
        </w:rPr>
        <w:footnoteRef/>
      </w:r>
      <w:r>
        <w:t xml:space="preserve"> </w:t>
      </w:r>
      <w:r w:rsidRPr="00BA4076">
        <w:t xml:space="preserve">Charles D., Kimman L. and Saran N. 2021, </w:t>
      </w:r>
      <w:r w:rsidRPr="00BA4076">
        <w:rPr>
          <w:i/>
          <w:iCs/>
        </w:rPr>
        <w:t>The Plastic Waste Makers Index</w:t>
      </w:r>
      <w:r w:rsidRPr="00BA4076">
        <w:t>, Minderoo Foundation</w:t>
      </w:r>
      <w:r>
        <w:t>, page 63</w:t>
      </w:r>
      <w:r w:rsidRPr="00BA4076">
        <w:t>.</w:t>
      </w:r>
    </w:p>
  </w:footnote>
  <w:footnote w:id="2">
    <w:p w14:paraId="7592BBA9" w14:textId="77777777" w:rsidR="00B949E1" w:rsidRDefault="00B949E1" w:rsidP="00B949E1">
      <w:pPr>
        <w:pStyle w:val="FootnoteText"/>
      </w:pPr>
      <w:r>
        <w:rPr>
          <w:rStyle w:val="FootnoteReference"/>
        </w:rPr>
        <w:footnoteRef/>
      </w:r>
      <w:r>
        <w:t xml:space="preserve"> Ibid.</w:t>
      </w:r>
    </w:p>
  </w:footnote>
  <w:footnote w:id="3">
    <w:p w14:paraId="193647D8" w14:textId="77777777" w:rsidR="00B949E1" w:rsidRPr="0018740B" w:rsidRDefault="00B949E1" w:rsidP="00B949E1">
      <w:pPr>
        <w:pStyle w:val="FootnoteText"/>
        <w:rPr>
          <w:lang w:val="en-US"/>
        </w:rPr>
      </w:pPr>
      <w:r>
        <w:rPr>
          <w:rStyle w:val="FootnoteReference"/>
        </w:rPr>
        <w:footnoteRef/>
      </w:r>
      <w:r>
        <w:t xml:space="preserve"> </w:t>
      </w:r>
      <w:r w:rsidRPr="0018740B">
        <w:t>Organisation for Economic Co-operation and Development (OECD)</w:t>
      </w:r>
      <w:r>
        <w:t xml:space="preserve"> 2022,</w:t>
      </w:r>
      <w:r w:rsidRPr="0018740B">
        <w:t xml:space="preserve"> </w:t>
      </w:r>
      <w:r w:rsidRPr="0018740B">
        <w:rPr>
          <w:i/>
          <w:iCs/>
        </w:rPr>
        <w:t>Global Plastics Outlook: Policy Scenarios to 2060</w:t>
      </w:r>
      <w:r>
        <w:t xml:space="preserve">, June. </w:t>
      </w:r>
    </w:p>
  </w:footnote>
  <w:footnote w:id="4">
    <w:p w14:paraId="526EF046" w14:textId="77777777" w:rsidR="00B949E1" w:rsidRPr="00B7046A" w:rsidRDefault="00B949E1" w:rsidP="00B949E1">
      <w:pPr>
        <w:pStyle w:val="FootnoteText"/>
        <w:rPr>
          <w:lang w:val="en-US"/>
        </w:rPr>
      </w:pPr>
      <w:r>
        <w:rPr>
          <w:rStyle w:val="FootnoteReference"/>
        </w:rPr>
        <w:footnoteRef/>
      </w:r>
      <w:r>
        <w:t xml:space="preserve"> </w:t>
      </w:r>
      <w:r w:rsidRPr="00B7046A">
        <w:t>United Nations Educational, Scientific and Cultural Organization</w:t>
      </w:r>
      <w:r>
        <w:t xml:space="preserve"> (</w:t>
      </w:r>
      <w:r>
        <w:rPr>
          <w:lang w:val="en-US"/>
        </w:rPr>
        <w:t xml:space="preserve">UNESCO) 2022, </w:t>
      </w:r>
      <w:r w:rsidRPr="00B7046A">
        <w:rPr>
          <w:i/>
          <w:iCs/>
          <w:lang w:val="en-US"/>
        </w:rPr>
        <w:t>Ocean plastic pollution an overview: data and statistics</w:t>
      </w:r>
      <w:r w:rsidRPr="00B949E1">
        <w:rPr>
          <w:color w:val="7BBDD6"/>
          <w:lang w:val="en-US"/>
        </w:rPr>
        <w:t xml:space="preserve">, </w:t>
      </w:r>
      <w:hyperlink r:id="rId1" w:history="1">
        <w:r w:rsidRPr="00B949E1">
          <w:rPr>
            <w:rStyle w:val="Hyperlink"/>
            <w:color w:val="7BBDD6"/>
            <w:lang w:val="en-US"/>
          </w:rPr>
          <w:t>https://oceanliteracy.unesco.org/plastic-pollution-ocean/</w:t>
        </w:r>
      </w:hyperlink>
      <w:r>
        <w:rPr>
          <w:lang w:val="en-US"/>
        </w:rPr>
        <w:t xml:space="preserve">, accessed 17 March 2022. </w:t>
      </w:r>
    </w:p>
  </w:footnote>
  <w:footnote w:id="5">
    <w:p w14:paraId="0504A039" w14:textId="77777777" w:rsidR="00B949E1" w:rsidRDefault="00B949E1" w:rsidP="00B949E1">
      <w:pPr>
        <w:pStyle w:val="FootnoteText"/>
      </w:pPr>
      <w:r>
        <w:rPr>
          <w:rStyle w:val="FootnoteReference"/>
        </w:rPr>
        <w:footnoteRef/>
      </w:r>
      <w:r>
        <w:t xml:space="preserve"> Estimates for government costs are not included in the costs per item, as they were estimated as an aggregate per option. These costs make up a small cost relative to the net cost of each option.</w:t>
      </w:r>
    </w:p>
  </w:footnote>
  <w:footnote w:id="6">
    <w:p w14:paraId="1D8368AD" w14:textId="77777777" w:rsidR="00B949E1" w:rsidRDefault="00B949E1" w:rsidP="00B949E1">
      <w:pPr>
        <w:pStyle w:val="FootnoteText"/>
      </w:pPr>
      <w:r>
        <w:rPr>
          <w:rStyle w:val="FootnoteReference"/>
        </w:rPr>
        <w:footnoteRef/>
      </w:r>
      <w:r>
        <w:t xml:space="preserve"> </w:t>
      </w:r>
      <w:r w:rsidRPr="002856E8">
        <w:t>Auty, K., &amp; Dickson, K. (2018). </w:t>
      </w:r>
      <w:r w:rsidRPr="002856E8">
        <w:rPr>
          <w:i/>
          <w:iCs/>
        </w:rPr>
        <w:t>Unfantastic plastic-review of the ACT plastic shopping bag ban</w:t>
      </w:r>
      <w:r w:rsidRPr="002856E8">
        <w:t>. Office of the Commissioner for Sustainability and the Environment (ACT).</w:t>
      </w:r>
    </w:p>
  </w:footnote>
  <w:footnote w:id="7">
    <w:p w14:paraId="555370A4" w14:textId="77777777" w:rsidR="00B949E1" w:rsidRDefault="00B949E1" w:rsidP="00B949E1">
      <w:pPr>
        <w:pStyle w:val="FootnoteText"/>
      </w:pPr>
      <w:r>
        <w:rPr>
          <w:rStyle w:val="FootnoteReference"/>
        </w:rPr>
        <w:footnoteRef/>
      </w:r>
      <w:r>
        <w:t xml:space="preserve">Ibid. </w:t>
      </w:r>
    </w:p>
  </w:footnote>
  <w:footnote w:id="8">
    <w:p w14:paraId="7D151B77" w14:textId="77777777" w:rsidR="00B949E1" w:rsidRPr="00EB291D" w:rsidRDefault="00B949E1" w:rsidP="00B949E1">
      <w:pPr>
        <w:pStyle w:val="FootnoteText"/>
        <w:rPr>
          <w:lang w:val="en-US"/>
        </w:rPr>
      </w:pPr>
      <w:r>
        <w:rPr>
          <w:rStyle w:val="FootnoteReference"/>
        </w:rPr>
        <w:footnoteRef/>
      </w:r>
      <w:r>
        <w:t xml:space="preserve"> </w:t>
      </w:r>
      <w:r w:rsidRPr="00EB291D">
        <w:t>ACT Government, Phasing Out Single Use Plastics</w:t>
      </w:r>
      <w:hyperlink r:id="rId2" w:history="1"/>
      <w:r w:rsidRPr="00EB291D">
        <w:t>, Accessed on 27/02/2022</w:t>
      </w:r>
    </w:p>
  </w:footnote>
  <w:footnote w:id="9">
    <w:p w14:paraId="2DCBA6E8" w14:textId="77777777" w:rsidR="00B949E1" w:rsidRPr="006E4B62" w:rsidRDefault="00B949E1" w:rsidP="00B949E1">
      <w:pPr>
        <w:pStyle w:val="FootnoteText"/>
        <w:rPr>
          <w:lang w:val="en-US"/>
        </w:rPr>
      </w:pPr>
      <w:r>
        <w:rPr>
          <w:rStyle w:val="FootnoteReference"/>
        </w:rPr>
        <w:footnoteRef/>
      </w:r>
      <w:r>
        <w:t xml:space="preserve"> </w:t>
      </w:r>
      <w:r>
        <w:rPr>
          <w:lang w:val="en-US"/>
        </w:rPr>
        <w:t xml:space="preserve">Australian Government, </w:t>
      </w:r>
      <w:r>
        <w:rPr>
          <w:i/>
          <w:iCs/>
          <w:lang w:val="en-US"/>
        </w:rPr>
        <w:t>Plastic Microbeads</w:t>
      </w:r>
      <w:r>
        <w:rPr>
          <w:lang w:val="en-US"/>
        </w:rPr>
        <w:t xml:space="preserve">, accessed 7 March 2023, </w:t>
      </w:r>
      <w:hyperlink r:id="rId3" w:history="1">
        <w:r w:rsidRPr="00B949E1">
          <w:rPr>
            <w:rStyle w:val="Hyperlink"/>
            <w:color w:val="7BBDD6"/>
            <w:lang w:val="en-US"/>
          </w:rPr>
          <w:t>https://www.dcceew.gov.au/environment/protection/waste/plastics-and-packaging/plastic-microbeads</w:t>
        </w:r>
      </w:hyperlink>
      <w:r>
        <w:rPr>
          <w:lang w:val="en-US"/>
        </w:rPr>
        <w:t xml:space="preserve"> </w:t>
      </w:r>
    </w:p>
  </w:footnote>
  <w:footnote w:id="10">
    <w:p w14:paraId="78CEE3BA" w14:textId="77777777" w:rsidR="00B949E1" w:rsidRPr="00DF5D8C" w:rsidRDefault="00B949E1" w:rsidP="00B949E1">
      <w:pPr>
        <w:pStyle w:val="FootnoteText"/>
        <w:rPr>
          <w:lang w:val="en-US"/>
        </w:rPr>
      </w:pPr>
      <w:r>
        <w:rPr>
          <w:rStyle w:val="FootnoteReference"/>
        </w:rPr>
        <w:footnoteRef/>
      </w:r>
      <w:r>
        <w:t xml:space="preserve"> </w:t>
      </w:r>
      <w:r>
        <w:rPr>
          <w:lang w:val="en-US"/>
        </w:rPr>
        <w:t>Ibid.</w:t>
      </w:r>
    </w:p>
  </w:footnote>
  <w:footnote w:id="11">
    <w:p w14:paraId="3403416B" w14:textId="77777777" w:rsidR="00B949E1" w:rsidRPr="00371A2E" w:rsidRDefault="00B949E1" w:rsidP="00B949E1">
      <w:pPr>
        <w:pStyle w:val="FootnoteText"/>
        <w:rPr>
          <w:lang w:val="en-US"/>
        </w:rPr>
      </w:pPr>
      <w:r>
        <w:rPr>
          <w:rStyle w:val="FootnoteReference"/>
        </w:rPr>
        <w:footnoteRef/>
      </w:r>
      <w:r>
        <w:t xml:space="preserve"> </w:t>
      </w:r>
      <w:r>
        <w:rPr>
          <w:lang w:val="en-US"/>
        </w:rPr>
        <w:t>Ibid.</w:t>
      </w:r>
    </w:p>
  </w:footnote>
  <w:footnote w:id="12">
    <w:p w14:paraId="7BF1809B" w14:textId="77777777" w:rsidR="00B949E1" w:rsidRPr="00787294" w:rsidRDefault="00B949E1" w:rsidP="00B949E1">
      <w:pPr>
        <w:pStyle w:val="FootnoteText"/>
        <w:rPr>
          <w:lang w:val="en-US"/>
        </w:rPr>
      </w:pPr>
      <w:r>
        <w:rPr>
          <w:rStyle w:val="FootnoteReference"/>
        </w:rPr>
        <w:footnoteRef/>
      </w:r>
      <w:r>
        <w:t xml:space="preserve"> </w:t>
      </w:r>
      <w:r>
        <w:rPr>
          <w:lang w:val="en-US"/>
        </w:rPr>
        <w:t>Ibid.</w:t>
      </w:r>
    </w:p>
  </w:footnote>
  <w:footnote w:id="13">
    <w:p w14:paraId="7ADFB93C" w14:textId="77777777" w:rsidR="00B949E1" w:rsidRPr="00B949E1" w:rsidRDefault="00B949E1" w:rsidP="00B949E1">
      <w:pPr>
        <w:pStyle w:val="FootnoteText"/>
        <w:rPr>
          <w:color w:val="7BBDD6"/>
          <w:lang w:val="en-US"/>
        </w:rPr>
      </w:pPr>
      <w:r>
        <w:rPr>
          <w:rStyle w:val="FootnoteReference"/>
        </w:rPr>
        <w:footnoteRef/>
      </w:r>
      <w:r>
        <w:t xml:space="preserve"> </w:t>
      </w:r>
      <w:r>
        <w:rPr>
          <w:lang w:val="en-US"/>
        </w:rPr>
        <w:t xml:space="preserve">Expanded Polystyrene Australia, </w:t>
      </w:r>
      <w:r>
        <w:rPr>
          <w:i/>
          <w:iCs/>
          <w:lang w:val="en-US"/>
        </w:rPr>
        <w:t xml:space="preserve">What is </w:t>
      </w:r>
      <w:proofErr w:type="gramStart"/>
      <w:r>
        <w:rPr>
          <w:i/>
          <w:iCs/>
          <w:lang w:val="en-US"/>
        </w:rPr>
        <w:t>EPS?</w:t>
      </w:r>
      <w:r>
        <w:rPr>
          <w:lang w:val="en-US"/>
        </w:rPr>
        <w:t>,</w:t>
      </w:r>
      <w:proofErr w:type="gramEnd"/>
      <w:r>
        <w:rPr>
          <w:lang w:val="en-US"/>
        </w:rPr>
        <w:t xml:space="preserve"> Accessed 14 March 2023,</w:t>
      </w:r>
      <w:r w:rsidRPr="00B949E1">
        <w:rPr>
          <w:color w:val="7BBDD6"/>
          <w:lang w:val="en-US"/>
        </w:rPr>
        <w:t xml:space="preserve"> </w:t>
      </w:r>
      <w:hyperlink r:id="rId4" w:history="1">
        <w:r w:rsidRPr="00B949E1">
          <w:rPr>
            <w:rStyle w:val="Hyperlink"/>
            <w:color w:val="7BBDD6"/>
            <w:lang w:val="en-US"/>
          </w:rPr>
          <w:t>https://epsa.org.au/about-eps/what-is-eps/</w:t>
        </w:r>
      </w:hyperlink>
      <w:r w:rsidRPr="00B949E1">
        <w:rPr>
          <w:color w:val="7BBDD6"/>
          <w:lang w:val="en-US"/>
        </w:rPr>
        <w:t xml:space="preserve"> </w:t>
      </w:r>
    </w:p>
  </w:footnote>
  <w:footnote w:id="14">
    <w:p w14:paraId="73D2279B" w14:textId="77777777" w:rsidR="00B949E1" w:rsidRPr="00D205A7" w:rsidRDefault="00B949E1" w:rsidP="00B949E1">
      <w:pPr>
        <w:pStyle w:val="FootnoteText"/>
        <w:rPr>
          <w:lang w:val="en-US"/>
        </w:rPr>
      </w:pPr>
      <w:r>
        <w:rPr>
          <w:rStyle w:val="FootnoteReference"/>
        </w:rPr>
        <w:footnoteRef/>
      </w:r>
      <w:r>
        <w:t xml:space="preserve"> Government of South Australia, </w:t>
      </w:r>
      <w:r>
        <w:rPr>
          <w:i/>
          <w:iCs/>
        </w:rPr>
        <w:t>Replace the Waste – Phased Out 2024, a</w:t>
      </w:r>
      <w:r>
        <w:t xml:space="preserve">ccessed 21 March 2023, </w:t>
      </w:r>
      <w:hyperlink r:id="rId5" w:history="1">
        <w:r w:rsidRPr="00B949E1">
          <w:rPr>
            <w:rStyle w:val="Hyperlink"/>
            <w:color w:val="7BBDD6"/>
          </w:rPr>
          <w:t>https://www.replacethewaste.sa.gov.au/phased-out-2024</w:t>
        </w:r>
      </w:hyperlink>
    </w:p>
  </w:footnote>
  <w:footnote w:id="15">
    <w:p w14:paraId="60466C67" w14:textId="77777777" w:rsidR="00B949E1" w:rsidRPr="00CF0005" w:rsidRDefault="00B949E1" w:rsidP="00B949E1">
      <w:pPr>
        <w:pStyle w:val="FootnoteText"/>
        <w:rPr>
          <w:lang w:val="en-US"/>
        </w:rPr>
      </w:pPr>
      <w:r>
        <w:rPr>
          <w:rStyle w:val="FootnoteReference"/>
        </w:rPr>
        <w:footnoteRef/>
      </w:r>
      <w:r>
        <w:t xml:space="preserve"> ACT Government, </w:t>
      </w:r>
      <w:r>
        <w:rPr>
          <w:i/>
          <w:iCs/>
        </w:rPr>
        <w:t>Single-use plastic take-away containers</w:t>
      </w:r>
      <w:r>
        <w:t xml:space="preserve">, Accessed 14 March 2023, </w:t>
      </w:r>
      <w:hyperlink r:id="rId6" w:history="1">
        <w:r w:rsidRPr="00B949E1">
          <w:rPr>
            <w:rStyle w:val="Hyperlink"/>
            <w:color w:val="7BBDD6"/>
          </w:rPr>
          <w:t>https://yoursayconversations.act.gov.au/single-use-plastics/single-use-plastic-takeaway-containers</w:t>
        </w:r>
      </w:hyperlink>
      <w:r w:rsidRPr="00B949E1">
        <w:rPr>
          <w:color w:val="7BBDD6"/>
        </w:rPr>
        <w:t xml:space="preserve"> </w:t>
      </w:r>
    </w:p>
  </w:footnote>
  <w:footnote w:id="16">
    <w:p w14:paraId="08B99871" w14:textId="77777777" w:rsidR="00B949E1" w:rsidRPr="00AA1D6C" w:rsidRDefault="00B949E1" w:rsidP="00B949E1">
      <w:pPr>
        <w:pStyle w:val="FootnoteText"/>
        <w:rPr>
          <w:lang w:val="en-US"/>
        </w:rPr>
      </w:pPr>
      <w:r>
        <w:rPr>
          <w:rStyle w:val="FootnoteReference"/>
        </w:rPr>
        <w:footnoteRef/>
      </w:r>
      <w:r>
        <w:t xml:space="preserve"> </w:t>
      </w:r>
      <w:r>
        <w:rPr>
          <w:lang w:val="en-US"/>
        </w:rPr>
        <w:t xml:space="preserve">Zanolli, L., </w:t>
      </w:r>
      <w:r>
        <w:rPr>
          <w:i/>
          <w:iCs/>
          <w:lang w:val="en-US"/>
        </w:rPr>
        <w:t>Are plastic containers safe for our food?</w:t>
      </w:r>
      <w:r>
        <w:rPr>
          <w:lang w:val="en-US"/>
        </w:rPr>
        <w:t xml:space="preserve">, Accessed 20 March 2023, </w:t>
      </w:r>
      <w:hyperlink r:id="rId7" w:anchor=":~:text=Most%20food%20containers%20%E2%80%93%20both%20takeout,)%20or%20polypropylene%20(5" w:history="1">
        <w:r w:rsidRPr="00B949E1">
          <w:rPr>
            <w:rStyle w:val="Hyperlink"/>
            <w:color w:val="7BBDD6"/>
            <w:lang w:val="en-US"/>
          </w:rPr>
          <w:t>https://www.theguardian.com/us-news/2020/feb/18/are-plastic-containers-safe-to-use-food-experts#:~:text=Most%20food%20containers%20%E2%80%93%20both%20takeout,)%20or%20polypropylene%20(5</w:t>
        </w:r>
      </w:hyperlink>
      <w:r w:rsidRPr="00AA1D6C">
        <w:rPr>
          <w:lang w:val="en-US"/>
        </w:rPr>
        <w:t>).</w:t>
      </w:r>
      <w:r>
        <w:rPr>
          <w:lang w:val="en-US"/>
        </w:rPr>
        <w:t xml:space="preserve"> </w:t>
      </w:r>
    </w:p>
  </w:footnote>
  <w:footnote w:id="17">
    <w:p w14:paraId="5319E58A" w14:textId="77777777" w:rsidR="00B949E1" w:rsidRPr="00E1315E" w:rsidRDefault="00B949E1" w:rsidP="00B949E1">
      <w:pPr>
        <w:pStyle w:val="FootnoteText"/>
        <w:rPr>
          <w:lang w:val="en-US"/>
        </w:rPr>
      </w:pPr>
      <w:r>
        <w:rPr>
          <w:rStyle w:val="FootnoteReference"/>
        </w:rPr>
        <w:footnoteRef/>
      </w:r>
      <w:r>
        <w:t xml:space="preserve"> ACT Government, </w:t>
      </w:r>
      <w:r>
        <w:rPr>
          <w:i/>
          <w:iCs/>
        </w:rPr>
        <w:t>Single-use plastic plates and bowls</w:t>
      </w:r>
      <w:r>
        <w:t xml:space="preserve">, Accessed 14 March 2023, </w:t>
      </w:r>
      <w:hyperlink r:id="rId8" w:history="1">
        <w:r w:rsidRPr="00B949E1">
          <w:rPr>
            <w:rStyle w:val="Hyperlink"/>
            <w:color w:val="7BBDD6"/>
          </w:rPr>
          <w:t>https://yoursayconversations.act.gov.au/single-use-plastics/single-use-plastic-plates-and-bowls</w:t>
        </w:r>
      </w:hyperlink>
      <w:r>
        <w:t xml:space="preserve"> </w:t>
      </w:r>
    </w:p>
  </w:footnote>
  <w:footnote w:id="18">
    <w:p w14:paraId="2387CBB5" w14:textId="77777777" w:rsidR="00B949E1" w:rsidRPr="004977D7" w:rsidRDefault="00B949E1" w:rsidP="00B949E1">
      <w:pPr>
        <w:pStyle w:val="FootnoteText"/>
        <w:rPr>
          <w:lang w:val="en-US"/>
        </w:rPr>
      </w:pPr>
      <w:r>
        <w:rPr>
          <w:rStyle w:val="FootnoteReference"/>
        </w:rPr>
        <w:footnoteRef/>
      </w:r>
      <w:r>
        <w:t xml:space="preserve"> Ibid.</w:t>
      </w:r>
    </w:p>
  </w:footnote>
  <w:footnote w:id="19">
    <w:p w14:paraId="2B9E99CD" w14:textId="77777777" w:rsidR="00B949E1" w:rsidRPr="00216E7A" w:rsidRDefault="00B949E1" w:rsidP="00B949E1">
      <w:pPr>
        <w:pStyle w:val="FootnoteText"/>
        <w:rPr>
          <w:lang w:val="en-US"/>
        </w:rPr>
      </w:pPr>
      <w:r>
        <w:rPr>
          <w:rStyle w:val="FootnoteReference"/>
        </w:rPr>
        <w:footnoteRef/>
      </w:r>
      <w:r>
        <w:t xml:space="preserve"> </w:t>
      </w:r>
      <w:r>
        <w:rPr>
          <w:lang w:val="en-US"/>
        </w:rPr>
        <w:t xml:space="preserve">WA Bag Ban, </w:t>
      </w:r>
      <w:r>
        <w:rPr>
          <w:i/>
          <w:iCs/>
          <w:lang w:val="en-US"/>
        </w:rPr>
        <w:t>About the Ban</w:t>
      </w:r>
      <w:r>
        <w:rPr>
          <w:lang w:val="en-US"/>
        </w:rPr>
        <w:t xml:space="preserve">, accessed 14 March 2023, </w:t>
      </w:r>
      <w:hyperlink r:id="rId9" w:history="1">
        <w:r w:rsidRPr="00B949E1">
          <w:rPr>
            <w:rStyle w:val="Hyperlink"/>
            <w:color w:val="7BBDD6"/>
            <w:lang w:val="en-US"/>
          </w:rPr>
          <w:t>https://bagbanwa.com.au/about-the-ban/</w:t>
        </w:r>
      </w:hyperlink>
      <w:r>
        <w:rPr>
          <w:lang w:val="en-US"/>
        </w:rPr>
        <w:t xml:space="preserve"> </w:t>
      </w:r>
    </w:p>
  </w:footnote>
  <w:footnote w:id="20">
    <w:p w14:paraId="7E7F060A" w14:textId="77777777" w:rsidR="00B949E1" w:rsidRDefault="00B949E1" w:rsidP="00B949E1">
      <w:pPr>
        <w:pStyle w:val="FootnoteText"/>
      </w:pPr>
      <w:r>
        <w:rPr>
          <w:rStyle w:val="FootnoteReference"/>
        </w:rPr>
        <w:footnoteRef/>
      </w:r>
      <w:r>
        <w:t xml:space="preserve"> ACT Government, </w:t>
      </w:r>
      <w:r w:rsidRPr="000E3E24">
        <w:rPr>
          <w:i/>
          <w:iCs/>
        </w:rPr>
        <w:t>Heavyweight and boutique plastic bags</w:t>
      </w:r>
      <w:r>
        <w:t xml:space="preserve">, accessed 14 March 2023, </w:t>
      </w:r>
      <w:hyperlink r:id="rId10" w:history="1">
        <w:r w:rsidRPr="00B949E1">
          <w:rPr>
            <w:rStyle w:val="Hyperlink"/>
            <w:color w:val="7BBDD6"/>
          </w:rPr>
          <w:t>https://yoursayconversations.act.gov.au/single-use-plastics/heavyweight-and-boutique-plastic-bags</w:t>
        </w:r>
      </w:hyperlink>
    </w:p>
  </w:footnote>
  <w:footnote w:id="21">
    <w:p w14:paraId="6A17B327" w14:textId="77777777" w:rsidR="00B949E1" w:rsidRPr="00A57A06" w:rsidRDefault="00B949E1" w:rsidP="00B949E1">
      <w:pPr>
        <w:pStyle w:val="FootnoteText"/>
        <w:rPr>
          <w:i/>
          <w:iCs/>
        </w:rPr>
      </w:pPr>
      <w:r>
        <w:rPr>
          <w:rStyle w:val="FootnoteReference"/>
        </w:rPr>
        <w:footnoteRef/>
      </w:r>
      <w:r>
        <w:t xml:space="preserve"> ACT Government - Environment and Sustainable Development 2011. </w:t>
      </w:r>
      <w:r w:rsidRPr="00A57A06">
        <w:rPr>
          <w:i/>
          <w:iCs/>
        </w:rPr>
        <w:t>ACT Waste Management Strategy 2011-2025.</w:t>
      </w:r>
    </w:p>
  </w:footnote>
  <w:footnote w:id="22">
    <w:p w14:paraId="2A40D362" w14:textId="77777777" w:rsidR="00B949E1" w:rsidRDefault="00B949E1" w:rsidP="00B949E1">
      <w:pPr>
        <w:pStyle w:val="FootnoteText"/>
      </w:pPr>
      <w:r>
        <w:rPr>
          <w:rStyle w:val="FootnoteReference"/>
        </w:rPr>
        <w:footnoteRef/>
      </w:r>
      <w:r>
        <w:t xml:space="preserve"> ACT Government 2019. </w:t>
      </w:r>
      <w:r w:rsidRPr="00A57A06">
        <w:rPr>
          <w:i/>
          <w:iCs/>
        </w:rPr>
        <w:t>ACT Climate Change Strategy 2019-2025.</w:t>
      </w:r>
      <w:r>
        <w:t xml:space="preserve"> </w:t>
      </w:r>
      <w:hyperlink r:id="rId11" w:history="1">
        <w:r w:rsidRPr="00B949E1">
          <w:rPr>
            <w:rStyle w:val="Hyperlink"/>
            <w:color w:val="7BBDD6"/>
          </w:rPr>
          <w:t>https://www.climatechoices.act.gov.au/policy-programs/act-climate-change-strategy</w:t>
        </w:r>
      </w:hyperlink>
      <w:r>
        <w:t xml:space="preserve"> </w:t>
      </w:r>
    </w:p>
  </w:footnote>
  <w:footnote w:id="23">
    <w:p w14:paraId="13FA25E1" w14:textId="77777777" w:rsidR="00B949E1" w:rsidRPr="008D1541" w:rsidRDefault="00B949E1" w:rsidP="00B949E1">
      <w:pPr>
        <w:pStyle w:val="FootnoteText"/>
      </w:pPr>
      <w:r>
        <w:rPr>
          <w:rStyle w:val="FootnoteReference"/>
        </w:rPr>
        <w:footnoteRef/>
      </w:r>
      <w:r>
        <w:t xml:space="preserve"> Department of the Environment and Energy. </w:t>
      </w:r>
      <w:r w:rsidRPr="008D1541">
        <w:rPr>
          <w:i/>
          <w:iCs/>
        </w:rPr>
        <w:t>National Waste Policy 2019.</w:t>
      </w:r>
      <w:r>
        <w:rPr>
          <w:i/>
          <w:iCs/>
        </w:rPr>
        <w:t xml:space="preserve"> </w:t>
      </w:r>
      <w:r w:rsidRPr="008D1541">
        <w:t>https://www.dcceew.gov.au/environment/protection/waste/publications/national-waste-policy-2018</w:t>
      </w:r>
    </w:p>
  </w:footnote>
  <w:footnote w:id="24">
    <w:p w14:paraId="7E8BE2F4" w14:textId="77777777" w:rsidR="00B949E1" w:rsidRPr="007B52BB" w:rsidRDefault="00B949E1" w:rsidP="00B949E1">
      <w:pPr>
        <w:pStyle w:val="FootnoteText"/>
      </w:pPr>
      <w:r>
        <w:rPr>
          <w:rStyle w:val="FootnoteReference"/>
        </w:rPr>
        <w:footnoteRef/>
      </w:r>
      <w:r>
        <w:t xml:space="preserve"> </w:t>
      </w:r>
      <w:r w:rsidRPr="007B52BB">
        <w:t>Department of Agriculture, Water and the Environment</w:t>
      </w:r>
      <w:r>
        <w:t xml:space="preserve"> 2021, </w:t>
      </w:r>
      <w:r w:rsidRPr="007B52BB">
        <w:rPr>
          <w:i/>
          <w:iCs/>
        </w:rPr>
        <w:t>National Plastics Plan summary</w:t>
      </w:r>
      <w:r>
        <w:rPr>
          <w:i/>
          <w:iCs/>
        </w:rPr>
        <w:t>.</w:t>
      </w:r>
      <w:r w:rsidRPr="007B52BB">
        <w:t xml:space="preserve"> </w:t>
      </w:r>
      <w:hyperlink r:id="rId12" w:history="1">
        <w:r w:rsidRPr="00B949E1">
          <w:rPr>
            <w:rStyle w:val="Hyperlink"/>
            <w:color w:val="7BBDD6"/>
          </w:rPr>
          <w:t>https://www.dcceew.gov.au/environment/protection/waste/publications/national-plastics-plan-summary</w:t>
        </w:r>
      </w:hyperlink>
      <w:r>
        <w:t xml:space="preserve"> </w:t>
      </w:r>
    </w:p>
  </w:footnote>
  <w:footnote w:id="25">
    <w:p w14:paraId="578EB003" w14:textId="77777777" w:rsidR="00B949E1" w:rsidRDefault="00B949E1" w:rsidP="00B949E1">
      <w:pPr>
        <w:pStyle w:val="FootnoteText"/>
      </w:pPr>
      <w:r>
        <w:rPr>
          <w:rStyle w:val="FootnoteReference"/>
        </w:rPr>
        <w:footnoteRef/>
      </w:r>
      <w:r>
        <w:t xml:space="preserve"> ACT Government Treasury 2003, </w:t>
      </w:r>
      <w:r w:rsidRPr="00F34E98">
        <w:rPr>
          <w:i/>
          <w:iCs/>
        </w:rPr>
        <w:t>Best Practice Guide for Preparing Regulatory Impact Statements</w:t>
      </w:r>
      <w:r>
        <w:t>, December.</w:t>
      </w:r>
    </w:p>
  </w:footnote>
  <w:footnote w:id="26">
    <w:p w14:paraId="18034938" w14:textId="77777777" w:rsidR="00B949E1" w:rsidRPr="0038642E" w:rsidRDefault="00B949E1" w:rsidP="00B949E1">
      <w:pPr>
        <w:pStyle w:val="FootnoteText"/>
        <w:rPr>
          <w:lang w:val="en-US"/>
        </w:rPr>
      </w:pPr>
      <w:r>
        <w:rPr>
          <w:rStyle w:val="FootnoteReference"/>
        </w:rPr>
        <w:footnoteRef/>
      </w:r>
      <w:r>
        <w:t xml:space="preserve"> Commonwealth of Australia, Department of the Prime Minister and Cabinet 2021, </w:t>
      </w:r>
      <w:r w:rsidRPr="0038642E">
        <w:rPr>
          <w:i/>
          <w:iCs/>
        </w:rPr>
        <w:t>Regulatory Impact Analysis Guide for Ministers’ Meetings and National Standard Setting Bodies</w:t>
      </w:r>
      <w:r>
        <w:t>, May.</w:t>
      </w:r>
    </w:p>
  </w:footnote>
  <w:footnote w:id="27">
    <w:p w14:paraId="511CB2EC" w14:textId="77777777" w:rsidR="00B949E1" w:rsidRPr="00573572" w:rsidRDefault="00B949E1" w:rsidP="00B949E1">
      <w:pPr>
        <w:pStyle w:val="FootnoteText"/>
        <w:rPr>
          <w:lang w:val="en-US"/>
        </w:rPr>
      </w:pPr>
      <w:r>
        <w:rPr>
          <w:rStyle w:val="FootnoteReference"/>
        </w:rPr>
        <w:footnoteRef/>
      </w:r>
      <w:r>
        <w:t xml:space="preserve"> </w:t>
      </w:r>
      <w:r w:rsidRPr="00573572">
        <w:t>Commonwealth of Australia, Department of the Prime Minister and Cabinet 202</w:t>
      </w:r>
      <w:r>
        <w:t>0</w:t>
      </w:r>
      <w:r w:rsidRPr="00573572">
        <w:t xml:space="preserve">, </w:t>
      </w:r>
      <w:r w:rsidRPr="00D3228C">
        <w:rPr>
          <w:i/>
          <w:iCs/>
        </w:rPr>
        <w:t>Cost-benefit analysis guidance note</w:t>
      </w:r>
      <w:r w:rsidRPr="00573572">
        <w:t xml:space="preserve">, </w:t>
      </w:r>
      <w:r>
        <w:t>March, p. 12</w:t>
      </w:r>
      <w:r w:rsidRPr="00573572">
        <w:t>.</w:t>
      </w:r>
    </w:p>
  </w:footnote>
  <w:footnote w:id="28">
    <w:p w14:paraId="5508EFCF" w14:textId="77777777" w:rsidR="00B949E1" w:rsidRPr="00074308" w:rsidRDefault="00B949E1" w:rsidP="00B949E1">
      <w:pPr>
        <w:pStyle w:val="FootnoteText"/>
        <w:rPr>
          <w:lang w:val="en-US"/>
        </w:rPr>
      </w:pPr>
      <w:r>
        <w:rPr>
          <w:rStyle w:val="FootnoteReference"/>
        </w:rPr>
        <w:footnoteRef/>
      </w:r>
      <w:r>
        <w:t xml:space="preserve"> </w:t>
      </w:r>
      <w:r>
        <w:rPr>
          <w:lang w:val="en-US"/>
        </w:rPr>
        <w:t>Ibid., p. 9.</w:t>
      </w:r>
    </w:p>
  </w:footnote>
  <w:footnote w:id="29">
    <w:p w14:paraId="52E4BD80" w14:textId="77777777" w:rsidR="00B949E1" w:rsidRPr="00A703B7" w:rsidRDefault="00B949E1" w:rsidP="00B949E1">
      <w:pPr>
        <w:pStyle w:val="FootnoteText"/>
        <w:rPr>
          <w:lang w:val="en-US"/>
        </w:rPr>
      </w:pPr>
      <w:r>
        <w:rPr>
          <w:rStyle w:val="FootnoteReference"/>
        </w:rPr>
        <w:footnoteRef/>
      </w:r>
      <w:r>
        <w:t xml:space="preserve"> </w:t>
      </w:r>
      <w:r>
        <w:rPr>
          <w:lang w:val="en-US"/>
        </w:rPr>
        <w:t>Ibid., p. 13.</w:t>
      </w:r>
    </w:p>
  </w:footnote>
  <w:footnote w:id="30">
    <w:p w14:paraId="2C46C785" w14:textId="77777777" w:rsidR="00B949E1" w:rsidRDefault="00B949E1" w:rsidP="00B949E1">
      <w:pPr>
        <w:pStyle w:val="FootnoteText"/>
      </w:pPr>
      <w:r>
        <w:rPr>
          <w:rStyle w:val="FootnoteReference"/>
        </w:rPr>
        <w:footnoteRef/>
      </w:r>
      <w:r>
        <w:t xml:space="preserve"> </w:t>
      </w:r>
      <w:bookmarkStart w:id="28" w:name="_Hlk120195281"/>
      <w:r w:rsidRPr="00BA4076">
        <w:t xml:space="preserve">Charles D., Kimman L. and Saran N. 2021, </w:t>
      </w:r>
      <w:r w:rsidRPr="00BA4076">
        <w:rPr>
          <w:i/>
          <w:iCs/>
        </w:rPr>
        <w:t>The Plastic Waste Makers Index</w:t>
      </w:r>
      <w:r w:rsidRPr="00BA4076">
        <w:t>, Minderoo Foundation</w:t>
      </w:r>
      <w:r>
        <w:t>, page 63</w:t>
      </w:r>
      <w:r w:rsidRPr="00BA4076">
        <w:t>.</w:t>
      </w:r>
      <w:bookmarkEnd w:id="28"/>
    </w:p>
  </w:footnote>
  <w:footnote w:id="31">
    <w:p w14:paraId="326101FF" w14:textId="77777777" w:rsidR="00B949E1" w:rsidRPr="001606E5" w:rsidRDefault="00B949E1" w:rsidP="00B949E1">
      <w:pPr>
        <w:pStyle w:val="FootnoteText"/>
        <w:rPr>
          <w:lang w:val="en-US"/>
        </w:rPr>
      </w:pPr>
      <w:r>
        <w:rPr>
          <w:rStyle w:val="FootnoteReference"/>
        </w:rPr>
        <w:footnoteRef/>
      </w:r>
      <w:r>
        <w:t xml:space="preserve"> Ibid.</w:t>
      </w:r>
    </w:p>
  </w:footnote>
  <w:footnote w:id="32">
    <w:p w14:paraId="4E9674D1" w14:textId="77777777" w:rsidR="00B949E1" w:rsidRDefault="00B949E1" w:rsidP="00B949E1">
      <w:pPr>
        <w:pStyle w:val="FootnoteText"/>
      </w:pPr>
      <w:r>
        <w:rPr>
          <w:rStyle w:val="FootnoteReference"/>
        </w:rPr>
        <w:footnoteRef/>
      </w:r>
      <w:r>
        <w:t xml:space="preserve"> </w:t>
      </w:r>
      <w:r w:rsidRPr="009E08D4">
        <w:t>The Department of Climate Change, Energy, the Environment and Wat</w:t>
      </w:r>
      <w:r>
        <w:t xml:space="preserve">er 2022, </w:t>
      </w:r>
      <w:r w:rsidRPr="00BE01FD">
        <w:rPr>
          <w:i/>
          <w:iCs/>
        </w:rPr>
        <w:t>National Waste Report 2022</w:t>
      </w:r>
      <w:r>
        <w:rPr>
          <w:i/>
          <w:iCs/>
        </w:rPr>
        <w:t>.</w:t>
      </w:r>
    </w:p>
  </w:footnote>
  <w:footnote w:id="33">
    <w:p w14:paraId="7D0C6651" w14:textId="77777777" w:rsidR="00B949E1" w:rsidRDefault="00B949E1" w:rsidP="00B949E1">
      <w:pPr>
        <w:pStyle w:val="FootnoteText"/>
      </w:pPr>
      <w:r>
        <w:rPr>
          <w:rStyle w:val="FootnoteReference"/>
        </w:rPr>
        <w:footnoteRef/>
      </w:r>
      <w:r>
        <w:t xml:space="preserve"> </w:t>
      </w:r>
      <w:r w:rsidRPr="009E08D4">
        <w:t xml:space="preserve">The Department of </w:t>
      </w:r>
      <w:r>
        <w:t xml:space="preserve">Agriculture, Water and the Environment 2020, </w:t>
      </w:r>
      <w:r w:rsidRPr="00BE01FD">
        <w:rPr>
          <w:i/>
          <w:iCs/>
        </w:rPr>
        <w:t>National Waste Report 2020</w:t>
      </w:r>
      <w:r>
        <w:rPr>
          <w:i/>
          <w:iCs/>
        </w:rPr>
        <w:t>.</w:t>
      </w:r>
    </w:p>
  </w:footnote>
  <w:footnote w:id="34">
    <w:p w14:paraId="5FBE1CF2" w14:textId="77777777" w:rsidR="00B949E1" w:rsidRPr="0018740B" w:rsidRDefault="00B949E1" w:rsidP="00B949E1">
      <w:pPr>
        <w:pStyle w:val="FootnoteText"/>
        <w:rPr>
          <w:lang w:val="en-US"/>
        </w:rPr>
      </w:pPr>
      <w:r>
        <w:rPr>
          <w:rStyle w:val="FootnoteReference"/>
        </w:rPr>
        <w:footnoteRef/>
      </w:r>
      <w:r>
        <w:t xml:space="preserve"> </w:t>
      </w:r>
      <w:r w:rsidRPr="0018740B">
        <w:t>Organisation for Economic Co-operation and Development (OECD)</w:t>
      </w:r>
      <w:r>
        <w:t xml:space="preserve"> 2022,</w:t>
      </w:r>
      <w:r w:rsidRPr="0018740B">
        <w:t xml:space="preserve"> </w:t>
      </w:r>
      <w:r w:rsidRPr="0018740B">
        <w:rPr>
          <w:i/>
          <w:iCs/>
        </w:rPr>
        <w:t>Global Plastics Outlook: Policy Scenarios to 2060</w:t>
      </w:r>
      <w:r>
        <w:t xml:space="preserve">, June. </w:t>
      </w:r>
    </w:p>
  </w:footnote>
  <w:footnote w:id="35">
    <w:p w14:paraId="1B6962EE" w14:textId="77777777" w:rsidR="00B949E1" w:rsidRPr="00B7046A" w:rsidRDefault="00B949E1" w:rsidP="00B949E1">
      <w:pPr>
        <w:pStyle w:val="FootnoteText"/>
        <w:rPr>
          <w:lang w:val="en-US"/>
        </w:rPr>
      </w:pPr>
      <w:r>
        <w:rPr>
          <w:rStyle w:val="FootnoteReference"/>
        </w:rPr>
        <w:footnoteRef/>
      </w:r>
      <w:r>
        <w:t xml:space="preserve"> </w:t>
      </w:r>
      <w:bookmarkStart w:id="36" w:name="_Hlk120177321"/>
      <w:r w:rsidRPr="00B7046A">
        <w:t>United Nations Educational, Scientific and Cultural Organization</w:t>
      </w:r>
      <w:r>
        <w:t xml:space="preserve"> (</w:t>
      </w:r>
      <w:r>
        <w:rPr>
          <w:lang w:val="en-US"/>
        </w:rPr>
        <w:t xml:space="preserve">UNESCO) 2022, </w:t>
      </w:r>
      <w:r w:rsidRPr="00B7046A">
        <w:rPr>
          <w:i/>
          <w:iCs/>
          <w:lang w:val="en-US"/>
        </w:rPr>
        <w:t>Ocean plastic pollution an overview: data and statistics</w:t>
      </w:r>
      <w:r>
        <w:rPr>
          <w:lang w:val="en-US"/>
        </w:rPr>
        <w:t xml:space="preserve">, </w:t>
      </w:r>
      <w:hyperlink r:id="rId13" w:history="1">
        <w:r w:rsidRPr="00B949E1">
          <w:rPr>
            <w:rStyle w:val="Hyperlink"/>
            <w:color w:val="7BBDD6"/>
            <w:lang w:val="en-US"/>
          </w:rPr>
          <w:t>https://oceanliteracy.unesco.org/plastic-pollution-ocean/</w:t>
        </w:r>
      </w:hyperlink>
      <w:r w:rsidRPr="00B949E1">
        <w:rPr>
          <w:color w:val="7BBDD6"/>
          <w:lang w:val="en-US"/>
        </w:rPr>
        <w:t>,</w:t>
      </w:r>
      <w:r>
        <w:rPr>
          <w:lang w:val="en-US"/>
        </w:rPr>
        <w:t xml:space="preserve"> accessed 17 March 2022. </w:t>
      </w:r>
      <w:bookmarkEnd w:id="36"/>
    </w:p>
  </w:footnote>
  <w:footnote w:id="36">
    <w:p w14:paraId="35051755" w14:textId="77777777" w:rsidR="00B949E1" w:rsidRDefault="00B949E1" w:rsidP="00B949E1">
      <w:pPr>
        <w:pStyle w:val="FootnoteText"/>
      </w:pPr>
      <w:r>
        <w:rPr>
          <w:rStyle w:val="FootnoteReference"/>
        </w:rPr>
        <w:footnoteRef/>
      </w:r>
      <w:r>
        <w:t xml:space="preserve"> </w:t>
      </w:r>
      <w:bookmarkStart w:id="39" w:name="_Hlk120180506"/>
      <w:r>
        <w:t xml:space="preserve">World Wildlife Foundation Australia (WWF) 2021,  </w:t>
      </w:r>
      <w:r>
        <w:rPr>
          <w:i/>
          <w:iCs/>
        </w:rPr>
        <w:t>Plastic in our oceans is killing marine mammals,</w:t>
      </w:r>
      <w:r>
        <w:t xml:space="preserve"> </w:t>
      </w:r>
      <w:hyperlink r:id="rId14" w:anchor="gs.j8hk2e" w:history="1">
        <w:r w:rsidRPr="00B949E1">
          <w:rPr>
            <w:rStyle w:val="Hyperlink"/>
            <w:color w:val="7BBDD6"/>
          </w:rPr>
          <w:t>https://www.wwf.org.au/news/blogs/plastic-in-our-oceans-is-killing-marine-mammals#gs.j8hk2e</w:t>
        </w:r>
      </w:hyperlink>
      <w:r w:rsidRPr="00B949E1">
        <w:rPr>
          <w:color w:val="7BBDD6"/>
        </w:rPr>
        <w:t>,</w:t>
      </w:r>
      <w:r>
        <w:t xml:space="preserve"> accessed </w:t>
      </w:r>
      <w:bookmarkEnd w:id="39"/>
      <w:r>
        <w:t>17 March 2023.</w:t>
      </w:r>
    </w:p>
  </w:footnote>
  <w:footnote w:id="37">
    <w:p w14:paraId="1F5CEDAD" w14:textId="77777777" w:rsidR="00B949E1" w:rsidRDefault="00B949E1" w:rsidP="00B949E1">
      <w:pPr>
        <w:pStyle w:val="FootnoteText"/>
      </w:pPr>
      <w:r>
        <w:rPr>
          <w:rStyle w:val="FootnoteReference"/>
        </w:rPr>
        <w:footnoteRef/>
      </w:r>
      <w:r>
        <w:t xml:space="preserve"> </w:t>
      </w:r>
      <w:bookmarkStart w:id="40" w:name="_Hlk120180523"/>
      <w:r w:rsidRPr="00706B95">
        <w:t>N K Y Susanti et al 2020</w:t>
      </w:r>
      <w:r>
        <w:t>,</w:t>
      </w:r>
      <w:r w:rsidRPr="00706B95">
        <w:t xml:space="preserve"> </w:t>
      </w:r>
      <w:r w:rsidRPr="00706B95">
        <w:rPr>
          <w:i/>
          <w:iCs/>
        </w:rPr>
        <w:t>Microplastics and the Impact of Plastic on Wildlife: A Literature Review</w:t>
      </w:r>
      <w:r>
        <w:t xml:space="preserve"> </w:t>
      </w:r>
      <w:r w:rsidRPr="00706B95">
        <w:t>Conf. Ser.: Earth Environ. Sci. 528 012013</w:t>
      </w:r>
      <w:r>
        <w:t>.</w:t>
      </w:r>
      <w:bookmarkEnd w:id="40"/>
    </w:p>
  </w:footnote>
  <w:footnote w:id="38">
    <w:p w14:paraId="4B16B880" w14:textId="77777777" w:rsidR="00B949E1" w:rsidRDefault="00B949E1" w:rsidP="00B949E1">
      <w:pPr>
        <w:pStyle w:val="FootnoteText"/>
      </w:pPr>
      <w:r>
        <w:rPr>
          <w:rStyle w:val="FootnoteReference"/>
        </w:rPr>
        <w:footnoteRef/>
      </w:r>
      <w:r>
        <w:t xml:space="preserve"> </w:t>
      </w:r>
      <w:r w:rsidRPr="00B7046A">
        <w:t>United Nations Educational, Scientific and Cultural Organization</w:t>
      </w:r>
      <w:r>
        <w:t xml:space="preserve"> (</w:t>
      </w:r>
      <w:r>
        <w:rPr>
          <w:lang w:val="en-US"/>
        </w:rPr>
        <w:t xml:space="preserve">UNESCO) 2022, </w:t>
      </w:r>
      <w:r w:rsidRPr="00B7046A">
        <w:rPr>
          <w:i/>
          <w:iCs/>
          <w:lang w:val="en-US"/>
        </w:rPr>
        <w:t>Ocean plastic pollution an overview: data and statistics</w:t>
      </w:r>
      <w:r>
        <w:rPr>
          <w:lang w:val="en-US"/>
        </w:rPr>
        <w:t xml:space="preserve">, </w:t>
      </w:r>
      <w:hyperlink r:id="rId15" w:history="1">
        <w:r w:rsidRPr="00B949E1">
          <w:rPr>
            <w:rStyle w:val="Hyperlink"/>
            <w:color w:val="7BBDD6"/>
            <w:lang w:val="en-US"/>
          </w:rPr>
          <w:t>https://oceanliteracy.unesco.org/plastic-pollution-ocean/</w:t>
        </w:r>
      </w:hyperlink>
      <w:r>
        <w:rPr>
          <w:lang w:val="en-US"/>
        </w:rPr>
        <w:t>, accessed 17 March 2023.</w:t>
      </w:r>
    </w:p>
  </w:footnote>
  <w:footnote w:id="39">
    <w:p w14:paraId="41B0D83F" w14:textId="77777777" w:rsidR="00B949E1" w:rsidRDefault="00B949E1" w:rsidP="00B949E1">
      <w:pPr>
        <w:pStyle w:val="FootnoteText"/>
      </w:pPr>
      <w:r>
        <w:rPr>
          <w:rStyle w:val="FootnoteReference"/>
        </w:rPr>
        <w:footnoteRef/>
      </w:r>
      <w:r>
        <w:t xml:space="preserve"> </w:t>
      </w:r>
      <w:bookmarkStart w:id="41" w:name="_Hlk120180559"/>
      <w:bookmarkStart w:id="42" w:name="_Hlk120180536"/>
      <w:r>
        <w:t xml:space="preserve">World Wildlife Foundation (WWF) </w:t>
      </w:r>
      <w:bookmarkEnd w:id="41"/>
      <w:r>
        <w:t xml:space="preserve">2022 </w:t>
      </w:r>
      <w:r w:rsidRPr="003D0626">
        <w:rPr>
          <w:i/>
          <w:iCs/>
        </w:rPr>
        <w:t xml:space="preserve">Ocean plastic pollution to quadruple by 2050, pushing more areas to exceed ecologically dangerous threshold of microplastic concentration </w:t>
      </w:r>
      <w:hyperlink r:id="rId16" w:history="1">
        <w:r w:rsidRPr="00B949E1">
          <w:rPr>
            <w:rStyle w:val="Hyperlink"/>
            <w:color w:val="7BBDD6"/>
          </w:rPr>
          <w:t>https://wwf.panda.org/wwf_news/press_releases/?4959466/Ocean-plastic-pollution-to-quadruple-by-2050-pushing-more-areas-to-exceed-ecologically-dangerous-threshold-of-microplastic-concentration</w:t>
        </w:r>
      </w:hyperlink>
      <w:r>
        <w:t>, accessed 17 March 2023.</w:t>
      </w:r>
      <w:bookmarkEnd w:id="42"/>
      <w:r>
        <w:rPr>
          <w:rStyle w:val="Hyperlink"/>
        </w:rPr>
        <w:t xml:space="preserve"> </w:t>
      </w:r>
      <w:r>
        <w:t xml:space="preserve">  </w:t>
      </w:r>
    </w:p>
  </w:footnote>
  <w:footnote w:id="40">
    <w:p w14:paraId="3864C93F" w14:textId="77777777" w:rsidR="00B949E1" w:rsidRPr="00200242" w:rsidRDefault="00B949E1" w:rsidP="00B949E1">
      <w:pPr>
        <w:pStyle w:val="FootnoteText"/>
        <w:rPr>
          <w:lang w:val="en-US"/>
        </w:rPr>
      </w:pPr>
      <w:r>
        <w:rPr>
          <w:rStyle w:val="FootnoteReference"/>
        </w:rPr>
        <w:footnoteRef/>
      </w:r>
      <w:r>
        <w:t xml:space="preserve"> </w:t>
      </w:r>
      <w:r w:rsidRPr="00200242">
        <w:t>Lin, Dunmei &amp; Yang, Guangrong &amp; Dou, Pengpeng &amp; Qian, Shenhua &amp; Zhao, Liang &amp; Yang, Yongchuan &amp; Fanin, Nicolas</w:t>
      </w:r>
      <w:r>
        <w:t xml:space="preserve"> </w:t>
      </w:r>
      <w:r w:rsidRPr="00200242">
        <w:t>2020</w:t>
      </w:r>
      <w:r>
        <w:t xml:space="preserve">, </w:t>
      </w:r>
      <w:r w:rsidRPr="00200242">
        <w:rPr>
          <w:i/>
          <w:iCs/>
        </w:rPr>
        <w:t>Microplastics negatively affect soil fauna but stimulate microbial activity: insights from a field-based microplastic addition experiment</w:t>
      </w:r>
      <w:r w:rsidRPr="00200242">
        <w:t>. Proceedings of the Royal Society B: Biological Sciences. 287. 10.1098/rspb.2020.1268.</w:t>
      </w:r>
    </w:p>
  </w:footnote>
  <w:footnote w:id="41">
    <w:p w14:paraId="0D893FFF" w14:textId="77777777" w:rsidR="00B949E1" w:rsidRPr="00CD764F" w:rsidRDefault="00B949E1" w:rsidP="00B949E1">
      <w:pPr>
        <w:pStyle w:val="FootnoteText"/>
        <w:rPr>
          <w:lang w:val="en-US"/>
        </w:rPr>
      </w:pPr>
      <w:r>
        <w:rPr>
          <w:rStyle w:val="FootnoteReference"/>
        </w:rPr>
        <w:footnoteRef/>
      </w:r>
      <w:r>
        <w:t xml:space="preserve"> United Nations Environment Programme (UNEP) 2021, </w:t>
      </w:r>
      <w:r w:rsidRPr="00CD764F">
        <w:rPr>
          <w:i/>
          <w:iCs/>
        </w:rPr>
        <w:t>Plastic planet: How tiny plastic particles are polluting our soil</w:t>
      </w:r>
      <w:r>
        <w:rPr>
          <w:i/>
          <w:iCs/>
        </w:rPr>
        <w:t xml:space="preserve">, </w:t>
      </w:r>
      <w:hyperlink r:id="rId17" w:anchor=":~:text=Toxic%20effects&amp;text=Chlorinated%20plastic%20can%20release%20harmful,species%20that%20drink%20the%20water" w:history="1">
        <w:r w:rsidRPr="00B949E1">
          <w:rPr>
            <w:rStyle w:val="Hyperlink"/>
            <w:color w:val="7BBDD6"/>
          </w:rPr>
          <w:t>https://www.unep.org/news-and-stories/story/plastic-planet-how-tiny-plastic-particles-are-polluting-our-soil#:~:text=Toxic%20effects&amp;text=Chlorinated%20plastic%20can%20release%20harmful,species%20that%20drink%20the%20water</w:t>
        </w:r>
      </w:hyperlink>
      <w:r>
        <w:t>, accessed 23 November 2022.</w:t>
      </w:r>
    </w:p>
  </w:footnote>
  <w:footnote w:id="42">
    <w:p w14:paraId="6568BF66" w14:textId="77777777" w:rsidR="00B949E1" w:rsidRPr="00CD764F" w:rsidRDefault="00B949E1" w:rsidP="00B949E1">
      <w:pPr>
        <w:pStyle w:val="FootnoteText"/>
        <w:rPr>
          <w:lang w:val="en-US"/>
        </w:rPr>
      </w:pPr>
      <w:r>
        <w:rPr>
          <w:rStyle w:val="FootnoteReference"/>
        </w:rPr>
        <w:footnoteRef/>
      </w:r>
      <w:r>
        <w:t xml:space="preserve"> </w:t>
      </w:r>
      <w:r w:rsidRPr="00CD764F">
        <w:t>Thompson, Richard &amp; Moore, Charles &amp; vom Saal, Frederick &amp; Swan, Shanna</w:t>
      </w:r>
      <w:r>
        <w:t xml:space="preserve"> </w:t>
      </w:r>
      <w:r w:rsidRPr="00CD764F">
        <w:t>2009</w:t>
      </w:r>
      <w:r>
        <w:t xml:space="preserve">, </w:t>
      </w:r>
      <w:r w:rsidRPr="00CD764F">
        <w:rPr>
          <w:i/>
          <w:iCs/>
        </w:rPr>
        <w:t>Plastics, the environment and human health: Current consensus and future trends</w:t>
      </w:r>
      <w:r>
        <w:t xml:space="preserve">, </w:t>
      </w:r>
      <w:r w:rsidRPr="00CD764F">
        <w:t>Philosophical transactions of the Royal Society of London. Series B, Biological sciences. 364. 2153-66. 10.1098/rstb.2009.0053.</w:t>
      </w:r>
    </w:p>
  </w:footnote>
  <w:footnote w:id="43">
    <w:p w14:paraId="7E839ADF" w14:textId="77777777" w:rsidR="00B949E1" w:rsidRPr="00D21AD8" w:rsidRDefault="00B949E1" w:rsidP="00B949E1">
      <w:pPr>
        <w:pStyle w:val="FootnoteText"/>
        <w:rPr>
          <w:lang w:val="en-US"/>
        </w:rPr>
      </w:pPr>
      <w:r>
        <w:rPr>
          <w:rStyle w:val="FootnoteReference"/>
        </w:rPr>
        <w:footnoteRef/>
      </w:r>
      <w:r>
        <w:t xml:space="preserve"> </w:t>
      </w:r>
      <w:r w:rsidRPr="00BA4076">
        <w:t xml:space="preserve">Charles D., Kimman L. and Saran N. 2021, </w:t>
      </w:r>
      <w:r w:rsidRPr="00BA4076">
        <w:rPr>
          <w:i/>
          <w:iCs/>
        </w:rPr>
        <w:t>The Plastic Waste Makers Index</w:t>
      </w:r>
      <w:r w:rsidRPr="00BA4076">
        <w:t>, Minderoo Foundation.</w:t>
      </w:r>
    </w:p>
  </w:footnote>
  <w:footnote w:id="44">
    <w:p w14:paraId="19D94FA8" w14:textId="77777777" w:rsidR="00B949E1" w:rsidRDefault="00B949E1" w:rsidP="00B949E1">
      <w:pPr>
        <w:pStyle w:val="FootnoteText"/>
      </w:pPr>
      <w:r>
        <w:rPr>
          <w:rStyle w:val="FootnoteReference"/>
        </w:rPr>
        <w:footnoteRef/>
      </w:r>
      <w:r>
        <w:t xml:space="preserve"> World Economic Forum 2022,</w:t>
      </w:r>
      <w:r w:rsidRPr="00FD3977">
        <w:t xml:space="preserve"> </w:t>
      </w:r>
      <w:r w:rsidRPr="00FD3977">
        <w:rPr>
          <w:i/>
          <w:iCs/>
        </w:rPr>
        <w:t>We know plastic pollution is bad – but how exactly is it linked to climate change</w:t>
      </w:r>
      <w:r>
        <w:rPr>
          <w:i/>
          <w:iCs/>
        </w:rPr>
        <w:t xml:space="preserve">? </w:t>
      </w:r>
      <w:r w:rsidRPr="00643BA9">
        <w:t>https://www.weforum.org/agenda/2022/01/plastic-pollution-climate-change-solution/</w:t>
      </w:r>
      <w:r>
        <w:t>,</w:t>
      </w:r>
      <w:r w:rsidRPr="00FD3977">
        <w:rPr>
          <w:i/>
          <w:iCs/>
        </w:rPr>
        <w:t xml:space="preserve"> </w:t>
      </w:r>
      <w:r>
        <w:rPr>
          <w:i/>
          <w:iCs/>
        </w:rPr>
        <w:t>accessed</w:t>
      </w:r>
      <w:r>
        <w:t xml:space="preserve"> 20 March 2023.</w:t>
      </w:r>
    </w:p>
  </w:footnote>
  <w:footnote w:id="45">
    <w:p w14:paraId="40D19036" w14:textId="77777777" w:rsidR="00B949E1" w:rsidRDefault="00B949E1" w:rsidP="00B949E1">
      <w:pPr>
        <w:pStyle w:val="FootnoteText"/>
      </w:pPr>
      <w:r>
        <w:rPr>
          <w:rStyle w:val="FootnoteReference"/>
        </w:rPr>
        <w:footnoteRef/>
      </w:r>
      <w:r>
        <w:t xml:space="preserve"> United States Environmental Protection Agency, </w:t>
      </w:r>
      <w:r w:rsidRPr="00C353EF">
        <w:rPr>
          <w:i/>
          <w:iCs/>
        </w:rPr>
        <w:t>Basic Information about Landfill Gas</w:t>
      </w:r>
      <w:r>
        <w:rPr>
          <w:i/>
          <w:iCs/>
        </w:rPr>
        <w:t xml:space="preserve">, </w:t>
      </w:r>
      <w:hyperlink r:id="rId18" w:history="1">
        <w:r w:rsidRPr="00B949E1">
          <w:rPr>
            <w:rStyle w:val="Hyperlink"/>
            <w:i/>
            <w:iCs/>
            <w:color w:val="7BBDD6"/>
          </w:rPr>
          <w:t>https://www.epa.gov/lmop/basic-information-about-landfill-gas</w:t>
        </w:r>
      </w:hyperlink>
      <w:r>
        <w:rPr>
          <w:i/>
          <w:iCs/>
        </w:rPr>
        <w:t>, accessed 20 March 2023.</w:t>
      </w:r>
    </w:p>
  </w:footnote>
  <w:footnote w:id="46">
    <w:p w14:paraId="42963997" w14:textId="77777777" w:rsidR="00B949E1" w:rsidRDefault="00B949E1" w:rsidP="00B949E1">
      <w:pPr>
        <w:pStyle w:val="FootnoteText"/>
      </w:pPr>
      <w:r>
        <w:rPr>
          <w:rStyle w:val="FootnoteReference"/>
        </w:rPr>
        <w:footnoteRef/>
      </w:r>
      <w:r>
        <w:t xml:space="preserve"> </w:t>
      </w:r>
      <w:r w:rsidRPr="00BD6D39">
        <w:t>Center for International Environmental Law</w:t>
      </w:r>
      <w:r>
        <w:t>,</w:t>
      </w:r>
      <w:r w:rsidRPr="00BD6D39">
        <w:t xml:space="preserve"> Plastic &amp; Climate: The Hidden Costs of a Plastic Planet</w:t>
      </w:r>
      <w:r>
        <w:t xml:space="preserve">, </w:t>
      </w:r>
      <w:hyperlink r:id="rId19" w:history="1">
        <w:r w:rsidRPr="00B949E1">
          <w:rPr>
            <w:rStyle w:val="Hyperlink"/>
            <w:color w:val="7BBDD6"/>
          </w:rPr>
          <w:t>https://www.ciel.org/project-update/plastic-climate-the-hidden-costs-of-a-plastic-planet/</w:t>
        </w:r>
      </w:hyperlink>
      <w:r>
        <w:t>, accessed 20 March 2023.</w:t>
      </w:r>
    </w:p>
  </w:footnote>
  <w:footnote w:id="47">
    <w:p w14:paraId="182C24C2" w14:textId="77777777" w:rsidR="00B949E1" w:rsidRDefault="00B949E1" w:rsidP="00B949E1">
      <w:pPr>
        <w:pStyle w:val="FootnoteText"/>
      </w:pPr>
      <w:r>
        <w:rPr>
          <w:rStyle w:val="FootnoteReference"/>
        </w:rPr>
        <w:footnoteRef/>
      </w:r>
      <w:r>
        <w:t xml:space="preserve"> Ibid.</w:t>
      </w:r>
    </w:p>
  </w:footnote>
  <w:footnote w:id="48">
    <w:p w14:paraId="708AE437" w14:textId="77777777" w:rsidR="00B949E1" w:rsidRDefault="00B949E1" w:rsidP="00B949E1">
      <w:pPr>
        <w:pStyle w:val="FootnoteText"/>
      </w:pPr>
      <w:r>
        <w:rPr>
          <w:rStyle w:val="FootnoteReference"/>
        </w:rPr>
        <w:footnoteRef/>
      </w:r>
      <w:r>
        <w:t xml:space="preserve"> Ibid.</w:t>
      </w:r>
    </w:p>
  </w:footnote>
  <w:footnote w:id="49">
    <w:p w14:paraId="1B620599" w14:textId="77777777" w:rsidR="00B949E1" w:rsidRDefault="00B949E1" w:rsidP="00B949E1">
      <w:pPr>
        <w:pStyle w:val="FootnoteText"/>
      </w:pPr>
      <w:r>
        <w:rPr>
          <w:rStyle w:val="FootnoteReference"/>
        </w:rPr>
        <w:footnoteRef/>
      </w:r>
      <w:r>
        <w:t xml:space="preserve"> </w:t>
      </w:r>
      <w:bookmarkStart w:id="44" w:name="_Hlk120180379"/>
      <w:bookmarkStart w:id="45" w:name="_Hlk120180398"/>
      <w:r>
        <w:t xml:space="preserve">World Wild Fund for Nature </w:t>
      </w:r>
      <w:bookmarkEnd w:id="44"/>
      <w:r>
        <w:t xml:space="preserve">(WWF) Australia 2019,  </w:t>
      </w:r>
      <w:r w:rsidRPr="00AA2485">
        <w:rPr>
          <w:i/>
          <w:iCs/>
        </w:rPr>
        <w:t>Plastic ingestion by people could be equating to a credit card a week</w:t>
      </w:r>
      <w:r>
        <w:rPr>
          <w:i/>
          <w:iCs/>
        </w:rPr>
        <w:t xml:space="preserve">, </w:t>
      </w:r>
      <w:hyperlink r:id="rId20" w:history="1">
        <w:r w:rsidRPr="00B949E1">
          <w:rPr>
            <w:rStyle w:val="Hyperlink"/>
            <w:color w:val="7BBDD6"/>
          </w:rPr>
          <w:t>https://www.wwf.org.au/news/news/2019/revealed-plastic-ingestion-by-people-could-be-equating-to-a-credit-card-a-week</w:t>
        </w:r>
      </w:hyperlink>
      <w:r>
        <w:t>, accessed 20 March 2023.</w:t>
      </w:r>
      <w:r>
        <w:rPr>
          <w:rStyle w:val="Hyperlink"/>
        </w:rPr>
        <w:t xml:space="preserve"> </w:t>
      </w:r>
      <w:r>
        <w:t xml:space="preserve"> </w:t>
      </w:r>
      <w:bookmarkEnd w:id="45"/>
    </w:p>
  </w:footnote>
  <w:footnote w:id="50">
    <w:p w14:paraId="1A7D7C8D" w14:textId="77777777" w:rsidR="00B949E1" w:rsidRDefault="00B949E1" w:rsidP="00B949E1">
      <w:pPr>
        <w:pStyle w:val="FootnoteText"/>
      </w:pPr>
      <w:r>
        <w:rPr>
          <w:rStyle w:val="FootnoteReference"/>
        </w:rPr>
        <w:footnoteRef/>
      </w:r>
      <w:r>
        <w:t xml:space="preserve"> Evangelos Danopoulos, Maureen Twiddy, Robert West, Jeanette M. Rotchell, </w:t>
      </w:r>
      <w:r w:rsidRPr="004E0E96">
        <w:rPr>
          <w:i/>
          <w:iCs/>
        </w:rPr>
        <w:t>A rapid review and meta-regression analyses of the toxicological impacts of microplastic exposure in human cells</w:t>
      </w:r>
      <w:r>
        <w:t>, Journal of Hazardous Materials, Volume 427, 2022.</w:t>
      </w:r>
    </w:p>
  </w:footnote>
  <w:footnote w:id="51">
    <w:p w14:paraId="5B1FE904" w14:textId="77777777" w:rsidR="00B949E1" w:rsidRPr="00210C4E" w:rsidRDefault="00B949E1" w:rsidP="00B949E1">
      <w:pPr>
        <w:pStyle w:val="FootnoteText"/>
        <w:rPr>
          <w:lang w:val="en-US"/>
        </w:rPr>
      </w:pPr>
      <w:r w:rsidRPr="00210C4E">
        <w:rPr>
          <w:rStyle w:val="FootnoteReference"/>
        </w:rPr>
        <w:footnoteRef/>
      </w:r>
      <w:r w:rsidRPr="00210C4E">
        <w:t xml:space="preserve"> </w:t>
      </w:r>
      <w:r w:rsidRPr="00210C4E">
        <w:rPr>
          <w:lang w:val="en-US"/>
        </w:rPr>
        <w:t>Hongquan Cai, Weiwei Zheng, Pai Zheng, Shu Wang, Hui Tan, Gengsheng He, Weidong Qu</w:t>
      </w:r>
      <w:r>
        <w:rPr>
          <w:lang w:val="en-US"/>
        </w:rPr>
        <w:t xml:space="preserve"> 2015</w:t>
      </w:r>
      <w:r w:rsidRPr="00210C4E">
        <w:rPr>
          <w:lang w:val="en-US"/>
        </w:rPr>
        <w:t xml:space="preserve">, </w:t>
      </w:r>
      <w:r w:rsidRPr="00210C4E">
        <w:rPr>
          <w:i/>
          <w:iCs/>
          <w:lang w:val="en-US"/>
        </w:rPr>
        <w:t>Human urinary/seminal phthalates or their metabolite levels and semen quality: A meta-analysis, Environmental Research</w:t>
      </w:r>
      <w:r w:rsidRPr="00210C4E">
        <w:rPr>
          <w:lang w:val="en-US"/>
        </w:rPr>
        <w:t>, Volume 142, 2015, Pages 486-494.</w:t>
      </w:r>
    </w:p>
  </w:footnote>
  <w:footnote w:id="52">
    <w:p w14:paraId="723B1657" w14:textId="77777777" w:rsidR="00B949E1" w:rsidRPr="00210C4E" w:rsidRDefault="00B949E1" w:rsidP="00B949E1">
      <w:pPr>
        <w:pStyle w:val="FootnoteText"/>
        <w:rPr>
          <w:lang w:val="en-US"/>
        </w:rPr>
      </w:pPr>
      <w:r>
        <w:rPr>
          <w:rStyle w:val="FootnoteReference"/>
        </w:rPr>
        <w:footnoteRef/>
      </w:r>
      <w:r>
        <w:t xml:space="preserve"> </w:t>
      </w:r>
      <w:r w:rsidRPr="00210C4E">
        <w:rPr>
          <w:lang w:val="en-US"/>
        </w:rPr>
        <w:t>J L Pauly; S J Stegmeier; H A Allaart; R T Cheney; P J Zhang; A G Mayer; R J Streck</w:t>
      </w:r>
      <w:r>
        <w:rPr>
          <w:lang w:val="en-US"/>
        </w:rPr>
        <w:t xml:space="preserve"> 1998, </w:t>
      </w:r>
      <w:r w:rsidRPr="00210C4E">
        <w:rPr>
          <w:i/>
          <w:iCs/>
          <w:lang w:val="en-US"/>
        </w:rPr>
        <w:t>Inhaled cellulosic and plastic fibers found in human lung tissue</w:t>
      </w:r>
      <w:r>
        <w:rPr>
          <w:lang w:val="en-US"/>
        </w:rPr>
        <w:t xml:space="preserve">, </w:t>
      </w:r>
      <w:r w:rsidRPr="00210C4E">
        <w:rPr>
          <w:lang w:val="en-US"/>
        </w:rPr>
        <w:t>Cancer Epidemiology, Biomarkers &amp; Prevention</w:t>
      </w:r>
      <w:r>
        <w:rPr>
          <w:lang w:val="en-US"/>
        </w:rPr>
        <w:t>, Vol. 7, pp. 419-428.</w:t>
      </w:r>
    </w:p>
  </w:footnote>
  <w:footnote w:id="53">
    <w:p w14:paraId="5FD50A47" w14:textId="77777777" w:rsidR="00B949E1" w:rsidRDefault="00B949E1" w:rsidP="00B949E1">
      <w:pPr>
        <w:pStyle w:val="FootnoteText"/>
      </w:pPr>
      <w:r>
        <w:rPr>
          <w:rStyle w:val="FootnoteReference"/>
        </w:rPr>
        <w:footnoteRef/>
      </w:r>
      <w:r>
        <w:t xml:space="preserve"> </w:t>
      </w:r>
      <w:r w:rsidRPr="00DB5147">
        <w:t xml:space="preserve">Kannan K, Vimalkumar K. </w:t>
      </w:r>
      <w:r>
        <w:t xml:space="preserve">2021, </w:t>
      </w:r>
      <w:r w:rsidRPr="00DB5147">
        <w:rPr>
          <w:i/>
          <w:iCs/>
        </w:rPr>
        <w:t xml:space="preserve">A Review of Human Exposure to Microplastics and Insights </w:t>
      </w:r>
      <w:proofErr w:type="gramStart"/>
      <w:r w:rsidRPr="00DB5147">
        <w:rPr>
          <w:i/>
          <w:iCs/>
        </w:rPr>
        <w:t>Into</w:t>
      </w:r>
      <w:proofErr w:type="gramEnd"/>
      <w:r w:rsidRPr="00DB5147">
        <w:rPr>
          <w:i/>
          <w:iCs/>
        </w:rPr>
        <w:t xml:space="preserve"> Microplastics as Obesogens</w:t>
      </w:r>
      <w:r w:rsidRPr="00DB5147">
        <w:t xml:space="preserve">. Front Endocrinol (Lausanne). </w:t>
      </w:r>
    </w:p>
  </w:footnote>
  <w:footnote w:id="54">
    <w:p w14:paraId="0AF83D9B" w14:textId="77777777" w:rsidR="00B949E1" w:rsidRDefault="00B949E1" w:rsidP="00B949E1">
      <w:pPr>
        <w:pStyle w:val="FootnoteText"/>
      </w:pPr>
      <w:r>
        <w:rPr>
          <w:rStyle w:val="FootnoteReference"/>
        </w:rPr>
        <w:footnoteRef/>
      </w:r>
      <w:r>
        <w:t xml:space="preserve"> </w:t>
      </w:r>
      <w:r w:rsidRPr="00B56C10">
        <w:t xml:space="preserve">Shan S, Zhang Y, Zhao H, Zeng T, Zhao X. </w:t>
      </w:r>
      <w:r>
        <w:t xml:space="preserve">2022, </w:t>
      </w:r>
      <w:r w:rsidRPr="00B56C10">
        <w:rPr>
          <w:i/>
          <w:iCs/>
        </w:rPr>
        <w:t>Polystyrene nanoplastics penetrate across the blood-brain barrier and induce activation of microglia in the brain of mice</w:t>
      </w:r>
      <w:r w:rsidRPr="00B56C10">
        <w:t>. Chemosphere</w:t>
      </w:r>
      <w:r>
        <w:t>.</w:t>
      </w:r>
    </w:p>
  </w:footnote>
  <w:footnote w:id="55">
    <w:p w14:paraId="706027CA" w14:textId="77777777" w:rsidR="00B949E1" w:rsidRPr="000B2D61" w:rsidRDefault="00B949E1" w:rsidP="00B949E1">
      <w:pPr>
        <w:pStyle w:val="FootnoteText"/>
        <w:rPr>
          <w:lang w:val="en-US"/>
        </w:rPr>
      </w:pPr>
      <w:r>
        <w:rPr>
          <w:rStyle w:val="FootnoteReference"/>
        </w:rPr>
        <w:footnoteRef/>
      </w:r>
      <w:r>
        <w:t xml:space="preserve"> </w:t>
      </w:r>
      <w:r w:rsidRPr="00B7046A">
        <w:t>United Nations Educational, Scientific and Cultural Organization</w:t>
      </w:r>
      <w:r>
        <w:t xml:space="preserve"> (</w:t>
      </w:r>
      <w:r>
        <w:rPr>
          <w:lang w:val="en-US"/>
        </w:rPr>
        <w:t xml:space="preserve">UNESCO) 2022, </w:t>
      </w:r>
      <w:r w:rsidRPr="00B7046A">
        <w:rPr>
          <w:i/>
          <w:iCs/>
          <w:lang w:val="en-US"/>
        </w:rPr>
        <w:t>Ocean plastic pollution an overview: data and statistics</w:t>
      </w:r>
      <w:r>
        <w:rPr>
          <w:lang w:val="en-US"/>
        </w:rPr>
        <w:t xml:space="preserve">, </w:t>
      </w:r>
      <w:hyperlink r:id="rId21" w:history="1">
        <w:r w:rsidRPr="00B949E1">
          <w:rPr>
            <w:rStyle w:val="Hyperlink"/>
            <w:color w:val="7BBDD6"/>
            <w:lang w:val="en-US"/>
          </w:rPr>
          <w:t>https://oceanliteracy.unesco.org/plastic-pollution-ocean/</w:t>
        </w:r>
      </w:hyperlink>
      <w:r>
        <w:rPr>
          <w:lang w:val="en-US"/>
        </w:rPr>
        <w:t>, accessed 22 March 2022.</w:t>
      </w:r>
    </w:p>
  </w:footnote>
  <w:footnote w:id="56">
    <w:p w14:paraId="33E37156" w14:textId="77777777" w:rsidR="00B949E1" w:rsidRDefault="00B949E1" w:rsidP="00B949E1">
      <w:pPr>
        <w:pStyle w:val="FootnoteText"/>
      </w:pPr>
      <w:r>
        <w:rPr>
          <w:rStyle w:val="FootnoteReference"/>
        </w:rPr>
        <w:footnoteRef/>
      </w:r>
      <w:r>
        <w:t xml:space="preserve"> </w:t>
      </w:r>
      <w:bookmarkStart w:id="46" w:name="_Hlk120180480"/>
      <w:r>
        <w:t xml:space="preserve">Lingzhi Deng, Lu Cai, Fengyun Sun, Gen Li, Yue Che 2020, </w:t>
      </w:r>
      <w:r w:rsidRPr="006E3B14">
        <w:rPr>
          <w:i/>
          <w:iCs/>
        </w:rPr>
        <w:t>Public attitudes towards microplastics: Perceptions, behaviors and policy implications</w:t>
      </w:r>
      <w:r>
        <w:t>, Resources, Conservation and Recycling, Volume 163.</w:t>
      </w:r>
      <w:bookmarkEnd w:id="46"/>
    </w:p>
  </w:footnote>
  <w:footnote w:id="57">
    <w:p w14:paraId="377FBAF2" w14:textId="77777777" w:rsidR="00B949E1" w:rsidRDefault="00B949E1" w:rsidP="00B949E1">
      <w:pPr>
        <w:pStyle w:val="FootnoteText"/>
      </w:pPr>
      <w:r>
        <w:rPr>
          <w:rStyle w:val="FootnoteReference"/>
        </w:rPr>
        <w:footnoteRef/>
      </w:r>
      <w:r>
        <w:t xml:space="preserve"> </w:t>
      </w:r>
      <w:r w:rsidRPr="0057659B">
        <w:t>Pandey, J. (1990)</w:t>
      </w:r>
      <w:r>
        <w:t>,</w:t>
      </w:r>
      <w:r w:rsidRPr="0057659B">
        <w:t xml:space="preserve"> </w:t>
      </w:r>
      <w:r w:rsidRPr="000A4E06">
        <w:rPr>
          <w:i/>
          <w:iCs/>
        </w:rPr>
        <w:t>The environment, culture, and behavior</w:t>
      </w:r>
      <w:r w:rsidRPr="0057659B">
        <w:t>. In R. Brislin (Ed.), Applied cross-cultural psychology, Thousand Oaks, CA: SAGE. 254-277.</w:t>
      </w:r>
    </w:p>
  </w:footnote>
  <w:footnote w:id="58">
    <w:p w14:paraId="3A33B36D" w14:textId="77777777" w:rsidR="00B949E1" w:rsidRPr="0057659B" w:rsidRDefault="00B949E1" w:rsidP="00B949E1">
      <w:pPr>
        <w:rPr>
          <w:color w:val="000100"/>
          <w:sz w:val="20"/>
          <w:szCs w:val="20"/>
        </w:rPr>
      </w:pPr>
      <w:r>
        <w:rPr>
          <w:rStyle w:val="FootnoteReference"/>
        </w:rPr>
        <w:footnoteRef/>
      </w:r>
      <w:r>
        <w:t xml:space="preserve"> </w:t>
      </w:r>
      <w:r w:rsidRPr="00C95696">
        <w:rPr>
          <w:color w:val="000100"/>
          <w:sz w:val="20"/>
          <w:szCs w:val="20"/>
        </w:rPr>
        <w:t>Skogan, W. (1990)</w:t>
      </w:r>
      <w:r>
        <w:rPr>
          <w:color w:val="000100"/>
          <w:sz w:val="20"/>
          <w:szCs w:val="20"/>
        </w:rPr>
        <w:t>,</w:t>
      </w:r>
      <w:r w:rsidRPr="00C95696">
        <w:rPr>
          <w:color w:val="000100"/>
          <w:sz w:val="20"/>
          <w:szCs w:val="20"/>
        </w:rPr>
        <w:t xml:space="preserve"> </w:t>
      </w:r>
      <w:r w:rsidRPr="000A4E06">
        <w:rPr>
          <w:i/>
          <w:iCs/>
          <w:color w:val="000100"/>
          <w:sz w:val="20"/>
          <w:szCs w:val="20"/>
        </w:rPr>
        <w:t>Decline and disorder:</w:t>
      </w:r>
      <w:r w:rsidRPr="00C95696">
        <w:rPr>
          <w:color w:val="000100"/>
          <w:sz w:val="20"/>
          <w:szCs w:val="20"/>
        </w:rPr>
        <w:t xml:space="preserve"> </w:t>
      </w:r>
      <w:r w:rsidRPr="000A4E06">
        <w:rPr>
          <w:i/>
          <w:iCs/>
          <w:color w:val="000100"/>
          <w:sz w:val="20"/>
          <w:szCs w:val="20"/>
        </w:rPr>
        <w:t>Crime and the spiral of decay in American neighborhoods</w:t>
      </w:r>
      <w:r>
        <w:rPr>
          <w:i/>
          <w:iCs/>
          <w:color w:val="000100"/>
          <w:sz w:val="20"/>
          <w:szCs w:val="20"/>
        </w:rPr>
        <w:t xml:space="preserve">, </w:t>
      </w:r>
      <w:r w:rsidRPr="00C95696">
        <w:rPr>
          <w:color w:val="000100"/>
          <w:sz w:val="20"/>
          <w:szCs w:val="20"/>
        </w:rPr>
        <w:t>NY: Free Press.</w:t>
      </w:r>
    </w:p>
  </w:footnote>
  <w:footnote w:id="59">
    <w:p w14:paraId="6C772A72" w14:textId="77777777" w:rsidR="00B949E1" w:rsidRDefault="00B949E1" w:rsidP="00B949E1">
      <w:pPr>
        <w:pStyle w:val="FootnoteText"/>
      </w:pPr>
      <w:r>
        <w:rPr>
          <w:rStyle w:val="FootnoteReference"/>
        </w:rPr>
        <w:footnoteRef/>
      </w:r>
      <w:r>
        <w:t xml:space="preserve"> </w:t>
      </w:r>
      <w:r w:rsidRPr="00221849">
        <w:t>Schultz, P.W., Bator, R.J., Large, L.B., Bruni, C.M. &amp; Tabanico, J.J. (2013</w:t>
      </w:r>
      <w:r w:rsidRPr="00A718F6">
        <w:rPr>
          <w:i/>
          <w:iCs/>
        </w:rPr>
        <w:t>). Littering in context: Personal and environmental predictors of littering behavior.</w:t>
      </w:r>
      <w:r w:rsidRPr="00221849">
        <w:t xml:space="preserve"> Environment and Behavior, 45(1), 35-59.</w:t>
      </w:r>
    </w:p>
  </w:footnote>
  <w:footnote w:id="60">
    <w:p w14:paraId="32A44D0D" w14:textId="77777777" w:rsidR="00B949E1" w:rsidRDefault="00B949E1" w:rsidP="00B949E1">
      <w:pPr>
        <w:pStyle w:val="FootnoteText"/>
      </w:pPr>
      <w:r>
        <w:rPr>
          <w:rStyle w:val="FootnoteReference"/>
        </w:rPr>
        <w:footnoteRef/>
      </w:r>
      <w:r>
        <w:t xml:space="preserve"> </w:t>
      </w:r>
      <w:r w:rsidRPr="00AE457E">
        <w:t xml:space="preserve">Cope, J.G., Huffman, K.T., Allred, L.J &amp; Grossnickle, W.F. (1993). </w:t>
      </w:r>
      <w:r w:rsidRPr="00AE457E">
        <w:rPr>
          <w:i/>
          <w:iCs/>
        </w:rPr>
        <w:t>Behavioral strategies to reduce cigarette litter. Journal of Social Behavior and Personality</w:t>
      </w:r>
      <w:r w:rsidRPr="00AE457E">
        <w:t>, 8(4), 607-619.</w:t>
      </w:r>
    </w:p>
  </w:footnote>
  <w:footnote w:id="61">
    <w:p w14:paraId="642CCC74" w14:textId="77777777" w:rsidR="00B949E1" w:rsidRDefault="00B949E1" w:rsidP="00B949E1">
      <w:pPr>
        <w:pStyle w:val="FootnoteText"/>
      </w:pPr>
      <w:r>
        <w:rPr>
          <w:rStyle w:val="FootnoteReference"/>
        </w:rPr>
        <w:footnoteRef/>
      </w:r>
      <w:r>
        <w:t xml:space="preserve"> </w:t>
      </w:r>
      <w:bookmarkStart w:id="47" w:name="_Hlk120180623"/>
      <w:r>
        <w:t xml:space="preserve">A. Ballance, P.G. Ryan and J.K. Turpie 2000, </w:t>
      </w:r>
      <w:r w:rsidRPr="00237E7F">
        <w:rPr>
          <w:i/>
          <w:iCs/>
        </w:rPr>
        <w:t>How much is a clean beach worth? The impact of litter on beach users in the Cape Peninsula, South Africa</w:t>
      </w:r>
      <w:r>
        <w:rPr>
          <w:i/>
          <w:iCs/>
        </w:rPr>
        <w:t>,</w:t>
      </w:r>
      <w:r w:rsidRPr="00237E7F">
        <w:rPr>
          <w:i/>
          <w:iCs/>
        </w:rPr>
        <w:t xml:space="preserve"> </w:t>
      </w:r>
      <w:r w:rsidRPr="00237E7F">
        <w:t>South African Journal of Science 96, May</w:t>
      </w:r>
      <w:r>
        <w:t>.</w:t>
      </w:r>
      <w:bookmarkEnd w:id="47"/>
    </w:p>
  </w:footnote>
  <w:footnote w:id="62">
    <w:p w14:paraId="25AC6B17" w14:textId="77777777" w:rsidR="00B949E1" w:rsidRDefault="00B949E1" w:rsidP="00B949E1">
      <w:pPr>
        <w:pStyle w:val="FootnoteText"/>
      </w:pPr>
      <w:r>
        <w:rPr>
          <w:rStyle w:val="FootnoteReference"/>
        </w:rPr>
        <w:footnoteRef/>
      </w:r>
      <w:r>
        <w:t xml:space="preserve"> </w:t>
      </w:r>
      <w:bookmarkStart w:id="48" w:name="_Hlk120180641"/>
      <w:r>
        <w:t xml:space="preserve">Allan Paul Krelling, Allan Thomas Williams, Alexander Turra, 2017, </w:t>
      </w:r>
      <w:r w:rsidRPr="00887070">
        <w:rPr>
          <w:i/>
          <w:iCs/>
        </w:rPr>
        <w:t>Differences in perception and reaction of tourist groups to beach marine debris that can influence a loss of tourism revenue in coastal areas</w:t>
      </w:r>
      <w:r>
        <w:rPr>
          <w:i/>
          <w:iCs/>
        </w:rPr>
        <w:t xml:space="preserve">, </w:t>
      </w:r>
      <w:r>
        <w:t>Marine Policy, Volume 85.</w:t>
      </w:r>
      <w:bookmarkEnd w:id="48"/>
    </w:p>
  </w:footnote>
  <w:footnote w:id="63">
    <w:p w14:paraId="629508E0" w14:textId="77777777" w:rsidR="00B949E1" w:rsidRDefault="00B949E1" w:rsidP="00B949E1">
      <w:pPr>
        <w:pStyle w:val="FootnoteText"/>
      </w:pPr>
      <w:r>
        <w:rPr>
          <w:rStyle w:val="FootnoteReference"/>
        </w:rPr>
        <w:footnoteRef/>
      </w:r>
      <w:r>
        <w:t xml:space="preserve"> </w:t>
      </w:r>
      <w:r w:rsidRPr="00574C25">
        <w:t>ACIL Allen based on</w:t>
      </w:r>
      <w:r>
        <w:t xml:space="preserve"> figures from </w:t>
      </w:r>
      <w:r w:rsidRPr="00574C25">
        <w:t>The Department of Climate Change, Energy, the Environment and Water, National Waste Report 2022</w:t>
      </w:r>
      <w:r>
        <w:t xml:space="preserve"> and the Australian Bureau of Statistics</w:t>
      </w:r>
    </w:p>
  </w:footnote>
  <w:footnote w:id="64">
    <w:p w14:paraId="0A826A12" w14:textId="77777777" w:rsidR="00B949E1" w:rsidRDefault="00B949E1" w:rsidP="00B949E1">
      <w:pPr>
        <w:pStyle w:val="FootnoteText"/>
      </w:pPr>
      <w:r>
        <w:rPr>
          <w:rStyle w:val="FootnoteReference"/>
        </w:rPr>
        <w:footnoteRef/>
      </w:r>
      <w:r>
        <w:t xml:space="preserve"> ACT Government City Services, </w:t>
      </w:r>
      <w:r w:rsidRPr="005B3B5F">
        <w:rPr>
          <w:i/>
          <w:iCs/>
        </w:rPr>
        <w:t>Littering</w:t>
      </w:r>
      <w:r>
        <w:rPr>
          <w:i/>
          <w:iCs/>
        </w:rPr>
        <w:t xml:space="preserve">, </w:t>
      </w:r>
      <w:r>
        <w:t xml:space="preserve"> </w:t>
      </w:r>
      <w:hyperlink r:id="rId22" w:history="1">
        <w:r w:rsidRPr="00B949E1">
          <w:rPr>
            <w:rStyle w:val="Hyperlink"/>
            <w:color w:val="7BBDD6"/>
          </w:rPr>
          <w:t>https://www.cityservices.act.gov.au/public-land/maintenance/littering</w:t>
        </w:r>
      </w:hyperlink>
      <w:r>
        <w:t>, accessed 6 March 2023.</w:t>
      </w:r>
    </w:p>
  </w:footnote>
  <w:footnote w:id="65">
    <w:p w14:paraId="482BEF35" w14:textId="77777777" w:rsidR="00B949E1" w:rsidRDefault="00B949E1" w:rsidP="00B949E1">
      <w:pPr>
        <w:pStyle w:val="FootnoteText"/>
      </w:pPr>
      <w:r>
        <w:rPr>
          <w:rStyle w:val="FootnoteReference"/>
        </w:rPr>
        <w:footnoteRef/>
      </w:r>
      <w:r>
        <w:t xml:space="preserve"> </w:t>
      </w:r>
      <w:r w:rsidRPr="005934F4">
        <w:t xml:space="preserve">Commonwealth of Australia 2007, </w:t>
      </w:r>
      <w:r w:rsidRPr="005934F4">
        <w:rPr>
          <w:i/>
          <w:iCs/>
        </w:rPr>
        <w:t>Best Practice Regulation Handbook</w:t>
      </w:r>
      <w:r w:rsidRPr="005934F4">
        <w:t>.</w:t>
      </w:r>
    </w:p>
  </w:footnote>
  <w:footnote w:id="66">
    <w:p w14:paraId="5884A6B5" w14:textId="77777777" w:rsidR="00B949E1" w:rsidRDefault="00B949E1" w:rsidP="00B949E1">
      <w:pPr>
        <w:pStyle w:val="FootnoteText"/>
      </w:pPr>
      <w:r>
        <w:rPr>
          <w:rStyle w:val="FootnoteReference"/>
        </w:rPr>
        <w:footnoteRef/>
      </w:r>
      <w:r>
        <w:t xml:space="preserve"> ABC News, </w:t>
      </w:r>
      <w:r w:rsidRPr="00822F6D">
        <w:rPr>
          <w:i/>
          <w:iCs/>
        </w:rPr>
        <w:t>Supermarket giants Woolworths and Coles changing up plastic bag policies in Queensland and ACT</w:t>
      </w:r>
      <w:r>
        <w:t xml:space="preserve">, accessed 27 April 2023, </w:t>
      </w:r>
      <w:r w:rsidRPr="00822F6D">
        <w:t>https://www.abc.net.au/news/2023-02-15/woolworths-coles-reusable-plastic-shopping-bag-policies-act-qld/101976184</w:t>
      </w:r>
    </w:p>
  </w:footnote>
  <w:footnote w:id="67">
    <w:p w14:paraId="73FC6184" w14:textId="77777777" w:rsidR="00B949E1" w:rsidRDefault="00B949E1" w:rsidP="00B949E1">
      <w:pPr>
        <w:pStyle w:val="FootnoteText"/>
      </w:pPr>
      <w:r>
        <w:rPr>
          <w:rStyle w:val="FootnoteReference"/>
        </w:rPr>
        <w:footnoteRef/>
      </w:r>
      <w:r>
        <w:t xml:space="preserve"> Western Australia Government, </w:t>
      </w:r>
      <w:r w:rsidRPr="00E16D93">
        <w:rPr>
          <w:i/>
          <w:iCs/>
        </w:rPr>
        <w:t>Western Australia’s Plan for Plastics</w:t>
      </w:r>
      <w:r>
        <w:t xml:space="preserve">, accessed 27 April 2023, </w:t>
      </w:r>
      <w:r w:rsidRPr="00E16D93">
        <w:t>https://www.wa.gov.au/service/environment/business-and-community-assistance/western-australias-plan-plastics</w:t>
      </w:r>
    </w:p>
  </w:footnote>
  <w:footnote w:id="68">
    <w:p w14:paraId="3435F725" w14:textId="77777777" w:rsidR="00B949E1" w:rsidRDefault="00B949E1" w:rsidP="00B949E1">
      <w:pPr>
        <w:pStyle w:val="FootnoteText"/>
      </w:pPr>
      <w:r>
        <w:rPr>
          <w:rStyle w:val="FootnoteReference"/>
        </w:rPr>
        <w:footnoteRef/>
      </w:r>
      <w:r>
        <w:t xml:space="preserve"> South Australia Government, </w:t>
      </w:r>
      <w:r w:rsidRPr="00E16D93">
        <w:rPr>
          <w:i/>
          <w:iCs/>
        </w:rPr>
        <w:t>Replace the Waste</w:t>
      </w:r>
      <w:r>
        <w:t xml:space="preserve">, accessed 27 April 2023, </w:t>
      </w:r>
      <w:r w:rsidRPr="00E16D93">
        <w:t>https://www.replacethewaste.sa.gov.au/</w:t>
      </w:r>
    </w:p>
  </w:footnote>
  <w:footnote w:id="69">
    <w:p w14:paraId="15571964" w14:textId="77777777" w:rsidR="00B949E1" w:rsidRDefault="00B949E1" w:rsidP="00B949E1">
      <w:pPr>
        <w:pStyle w:val="FootnoteText"/>
      </w:pPr>
      <w:r>
        <w:rPr>
          <w:rStyle w:val="FootnoteReference"/>
        </w:rPr>
        <w:footnoteRef/>
      </w:r>
      <w:r>
        <w:t xml:space="preserve"> </w:t>
      </w:r>
      <w:r w:rsidRPr="009C3818">
        <w:t xml:space="preserve">Department of the Environment and Energy </w:t>
      </w:r>
      <w:r>
        <w:t xml:space="preserve"> 2018, </w:t>
      </w:r>
      <w:r w:rsidRPr="009C3818">
        <w:rPr>
          <w:i/>
          <w:iCs/>
        </w:rPr>
        <w:t>Assessment of the voluntary phase-out of microbeads - report</w:t>
      </w:r>
      <w:r>
        <w:t xml:space="preserve">, </w:t>
      </w:r>
      <w:hyperlink r:id="rId23" w:history="1">
        <w:r w:rsidRPr="00B949E1">
          <w:rPr>
            <w:rStyle w:val="Hyperlink"/>
            <w:color w:val="7BBDD6"/>
          </w:rPr>
          <w:t>https://www.dcceew.gov.au/environment/protection/waste/publications/assessment-voluntary-phase-out-microbeads</w:t>
        </w:r>
      </w:hyperlink>
      <w:r>
        <w:t>, accessed 20 March 2023.</w:t>
      </w:r>
    </w:p>
  </w:footnote>
  <w:footnote w:id="70">
    <w:p w14:paraId="4975C7BA" w14:textId="77777777" w:rsidR="00B949E1" w:rsidRDefault="00B949E1" w:rsidP="00B949E1">
      <w:pPr>
        <w:pStyle w:val="FootnoteText"/>
      </w:pPr>
      <w:r>
        <w:rPr>
          <w:rStyle w:val="FootnoteReference"/>
        </w:rPr>
        <w:footnoteRef/>
      </w:r>
      <w:r>
        <w:t xml:space="preserve"> </w:t>
      </w:r>
      <w:r w:rsidRPr="00174EA1">
        <w:t xml:space="preserve">Department of Agriculture, Water and the Environment </w:t>
      </w:r>
      <w:r>
        <w:t xml:space="preserve">2020. </w:t>
      </w:r>
      <w:r w:rsidRPr="000F6ECE">
        <w:rPr>
          <w:i/>
          <w:iCs/>
        </w:rPr>
        <w:t>Assessment of the presence of microbeads in rinse-off personal care, cosmetic and cleaning products currently available within the Australian retail marke</w:t>
      </w:r>
      <w:r>
        <w:rPr>
          <w:i/>
          <w:iCs/>
        </w:rPr>
        <w:t xml:space="preserve">t. </w:t>
      </w:r>
      <w:r w:rsidRPr="005C7E09">
        <w:t>https://www.dcceew.gov.au/environment/protection/waste/publications/assessment-presence-microbeads-pccc</w:t>
      </w:r>
    </w:p>
  </w:footnote>
  <w:footnote w:id="71">
    <w:p w14:paraId="467BFF77" w14:textId="77777777" w:rsidR="00B949E1" w:rsidRDefault="00B949E1" w:rsidP="00B949E1">
      <w:pPr>
        <w:pStyle w:val="FootnoteText"/>
      </w:pPr>
      <w:r>
        <w:rPr>
          <w:rStyle w:val="FootnoteReference"/>
        </w:rPr>
        <w:footnoteRef/>
      </w:r>
      <w:r>
        <w:t xml:space="preserve"> </w:t>
      </w:r>
      <w:r w:rsidRPr="00226F76">
        <w:t>NSW Environment Protection Authority</w:t>
      </w:r>
      <w:r>
        <w:t xml:space="preserve"> 2022. </w:t>
      </w:r>
      <w:r w:rsidRPr="00544111">
        <w:rPr>
          <w:i/>
          <w:iCs/>
        </w:rPr>
        <w:t>NSW Microbeads Ban</w:t>
      </w:r>
      <w:r>
        <w:t xml:space="preserve">. </w:t>
      </w:r>
      <w:r w:rsidRPr="00544111">
        <w:t>https://www.epa.nsw.gov.au/your-environment/waste/reducing-your-household-waste/what-are-microbeads</w:t>
      </w:r>
    </w:p>
  </w:footnote>
  <w:footnote w:id="72">
    <w:p w14:paraId="1E044A5B" w14:textId="77777777" w:rsidR="00B949E1" w:rsidRPr="0084355F" w:rsidRDefault="00B949E1" w:rsidP="00B949E1">
      <w:pPr>
        <w:pStyle w:val="FootnoteText"/>
        <w:rPr>
          <w:lang w:val="en-US"/>
        </w:rPr>
      </w:pPr>
      <w:r>
        <w:rPr>
          <w:rStyle w:val="FootnoteReference"/>
        </w:rPr>
        <w:footnoteRef/>
      </w:r>
      <w:r>
        <w:t xml:space="preserve"> </w:t>
      </w:r>
      <w:r w:rsidRPr="005934F4">
        <w:t xml:space="preserve">Commonwealth of Australia 2007, </w:t>
      </w:r>
      <w:r w:rsidRPr="005934F4">
        <w:rPr>
          <w:i/>
          <w:iCs/>
        </w:rPr>
        <w:t>Best Practice Regulation Handbook</w:t>
      </w:r>
      <w:r w:rsidRPr="005934F4">
        <w:t>.</w:t>
      </w:r>
    </w:p>
  </w:footnote>
  <w:footnote w:id="73">
    <w:p w14:paraId="25A53B89" w14:textId="77777777" w:rsidR="00B949E1" w:rsidRDefault="00B949E1" w:rsidP="00B949E1">
      <w:pPr>
        <w:pStyle w:val="FootnoteText"/>
      </w:pPr>
      <w:r>
        <w:rPr>
          <w:rStyle w:val="FootnoteReference"/>
        </w:rPr>
        <w:footnoteRef/>
      </w:r>
      <w:r>
        <w:t xml:space="preserve"> </w:t>
      </w:r>
      <w:r>
        <w:rPr>
          <w:lang w:val="en-US"/>
        </w:rPr>
        <w:t xml:space="preserve">Otto de Bont 2021, </w:t>
      </w:r>
      <w:r w:rsidRPr="00E42FC2">
        <w:rPr>
          <w:i/>
          <w:iCs/>
          <w:lang w:val="en-US"/>
        </w:rPr>
        <w:t>Why we need to competitively price secondary plastics</w:t>
      </w:r>
      <w:r>
        <w:rPr>
          <w:lang w:val="en-US"/>
        </w:rPr>
        <w:t xml:space="preserve">, </w:t>
      </w:r>
      <w:r>
        <w:t xml:space="preserve">accessed 28 March 2023, </w:t>
      </w:r>
      <w:hyperlink r:id="rId24" w:history="1">
        <w:r w:rsidRPr="00B949E1">
          <w:rPr>
            <w:rStyle w:val="Hyperlink"/>
            <w:color w:val="7BBDD6"/>
            <w:lang w:val="en-US"/>
          </w:rPr>
          <w:t>https://resource.co/article/why-we-need-competitively-price-secondary-plastics</w:t>
        </w:r>
      </w:hyperlink>
    </w:p>
  </w:footnote>
  <w:footnote w:id="74">
    <w:p w14:paraId="4EE9AC45" w14:textId="77777777" w:rsidR="00B949E1" w:rsidRPr="00495356" w:rsidRDefault="00B949E1" w:rsidP="00B949E1">
      <w:pPr>
        <w:pStyle w:val="FootnoteText"/>
        <w:rPr>
          <w:lang w:val="en-US"/>
        </w:rPr>
      </w:pPr>
      <w:r>
        <w:rPr>
          <w:rStyle w:val="FootnoteReference"/>
        </w:rPr>
        <w:footnoteRef/>
      </w:r>
      <w:r>
        <w:t xml:space="preserve"> </w:t>
      </w:r>
      <w:r>
        <w:rPr>
          <w:lang w:val="en-US"/>
        </w:rPr>
        <w:t xml:space="preserve">OBPR 2020, </w:t>
      </w:r>
      <w:r>
        <w:rPr>
          <w:i/>
          <w:iCs/>
          <w:lang w:val="en-US"/>
        </w:rPr>
        <w:t xml:space="preserve">Environmental Valuation Guidance Note, </w:t>
      </w:r>
      <w:r w:rsidRPr="0043442B">
        <w:t>Department of the Prime Minister and Cabinet</w:t>
      </w:r>
      <w:r>
        <w:t>.</w:t>
      </w:r>
    </w:p>
  </w:footnote>
  <w:footnote w:id="75">
    <w:p w14:paraId="7582A110" w14:textId="77777777" w:rsidR="00B949E1" w:rsidRPr="00573572" w:rsidRDefault="00B949E1" w:rsidP="00B949E1">
      <w:pPr>
        <w:pStyle w:val="FootnoteText"/>
        <w:rPr>
          <w:lang w:val="en-US"/>
        </w:rPr>
      </w:pPr>
      <w:r>
        <w:rPr>
          <w:rStyle w:val="FootnoteReference"/>
        </w:rPr>
        <w:footnoteRef/>
      </w:r>
      <w:r>
        <w:t xml:space="preserve"> </w:t>
      </w:r>
      <w:r w:rsidRPr="00573572">
        <w:t>Commonwealth of Australia, Department of the Prime Minister and Cabinet 202</w:t>
      </w:r>
      <w:r>
        <w:t>0</w:t>
      </w:r>
      <w:r w:rsidRPr="00573572">
        <w:t xml:space="preserve">, </w:t>
      </w:r>
      <w:r>
        <w:t>Cost-benefit analysis guidance note</w:t>
      </w:r>
      <w:r w:rsidRPr="00573572">
        <w:t xml:space="preserve">, </w:t>
      </w:r>
      <w:r>
        <w:t>March, p. 12</w:t>
      </w:r>
      <w:r w:rsidRPr="00573572">
        <w:t>.</w:t>
      </w:r>
    </w:p>
  </w:footnote>
  <w:footnote w:id="76">
    <w:p w14:paraId="2F69E663" w14:textId="77777777" w:rsidR="00B949E1" w:rsidRPr="00074308" w:rsidRDefault="00B949E1" w:rsidP="00B949E1">
      <w:pPr>
        <w:pStyle w:val="FootnoteText"/>
        <w:rPr>
          <w:lang w:val="en-US"/>
        </w:rPr>
      </w:pPr>
      <w:r>
        <w:rPr>
          <w:rStyle w:val="FootnoteReference"/>
        </w:rPr>
        <w:footnoteRef/>
      </w:r>
      <w:r>
        <w:t xml:space="preserve"> </w:t>
      </w:r>
      <w:r>
        <w:rPr>
          <w:lang w:val="en-US"/>
        </w:rPr>
        <w:t>Ibid., p. 9.</w:t>
      </w:r>
    </w:p>
  </w:footnote>
  <w:footnote w:id="77">
    <w:p w14:paraId="0CB83C4F" w14:textId="77777777" w:rsidR="00B949E1" w:rsidRPr="00A703B7" w:rsidRDefault="00B949E1" w:rsidP="00B949E1">
      <w:pPr>
        <w:pStyle w:val="FootnoteText"/>
        <w:rPr>
          <w:lang w:val="en-US"/>
        </w:rPr>
      </w:pPr>
      <w:r>
        <w:rPr>
          <w:rStyle w:val="FootnoteReference"/>
        </w:rPr>
        <w:footnoteRef/>
      </w:r>
      <w:r>
        <w:t xml:space="preserve"> </w:t>
      </w:r>
      <w:r>
        <w:rPr>
          <w:lang w:val="en-US"/>
        </w:rPr>
        <w:t>Ibid., p. 13.</w:t>
      </w:r>
    </w:p>
  </w:footnote>
  <w:footnote w:id="78">
    <w:p w14:paraId="12EE5C19" w14:textId="77777777" w:rsidR="00B949E1" w:rsidRDefault="00B949E1" w:rsidP="00B949E1">
      <w:pPr>
        <w:pStyle w:val="FootnoteText"/>
      </w:pPr>
      <w:r>
        <w:rPr>
          <w:rStyle w:val="FootnoteReference"/>
        </w:rPr>
        <w:footnoteRef/>
      </w:r>
      <w:r>
        <w:t xml:space="preserve"> Victorian Department of Environment, Land, Water and Planning 2022, </w:t>
      </w:r>
      <w:r w:rsidRPr="007339FC">
        <w:rPr>
          <w:i/>
          <w:iCs/>
        </w:rPr>
        <w:t>Regulatory Impact Statement for regulations banning certain single-use plastic items</w:t>
      </w:r>
    </w:p>
  </w:footnote>
  <w:footnote w:id="79">
    <w:p w14:paraId="5D4FE3CD" w14:textId="77777777" w:rsidR="00B949E1" w:rsidRPr="00841A3E" w:rsidRDefault="00B949E1" w:rsidP="00B949E1">
      <w:pPr>
        <w:pStyle w:val="FootnoteText"/>
        <w:rPr>
          <w:lang w:val="en-US"/>
        </w:rPr>
      </w:pPr>
      <w:r>
        <w:rPr>
          <w:rStyle w:val="FootnoteReference"/>
        </w:rPr>
        <w:footnoteRef/>
      </w:r>
      <w:r>
        <w:t xml:space="preserve"> Blue Environment 2020, </w:t>
      </w:r>
      <w:r w:rsidRPr="00841A3E">
        <w:rPr>
          <w:i/>
          <w:iCs/>
        </w:rPr>
        <w:t>National Waste Report 2020</w:t>
      </w:r>
      <w:r>
        <w:t xml:space="preserve">, prepared for the </w:t>
      </w:r>
      <w:r w:rsidRPr="00841A3E">
        <w:t>Department of Agriculture, Water and the Environment</w:t>
      </w:r>
      <w:r>
        <w:t>.</w:t>
      </w:r>
    </w:p>
  </w:footnote>
  <w:footnote w:id="80">
    <w:p w14:paraId="5CE31C91" w14:textId="77777777" w:rsidR="00B949E1" w:rsidRPr="00841A3E" w:rsidRDefault="00B949E1" w:rsidP="00B949E1">
      <w:pPr>
        <w:pStyle w:val="FootnoteText"/>
        <w:rPr>
          <w:lang w:val="en-US"/>
        </w:rPr>
      </w:pPr>
      <w:r>
        <w:rPr>
          <w:rStyle w:val="FootnoteReference"/>
        </w:rPr>
        <w:footnoteRef/>
      </w:r>
      <w:r>
        <w:t xml:space="preserve"> </w:t>
      </w:r>
      <w:r w:rsidRPr="002D3FE6">
        <w:t>WWF Australia</w:t>
      </w:r>
      <w:r>
        <w:t xml:space="preserve"> 2020, </w:t>
      </w:r>
      <w:r w:rsidRPr="002D3FE6">
        <w:rPr>
          <w:i/>
          <w:iCs/>
        </w:rPr>
        <w:t>Plastic Revolution to Reality: A roadmap to halve Australia’s single-use plastic litter</w:t>
      </w:r>
      <w:r>
        <w:t>, July.</w:t>
      </w:r>
    </w:p>
  </w:footnote>
  <w:footnote w:id="81">
    <w:p w14:paraId="0FCBD280" w14:textId="77777777" w:rsidR="00B949E1" w:rsidRPr="00B066B8" w:rsidRDefault="00B949E1" w:rsidP="00B949E1">
      <w:pPr>
        <w:pStyle w:val="FootnoteText"/>
        <w:rPr>
          <w:lang w:val="en-US"/>
        </w:rPr>
      </w:pPr>
      <w:r>
        <w:rPr>
          <w:rStyle w:val="FootnoteReference"/>
        </w:rPr>
        <w:footnoteRef/>
      </w:r>
      <w:r>
        <w:t xml:space="preserve"> The reports notes that these figures were derived by extrapolating figures from single-use plastics</w:t>
      </w:r>
      <w:r>
        <w:rPr>
          <w:lang w:val="en-US"/>
        </w:rPr>
        <w:t xml:space="preserve"> </w:t>
      </w:r>
      <w:r>
        <w:t xml:space="preserve">analysis undertaken by </w:t>
      </w:r>
      <w:r w:rsidRPr="00B066B8">
        <w:t xml:space="preserve">Boston Consulting Group </w:t>
      </w:r>
      <w:r>
        <w:t xml:space="preserve">(BCG). No </w:t>
      </w:r>
      <w:r>
        <w:rPr>
          <w:lang w:val="en-US"/>
        </w:rPr>
        <w:t xml:space="preserve">further details are provided about how these estimates were derived. </w:t>
      </w:r>
    </w:p>
  </w:footnote>
  <w:footnote w:id="82">
    <w:p w14:paraId="19573A97" w14:textId="77777777" w:rsidR="00B949E1" w:rsidRPr="00AA20E6" w:rsidRDefault="00B949E1" w:rsidP="00B949E1">
      <w:pPr>
        <w:pStyle w:val="FootnoteText"/>
        <w:rPr>
          <w:lang w:val="en-US"/>
        </w:rPr>
      </w:pPr>
      <w:r>
        <w:rPr>
          <w:rStyle w:val="FootnoteReference"/>
        </w:rPr>
        <w:footnoteRef/>
      </w:r>
      <w:r>
        <w:t xml:space="preserve"> </w:t>
      </w:r>
      <w:r>
        <w:rPr>
          <w:lang w:val="en-US"/>
        </w:rPr>
        <w:t xml:space="preserve">NSW Department of Planning and Environment 2021, </w:t>
      </w:r>
      <w:r>
        <w:rPr>
          <w:i/>
          <w:iCs/>
          <w:lang w:val="en-US"/>
        </w:rPr>
        <w:t>Reducing the impacts of problematic plastics</w:t>
      </w:r>
      <w:r>
        <w:rPr>
          <w:lang w:val="en-US"/>
        </w:rPr>
        <w:t>, Better Regulation Statement, December, p. 19.</w:t>
      </w:r>
    </w:p>
  </w:footnote>
  <w:footnote w:id="83">
    <w:p w14:paraId="426F6E46" w14:textId="77777777" w:rsidR="00B949E1" w:rsidRPr="009113EA" w:rsidRDefault="00B949E1" w:rsidP="00B949E1">
      <w:pPr>
        <w:pStyle w:val="BodyText"/>
        <w:rPr>
          <w:sz w:val="20"/>
          <w:szCs w:val="20"/>
          <w:lang w:val="en-US"/>
        </w:rPr>
      </w:pPr>
      <w:r w:rsidRPr="009113EA">
        <w:rPr>
          <w:rStyle w:val="FootnoteReference"/>
          <w:sz w:val="20"/>
          <w:szCs w:val="20"/>
        </w:rPr>
        <w:footnoteRef/>
      </w:r>
      <w:r w:rsidRPr="009113EA">
        <w:rPr>
          <w:sz w:val="20"/>
          <w:szCs w:val="20"/>
        </w:rPr>
        <w:t xml:space="preserve"> </w:t>
      </w:r>
      <w:r w:rsidRPr="009113EA">
        <w:rPr>
          <w:sz w:val="20"/>
          <w:szCs w:val="20"/>
          <w:lang w:val="en-US"/>
        </w:rPr>
        <w:t xml:space="preserve">PwC 2022, </w:t>
      </w:r>
      <w:r w:rsidRPr="009113EA">
        <w:rPr>
          <w:i/>
          <w:iCs/>
          <w:sz w:val="20"/>
          <w:szCs w:val="20"/>
          <w:lang w:val="en-US"/>
        </w:rPr>
        <w:t>Regulatory impact statement – Single-use plastic ban 2022</w:t>
      </w:r>
      <w:r w:rsidRPr="009113EA">
        <w:rPr>
          <w:sz w:val="20"/>
          <w:szCs w:val="20"/>
          <w:lang w:val="en-US"/>
        </w:rPr>
        <w:t>, prepared for the Victorian Department of Environment, Land, Water and Planning, April.</w:t>
      </w:r>
    </w:p>
  </w:footnote>
  <w:footnote w:id="84">
    <w:p w14:paraId="47E64ED8" w14:textId="77777777" w:rsidR="00B949E1" w:rsidRPr="003D417A" w:rsidRDefault="00B949E1" w:rsidP="00B949E1">
      <w:pPr>
        <w:pStyle w:val="FootnoteText"/>
        <w:rPr>
          <w:lang w:val="en-US"/>
        </w:rPr>
      </w:pPr>
      <w:r>
        <w:rPr>
          <w:rStyle w:val="FootnoteReference"/>
        </w:rPr>
        <w:footnoteRef/>
      </w:r>
      <w:r>
        <w:t xml:space="preserve"> NSW Treasury 2017, </w:t>
      </w:r>
      <w:r w:rsidRPr="00DD7C09">
        <w:rPr>
          <w:i/>
          <w:iCs/>
        </w:rPr>
        <w:t>NSW Government Guide to Cost-Benefit Analysis (TPP17-03)</w:t>
      </w:r>
      <w:r>
        <w:t>, p. 59.</w:t>
      </w:r>
    </w:p>
  </w:footnote>
  <w:footnote w:id="85">
    <w:p w14:paraId="696B7F05" w14:textId="77777777" w:rsidR="00B949E1" w:rsidRDefault="00B949E1" w:rsidP="00B949E1">
      <w:pPr>
        <w:pStyle w:val="FootnoteText"/>
      </w:pPr>
      <w:r>
        <w:rPr>
          <w:rStyle w:val="FootnoteReference"/>
        </w:rPr>
        <w:footnoteRef/>
      </w:r>
      <w:r>
        <w:t xml:space="preserve"> This represents the </w:t>
      </w:r>
      <w:r w:rsidRPr="003C2323">
        <w:t xml:space="preserve">Household waste ACT residential fee </w:t>
      </w:r>
      <w:r>
        <w:t>for</w:t>
      </w:r>
      <w:r w:rsidRPr="003C2323">
        <w:t xml:space="preserve"> 0.5 tonnes or more</w:t>
      </w:r>
      <w:r>
        <w:t xml:space="preserve"> from 1 January 2023</w:t>
      </w:r>
    </w:p>
  </w:footnote>
  <w:footnote w:id="86">
    <w:p w14:paraId="5BF4D8C1" w14:textId="77777777" w:rsidR="00B949E1" w:rsidRPr="00E17055" w:rsidRDefault="00B949E1" w:rsidP="00B949E1">
      <w:pPr>
        <w:pStyle w:val="FootnoteText"/>
        <w:rPr>
          <w:lang w:val="en-US"/>
        </w:rPr>
      </w:pPr>
      <w:r>
        <w:rPr>
          <w:rStyle w:val="FootnoteReference"/>
        </w:rPr>
        <w:footnoteRef/>
      </w:r>
      <w:r>
        <w:t xml:space="preserve"> </w:t>
      </w:r>
      <w:r w:rsidRPr="00E17055">
        <w:t xml:space="preserve">PwC 2010, Estimating consumers’ willingness to pay from improvements to packaging and beverage container waste management. Prepared for the NSW Government Environment Protection and Heritage Council. </w:t>
      </w:r>
      <w:hyperlink r:id="rId25" w:history="1">
        <w:r w:rsidRPr="00B949E1">
          <w:rPr>
            <w:rStyle w:val="Hyperlink"/>
            <w:color w:val="7BBDD6"/>
          </w:rPr>
          <w:t>http://www.nepc.gov.au/system/files/resources/0c513e54-d968-ac04-758b-3b7613af0d07/files/bevcon-rpt-pwc-wtp-packaging-final-report-201007-0.pdf</w:t>
        </w:r>
      </w:hyperlink>
      <w:r>
        <w:t xml:space="preserve"> </w:t>
      </w:r>
    </w:p>
  </w:footnote>
  <w:footnote w:id="87">
    <w:p w14:paraId="5B2C3A34" w14:textId="77777777" w:rsidR="00B949E1" w:rsidRPr="00592867" w:rsidRDefault="00B949E1" w:rsidP="00B949E1">
      <w:pPr>
        <w:pStyle w:val="FootnoteText"/>
        <w:rPr>
          <w:lang w:val="en-US"/>
        </w:rPr>
      </w:pPr>
      <w:r>
        <w:rPr>
          <w:rStyle w:val="FootnoteReference"/>
        </w:rPr>
        <w:footnoteRef/>
      </w:r>
      <w:r>
        <w:t xml:space="preserve"> </w:t>
      </w:r>
      <w:r w:rsidRPr="00592867">
        <w:t>Marsden Jacob Associates 2016</w:t>
      </w:r>
      <w:r>
        <w:t xml:space="preserve">, </w:t>
      </w:r>
      <w:r w:rsidRPr="00592867">
        <w:rPr>
          <w:i/>
          <w:iCs/>
        </w:rPr>
        <w:t>Plastic Bags Ban Options – Cost Benefit Analysis</w:t>
      </w:r>
      <w:r>
        <w:t>,</w:t>
      </w:r>
      <w:r w:rsidRPr="00592867">
        <w:t xml:space="preserve"> prepared for the Victorian Department of Environment, Land, Water and Planning.</w:t>
      </w:r>
    </w:p>
  </w:footnote>
  <w:footnote w:id="88">
    <w:p w14:paraId="4AC1D1C7" w14:textId="77777777" w:rsidR="00B949E1" w:rsidRPr="00B67729" w:rsidRDefault="00B949E1" w:rsidP="00B949E1">
      <w:pPr>
        <w:pStyle w:val="FootnoteText"/>
        <w:rPr>
          <w:lang w:val="en-US"/>
        </w:rPr>
      </w:pPr>
      <w:r>
        <w:rPr>
          <w:rStyle w:val="FootnoteReference"/>
        </w:rPr>
        <w:footnoteRef/>
      </w:r>
      <w:r>
        <w:t xml:space="preserve"> </w:t>
      </w:r>
      <w:r>
        <w:rPr>
          <w:lang w:val="en-US"/>
        </w:rPr>
        <w:t>Ibid, p. 12.</w:t>
      </w:r>
    </w:p>
  </w:footnote>
  <w:footnote w:id="89">
    <w:p w14:paraId="0899A6EC" w14:textId="77777777" w:rsidR="00B949E1" w:rsidRDefault="00B949E1" w:rsidP="00B949E1">
      <w:pPr>
        <w:pStyle w:val="FootnoteText"/>
      </w:pPr>
      <w:r>
        <w:rPr>
          <w:rStyle w:val="FootnoteReference"/>
        </w:rPr>
        <w:footnoteRef/>
      </w:r>
      <w:r>
        <w:t xml:space="preserve"> Figure 5.2, </w:t>
      </w:r>
      <w:r>
        <w:rPr>
          <w:lang w:val="en-US"/>
        </w:rPr>
        <w:t xml:space="preserve">The Centre for International Economics (CIE) 2021, </w:t>
      </w:r>
      <w:r>
        <w:rPr>
          <w:i/>
          <w:iCs/>
          <w:lang w:val="en-US"/>
        </w:rPr>
        <w:t>Measuring environmental costs from litter an illegal dumping</w:t>
      </w:r>
      <w:r>
        <w:rPr>
          <w:lang w:val="en-US"/>
        </w:rPr>
        <w:t>, December.</w:t>
      </w:r>
    </w:p>
  </w:footnote>
  <w:footnote w:id="90">
    <w:p w14:paraId="09A5673B" w14:textId="77777777" w:rsidR="00B949E1" w:rsidRPr="00C37819" w:rsidRDefault="00B949E1" w:rsidP="00B949E1">
      <w:pPr>
        <w:pStyle w:val="FootnoteText"/>
      </w:pPr>
      <w:r>
        <w:rPr>
          <w:rStyle w:val="FootnoteReference"/>
        </w:rPr>
        <w:footnoteRef/>
      </w:r>
      <w:r>
        <w:t xml:space="preserve"> Centre for International Economics 2022, </w:t>
      </w:r>
      <w:r>
        <w:rPr>
          <w:i/>
          <w:iCs/>
        </w:rPr>
        <w:t>Willingness to pay for reduced litter and illegal dumping</w:t>
      </w:r>
      <w:r>
        <w:t>, February,</w:t>
      </w:r>
      <w:r w:rsidRPr="00F3645A">
        <w:t xml:space="preserve"> </w:t>
      </w:r>
      <w:r>
        <w:t xml:space="preserve">prepared for the New South Wales Environment Protection Authority, Sustainability Victoria, and Queensland Department of Environment and Science </w:t>
      </w:r>
      <w:hyperlink r:id="rId26" w:history="1">
        <w:r w:rsidRPr="00B949E1">
          <w:rPr>
            <w:rStyle w:val="Hyperlink"/>
            <w:color w:val="7BBDD6"/>
          </w:rPr>
          <w:t>https://www.epa.nsw.gov.au/-/media/epa/corporate-site/resources/litter/willingness-to-pay-reduced-litter-illegal-dumping-cie-final-report.pdf</w:t>
        </w:r>
      </w:hyperlink>
      <w:r w:rsidRPr="00B949E1">
        <w:rPr>
          <w:rStyle w:val="Hyperlink"/>
          <w:color w:val="7BBDD6"/>
        </w:rPr>
        <w:t>.</w:t>
      </w:r>
      <w:r>
        <w:t xml:space="preserve"> </w:t>
      </w:r>
    </w:p>
  </w:footnote>
  <w:footnote w:id="91">
    <w:p w14:paraId="2975FE74" w14:textId="77777777" w:rsidR="00B949E1" w:rsidRDefault="00B949E1" w:rsidP="00B949E1">
      <w:pPr>
        <w:pStyle w:val="FootnoteText"/>
      </w:pPr>
      <w:r>
        <w:rPr>
          <w:rStyle w:val="FootnoteReference"/>
        </w:rPr>
        <w:footnoteRef/>
      </w:r>
      <w:r>
        <w:t xml:space="preserve"> Estimates for government costs are not included in the costs per item, as they were estimated as an aggregate per option. These costs make up a small cost relative to the net cost of each option.</w:t>
      </w:r>
    </w:p>
  </w:footnote>
  <w:footnote w:id="92">
    <w:p w14:paraId="2EAF6E93" w14:textId="77777777" w:rsidR="00B949E1" w:rsidRDefault="00B949E1" w:rsidP="00B949E1">
      <w:pPr>
        <w:pStyle w:val="FootnoteText"/>
      </w:pPr>
      <w:r>
        <w:rPr>
          <w:rStyle w:val="FootnoteReference"/>
        </w:rPr>
        <w:footnoteRef/>
      </w:r>
      <w:r>
        <w:t xml:space="preserve"> Value used in the WA Plan for Plastics Stage 2 RIS</w:t>
      </w:r>
    </w:p>
  </w:footnote>
  <w:footnote w:id="93">
    <w:p w14:paraId="1B31CD5A" w14:textId="77777777" w:rsidR="00B949E1" w:rsidRDefault="00B949E1" w:rsidP="00B949E1">
      <w:pPr>
        <w:pStyle w:val="FootnoteText"/>
      </w:pPr>
      <w:r>
        <w:rPr>
          <w:rStyle w:val="FootnoteReference"/>
        </w:rPr>
        <w:footnoteRef/>
      </w:r>
      <w:r>
        <w:t xml:space="preserve"> </w:t>
      </w:r>
      <w:r>
        <w:rPr>
          <w:lang w:val="en-US"/>
        </w:rPr>
        <w:t xml:space="preserve">The Centre for International Economics (CIE) 2021, </w:t>
      </w:r>
      <w:r>
        <w:rPr>
          <w:i/>
          <w:iCs/>
          <w:lang w:val="en-US"/>
        </w:rPr>
        <w:t>Measuring environmental costs from litter an illegal dumping</w:t>
      </w:r>
      <w:r>
        <w:rPr>
          <w:lang w:val="en-US"/>
        </w:rPr>
        <w:t>, December.</w:t>
      </w:r>
    </w:p>
  </w:footnote>
  <w:footnote w:id="94">
    <w:p w14:paraId="609FC844" w14:textId="77777777" w:rsidR="00B949E1" w:rsidRDefault="00B949E1" w:rsidP="00B949E1">
      <w:pPr>
        <w:pStyle w:val="FootnoteText"/>
      </w:pPr>
      <w:r>
        <w:rPr>
          <w:rStyle w:val="FootnoteReference"/>
        </w:rPr>
        <w:footnoteRef/>
      </w:r>
      <w:r>
        <w:t xml:space="preserve"> World Wildlife Foundation (</w:t>
      </w:r>
      <w:r>
        <w:tab/>
        <w:t xml:space="preserve">WWF) Australia 2019,  </w:t>
      </w:r>
      <w:r w:rsidRPr="00AA2485">
        <w:rPr>
          <w:i/>
          <w:iCs/>
        </w:rPr>
        <w:t>Plastic ingestion by people could be equating to a credit card a week</w:t>
      </w:r>
      <w:r>
        <w:rPr>
          <w:i/>
          <w:iCs/>
        </w:rPr>
        <w:t xml:space="preserve">, </w:t>
      </w:r>
      <w:hyperlink r:id="rId27" w:history="1">
        <w:r w:rsidRPr="00B949E1">
          <w:rPr>
            <w:rStyle w:val="Hyperlink"/>
            <w:color w:val="7BBDD6"/>
          </w:rPr>
          <w:t>https://www.wwf.org.au/news/news/2019/revealed-plastic-ingestion-by-people-could-be-equating-to-a-credit-card-a-week</w:t>
        </w:r>
      </w:hyperlink>
      <w:r>
        <w:t>, accessed 22 March 2022.</w:t>
      </w:r>
      <w:r>
        <w:rPr>
          <w:rStyle w:val="Hyperlink"/>
        </w:rPr>
        <w:t xml:space="preserve"> </w:t>
      </w:r>
    </w:p>
  </w:footnote>
  <w:footnote w:id="95">
    <w:p w14:paraId="6CD2B8FC" w14:textId="77777777" w:rsidR="00B949E1" w:rsidRDefault="00B949E1" w:rsidP="00B949E1">
      <w:pPr>
        <w:pStyle w:val="FootnoteText"/>
      </w:pPr>
      <w:r>
        <w:rPr>
          <w:rStyle w:val="FootnoteReference"/>
        </w:rPr>
        <w:footnoteRef/>
      </w:r>
      <w:r>
        <w:t xml:space="preserve"> </w:t>
      </w:r>
      <w:r w:rsidRPr="00F74087">
        <w:t>Blackburn, K., Green, D</w:t>
      </w:r>
      <w:r>
        <w:t xml:space="preserve">, </w:t>
      </w:r>
      <w:proofErr w:type="gramStart"/>
      <w:r>
        <w:t>2022.</w:t>
      </w:r>
      <w:r w:rsidRPr="00F74087">
        <w:t>.</w:t>
      </w:r>
      <w:proofErr w:type="gramEnd"/>
      <w:r w:rsidRPr="00F74087">
        <w:t xml:space="preserve"> </w:t>
      </w:r>
      <w:r w:rsidRPr="00F74087">
        <w:rPr>
          <w:i/>
          <w:iCs/>
        </w:rPr>
        <w:t>The potential effects of microplastics on human health: What is known and what is unknown.</w:t>
      </w:r>
      <w:r w:rsidRPr="00F74087">
        <w:t xml:space="preserve"> Ambio 51, 518–530</w:t>
      </w:r>
    </w:p>
  </w:footnote>
  <w:footnote w:id="96">
    <w:p w14:paraId="6B0F850B" w14:textId="77777777" w:rsidR="00B949E1" w:rsidRDefault="00B949E1" w:rsidP="00B949E1">
      <w:pPr>
        <w:pStyle w:val="FootnoteText"/>
      </w:pPr>
      <w:r>
        <w:rPr>
          <w:rStyle w:val="FootnoteReference"/>
        </w:rPr>
        <w:footnoteRef/>
      </w:r>
      <w:r>
        <w:t xml:space="preserve"> Lingzhi Deng, Lu Cai, Fengyun Sun, Gen Li, Yue Che (2020) </w:t>
      </w:r>
      <w:r w:rsidRPr="006E3B14">
        <w:rPr>
          <w:i/>
          <w:iCs/>
        </w:rPr>
        <w:t>Public attitudes towards microplastics: Perceptions, behaviors and policy implications</w:t>
      </w:r>
      <w:r>
        <w:t>, Resources, Conservation and Recycling, Volume 163</w:t>
      </w:r>
    </w:p>
  </w:footnote>
  <w:footnote w:id="97">
    <w:p w14:paraId="4D6FED9B" w14:textId="77777777" w:rsidR="00B949E1" w:rsidRDefault="00B949E1" w:rsidP="00B949E1">
      <w:pPr>
        <w:pStyle w:val="FootnoteText"/>
      </w:pPr>
      <w:r>
        <w:rPr>
          <w:rStyle w:val="FootnoteReference"/>
        </w:rPr>
        <w:footnoteRef/>
      </w:r>
      <w:r>
        <w:t xml:space="preserve"> </w:t>
      </w:r>
      <w:r w:rsidRPr="00843548">
        <w:t xml:space="preserve">Edmond, C. (2022, January 19). </w:t>
      </w:r>
      <w:r w:rsidRPr="005F2570">
        <w:rPr>
          <w:i/>
          <w:iCs/>
        </w:rPr>
        <w:t>This is how plastic pollution causes climate change</w:t>
      </w:r>
      <w:r w:rsidRPr="00843548">
        <w:t xml:space="preserve">. World Economic Forum. </w:t>
      </w:r>
      <w:hyperlink r:id="rId28" w:history="1">
        <w:r w:rsidRPr="003E2764">
          <w:rPr>
            <w:rStyle w:val="Hyperlink"/>
            <w:color w:val="7BBDD6"/>
          </w:rPr>
          <w:t>https://www.weforum.org/agenda/2022/01/plastic-pollution-climate-change-solution/</w:t>
        </w:r>
      </w:hyperlink>
      <w:r w:rsidRPr="003E2764">
        <w:rPr>
          <w:color w:val="7BBDD6"/>
        </w:rPr>
        <w:t xml:space="preserve"> </w:t>
      </w:r>
    </w:p>
  </w:footnote>
  <w:footnote w:id="98">
    <w:p w14:paraId="59FB41D4" w14:textId="77777777" w:rsidR="00B949E1" w:rsidRDefault="00B949E1" w:rsidP="00B949E1">
      <w:pPr>
        <w:pStyle w:val="FootnoteText"/>
      </w:pPr>
      <w:r>
        <w:rPr>
          <w:rStyle w:val="FootnoteReference"/>
        </w:rPr>
        <w:footnoteRef/>
      </w:r>
      <w:r>
        <w:t xml:space="preserve"> Ibid</w:t>
      </w:r>
    </w:p>
  </w:footnote>
  <w:footnote w:id="99">
    <w:p w14:paraId="171938C9" w14:textId="77777777" w:rsidR="00B949E1" w:rsidRDefault="00B949E1" w:rsidP="00B949E1">
      <w:pPr>
        <w:pStyle w:val="FootnoteText"/>
      </w:pPr>
      <w:r>
        <w:rPr>
          <w:rStyle w:val="FootnoteReference"/>
        </w:rPr>
        <w:footnoteRef/>
      </w:r>
      <w:r>
        <w:t xml:space="preserve"> Ibid</w:t>
      </w:r>
    </w:p>
  </w:footnote>
  <w:footnote w:id="100">
    <w:p w14:paraId="3DA43789" w14:textId="77777777" w:rsidR="00B949E1" w:rsidRDefault="00B949E1" w:rsidP="00B949E1">
      <w:pPr>
        <w:pStyle w:val="FootnoteText"/>
      </w:pPr>
      <w:r>
        <w:rPr>
          <w:rStyle w:val="FootnoteReference"/>
        </w:rPr>
        <w:footnoteRef/>
      </w:r>
      <w:r>
        <w:t xml:space="preserve"> </w:t>
      </w:r>
      <w:r w:rsidRPr="00187D53">
        <w:t xml:space="preserve">University of Bonn. (2021, February 5). </w:t>
      </w:r>
      <w:r w:rsidRPr="005F2570">
        <w:rPr>
          <w:i/>
          <w:iCs/>
        </w:rPr>
        <w:t>Bioplastics in the sustainability dilemma: Scientists investigate the factors affecting the global land use impacts and CO2 emissions of plant-based plastic</w:t>
      </w:r>
      <w:r w:rsidRPr="00187D53">
        <w:t>s. ScienceDaily. https://www.sciencedaily.com/releases/2021/02/210205121239.htm</w:t>
      </w:r>
    </w:p>
  </w:footnote>
  <w:footnote w:id="101">
    <w:p w14:paraId="5FF3454E" w14:textId="77777777" w:rsidR="00B949E1" w:rsidRDefault="00B949E1" w:rsidP="00B949E1">
      <w:pPr>
        <w:pStyle w:val="FootnoteText"/>
      </w:pPr>
      <w:r>
        <w:rPr>
          <w:rStyle w:val="FootnoteReference"/>
        </w:rPr>
        <w:footnoteRef/>
      </w:r>
      <w:r>
        <w:t xml:space="preserve"> </w:t>
      </w:r>
      <w:r w:rsidRPr="00541BB5">
        <w:t xml:space="preserve">Mendoza, J. M. F., Azapagic, A., &amp; Gallego Schmid, A. (2021, September 13). </w:t>
      </w:r>
      <w:r w:rsidRPr="00AB43CB">
        <w:rPr>
          <w:i/>
          <w:iCs/>
        </w:rPr>
        <w:t xml:space="preserve">Just how environmentally friendly are our reusable containers? </w:t>
      </w:r>
      <w:r w:rsidRPr="00541BB5">
        <w:t>World Economic Forum. https://www.weforum.org/agenda/2021/09/reusable-containers-environmental-frendly/</w:t>
      </w:r>
    </w:p>
  </w:footnote>
  <w:footnote w:id="102">
    <w:p w14:paraId="12B6A691" w14:textId="77777777" w:rsidR="00B949E1" w:rsidRPr="002E5492" w:rsidRDefault="00B949E1" w:rsidP="00B949E1">
      <w:pPr>
        <w:pStyle w:val="FootnoteText"/>
        <w:rPr>
          <w:lang w:val="en-US"/>
        </w:rPr>
      </w:pPr>
      <w:r>
        <w:rPr>
          <w:rStyle w:val="FootnoteReference"/>
        </w:rPr>
        <w:footnoteRef/>
      </w:r>
      <w:r>
        <w:t xml:space="preserve"> </w:t>
      </w:r>
      <w:r w:rsidRPr="002D3ABA">
        <w:t>New South Wales Environment Protection Authority</w:t>
      </w:r>
      <w:r>
        <w:t>,</w:t>
      </w:r>
      <w:r w:rsidRPr="002D3ABA">
        <w:t xml:space="preserve"> </w:t>
      </w:r>
      <w:proofErr w:type="gramStart"/>
      <w:r w:rsidRPr="002E5492">
        <w:rPr>
          <w:i/>
          <w:iCs/>
        </w:rPr>
        <w:t>What</w:t>
      </w:r>
      <w:proofErr w:type="gramEnd"/>
      <w:r w:rsidRPr="002E5492">
        <w:rPr>
          <w:i/>
          <w:iCs/>
        </w:rPr>
        <w:t xml:space="preserve"> are microbeads? - NSW Environment Protection Authority</w:t>
      </w:r>
      <w:r>
        <w:t>,</w:t>
      </w:r>
      <w:hyperlink r:id="rId29" w:history="1">
        <w:r w:rsidRPr="00B949E1">
          <w:rPr>
            <w:rStyle w:val="Hyperlink"/>
            <w:color w:val="7BBDD6"/>
          </w:rPr>
          <w:t>https://www.epa.nsw.gov.au/your-environment/waste/reducing-your-household-waste/what-are-microbeads</w:t>
        </w:r>
      </w:hyperlink>
      <w:r>
        <w:t xml:space="preserve"> </w:t>
      </w:r>
    </w:p>
  </w:footnote>
  <w:footnote w:id="103">
    <w:p w14:paraId="0420CB5E" w14:textId="77777777" w:rsidR="00B949E1" w:rsidRPr="007D1BD9" w:rsidRDefault="00B949E1" w:rsidP="00B949E1">
      <w:pPr>
        <w:pStyle w:val="FootnoteText"/>
        <w:rPr>
          <w:lang w:val="en-US"/>
        </w:rPr>
      </w:pPr>
      <w:r>
        <w:rPr>
          <w:rStyle w:val="FootnoteReference"/>
        </w:rPr>
        <w:footnoteRef/>
      </w:r>
      <w:r>
        <w:t xml:space="preserve"> </w:t>
      </w:r>
      <w:r w:rsidRPr="00C46DCD">
        <w:t>Department of Agriculture, Water and the Environment</w:t>
      </w:r>
      <w:r>
        <w:t>,</w:t>
      </w:r>
      <w:r w:rsidRPr="00C46DCD">
        <w:t xml:space="preserve"> </w:t>
      </w:r>
      <w:r w:rsidRPr="007D1BD9">
        <w:rPr>
          <w:i/>
          <w:iCs/>
        </w:rPr>
        <w:t xml:space="preserve">Plastic microbeads </w:t>
      </w:r>
      <w:r>
        <w:rPr>
          <w:i/>
          <w:iCs/>
        </w:rPr>
        <w:t>–</w:t>
      </w:r>
      <w:r w:rsidRPr="007D1BD9">
        <w:rPr>
          <w:i/>
          <w:iCs/>
        </w:rPr>
        <w:t xml:space="preserve"> DCCEEW</w:t>
      </w:r>
      <w:r>
        <w:rPr>
          <w:i/>
          <w:iCs/>
        </w:rPr>
        <w:t xml:space="preserve">, </w:t>
      </w:r>
      <w:hyperlink r:id="rId30" w:history="1">
        <w:r w:rsidRPr="00B949E1">
          <w:rPr>
            <w:rStyle w:val="Hyperlink"/>
            <w:color w:val="7BBDD6"/>
          </w:rPr>
          <w:t>https://www.dcceew.gov.au/environment/protection/waste/plastics-and-packaging/plastic-microbeads</w:t>
        </w:r>
      </w:hyperlink>
      <w:r w:rsidRPr="00B949E1">
        <w:rPr>
          <w:color w:val="7BBDD6"/>
        </w:rPr>
        <w:t xml:space="preserve"> </w:t>
      </w:r>
    </w:p>
  </w:footnote>
  <w:footnote w:id="104">
    <w:p w14:paraId="79267B95" w14:textId="77777777" w:rsidR="00B949E1" w:rsidRPr="002E5492" w:rsidRDefault="00B949E1" w:rsidP="00B949E1">
      <w:pPr>
        <w:pStyle w:val="FootnoteText"/>
        <w:rPr>
          <w:lang w:val="en-US"/>
        </w:rPr>
      </w:pPr>
      <w:r>
        <w:rPr>
          <w:rStyle w:val="FootnoteReference"/>
        </w:rPr>
        <w:footnoteRef/>
      </w:r>
      <w:r>
        <w:t xml:space="preserve"> </w:t>
      </w:r>
      <w:r w:rsidRPr="00E070CF">
        <w:t>ELGA LabWater</w:t>
      </w:r>
      <w:r>
        <w:t xml:space="preserve">, </w:t>
      </w:r>
      <w:r w:rsidRPr="002E5492">
        <w:rPr>
          <w:i/>
          <w:iCs/>
        </w:rPr>
        <w:t>Microbeads: Tiny Plastics Creating Big Problems</w:t>
      </w:r>
      <w:r>
        <w:rPr>
          <w:i/>
          <w:iCs/>
        </w:rPr>
        <w:t>,</w:t>
      </w:r>
      <w:r w:rsidRPr="00E070CF">
        <w:t xml:space="preserve"> </w:t>
      </w:r>
      <w:hyperlink r:id="rId31" w:history="1">
        <w:r w:rsidRPr="00B949E1">
          <w:rPr>
            <w:rStyle w:val="Hyperlink"/>
            <w:color w:val="7BBDD6"/>
          </w:rPr>
          <w:t>https://www.elgalabwater.com/blog/microbeads-tiny-plastics-creating-big-problems</w:t>
        </w:r>
      </w:hyperlink>
      <w:r w:rsidRPr="00B949E1">
        <w:rPr>
          <w:color w:val="7BBDD6"/>
        </w:rPr>
        <w:t xml:space="preserve"> </w:t>
      </w:r>
    </w:p>
  </w:footnote>
  <w:footnote w:id="105">
    <w:p w14:paraId="54600A4C" w14:textId="77777777" w:rsidR="00B949E1" w:rsidRDefault="00B949E1" w:rsidP="00B949E1">
      <w:pPr>
        <w:pStyle w:val="FootnoteText"/>
      </w:pPr>
      <w:r>
        <w:rPr>
          <w:rStyle w:val="FootnoteReference"/>
        </w:rPr>
        <w:footnoteRef/>
      </w:r>
      <w:r>
        <w:t xml:space="preserve"> Australian Government, </w:t>
      </w:r>
      <w:r>
        <w:rPr>
          <w:i/>
          <w:iCs/>
        </w:rPr>
        <w:t>Plastic Microbeads</w:t>
      </w:r>
      <w:r>
        <w:t xml:space="preserve">, accessed 7 March 2023, </w:t>
      </w:r>
      <w:hyperlink r:id="rId32" w:history="1">
        <w:r w:rsidRPr="00B949E1">
          <w:rPr>
            <w:rStyle w:val="Hyperlink"/>
            <w:color w:val="7BBDD6"/>
          </w:rPr>
          <w:t>https://www.dcceew.gov.au/environment/protection/waste/plastics-and-packaging/plastic-microbeads</w:t>
        </w:r>
      </w:hyperlink>
    </w:p>
  </w:footnote>
  <w:footnote w:id="106">
    <w:p w14:paraId="0377F987" w14:textId="77777777" w:rsidR="00B949E1" w:rsidRDefault="00B949E1" w:rsidP="00B949E1">
      <w:pPr>
        <w:pStyle w:val="FootnoteText"/>
      </w:pPr>
      <w:r>
        <w:rPr>
          <w:rStyle w:val="FootnoteReference"/>
        </w:rPr>
        <w:footnoteRef/>
      </w:r>
      <w:r>
        <w:t xml:space="preserve"> Ibid.</w:t>
      </w:r>
    </w:p>
  </w:footnote>
  <w:footnote w:id="107">
    <w:p w14:paraId="2CAC6372" w14:textId="77777777" w:rsidR="00B949E1" w:rsidRDefault="00B949E1" w:rsidP="00B949E1">
      <w:pPr>
        <w:pStyle w:val="FootnoteText"/>
      </w:pPr>
      <w:r>
        <w:rPr>
          <w:rStyle w:val="FootnoteReference"/>
        </w:rPr>
        <w:footnoteRef/>
      </w:r>
      <w:r>
        <w:t xml:space="preserve"> </w:t>
      </w:r>
      <w:r w:rsidRPr="00174EA1">
        <w:t xml:space="preserve">Department of Agriculture, Water and the Environment </w:t>
      </w:r>
      <w:r>
        <w:t xml:space="preserve">2020. </w:t>
      </w:r>
      <w:r w:rsidRPr="000F6ECE">
        <w:rPr>
          <w:i/>
          <w:iCs/>
        </w:rPr>
        <w:t>Assessment of the presence of microbeads in rinse-off personal care, cosmetic and cleaning products currently available within the Australian retail marke</w:t>
      </w:r>
      <w:r>
        <w:rPr>
          <w:i/>
          <w:iCs/>
        </w:rPr>
        <w:t xml:space="preserve">t. </w:t>
      </w:r>
      <w:hyperlink r:id="rId33" w:history="1">
        <w:r w:rsidRPr="00B949E1">
          <w:rPr>
            <w:rStyle w:val="Hyperlink"/>
            <w:color w:val="7BBDD6"/>
          </w:rPr>
          <w:t>https://www.dcceew.gov.au/environment/protection/waste/publications/assessment-presence-microbeads-pccc</w:t>
        </w:r>
      </w:hyperlink>
      <w:r>
        <w:t xml:space="preserve"> </w:t>
      </w:r>
    </w:p>
  </w:footnote>
  <w:footnote w:id="108">
    <w:p w14:paraId="6C6FD71D" w14:textId="77777777" w:rsidR="00B949E1" w:rsidRDefault="00B949E1" w:rsidP="00B949E1">
      <w:pPr>
        <w:pStyle w:val="FootnoteText"/>
      </w:pPr>
      <w:r>
        <w:rPr>
          <w:rStyle w:val="FootnoteReference"/>
        </w:rPr>
        <w:footnoteRef/>
      </w:r>
      <w:r>
        <w:t xml:space="preserve"> </w:t>
      </w:r>
      <w:r w:rsidRPr="00226F76">
        <w:t>NSW Environment Protection Authority</w:t>
      </w:r>
      <w:r>
        <w:t xml:space="preserve"> 2022. </w:t>
      </w:r>
      <w:r w:rsidRPr="00544111">
        <w:rPr>
          <w:i/>
          <w:iCs/>
        </w:rPr>
        <w:t>NSW Microbeads Ban</w:t>
      </w:r>
      <w:r>
        <w:t xml:space="preserve">. </w:t>
      </w:r>
      <w:hyperlink r:id="rId34" w:history="1">
        <w:r w:rsidRPr="00B949E1">
          <w:rPr>
            <w:rStyle w:val="Hyperlink"/>
            <w:color w:val="7BBDD6"/>
          </w:rPr>
          <w:t>https://www.epa.nsw.gov.au/your-environment/waste/reducing-your-household-waste/what-are-microbeads</w:t>
        </w:r>
      </w:hyperlink>
      <w:r>
        <w:t xml:space="preserve"> </w:t>
      </w:r>
    </w:p>
  </w:footnote>
  <w:footnote w:id="109">
    <w:p w14:paraId="199C7769" w14:textId="77777777" w:rsidR="00B949E1" w:rsidRPr="00A86D87" w:rsidRDefault="00B949E1" w:rsidP="00B949E1">
      <w:pPr>
        <w:pStyle w:val="FootnoteText"/>
      </w:pPr>
      <w:r>
        <w:rPr>
          <w:rStyle w:val="FootnoteReference"/>
        </w:rPr>
        <w:footnoteRef/>
      </w:r>
      <w:r>
        <w:t xml:space="preserve"> Department of Agriculture, Water and the Environment, 2021, </w:t>
      </w:r>
      <w:r>
        <w:rPr>
          <w:i/>
          <w:iCs/>
        </w:rPr>
        <w:t>National Plastics Plan 2021</w:t>
      </w:r>
    </w:p>
  </w:footnote>
  <w:footnote w:id="110">
    <w:p w14:paraId="229DC4FF" w14:textId="77777777" w:rsidR="00B949E1" w:rsidRDefault="00B949E1" w:rsidP="00B949E1">
      <w:pPr>
        <w:pStyle w:val="FootnoteText"/>
      </w:pPr>
      <w:r>
        <w:rPr>
          <w:rStyle w:val="FootnoteReference"/>
        </w:rPr>
        <w:footnoteRef/>
      </w:r>
      <w:r>
        <w:t xml:space="preserve"> </w:t>
      </w:r>
      <w:r>
        <w:rPr>
          <w:lang w:val="en-US"/>
        </w:rPr>
        <w:t xml:space="preserve">Green Industries South Australia 2021, </w:t>
      </w:r>
      <w:r w:rsidRPr="008471F7">
        <w:rPr>
          <w:i/>
          <w:iCs/>
          <w:lang w:val="en-US"/>
        </w:rPr>
        <w:t>Turning the Tide: The future of single-use plastic in South Australia</w:t>
      </w:r>
      <w:r>
        <w:rPr>
          <w:lang w:val="en-US"/>
        </w:rPr>
        <w:t>.</w:t>
      </w:r>
    </w:p>
  </w:footnote>
  <w:footnote w:id="111">
    <w:p w14:paraId="199B39EA" w14:textId="77777777" w:rsidR="00B949E1" w:rsidRDefault="00B949E1" w:rsidP="00B949E1">
      <w:pPr>
        <w:pStyle w:val="FootnoteText"/>
      </w:pPr>
      <w:r>
        <w:rPr>
          <w:rStyle w:val="FootnoteReference"/>
        </w:rPr>
        <w:footnoteRef/>
      </w:r>
      <w:r>
        <w:t xml:space="preserve"> </w:t>
      </w:r>
      <w:r w:rsidRPr="006F3AE0">
        <w:t>Australian Packaging Covenant Organisation (APCO)</w:t>
      </w:r>
      <w:r>
        <w:t>,</w:t>
      </w:r>
      <w:r w:rsidRPr="006F3AE0">
        <w:t xml:space="preserve"> 2020</w:t>
      </w:r>
      <w:r>
        <w:t>,</w:t>
      </w:r>
      <w:r w:rsidRPr="006F3AE0">
        <w:t xml:space="preserve"> </w:t>
      </w:r>
      <w:r w:rsidRPr="00495A9F">
        <w:rPr>
          <w:i/>
          <w:iCs/>
        </w:rPr>
        <w:t xml:space="preserve">Action Plan for Problematic and Unnecessary </w:t>
      </w:r>
      <w:r>
        <w:rPr>
          <w:i/>
          <w:iCs/>
        </w:rPr>
        <w:t>Single-use</w:t>
      </w:r>
      <w:r w:rsidRPr="00495A9F">
        <w:rPr>
          <w:i/>
          <w:iCs/>
        </w:rPr>
        <w:t xml:space="preserve"> Plastics</w:t>
      </w:r>
      <w:r w:rsidRPr="006F3AE0">
        <w:t>.</w:t>
      </w:r>
    </w:p>
  </w:footnote>
  <w:footnote w:id="112">
    <w:p w14:paraId="73098039" w14:textId="77777777" w:rsidR="00B949E1" w:rsidRDefault="00B949E1" w:rsidP="00B949E1">
      <w:pPr>
        <w:pStyle w:val="FootnoteText"/>
      </w:pPr>
      <w:r>
        <w:rPr>
          <w:rStyle w:val="FootnoteReference"/>
        </w:rPr>
        <w:footnoteRef/>
      </w:r>
      <w:r>
        <w:t xml:space="preserve"> IBISWorld 2021, </w:t>
      </w:r>
      <w:r w:rsidRPr="00C81F94">
        <w:rPr>
          <w:i/>
          <w:iCs/>
        </w:rPr>
        <w:t>Plastic Pipe and Plastic Packaging Material Manufacturing in Australia</w:t>
      </w:r>
      <w:r>
        <w:t xml:space="preserve">, April. IBISWorld 2021, </w:t>
      </w:r>
      <w:r w:rsidRPr="00C81F94">
        <w:rPr>
          <w:i/>
          <w:iCs/>
        </w:rPr>
        <w:t>Plastic Bag and Film Manufacturing in Australia</w:t>
      </w:r>
      <w:r>
        <w:t>, March.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C21F" w14:textId="77777777" w:rsidR="00B949E1" w:rsidRPr="00361FF9" w:rsidRDefault="00B949E1" w:rsidP="00361F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BD99" w14:textId="77777777" w:rsidR="00B949E1" w:rsidRDefault="00B949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5C138AA6" w14:textId="77777777" w:rsidTr="00361FF9">
      <w:trPr>
        <w:trHeight w:hRule="exact" w:val="356"/>
      </w:trPr>
      <w:tc>
        <w:tcPr>
          <w:tcW w:w="5182" w:type="dxa"/>
          <w:shd w:val="clear" w:color="auto" w:fill="auto"/>
        </w:tcPr>
        <w:p w14:paraId="681B05CC" w14:textId="0AC65751" w:rsidR="00B949E1" w:rsidRDefault="00B949E1" w:rsidP="00361FF9">
          <w:pPr>
            <w:pStyle w:val="spacer"/>
          </w:pPr>
          <w:r>
            <w:rPr>
              <w:noProof/>
            </w:rPr>
            <mc:AlternateContent>
              <mc:Choice Requires="wpg">
                <w:drawing>
                  <wp:anchor distT="0" distB="0" distL="114300" distR="114300" simplePos="0" relativeHeight="251660288" behindDoc="0" locked="1" layoutInCell="1" allowOverlap="1" wp14:anchorId="3242016B" wp14:editId="26B1B701">
                    <wp:simplePos x="0" y="0"/>
                    <wp:positionH relativeFrom="page">
                      <wp:posOffset>0</wp:posOffset>
                    </wp:positionH>
                    <wp:positionV relativeFrom="page">
                      <wp:posOffset>69850</wp:posOffset>
                    </wp:positionV>
                    <wp:extent cx="981075" cy="142875"/>
                    <wp:effectExtent l="0" t="0" r="0" b="0"/>
                    <wp:wrapNone/>
                    <wp:docPr id="539" name="Group 5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40" name="Rectangle 3"/>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41"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E44725" id="Group 539" o:spid="_x0000_s1026" style="position:absolute;margin-left:0;margin-top:5.5pt;width:77.25pt;height:11.25pt;z-index:25166028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">
                    <o:lock v:ext="edit" aspectratio="t"/>
                    <v:rect id="Rectangle 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6FBA6076" w14:textId="77777777" w:rsidR="00B949E1" w:rsidRDefault="00B949E1" w:rsidP="00E04522">
          <w:pPr>
            <w:pStyle w:val="Header-CompanyName"/>
            <w:jc w:val="left"/>
          </w:pPr>
        </w:p>
      </w:tc>
    </w:tr>
  </w:tbl>
  <w:p w14:paraId="74BADED7" w14:textId="77777777" w:rsidR="00B949E1" w:rsidRPr="00361FF9" w:rsidRDefault="00B949E1" w:rsidP="00361F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CBAA" w14:textId="77777777" w:rsidR="00B949E1" w:rsidRDefault="00B949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62FD" w14:textId="77777777" w:rsidR="00B949E1" w:rsidRPr="00AB701D" w:rsidRDefault="00B949E1" w:rsidP="00AB70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5CF34C2F" w14:textId="77777777" w:rsidTr="00AB701D">
      <w:trPr>
        <w:trHeight w:hRule="exact" w:val="356"/>
      </w:trPr>
      <w:tc>
        <w:tcPr>
          <w:tcW w:w="5182" w:type="dxa"/>
          <w:shd w:val="clear" w:color="auto" w:fill="auto"/>
        </w:tcPr>
        <w:p w14:paraId="5D4E604F" w14:textId="6AE2DB70" w:rsidR="00B949E1" w:rsidRDefault="00B949E1" w:rsidP="00AB701D">
          <w:pPr>
            <w:pStyle w:val="spacer"/>
          </w:pPr>
          <w:r>
            <w:rPr>
              <w:noProof/>
            </w:rPr>
            <mc:AlternateContent>
              <mc:Choice Requires="wpg">
                <w:drawing>
                  <wp:anchor distT="0" distB="0" distL="114300" distR="114300" simplePos="0" relativeHeight="251663360" behindDoc="0" locked="1" layoutInCell="1" allowOverlap="1" wp14:anchorId="6FBF85FC" wp14:editId="65AE4D93">
                    <wp:simplePos x="0" y="0"/>
                    <wp:positionH relativeFrom="page">
                      <wp:posOffset>0</wp:posOffset>
                    </wp:positionH>
                    <wp:positionV relativeFrom="page">
                      <wp:posOffset>69850</wp:posOffset>
                    </wp:positionV>
                    <wp:extent cx="981075" cy="142875"/>
                    <wp:effectExtent l="0" t="0" r="0" b="0"/>
                    <wp:wrapNone/>
                    <wp:docPr id="536" name="Group 5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37" name="Rectangle 53"/>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3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8D24B5" id="Group 536" o:spid="_x0000_s1026" style="position:absolute;margin-left:0;margin-top:5.5pt;width:77.25pt;height:11.25pt;z-index:25166336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">
                    <o:lock v:ext="edit" aspectratio="t"/>
                    <v:rect id="Rectangle 5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22D192A3" w14:textId="77777777" w:rsidR="00B949E1" w:rsidRDefault="00B949E1" w:rsidP="00E04522">
          <w:pPr>
            <w:pStyle w:val="Header-CompanyName"/>
            <w:jc w:val="left"/>
          </w:pPr>
        </w:p>
      </w:tc>
    </w:tr>
  </w:tbl>
  <w:p w14:paraId="7CBE8029" w14:textId="77777777" w:rsidR="00B949E1" w:rsidRPr="00AB701D" w:rsidRDefault="00B949E1" w:rsidP="00AB70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A413" w14:textId="77777777" w:rsidR="00B949E1" w:rsidRPr="00AB701D" w:rsidRDefault="00B949E1" w:rsidP="00AB70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B1A4" w14:textId="77777777" w:rsidR="00B949E1" w:rsidRDefault="00B949E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1711EEFA" w14:textId="77777777" w:rsidTr="00361FF9">
      <w:trPr>
        <w:trHeight w:hRule="exact" w:val="356"/>
      </w:trPr>
      <w:tc>
        <w:tcPr>
          <w:tcW w:w="5182" w:type="dxa"/>
          <w:shd w:val="clear" w:color="auto" w:fill="auto"/>
        </w:tcPr>
        <w:p w14:paraId="6F8B3395" w14:textId="3500E8CA" w:rsidR="00B949E1" w:rsidRDefault="00B949E1" w:rsidP="00361FF9">
          <w:pPr>
            <w:pStyle w:val="spacer"/>
          </w:pPr>
          <w:r>
            <w:rPr>
              <w:noProof/>
            </w:rPr>
            <mc:AlternateContent>
              <mc:Choice Requires="wpg">
                <w:drawing>
                  <wp:anchor distT="0" distB="0" distL="114300" distR="114300" simplePos="0" relativeHeight="251661312" behindDoc="0" locked="1" layoutInCell="1" allowOverlap="1" wp14:anchorId="3C823513" wp14:editId="4A1C2694">
                    <wp:simplePos x="0" y="0"/>
                    <wp:positionH relativeFrom="page">
                      <wp:posOffset>0</wp:posOffset>
                    </wp:positionH>
                    <wp:positionV relativeFrom="page">
                      <wp:posOffset>69850</wp:posOffset>
                    </wp:positionV>
                    <wp:extent cx="981075" cy="142875"/>
                    <wp:effectExtent l="0" t="0" r="0" b="0"/>
                    <wp:wrapNone/>
                    <wp:docPr id="533" name="Group 5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34" name="Rectangle 7"/>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3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242D56" id="Group 533" o:spid="_x0000_s1026" style="position:absolute;margin-left:0;margin-top:5.5pt;width:77.25pt;height:11.25pt;z-index:25166131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">
                    <o:lock v:ext="edit" aspectratio="t"/>
                    <v:rect id="Rectangle 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4A46BEC9" w14:textId="77777777" w:rsidR="00B949E1" w:rsidRDefault="00B949E1" w:rsidP="00E04522">
          <w:pPr>
            <w:pStyle w:val="Header-CompanyName"/>
            <w:jc w:val="left"/>
          </w:pPr>
        </w:p>
      </w:tc>
    </w:tr>
  </w:tbl>
  <w:p w14:paraId="2609AB03" w14:textId="77777777" w:rsidR="00B949E1" w:rsidRPr="00361FF9" w:rsidRDefault="00B949E1" w:rsidP="00361F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34AD" w14:textId="77777777" w:rsidR="00B949E1" w:rsidRDefault="00B949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478" w14:textId="77777777" w:rsidR="00B949E1" w:rsidRPr="00896F96" w:rsidRDefault="00B949E1" w:rsidP="00896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B949E1" w:rsidRPr="005C4104" w14:paraId="1746AED3" w14:textId="77777777" w:rsidTr="00361FF9">
      <w:trPr>
        <w:trHeight w:hRule="exact" w:val="356"/>
      </w:trPr>
      <w:tc>
        <w:tcPr>
          <w:tcW w:w="5026" w:type="dxa"/>
          <w:shd w:val="clear" w:color="auto" w:fill="auto"/>
        </w:tcPr>
        <w:p w14:paraId="3A4FD410" w14:textId="77777777" w:rsidR="00B949E1" w:rsidRDefault="00B949E1" w:rsidP="00361FF9">
          <w:pPr>
            <w:pStyle w:val="tagcontactsPage-Front"/>
          </w:pPr>
        </w:p>
      </w:tc>
      <w:tc>
        <w:tcPr>
          <w:tcW w:w="5026" w:type="dxa"/>
          <w:shd w:val="clear" w:color="auto" w:fill="auto"/>
          <w:vAlign w:val="center"/>
        </w:tcPr>
        <w:p w14:paraId="238743F4" w14:textId="77777777" w:rsidR="00B949E1" w:rsidRPr="00E04522" w:rsidRDefault="00B949E1" w:rsidP="00E04522">
          <w:pPr>
            <w:pStyle w:val="Header-CompanyName"/>
            <w:jc w:val="left"/>
            <w:rPr>
              <w:b/>
              <w:bCs/>
              <w:color w:val="FF0000"/>
              <w:sz w:val="22"/>
              <w:szCs w:val="36"/>
            </w:rPr>
          </w:pPr>
        </w:p>
      </w:tc>
    </w:tr>
  </w:tbl>
  <w:p w14:paraId="0DAD9D90" w14:textId="77777777" w:rsidR="00B949E1" w:rsidRPr="00361FF9" w:rsidRDefault="00B949E1" w:rsidP="00361FF9">
    <w:pPr>
      <w:pStyle w:val="tagcontactsPage-Fron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3C139C9D" w14:textId="77777777" w:rsidTr="00896F96">
      <w:trPr>
        <w:trHeight w:hRule="exact" w:val="356"/>
      </w:trPr>
      <w:tc>
        <w:tcPr>
          <w:tcW w:w="5182" w:type="dxa"/>
          <w:shd w:val="clear" w:color="auto" w:fill="auto"/>
        </w:tcPr>
        <w:p w14:paraId="363C05BE" w14:textId="6144EFE9" w:rsidR="00B949E1" w:rsidRDefault="00B949E1" w:rsidP="00896F96">
          <w:pPr>
            <w:pStyle w:val="spacer"/>
          </w:pPr>
          <w:r>
            <w:rPr>
              <w:noProof/>
            </w:rPr>
            <mc:AlternateContent>
              <mc:Choice Requires="wpg">
                <w:drawing>
                  <wp:anchor distT="0" distB="0" distL="114300" distR="114300" simplePos="0" relativeHeight="251673600" behindDoc="0" locked="1" layoutInCell="1" allowOverlap="1" wp14:anchorId="77054FF0" wp14:editId="01C798FE">
                    <wp:simplePos x="0" y="0"/>
                    <wp:positionH relativeFrom="page">
                      <wp:posOffset>0</wp:posOffset>
                    </wp:positionH>
                    <wp:positionV relativeFrom="page">
                      <wp:posOffset>69850</wp:posOffset>
                    </wp:positionV>
                    <wp:extent cx="981075" cy="142875"/>
                    <wp:effectExtent l="0" t="0" r="0" b="0"/>
                    <wp:wrapNone/>
                    <wp:docPr id="530" name="Group 5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31" name="Rectangle 66"/>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32"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E91D06" id="Group 530" o:spid="_x0000_s1026" style="position:absolute;margin-left:0;margin-top:5.5pt;width:77.25pt;height:11.25pt;z-index:25167360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">
                    <o:lock v:ext="edit" aspectratio="t"/>
                    <v:rect id="Rectangle 66"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37B529DC" w14:textId="77777777" w:rsidR="00B949E1" w:rsidRDefault="00B949E1" w:rsidP="00E04522">
          <w:pPr>
            <w:pStyle w:val="Header-CompanyName"/>
            <w:jc w:val="left"/>
          </w:pPr>
        </w:p>
      </w:tc>
    </w:tr>
  </w:tbl>
  <w:p w14:paraId="576BF5A5" w14:textId="77777777" w:rsidR="00B949E1" w:rsidRPr="00896F96" w:rsidRDefault="00B949E1" w:rsidP="00896F9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02AD" w14:textId="77777777" w:rsidR="00B949E1" w:rsidRPr="00896F96" w:rsidRDefault="00B949E1" w:rsidP="00896F9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C3D4" w14:textId="77777777" w:rsidR="00B949E1" w:rsidRPr="00303260" w:rsidRDefault="00B949E1" w:rsidP="0030326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55C08E0A" w14:textId="77777777" w:rsidTr="00303260">
      <w:trPr>
        <w:trHeight w:hRule="exact" w:val="356"/>
      </w:trPr>
      <w:tc>
        <w:tcPr>
          <w:tcW w:w="5182" w:type="dxa"/>
          <w:shd w:val="clear" w:color="auto" w:fill="auto"/>
        </w:tcPr>
        <w:p w14:paraId="03630744" w14:textId="3BFE4EF2" w:rsidR="00B949E1" w:rsidRDefault="00B949E1" w:rsidP="00303260">
          <w:pPr>
            <w:pStyle w:val="spacer"/>
          </w:pPr>
          <w:r>
            <w:rPr>
              <w:noProof/>
            </w:rPr>
            <mc:AlternateContent>
              <mc:Choice Requires="wpg">
                <w:drawing>
                  <wp:anchor distT="0" distB="0" distL="114300" distR="114300" simplePos="0" relativeHeight="251670528" behindDoc="0" locked="1" layoutInCell="1" allowOverlap="1" wp14:anchorId="5D89A9EA" wp14:editId="6BC9E90B">
                    <wp:simplePos x="0" y="0"/>
                    <wp:positionH relativeFrom="page">
                      <wp:posOffset>0</wp:posOffset>
                    </wp:positionH>
                    <wp:positionV relativeFrom="page">
                      <wp:posOffset>69850</wp:posOffset>
                    </wp:positionV>
                    <wp:extent cx="981075" cy="142875"/>
                    <wp:effectExtent l="0" t="0" r="0" b="0"/>
                    <wp:wrapNone/>
                    <wp:docPr id="527" name="Group 5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28" name="Rectangle 39"/>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2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48670B" id="Group 527" o:spid="_x0000_s1026" style="position:absolute;margin-left:0;margin-top:5.5pt;width:77.25pt;height:11.25pt;z-index:25167052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">
                    <o:lock v:ext="edit" aspectratio="t"/>
                    <v:rect id="Rectangle 39"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91A6C7C" w14:textId="77777777" w:rsidR="00B949E1" w:rsidRDefault="00B949E1" w:rsidP="00E04522">
          <w:pPr>
            <w:pStyle w:val="Header-CompanyName"/>
            <w:jc w:val="left"/>
          </w:pPr>
        </w:p>
      </w:tc>
    </w:tr>
  </w:tbl>
  <w:p w14:paraId="5715E9ED" w14:textId="77777777" w:rsidR="00B949E1" w:rsidRPr="00303260" w:rsidRDefault="00B949E1" w:rsidP="0030326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BFBC" w14:textId="77777777" w:rsidR="00B949E1" w:rsidRPr="00303260" w:rsidRDefault="00B949E1" w:rsidP="0030326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6FCB" w14:textId="77777777" w:rsidR="00B949E1" w:rsidRPr="00BD5BF3" w:rsidRDefault="00B949E1" w:rsidP="00BD5BF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0C4D6C1E" w14:textId="77777777" w:rsidTr="00BD5BF3">
      <w:trPr>
        <w:trHeight w:hRule="exact" w:val="356"/>
      </w:trPr>
      <w:tc>
        <w:tcPr>
          <w:tcW w:w="5182" w:type="dxa"/>
          <w:shd w:val="clear" w:color="auto" w:fill="auto"/>
        </w:tcPr>
        <w:p w14:paraId="409093A0" w14:textId="6549BAF9" w:rsidR="00B949E1" w:rsidRDefault="00B949E1" w:rsidP="00BD5BF3">
          <w:pPr>
            <w:pStyle w:val="spacer"/>
          </w:pPr>
          <w:r>
            <w:rPr>
              <w:noProof/>
            </w:rPr>
            <mc:AlternateContent>
              <mc:Choice Requires="wpg">
                <w:drawing>
                  <wp:anchor distT="0" distB="0" distL="114300" distR="114300" simplePos="0" relativeHeight="251666432" behindDoc="0" locked="1" layoutInCell="1" allowOverlap="1" wp14:anchorId="23AE0CE2" wp14:editId="00C3741A">
                    <wp:simplePos x="0" y="0"/>
                    <wp:positionH relativeFrom="page">
                      <wp:posOffset>0</wp:posOffset>
                    </wp:positionH>
                    <wp:positionV relativeFrom="page">
                      <wp:posOffset>69850</wp:posOffset>
                    </wp:positionV>
                    <wp:extent cx="981075" cy="142875"/>
                    <wp:effectExtent l="0" t="0" r="0" b="0"/>
                    <wp:wrapNone/>
                    <wp:docPr id="521" name="Group 5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22" name="Rectangle 126"/>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2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D75CE8" id="Group 521" o:spid="_x0000_s1026" style="position:absolute;margin-left:0;margin-top:5.5pt;width:77.25pt;height:11.25pt;z-index:25166643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">
                    <o:lock v:ext="edit" aspectratio="t"/>
                    <v:rect id="Rectangle 126"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57C4AC7" w14:textId="77777777" w:rsidR="00B949E1" w:rsidRDefault="00B949E1" w:rsidP="00E04522">
          <w:pPr>
            <w:pStyle w:val="Header-CompanyName"/>
            <w:jc w:val="left"/>
          </w:pPr>
        </w:p>
      </w:tc>
    </w:tr>
  </w:tbl>
  <w:p w14:paraId="11397ABE" w14:textId="77777777" w:rsidR="00B949E1" w:rsidRPr="00BD5BF3" w:rsidRDefault="00B949E1" w:rsidP="00BD5BF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03FF" w14:textId="77777777" w:rsidR="00B949E1" w:rsidRPr="00BD5BF3" w:rsidRDefault="00B949E1" w:rsidP="00BD5BF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0CDA" w14:textId="77777777" w:rsidR="00B949E1" w:rsidRPr="00BD5BF3" w:rsidRDefault="00B949E1" w:rsidP="00BD5B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280" w:type="dxa"/>
      <w:tblInd w:w="-2412" w:type="dxa"/>
      <w:tblLayout w:type="fixed"/>
      <w:tblCellMar>
        <w:left w:w="0" w:type="dxa"/>
        <w:right w:w="0" w:type="dxa"/>
      </w:tblCellMar>
      <w:tblLook w:val="0000" w:firstRow="0" w:lastRow="0" w:firstColumn="0" w:lastColumn="0" w:noHBand="0" w:noVBand="0"/>
    </w:tblPr>
    <w:tblGrid>
      <w:gridCol w:w="7641"/>
      <w:gridCol w:w="7639"/>
    </w:tblGrid>
    <w:tr w:rsidR="00B949E1" w14:paraId="66E3E276" w14:textId="77777777" w:rsidTr="00D669A0">
      <w:trPr>
        <w:trHeight w:hRule="exact" w:val="356"/>
      </w:trPr>
      <w:tc>
        <w:tcPr>
          <w:tcW w:w="7641" w:type="dxa"/>
          <w:shd w:val="clear" w:color="auto" w:fill="auto"/>
        </w:tcPr>
        <w:p w14:paraId="5E8AA0A0" w14:textId="0257C3FD" w:rsidR="00B949E1" w:rsidRDefault="00B949E1" w:rsidP="00BD5BF3">
          <w:pPr>
            <w:pStyle w:val="spacer"/>
          </w:pPr>
          <w:r>
            <w:rPr>
              <w:noProof/>
            </w:rPr>
            <mc:AlternateContent>
              <mc:Choice Requires="wpg">
                <w:drawing>
                  <wp:anchor distT="0" distB="0" distL="114300" distR="114300" simplePos="0" relativeHeight="251667456" behindDoc="0" locked="1" layoutInCell="1" allowOverlap="1" wp14:anchorId="20688B47" wp14:editId="3B4933DF">
                    <wp:simplePos x="0" y="0"/>
                    <wp:positionH relativeFrom="page">
                      <wp:posOffset>0</wp:posOffset>
                    </wp:positionH>
                    <wp:positionV relativeFrom="page">
                      <wp:posOffset>69850</wp:posOffset>
                    </wp:positionV>
                    <wp:extent cx="981075" cy="142875"/>
                    <wp:effectExtent l="0" t="0" r="0" b="0"/>
                    <wp:wrapNone/>
                    <wp:docPr id="48"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49" name="Rectangle 513"/>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29C29B" id="Group 48" o:spid="_x0000_s1026" style="position:absolute;margin-left:0;margin-top:5.5pt;width:77.25pt;height:11.25pt;z-index:25166745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">
                    <o:lock v:ext="edit" aspectratio="t"/>
                    <v:rect id="Rectangle 51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39" w:type="dxa"/>
          <w:shd w:val="clear" w:color="auto" w:fill="auto"/>
          <w:vAlign w:val="center"/>
        </w:tcPr>
        <w:p w14:paraId="07411589" w14:textId="77777777" w:rsidR="00B949E1" w:rsidRDefault="00B949E1" w:rsidP="00E04522">
          <w:pPr>
            <w:pStyle w:val="Header-CompanyName"/>
            <w:jc w:val="left"/>
          </w:pPr>
        </w:p>
      </w:tc>
    </w:tr>
  </w:tbl>
  <w:p w14:paraId="4F73C3D3" w14:textId="77777777" w:rsidR="00B949E1" w:rsidRPr="00BD5BF3" w:rsidRDefault="00B949E1" w:rsidP="00BD5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CFA6" w14:textId="77777777" w:rsidR="00B949E1" w:rsidRPr="00361FF9" w:rsidRDefault="00B949E1" w:rsidP="00361F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4942" w14:textId="77777777" w:rsidR="00B949E1" w:rsidRPr="00BD5BF3" w:rsidRDefault="00B949E1" w:rsidP="00BD5BF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F7DC" w14:textId="77777777" w:rsidR="00B949E1" w:rsidRPr="00BD5BF3" w:rsidRDefault="00B949E1" w:rsidP="00BD5BF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04A33BE0" w14:textId="77777777" w:rsidTr="00BD5BF3">
      <w:trPr>
        <w:trHeight w:hRule="exact" w:val="356"/>
      </w:trPr>
      <w:tc>
        <w:tcPr>
          <w:tcW w:w="5182" w:type="dxa"/>
          <w:shd w:val="clear" w:color="auto" w:fill="auto"/>
        </w:tcPr>
        <w:p w14:paraId="273F5FBB" w14:textId="690F4E1B" w:rsidR="00B949E1" w:rsidRDefault="00B949E1" w:rsidP="00BD5BF3">
          <w:pPr>
            <w:pStyle w:val="spacer"/>
          </w:pPr>
          <w:r>
            <w:rPr>
              <w:noProof/>
            </w:rPr>
            <mc:AlternateContent>
              <mc:Choice Requires="wpg">
                <w:drawing>
                  <wp:anchor distT="0" distB="0" distL="114300" distR="114300" simplePos="0" relativeHeight="251668480" behindDoc="0" locked="1" layoutInCell="1" allowOverlap="1" wp14:anchorId="3F7379CF" wp14:editId="298832BD">
                    <wp:simplePos x="0" y="0"/>
                    <wp:positionH relativeFrom="page">
                      <wp:posOffset>0</wp:posOffset>
                    </wp:positionH>
                    <wp:positionV relativeFrom="page">
                      <wp:posOffset>69850</wp:posOffset>
                    </wp:positionV>
                    <wp:extent cx="981075" cy="142875"/>
                    <wp:effectExtent l="0" t="0" r="0" b="0"/>
                    <wp:wrapNone/>
                    <wp:docPr id="37"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42" name="Rectangle 516"/>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4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5EB02A" id="Group 37" o:spid="_x0000_s1026" style="position:absolute;margin-left:0;margin-top:5.5pt;width:77.25pt;height:11.25pt;z-index:25166848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">
                    <o:lock v:ext="edit" aspectratio="t"/>
                    <v:rect id="Rectangle 516"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4548604D" w14:textId="77777777" w:rsidR="00B949E1" w:rsidRDefault="00B949E1" w:rsidP="00E04522">
          <w:pPr>
            <w:pStyle w:val="Header-CompanyName"/>
            <w:jc w:val="left"/>
          </w:pPr>
        </w:p>
      </w:tc>
    </w:tr>
  </w:tbl>
  <w:p w14:paraId="053CA1F2" w14:textId="77777777" w:rsidR="00B949E1" w:rsidRPr="00BD5BF3" w:rsidRDefault="00B949E1" w:rsidP="00BD5BF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4CEC" w14:textId="77777777" w:rsidR="00B949E1" w:rsidRPr="00BD5BF3" w:rsidRDefault="00B949E1" w:rsidP="00BD5BF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FE64" w14:textId="77777777" w:rsidR="00B949E1" w:rsidRPr="00BD5BF3" w:rsidRDefault="00B949E1" w:rsidP="00BD5BF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280" w:type="dxa"/>
      <w:tblInd w:w="-2412" w:type="dxa"/>
      <w:tblLayout w:type="fixed"/>
      <w:tblCellMar>
        <w:left w:w="0" w:type="dxa"/>
        <w:right w:w="0" w:type="dxa"/>
      </w:tblCellMar>
      <w:tblLook w:val="0000" w:firstRow="0" w:lastRow="0" w:firstColumn="0" w:lastColumn="0" w:noHBand="0" w:noVBand="0"/>
    </w:tblPr>
    <w:tblGrid>
      <w:gridCol w:w="7641"/>
      <w:gridCol w:w="7639"/>
    </w:tblGrid>
    <w:tr w:rsidR="00B949E1" w14:paraId="340907F9" w14:textId="77777777" w:rsidTr="00BD3AFF">
      <w:trPr>
        <w:trHeight w:hRule="exact" w:val="356"/>
      </w:trPr>
      <w:tc>
        <w:tcPr>
          <w:tcW w:w="7641" w:type="dxa"/>
          <w:shd w:val="clear" w:color="auto" w:fill="auto"/>
        </w:tcPr>
        <w:p w14:paraId="3F9A480E" w14:textId="54D8C8FD" w:rsidR="00B949E1" w:rsidRDefault="00B949E1" w:rsidP="00BD5BF3">
          <w:pPr>
            <w:pStyle w:val="spacer"/>
          </w:pPr>
          <w:r>
            <w:rPr>
              <w:noProof/>
            </w:rPr>
            <mc:AlternateContent>
              <mc:Choice Requires="wpg">
                <w:drawing>
                  <wp:anchor distT="0" distB="0" distL="114300" distR="114300" simplePos="0" relativeHeight="251669504" behindDoc="0" locked="1" layoutInCell="1" allowOverlap="1" wp14:anchorId="0D439FE9" wp14:editId="70A714E0">
                    <wp:simplePos x="0" y="0"/>
                    <wp:positionH relativeFrom="page">
                      <wp:posOffset>0</wp:posOffset>
                    </wp:positionH>
                    <wp:positionV relativeFrom="page">
                      <wp:posOffset>69850</wp:posOffset>
                    </wp:positionV>
                    <wp:extent cx="981075" cy="142875"/>
                    <wp:effectExtent l="0" t="0" r="0" b="0"/>
                    <wp:wrapNone/>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8" name="Rectangle 519"/>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2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D80E08" id="Group 27" o:spid="_x0000_s1026" style="position:absolute;margin-left:0;margin-top:5.5pt;width:77.25pt;height:11.25pt;z-index:25166950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">
                    <o:lock v:ext="edit" aspectratio="t"/>
                    <v:rect id="Rectangle 519"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39" w:type="dxa"/>
          <w:shd w:val="clear" w:color="auto" w:fill="auto"/>
          <w:vAlign w:val="center"/>
        </w:tcPr>
        <w:p w14:paraId="1CCB0845" w14:textId="77777777" w:rsidR="00B949E1" w:rsidRDefault="00B949E1" w:rsidP="00E04522">
          <w:pPr>
            <w:pStyle w:val="Header-CompanyName"/>
            <w:jc w:val="left"/>
          </w:pPr>
        </w:p>
      </w:tc>
    </w:tr>
  </w:tbl>
  <w:p w14:paraId="5983AB2E" w14:textId="77777777" w:rsidR="00B949E1" w:rsidRPr="00BD5BF3" w:rsidRDefault="00B949E1" w:rsidP="00BD5BF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6983" w14:textId="77777777" w:rsidR="00B949E1" w:rsidRPr="00BD5BF3" w:rsidRDefault="00B949E1" w:rsidP="00BD5BF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FFF6" w14:textId="77777777" w:rsidR="00B949E1" w:rsidRPr="00C32B0D" w:rsidRDefault="00B949E1" w:rsidP="00C32B0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02B559AA" w14:textId="77777777" w:rsidTr="00C32B0D">
      <w:trPr>
        <w:trHeight w:hRule="exact" w:val="356"/>
      </w:trPr>
      <w:tc>
        <w:tcPr>
          <w:tcW w:w="5182" w:type="dxa"/>
          <w:shd w:val="clear" w:color="auto" w:fill="auto"/>
        </w:tcPr>
        <w:p w14:paraId="40BB7D34" w14:textId="459F1900" w:rsidR="00B949E1" w:rsidRDefault="00B949E1" w:rsidP="00C32B0D">
          <w:pPr>
            <w:pStyle w:val="spacer"/>
          </w:pPr>
          <w:r>
            <w:rPr>
              <w:noProof/>
            </w:rPr>
            <mc:AlternateContent>
              <mc:Choice Requires="wpg">
                <w:drawing>
                  <wp:anchor distT="0" distB="0" distL="114300" distR="114300" simplePos="0" relativeHeight="251665408" behindDoc="0" locked="1" layoutInCell="1" allowOverlap="1" wp14:anchorId="10CF7E7B" wp14:editId="73D8220C">
                    <wp:simplePos x="0" y="0"/>
                    <wp:positionH relativeFrom="page">
                      <wp:posOffset>0</wp:posOffset>
                    </wp:positionH>
                    <wp:positionV relativeFrom="page">
                      <wp:posOffset>69850</wp:posOffset>
                    </wp:positionV>
                    <wp:extent cx="981075" cy="142875"/>
                    <wp:effectExtent l="0" t="0" r="0" b="0"/>
                    <wp:wrapNone/>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5" name="Rectangle 122"/>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2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BD96EA" id="Group 24" o:spid="_x0000_s1026" style="position:absolute;margin-left:0;margin-top:5.5pt;width:77.25pt;height:11.25pt;z-index:25166540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">
                    <o:lock v:ext="edit" aspectratio="t"/>
                    <v:rect id="Rectangle 12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73BF087B" w14:textId="77777777" w:rsidR="00B949E1" w:rsidRDefault="00B949E1" w:rsidP="00E04522">
          <w:pPr>
            <w:pStyle w:val="Header-CompanyName"/>
            <w:jc w:val="left"/>
          </w:pPr>
        </w:p>
      </w:tc>
    </w:tr>
  </w:tbl>
  <w:p w14:paraId="023D6F5B" w14:textId="77777777" w:rsidR="00B949E1" w:rsidRPr="00C32B0D" w:rsidRDefault="00B949E1" w:rsidP="00C32B0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640A" w14:textId="77777777" w:rsidR="00B949E1" w:rsidRPr="00C32B0D" w:rsidRDefault="00B949E1" w:rsidP="00C32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320" w14:textId="77777777" w:rsidR="00B949E1" w:rsidRDefault="00B949E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1868" w14:textId="77777777" w:rsidR="00B949E1" w:rsidRPr="00303260" w:rsidRDefault="00B949E1" w:rsidP="0030326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48483A63" w14:textId="77777777" w:rsidTr="00303260">
      <w:trPr>
        <w:trHeight w:hRule="exact" w:val="356"/>
      </w:trPr>
      <w:tc>
        <w:tcPr>
          <w:tcW w:w="5182" w:type="dxa"/>
          <w:shd w:val="clear" w:color="auto" w:fill="auto"/>
        </w:tcPr>
        <w:p w14:paraId="630BB76F" w14:textId="382AF4DC" w:rsidR="00B949E1" w:rsidRDefault="00B949E1" w:rsidP="00303260">
          <w:pPr>
            <w:pStyle w:val="spacer"/>
          </w:pPr>
          <w:r>
            <w:rPr>
              <w:noProof/>
            </w:rPr>
            <mc:AlternateContent>
              <mc:Choice Requires="wpg">
                <w:drawing>
                  <wp:anchor distT="0" distB="0" distL="114300" distR="114300" simplePos="0" relativeHeight="251671552" behindDoc="0" locked="1" layoutInCell="1" allowOverlap="1" wp14:anchorId="55B5AC0A" wp14:editId="25A4A3C1">
                    <wp:simplePos x="0" y="0"/>
                    <wp:positionH relativeFrom="page">
                      <wp:posOffset>0</wp:posOffset>
                    </wp:positionH>
                    <wp:positionV relativeFrom="page">
                      <wp:posOffset>69850</wp:posOffset>
                    </wp:positionV>
                    <wp:extent cx="981075" cy="142875"/>
                    <wp:effectExtent l="0" t="0" r="0" b="0"/>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0" name="Rectangle 47"/>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2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CA7CC3F" id="Group 18" o:spid="_x0000_s1026" style="position:absolute;margin-left:0;margin-top:5.5pt;width:77.25pt;height:11.25pt;z-index:25167155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">
                    <o:lock v:ext="edit" aspectratio="t"/>
                    <v:rect id="Rectangle 4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5388F5BD" w14:textId="77777777" w:rsidR="00B949E1" w:rsidRDefault="00B949E1" w:rsidP="00E04522">
          <w:pPr>
            <w:pStyle w:val="Header-CompanyName"/>
            <w:jc w:val="left"/>
          </w:pPr>
        </w:p>
      </w:tc>
    </w:tr>
  </w:tbl>
  <w:p w14:paraId="15F4C2EE" w14:textId="77777777" w:rsidR="00B949E1" w:rsidRPr="00303260" w:rsidRDefault="00B949E1" w:rsidP="0030326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418B" w14:textId="77777777" w:rsidR="00B949E1" w:rsidRPr="00303260" w:rsidRDefault="00B949E1" w:rsidP="0030326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17AC" w14:textId="77777777" w:rsidR="00B949E1" w:rsidRPr="00990A8C" w:rsidRDefault="00B949E1" w:rsidP="00990A8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6CCF2652" w14:textId="77777777" w:rsidTr="00990A8C">
      <w:trPr>
        <w:trHeight w:hRule="exact" w:val="356"/>
      </w:trPr>
      <w:tc>
        <w:tcPr>
          <w:tcW w:w="5182" w:type="dxa"/>
          <w:shd w:val="clear" w:color="auto" w:fill="auto"/>
        </w:tcPr>
        <w:p w14:paraId="06A4FECC" w14:textId="1F1AB564" w:rsidR="00B949E1" w:rsidRDefault="00B949E1" w:rsidP="00990A8C">
          <w:pPr>
            <w:pStyle w:val="spacer"/>
          </w:pPr>
          <w:r>
            <w:rPr>
              <w:noProof/>
            </w:rPr>
            <mc:AlternateContent>
              <mc:Choice Requires="wpg">
                <w:drawing>
                  <wp:anchor distT="0" distB="0" distL="114300" distR="114300" simplePos="0" relativeHeight="251664384" behindDoc="0" locked="1" layoutInCell="1" allowOverlap="1" wp14:anchorId="1E901266" wp14:editId="51BEC865">
                    <wp:simplePos x="0" y="0"/>
                    <wp:positionH relativeFrom="page">
                      <wp:posOffset>0</wp:posOffset>
                    </wp:positionH>
                    <wp:positionV relativeFrom="page">
                      <wp:posOffset>69850</wp:posOffset>
                    </wp:positionV>
                    <wp:extent cx="981075" cy="142875"/>
                    <wp:effectExtent l="0" t="0"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6" name="Rectangle 58"/>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1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ABCBF8" id="Group 15" o:spid="_x0000_s1026" style="position:absolute;margin-left:0;margin-top:5.5pt;width:77.25pt;height:11.25pt;z-index:25166438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">
                    <o:lock v:ext="edit" aspectratio="t"/>
                    <v:rect id="Rectangle 58"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2CF7BDB" w14:textId="77777777" w:rsidR="00B949E1" w:rsidRDefault="00B949E1" w:rsidP="00E04522">
          <w:pPr>
            <w:pStyle w:val="Header-CompanyName"/>
            <w:jc w:val="left"/>
          </w:pPr>
        </w:p>
      </w:tc>
    </w:tr>
  </w:tbl>
  <w:p w14:paraId="61FE069C" w14:textId="77777777" w:rsidR="00B949E1" w:rsidRPr="00990A8C" w:rsidRDefault="00B949E1" w:rsidP="00990A8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2157" w14:textId="77777777" w:rsidR="00B949E1" w:rsidRPr="00990A8C" w:rsidRDefault="00B949E1" w:rsidP="00990A8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0D58" w14:textId="77777777" w:rsidR="00B949E1" w:rsidRDefault="00B949E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0622F737" w14:textId="77777777" w:rsidTr="00361FF9">
      <w:trPr>
        <w:trHeight w:hRule="exact" w:val="356"/>
      </w:trPr>
      <w:tc>
        <w:tcPr>
          <w:tcW w:w="5182" w:type="dxa"/>
          <w:shd w:val="clear" w:color="auto" w:fill="auto"/>
        </w:tcPr>
        <w:p w14:paraId="651A5A4B" w14:textId="0CDA2435" w:rsidR="00B949E1" w:rsidRDefault="00B949E1" w:rsidP="00361FF9">
          <w:pPr>
            <w:pStyle w:val="spacer"/>
          </w:pPr>
          <w:r>
            <w:rPr>
              <w:noProof/>
            </w:rPr>
            <mc:AlternateContent>
              <mc:Choice Requires="wpg">
                <w:drawing>
                  <wp:anchor distT="0" distB="0" distL="114300" distR="114300" simplePos="0" relativeHeight="251662336" behindDoc="0" locked="1" layoutInCell="1" allowOverlap="1" wp14:anchorId="1E0166B3" wp14:editId="3ECE5686">
                    <wp:simplePos x="0" y="0"/>
                    <wp:positionH relativeFrom="page">
                      <wp:posOffset>0</wp:posOffset>
                    </wp:positionH>
                    <wp:positionV relativeFrom="page">
                      <wp:posOffset>69850</wp:posOffset>
                    </wp:positionV>
                    <wp:extent cx="981075" cy="142875"/>
                    <wp:effectExtent l="0" t="0" r="0" b="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3" name="Rectangle 10"/>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1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69D427" id="Group 11" o:spid="_x0000_s1026" style="position:absolute;margin-left:0;margin-top:5.5pt;width:77.25pt;height:11.25pt;z-index:25166233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">
                    <o:lock v:ext="edit" aspectratio="t"/>
                    <v:rect id="Rectangle 10"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3F06E243" w14:textId="77777777" w:rsidR="00B949E1" w:rsidRDefault="00B949E1" w:rsidP="00E04522">
          <w:pPr>
            <w:pStyle w:val="Header-CompanyName"/>
            <w:jc w:val="left"/>
          </w:pPr>
        </w:p>
      </w:tc>
    </w:tr>
  </w:tbl>
  <w:p w14:paraId="0672A86A" w14:textId="77777777" w:rsidR="00B949E1" w:rsidRPr="00361FF9" w:rsidRDefault="00B949E1" w:rsidP="00361FF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4F07" w14:textId="77777777" w:rsidR="00B949E1" w:rsidRDefault="00B949E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4DA0" w14:textId="77777777" w:rsidR="00361FF9" w:rsidRDefault="00A42F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359106E3" w14:textId="77777777" w:rsidTr="00361FF9">
      <w:trPr>
        <w:trHeight w:hRule="exact" w:val="356"/>
      </w:trPr>
      <w:tc>
        <w:tcPr>
          <w:tcW w:w="5182" w:type="dxa"/>
          <w:shd w:val="clear" w:color="auto" w:fill="auto"/>
        </w:tcPr>
        <w:p w14:paraId="00DF3CB8" w14:textId="09036248" w:rsidR="00B949E1" w:rsidRDefault="00B949E1" w:rsidP="00361FF9">
          <w:pPr>
            <w:pStyle w:val="spacer"/>
          </w:pPr>
          <w:r>
            <w:rPr>
              <w:noProof/>
            </w:rPr>
            <mc:AlternateContent>
              <mc:Choice Requires="wpg">
                <w:drawing>
                  <wp:anchor distT="0" distB="0" distL="114300" distR="114300" simplePos="0" relativeHeight="251659264" behindDoc="0" locked="1" layoutInCell="1" allowOverlap="1" wp14:anchorId="02BD20B6" wp14:editId="19E533DD">
                    <wp:simplePos x="0" y="0"/>
                    <wp:positionH relativeFrom="page">
                      <wp:posOffset>0</wp:posOffset>
                    </wp:positionH>
                    <wp:positionV relativeFrom="page">
                      <wp:posOffset>69850</wp:posOffset>
                    </wp:positionV>
                    <wp:extent cx="981075" cy="142875"/>
                    <wp:effectExtent l="0" t="0" r="0" b="0"/>
                    <wp:wrapNone/>
                    <wp:docPr id="545" name="Group 5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46" name="Rectangle 92"/>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4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9BFE61" id="Group 545" o:spid="_x0000_s1026" style="position:absolute;margin-left:0;margin-top:5.5pt;width:77.25pt;height:11.25pt;z-index:25165926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">
                    <o:lock v:ext="edit" aspectratio="t"/>
                    <v:rect id="Rectangle 9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F291180" w14:textId="77777777" w:rsidR="00B949E1" w:rsidRDefault="00B949E1" w:rsidP="00E04522">
          <w:pPr>
            <w:pStyle w:val="Header-CompanyName"/>
            <w:jc w:val="left"/>
          </w:pPr>
        </w:p>
      </w:tc>
    </w:tr>
  </w:tbl>
  <w:p w14:paraId="17C1F7F7" w14:textId="77777777" w:rsidR="00B949E1" w:rsidRDefault="00B949E1" w:rsidP="00361FF9">
    <w:pPr>
      <w:pStyle w:val="Header"/>
    </w:pPr>
  </w:p>
  <w:tbl>
    <w:tblPr>
      <w:tblW w:w="0" w:type="auto"/>
      <w:tblLayout w:type="fixed"/>
      <w:tblCellMar>
        <w:left w:w="0" w:type="dxa"/>
        <w:right w:w="0" w:type="dxa"/>
      </w:tblCellMar>
      <w:tblLook w:val="0000" w:firstRow="0" w:lastRow="0" w:firstColumn="0" w:lastColumn="0" w:noHBand="0" w:noVBand="0"/>
    </w:tblPr>
    <w:tblGrid>
      <w:gridCol w:w="7936"/>
    </w:tblGrid>
    <w:tr w:rsidR="00B949E1" w14:paraId="00C90EDF" w14:textId="77777777" w:rsidTr="00361FF9">
      <w:trPr>
        <w:trHeight w:hRule="exact" w:val="1136"/>
      </w:trPr>
      <w:tc>
        <w:tcPr>
          <w:tcW w:w="7936" w:type="dxa"/>
          <w:shd w:val="clear" w:color="auto" w:fill="auto"/>
        </w:tcPr>
        <w:p w14:paraId="07527116" w14:textId="77777777" w:rsidR="00B949E1" w:rsidRDefault="00B949E1" w:rsidP="00361FF9">
          <w:pPr>
            <w:pStyle w:val="TOCHeading"/>
          </w:pPr>
          <w:r>
            <w:t>Contents</w:t>
          </w:r>
        </w:p>
      </w:tc>
    </w:tr>
  </w:tbl>
  <w:p w14:paraId="3C4C2521" w14:textId="77777777" w:rsidR="00B949E1" w:rsidRPr="00361FF9" w:rsidRDefault="00B949E1" w:rsidP="00361FF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361FF9" w14:paraId="2A2E5E9A" w14:textId="77777777" w:rsidTr="00361FF9">
      <w:trPr>
        <w:trHeight w:hRule="exact" w:val="356"/>
      </w:trPr>
      <w:tc>
        <w:tcPr>
          <w:tcW w:w="5026" w:type="dxa"/>
          <w:shd w:val="clear" w:color="auto" w:fill="auto"/>
        </w:tcPr>
        <w:p w14:paraId="572FD680" w14:textId="77777777" w:rsidR="00361FF9" w:rsidRDefault="00A42F85" w:rsidP="00361FF9">
          <w:pPr>
            <w:pStyle w:val="spacer"/>
          </w:pPr>
        </w:p>
      </w:tc>
      <w:tc>
        <w:tcPr>
          <w:tcW w:w="5026" w:type="dxa"/>
          <w:shd w:val="clear" w:color="auto" w:fill="auto"/>
          <w:vAlign w:val="center"/>
        </w:tcPr>
        <w:p w14:paraId="6144DF10" w14:textId="77777777" w:rsidR="00361FF9" w:rsidRDefault="00A42F85" w:rsidP="00361FF9">
          <w:pPr>
            <w:pStyle w:val="Header-CompanyName"/>
          </w:pPr>
        </w:p>
      </w:tc>
    </w:tr>
  </w:tbl>
  <w:p w14:paraId="4FF0021A" w14:textId="77777777" w:rsidR="00361FF9" w:rsidRPr="00361FF9" w:rsidRDefault="00A42F85" w:rsidP="00361FF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361FF9" w14:paraId="06F5F58D" w14:textId="77777777" w:rsidTr="00361FF9">
      <w:trPr>
        <w:trHeight w:hRule="exact" w:val="356"/>
      </w:trPr>
      <w:tc>
        <w:tcPr>
          <w:tcW w:w="5026" w:type="dxa"/>
          <w:shd w:val="clear" w:color="auto" w:fill="auto"/>
        </w:tcPr>
        <w:p w14:paraId="06A4226D" w14:textId="77777777" w:rsidR="00361FF9" w:rsidRDefault="00A42F85" w:rsidP="00361FF9">
          <w:pPr>
            <w:pStyle w:val="spacer"/>
          </w:pPr>
        </w:p>
      </w:tc>
      <w:tc>
        <w:tcPr>
          <w:tcW w:w="5026" w:type="dxa"/>
          <w:shd w:val="clear" w:color="auto" w:fill="auto"/>
          <w:vAlign w:val="center"/>
        </w:tcPr>
        <w:p w14:paraId="61C96A0A" w14:textId="77777777" w:rsidR="00361FF9" w:rsidRDefault="00A42F85" w:rsidP="00361FF9">
          <w:pPr>
            <w:pStyle w:val="Header-CompanyName"/>
          </w:pPr>
        </w:p>
      </w:tc>
    </w:tr>
  </w:tbl>
  <w:p w14:paraId="24D9D5A0" w14:textId="77777777" w:rsidR="00361FF9" w:rsidRPr="00361FF9" w:rsidRDefault="00A42F85" w:rsidP="00361FF9">
    <w:pPr>
      <w:pStyle w:val="tagcontactsPage-Bac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903F" w14:textId="77777777" w:rsidR="00B949E1" w:rsidRDefault="00B949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89EB" w14:textId="77777777" w:rsidR="00B949E1" w:rsidRPr="00EA31D6" w:rsidRDefault="00B949E1" w:rsidP="00EA31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B949E1" w14:paraId="036CE6B7" w14:textId="77777777" w:rsidTr="00EA31D6">
      <w:trPr>
        <w:trHeight w:hRule="exact" w:val="356"/>
      </w:trPr>
      <w:tc>
        <w:tcPr>
          <w:tcW w:w="5182" w:type="dxa"/>
          <w:shd w:val="clear" w:color="auto" w:fill="auto"/>
        </w:tcPr>
        <w:p w14:paraId="05819CD5" w14:textId="7026B7AF" w:rsidR="00B949E1" w:rsidRDefault="00B949E1" w:rsidP="00EA31D6">
          <w:pPr>
            <w:pStyle w:val="spacer"/>
          </w:pPr>
          <w:r>
            <w:rPr>
              <w:noProof/>
            </w:rPr>
            <mc:AlternateContent>
              <mc:Choice Requires="wpg">
                <w:drawing>
                  <wp:anchor distT="0" distB="0" distL="114300" distR="114300" simplePos="0" relativeHeight="251672576" behindDoc="0" locked="1" layoutInCell="1" allowOverlap="1" wp14:anchorId="7D31F671" wp14:editId="41839638">
                    <wp:simplePos x="0" y="0"/>
                    <wp:positionH relativeFrom="page">
                      <wp:posOffset>0</wp:posOffset>
                    </wp:positionH>
                    <wp:positionV relativeFrom="page">
                      <wp:posOffset>69850</wp:posOffset>
                    </wp:positionV>
                    <wp:extent cx="981075" cy="142875"/>
                    <wp:effectExtent l="0" t="0" r="0" b="0"/>
                    <wp:wrapNone/>
                    <wp:docPr id="542" name="Group 5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43" name="Rectangle 61"/>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4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84C672" id="Group 542" o:spid="_x0000_s1026" style="position:absolute;margin-left:0;margin-top:5.5pt;width:77.25pt;height:11.25pt;z-index:25167257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">
                    <o:lock v:ext="edit" aspectratio="t"/>
                    <v:rect id="Rectangle 61"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586A5C89" w14:textId="77777777" w:rsidR="00B949E1" w:rsidRDefault="00B949E1" w:rsidP="00E04522">
          <w:pPr>
            <w:pStyle w:val="Header-CompanyName"/>
            <w:jc w:val="left"/>
          </w:pPr>
        </w:p>
      </w:tc>
    </w:tr>
  </w:tbl>
  <w:p w14:paraId="03DBA006" w14:textId="77777777" w:rsidR="00B949E1" w:rsidRPr="00EA31D6" w:rsidRDefault="00B949E1" w:rsidP="00EA31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DD75" w14:textId="77777777" w:rsidR="00B949E1" w:rsidRPr="00EA31D6" w:rsidRDefault="00B949E1" w:rsidP="00EA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7ADCEB6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B"/>
    <w:multiLevelType w:val="singleLevel"/>
    <w:tmpl w:val="03F672B8"/>
    <w:lvl w:ilvl="0">
      <w:start w:val="1"/>
      <w:numFmt w:val="bullet"/>
      <w:pStyle w:val="TextDashPoint"/>
      <w:lvlText w:val="–"/>
      <w:lvlJc w:val="left"/>
      <w:pPr>
        <w:tabs>
          <w:tab w:val="num" w:pos="357"/>
        </w:tabs>
        <w:ind w:left="357" w:firstLine="0"/>
      </w:pPr>
      <w:rPr>
        <w:rFonts w:ascii="Times New Roman" w:hAnsi="Times New Roman" w:hint="default"/>
        <w:sz w:val="20"/>
      </w:rPr>
    </w:lvl>
  </w:abstractNum>
  <w:abstractNum w:abstractNumId="6" w15:restartNumberingAfterBreak="0">
    <w:nsid w:val="05177354"/>
    <w:multiLevelType w:val="multilevel"/>
    <w:tmpl w:val="D8E69AAC"/>
    <w:styleLink w:val="aaclstStyleAppendices"/>
    <w:lvl w:ilvl="0">
      <w:start w:val="1"/>
      <w:numFmt w:val="upperLetter"/>
      <w:lvlText w:val="%1"/>
      <w:lvlJc w:val="right"/>
      <w:pPr>
        <w:ind w:left="0" w:hanging="136"/>
      </w:pPr>
      <w:rPr>
        <w:rFonts w:ascii="Yu Gothic Medium" w:eastAsia="Yu Gothic Medium" w:hAnsi="Yu Gothic Medium" w:hint="eastAsia"/>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6D55B15"/>
    <w:multiLevelType w:val="multilevel"/>
    <w:tmpl w:val="C1127ADE"/>
    <w:styleLink w:val="aaHeadingnonumberList"/>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hint="default"/>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088509EA"/>
    <w:multiLevelType w:val="multilevel"/>
    <w:tmpl w:val="9DB25304"/>
    <w:styleLink w:val="ACILAllenTableListNumbering"/>
    <w:lvl w:ilvl="0">
      <w:start w:val="1"/>
      <w:numFmt w:val="decimal"/>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15:restartNumberingAfterBreak="0">
    <w:nsid w:val="10D03EFD"/>
    <w:multiLevelType w:val="hybridMultilevel"/>
    <w:tmpl w:val="B7CED5C8"/>
    <w:lvl w:ilvl="0" w:tplc="AA028F0E">
      <w:start w:val="1"/>
      <w:numFmt w:val="decimal"/>
      <w:pStyle w:val="TableTextBold"/>
      <w:lvlText w:val="%1."/>
      <w:lvlJc w:val="left"/>
      <w:pPr>
        <w:tabs>
          <w:tab w:val="num" w:pos="851"/>
        </w:tabs>
        <w:ind w:left="851" w:hanging="851"/>
      </w:pPr>
      <w:rPr>
        <w:rFonts w:ascii="Arial" w:hAnsi="Arial" w:hint="default"/>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14"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Narrow" w:hAnsi="Arial Narrow" w:hint="default"/>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3E15023"/>
    <w:multiLevelType w:val="hybridMultilevel"/>
    <w:tmpl w:val="24FA0C9A"/>
    <w:lvl w:ilvl="0" w:tplc="72A8CF4E">
      <w:start w:val="1"/>
      <w:numFmt w:val="bullet"/>
      <w:pStyle w:val="TextDotPoin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hint="default"/>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7" w15:restartNumberingAfterBreak="0">
    <w:nsid w:val="16CC3DFF"/>
    <w:multiLevelType w:val="multilevel"/>
    <w:tmpl w:val="AB0EE45E"/>
    <w:styleLink w:val="BoxListBullets"/>
    <w:lvl w:ilvl="0">
      <w:start w:val="1"/>
      <w:numFmt w:val="bullet"/>
      <w:lvlText w:val="—"/>
      <w:lvlJc w:val="left"/>
      <w:pPr>
        <w:ind w:left="446" w:hanging="446"/>
      </w:pPr>
      <w:rPr>
        <w:rFonts w:ascii="Arial Narrow" w:hAnsi="Arial Narrow" w:hint="default"/>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8"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9"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Narrow" w:hAnsi="Arial Narrow" w:hint="default"/>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662060"/>
    <w:multiLevelType w:val="multilevel"/>
    <w:tmpl w:val="83E444BE"/>
    <w:styleLink w:val="aaclstStyleHeadingApp"/>
    <w:lvl w:ilvl="0">
      <w:start w:val="1"/>
      <w:numFmt w:val="upperLetter"/>
      <w:pStyle w:val="Heading1AP"/>
      <w:lvlText w:val="%1"/>
      <w:lvlJc w:val="right"/>
      <w:pPr>
        <w:ind w:left="248" w:hanging="384"/>
      </w:pPr>
      <w:rPr>
        <w:rFonts w:hint="default"/>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D1D2534"/>
    <w:multiLevelType w:val="hybridMultilevel"/>
    <w:tmpl w:val="AD32E70A"/>
    <w:lvl w:ilvl="0" w:tplc="6DACC398">
      <w:start w:val="1"/>
      <w:numFmt w:val="lowerLetter"/>
      <w:pStyle w:val="TableTexta"/>
      <w:lvlText w:val="(%1)"/>
      <w:lvlJc w:val="left"/>
      <w:pPr>
        <w:tabs>
          <w:tab w:val="num" w:pos="851"/>
        </w:tabs>
        <w:ind w:left="851" w:hanging="851"/>
      </w:pPr>
      <w:rPr>
        <w:rFonts w:ascii="Times New Roman" w:hAnsi="Times New Roman" w:hint="default"/>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D7C5DD1"/>
    <w:multiLevelType w:val="hybridMultilevel"/>
    <w:tmpl w:val="A4AE3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010423"/>
    <w:multiLevelType w:val="multilevel"/>
    <w:tmpl w:val="29E0E8DA"/>
    <w:styleLink w:val="aaTable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5"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Narrow" w:hAnsi="Arial Narrow" w:hint="default"/>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26C33D2"/>
    <w:multiLevelType w:val="multilevel"/>
    <w:tmpl w:val="83E444BE"/>
    <w:numStyleLink w:val="aaclstStyleHeadingApp"/>
  </w:abstractNum>
  <w:abstractNum w:abstractNumId="27" w15:restartNumberingAfterBreak="0">
    <w:nsid w:val="23400BB4"/>
    <w:multiLevelType w:val="multilevel"/>
    <w:tmpl w:val="8D3234E2"/>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4F6228"/>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4F6228"/>
        <w:spacing w:val="0"/>
        <w:kern w:val="0"/>
        <w:position w:val="0"/>
        <w:u w:val="none"/>
        <w:vertAlign w:val="baseline"/>
      </w:rPr>
    </w:lvl>
    <w:lvl w:ilvl="2">
      <w:start w:val="1"/>
      <w:numFmt w:val="decimal"/>
      <w:lvlText w:val=" %1.%2.%3"/>
      <w:lvlJc w:val="left"/>
      <w:pPr>
        <w:tabs>
          <w:tab w:val="num" w:pos="851"/>
        </w:tabs>
        <w:ind w:left="851" w:hanging="851"/>
      </w:pPr>
      <w:rPr>
        <w:rFonts w:cs="Times New Roman" w:hint="default"/>
        <w:b/>
        <w:bCs w:val="0"/>
        <w:i w:val="0"/>
        <w:iCs w:val="0"/>
        <w:caps w:val="0"/>
        <w:smallCaps w:val="0"/>
        <w:strike w:val="0"/>
        <w:dstrike w:val="0"/>
        <w:vanish w:val="0"/>
        <w:color w:val="4F6228"/>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upperLetter"/>
      <w:lvlText w:val="%8."/>
      <w:lvlJc w:val="left"/>
      <w:pPr>
        <w:tabs>
          <w:tab w:val="num" w:pos="851"/>
        </w:tabs>
        <w:ind w:left="851" w:hanging="851"/>
      </w:pPr>
      <w:rPr>
        <w:rFonts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8"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9" w15:restartNumberingAfterBreak="0">
    <w:nsid w:val="24602A3A"/>
    <w:multiLevelType w:val="multilevel"/>
    <w:tmpl w:val="55DAED7E"/>
    <w:styleLink w:val="aaTableListBullets"/>
    <w:lvl w:ilvl="0">
      <w:start w:val="1"/>
      <w:numFmt w:val="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0" w15:restartNumberingAfterBreak="0">
    <w:nsid w:val="24FE551B"/>
    <w:multiLevelType w:val="multilevel"/>
    <w:tmpl w:val="55DAED7E"/>
    <w:numStyleLink w:val="aacTableListBullets"/>
  </w:abstractNum>
  <w:abstractNum w:abstractNumId="31"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2"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3"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Narrow" w:hAnsi="Arial Narrow" w:hint="default"/>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27843433"/>
    <w:multiLevelType w:val="multilevel"/>
    <w:tmpl w:val="165C0818"/>
    <w:numStyleLink w:val="aaclstStyleHeadingNumbered"/>
  </w:abstractNum>
  <w:abstractNum w:abstractNumId="35"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6" w15:restartNumberingAfterBreak="0">
    <w:nsid w:val="2AD9720E"/>
    <w:multiLevelType w:val="multilevel"/>
    <w:tmpl w:val="30BE6EB8"/>
    <w:styleLink w:val="aaTOCList"/>
    <w:lvl w:ilvl="0">
      <w:start w:val="1"/>
      <w:numFmt w:val="none"/>
      <w:lvlText w:val="%1"/>
      <w:lvlJc w:val="left"/>
      <w:pPr>
        <w:ind w:left="336" w:hanging="336"/>
      </w:pPr>
      <w:rPr>
        <w:rFonts w:ascii="Bodoni MT" w:hAnsi="Bodoni MT"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37" w15:restartNumberingAfterBreak="0">
    <w:nsid w:val="2B8E2336"/>
    <w:multiLevelType w:val="multilevel"/>
    <w:tmpl w:val="9F62E6A0"/>
    <w:lvl w:ilvl="0">
      <w:start w:val="2"/>
      <w:numFmt w:val="decimal"/>
      <w:pStyle w:val="Heading1"/>
      <w:lvlText w:val="%1"/>
      <w:lvlJc w:val="right"/>
      <w:pPr>
        <w:ind w:left="249" w:firstLine="39"/>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18" w:hanging="318"/>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2BA93FA8"/>
    <w:multiLevelType w:val="multilevel"/>
    <w:tmpl w:val="306ACCA8"/>
    <w:numStyleLink w:val="aaclstStyleBoxListNumbers"/>
  </w:abstractNum>
  <w:abstractNum w:abstractNumId="39"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3333768D"/>
    <w:multiLevelType w:val="multilevel"/>
    <w:tmpl w:val="65D86914"/>
    <w:styleLink w:val="BoxList"/>
    <w:lvl w:ilvl="0">
      <w:start w:val="1"/>
      <w:numFmt w:val="decimal"/>
      <w:lvlText w:val="%1."/>
      <w:lvlJc w:val="left"/>
      <w:pPr>
        <w:ind w:left="446" w:hanging="446"/>
      </w:pPr>
      <w:rPr>
        <w:rFonts w:ascii="Arial Narrow" w:hAnsi="Arial Narrow" w:hint="default"/>
        <w:sz w:val="20"/>
      </w:rPr>
    </w:lvl>
    <w:lvl w:ilvl="1">
      <w:start w:val="1"/>
      <w:numFmt w:val="lowerLetter"/>
      <w:lvlText w:val="%2)"/>
      <w:lvlJc w:val="left"/>
      <w:pPr>
        <w:ind w:left="800" w:hanging="354"/>
      </w:pPr>
      <w:rPr>
        <w:rFonts w:ascii="Arial Narrow" w:hAnsi="Arial Narrow" w:hint="default"/>
      </w:rPr>
    </w:lvl>
    <w:lvl w:ilvl="2">
      <w:start w:val="1"/>
      <w:numFmt w:val="lowerRoman"/>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36313F1"/>
    <w:multiLevelType w:val="multilevel"/>
    <w:tmpl w:val="2D56811A"/>
    <w:numStyleLink w:val="aaclstStyleBoxListBullets"/>
  </w:abstractNum>
  <w:abstractNum w:abstractNumId="42" w15:restartNumberingAfterBreak="0">
    <w:nsid w:val="33DF3DD1"/>
    <w:multiLevelType w:val="multilevel"/>
    <w:tmpl w:val="4D96EFB6"/>
    <w:numStyleLink w:val="aacTableListBulletssmall"/>
  </w:abstractNum>
  <w:abstractNum w:abstractNumId="43"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4" w15:restartNumberingAfterBreak="0">
    <w:nsid w:val="3BE50AB2"/>
    <w:multiLevelType w:val="multilevel"/>
    <w:tmpl w:val="EF1ED99E"/>
    <w:styleLink w:val="BulletLists"/>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Arial" w:hAnsi="Arial"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5"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46" w15:restartNumberingAfterBreak="0">
    <w:nsid w:val="3F6C5F04"/>
    <w:multiLevelType w:val="multilevel"/>
    <w:tmpl w:val="E938B7C8"/>
    <w:styleLink w:val="aaTableListNumberssmall"/>
    <w:lvl w:ilvl="0">
      <w:start w:val="1"/>
      <w:numFmt w:val="decimal"/>
      <w:lvlText w:val="%1."/>
      <w:lvlJc w:val="left"/>
      <w:pPr>
        <w:ind w:left="340" w:hanging="340"/>
      </w:pPr>
      <w:rPr>
        <w:rFonts w:hint="default"/>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47"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Narrow" w:hAnsi="Arial Narrow" w:hint="default"/>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48" w15:restartNumberingAfterBreak="0">
    <w:nsid w:val="45201D61"/>
    <w:multiLevelType w:val="multilevel"/>
    <w:tmpl w:val="3CAABC44"/>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0"/>
      </w:rPr>
    </w:lvl>
    <w:lvl w:ilvl="3">
      <w:start w:val="1"/>
      <w:numFmt w:val="lowerRoman"/>
      <w:lvlText w:val="(%4)"/>
      <w:lvlJc w:val="left"/>
      <w:pPr>
        <w:tabs>
          <w:tab w:val="num" w:pos="1985"/>
        </w:tabs>
        <w:ind w:left="1985" w:hanging="567"/>
      </w:pPr>
      <w:rPr>
        <w:rFonts w:hint="default"/>
        <w:b w:val="0"/>
        <w:i w:val="0"/>
        <w:color w:val="auto"/>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Letter"/>
      <w:lvlText w:val="(%6)"/>
      <w:lvlJc w:val="left"/>
      <w:pPr>
        <w:ind w:left="2160" w:hanging="360"/>
      </w:pPr>
      <w:rPr>
        <w:rFonts w:ascii="Arial" w:eastAsia="Calibri" w:hAnsi="Arial" w:cs="Arial" w:hint="default"/>
      </w:rPr>
    </w:lvl>
    <w:lvl w:ilvl="6">
      <w:start w:val="1"/>
      <w:numFmt w:val="decimal"/>
      <w:lvlText w:val="%7."/>
      <w:lvlJc w:val="left"/>
      <w:pPr>
        <w:ind w:left="2520" w:hanging="360"/>
      </w:pPr>
      <w:rPr>
        <w:rFonts w:hint="default"/>
      </w:rPr>
    </w:lvl>
    <w:lvl w:ilvl="7">
      <w:start w:val="1"/>
      <w:numFmt w:val="lowerLetter"/>
      <w:pStyle w:val="LegalScheduleLevel6"/>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60F67E9"/>
    <w:multiLevelType w:val="multilevel"/>
    <w:tmpl w:val="30CC873A"/>
    <w:numStyleLink w:val="aaclstStyleBullets"/>
  </w:abstractNum>
  <w:abstractNum w:abstractNumId="51" w15:restartNumberingAfterBreak="0">
    <w:nsid w:val="4A740E0E"/>
    <w:multiLevelType w:val="multilevel"/>
    <w:tmpl w:val="2758A874"/>
    <w:lvl w:ilvl="0">
      <w:start w:val="1"/>
      <w:numFmt w:val="decimal"/>
      <w:pStyle w:val="MELegal1"/>
      <w:lvlText w:val="%1."/>
      <w:lvlJc w:val="left"/>
      <w:pPr>
        <w:tabs>
          <w:tab w:val="num" w:pos="1230"/>
        </w:tabs>
        <w:ind w:left="123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249"/>
        </w:tabs>
        <w:ind w:left="1249" w:hanging="681"/>
      </w:pPr>
      <w:rPr>
        <w:rFonts w:hint="default"/>
        <w:b w:val="0"/>
        <w:bCs w:val="0"/>
        <w:i w:val="0"/>
        <w:iCs w:val="0"/>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2" w15:restartNumberingAfterBreak="0">
    <w:nsid w:val="4B6114E9"/>
    <w:multiLevelType w:val="multilevel"/>
    <w:tmpl w:val="30CC873A"/>
    <w:styleLink w:val="aaclstStyleBullets"/>
    <w:lvl w:ilvl="0">
      <w:start w:val="1"/>
      <w:numFmt w:val="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53" w15:restartNumberingAfterBreak="0">
    <w:nsid w:val="4CB5048A"/>
    <w:multiLevelType w:val="multilevel"/>
    <w:tmpl w:val="0409001F"/>
    <w:numStyleLink w:val="111111"/>
  </w:abstractNum>
  <w:abstractNum w:abstractNumId="54"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55"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56" w15:restartNumberingAfterBreak="0">
    <w:nsid w:val="532D23B6"/>
    <w:multiLevelType w:val="multilevel"/>
    <w:tmpl w:val="165C0818"/>
    <w:styleLink w:val="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535E057B"/>
    <w:multiLevelType w:val="multilevel"/>
    <w:tmpl w:val="165C0818"/>
    <w:styleLink w:val="aac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58615B56"/>
    <w:multiLevelType w:val="multilevel"/>
    <w:tmpl w:val="D8E69AAC"/>
    <w:numStyleLink w:val="aaclstStyleAppendices"/>
  </w:abstractNum>
  <w:abstractNum w:abstractNumId="59" w15:restartNumberingAfterBreak="0">
    <w:nsid w:val="5BDB1C20"/>
    <w:multiLevelType w:val="multilevel"/>
    <w:tmpl w:val="B0EE076C"/>
    <w:lvl w:ilvl="0">
      <w:start w:val="1"/>
      <w:numFmt w:val="decimal"/>
      <w:pStyle w:val="MENoIndent1"/>
      <w:suff w:val="space"/>
      <w:lvlText w:val="%1."/>
      <w:lvlJc w:val="left"/>
      <w:pPr>
        <w:ind w:left="110" w:firstLine="0"/>
      </w:pPr>
      <w:rPr>
        <w:rFonts w:hint="default"/>
      </w:rPr>
    </w:lvl>
    <w:lvl w:ilvl="1">
      <w:start w:val="1"/>
      <w:numFmt w:val="decimal"/>
      <w:suff w:val="space"/>
      <w:lvlText w:val="%1.%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lowerRoman"/>
      <w:suff w:val="space"/>
      <w:lvlText w:val="(%4)"/>
      <w:lvlJc w:val="left"/>
      <w:pPr>
        <w:ind w:left="0" w:firstLine="0"/>
      </w:pPr>
      <w:rPr>
        <w:rFonts w:hint="default"/>
      </w:rPr>
    </w:lvl>
    <w:lvl w:ilvl="4">
      <w:start w:val="1"/>
      <w:numFmt w:val="upperLetter"/>
      <w:suff w:val="space"/>
      <w:lvlText w:val="(%5)"/>
      <w:lvlJc w:val="left"/>
      <w:pPr>
        <w:ind w:left="0" w:firstLine="0"/>
      </w:pPr>
      <w:rPr>
        <w:rFonts w:hint="default"/>
      </w:rPr>
    </w:lvl>
    <w:lvl w:ilvl="5">
      <w:start w:val="1"/>
      <w:numFmt w:val="upperRoman"/>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0" w15:restartNumberingAfterBreak="0">
    <w:nsid w:val="617B756D"/>
    <w:multiLevelType w:val="multilevel"/>
    <w:tmpl w:val="3DD0AEC8"/>
    <w:numStyleLink w:val="aaclstStyleHeadingsES"/>
  </w:abstractNum>
  <w:abstractNum w:abstractNumId="61"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2" w15:restartNumberingAfterBreak="0">
    <w:nsid w:val="644E6124"/>
    <w:multiLevelType w:val="multilevel"/>
    <w:tmpl w:val="0088B526"/>
    <w:lvl w:ilvl="0">
      <w:start w:val="1"/>
      <w:numFmt w:val="decimal"/>
      <w:pStyle w:val="MEBasic1"/>
      <w:lvlText w:val="%1."/>
      <w:lvlJc w:val="left"/>
      <w:pPr>
        <w:tabs>
          <w:tab w:val="num" w:pos="1531"/>
        </w:tabs>
        <w:ind w:left="1531" w:hanging="680"/>
      </w:pPr>
      <w:rPr>
        <w:rFonts w:hint="default"/>
        <w:b w:val="0"/>
        <w:bCs w:val="0"/>
        <w:i w:val="0"/>
        <w:iCs w:val="0"/>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3" w15:restartNumberingAfterBreak="0">
    <w:nsid w:val="66F0539B"/>
    <w:multiLevelType w:val="multilevel"/>
    <w:tmpl w:val="4D96EFB6"/>
    <w:styleLink w:val="aaTableListBulletssmall"/>
    <w:lvl w:ilvl="0">
      <w:start w:val="1"/>
      <w:numFmt w:val="bullet"/>
      <w:lvlText w:val="–"/>
      <w:lvlJc w:val="left"/>
      <w:pPr>
        <w:ind w:left="278" w:hanging="278"/>
      </w:pPr>
      <w:rPr>
        <w:rFonts w:ascii="Arial Narrow" w:hAnsi="Arial Narrow" w:hint="default"/>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4" w15:restartNumberingAfterBreak="0">
    <w:nsid w:val="699F57EA"/>
    <w:multiLevelType w:val="multilevel"/>
    <w:tmpl w:val="CE66BE7A"/>
    <w:numStyleLink w:val="aaclstStyleListNumber"/>
  </w:abstractNum>
  <w:abstractNum w:abstractNumId="65" w15:restartNumberingAfterBreak="0">
    <w:nsid w:val="6FBA75CE"/>
    <w:multiLevelType w:val="multilevel"/>
    <w:tmpl w:val="9B581B1C"/>
    <w:lvl w:ilvl="0">
      <w:start w:val="1"/>
      <w:numFmt w:val="decimal"/>
      <w:pStyle w:val="LegalScheduleLevel1"/>
      <w:lvlText w:val="%1."/>
      <w:lvlJc w:val="left"/>
      <w:pPr>
        <w:tabs>
          <w:tab w:val="num" w:pos="851"/>
        </w:tabs>
        <w:ind w:left="851" w:hanging="851"/>
      </w:pPr>
      <w:rPr>
        <w:rFonts w:ascii="Arial Bold" w:hAnsi="Arial Bold" w:hint="default"/>
        <w:b/>
        <w:i w:val="0"/>
        <w:sz w:val="20"/>
        <w:szCs w:val="24"/>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3"/>
      <w:numFmt w:val="lowerLetter"/>
      <w:lvlText w:val="(%3)"/>
      <w:lvlJc w:val="left"/>
      <w:rPr>
        <w:rFonts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LegalScheduleLevel4"/>
      <w:lvlText w:val="(%4)"/>
      <w:lvlJc w:val="left"/>
      <w:pPr>
        <w:tabs>
          <w:tab w:val="num" w:pos="1560"/>
        </w:tabs>
        <w:ind w:left="1560" w:hanging="567"/>
      </w:pPr>
      <w:rPr>
        <w:rFonts w:ascii="Arial" w:hAnsi="Arial" w:hint="default"/>
        <w:b w:val="0"/>
        <w:i w:val="0"/>
        <w:sz w:val="20"/>
        <w:szCs w:val="20"/>
      </w:rPr>
    </w:lvl>
    <w:lvl w:ilvl="4">
      <w:start w:val="1"/>
      <w:numFmt w:val="upperLetter"/>
      <w:pStyle w:val="LegalScheduleLevel5"/>
      <w:lvlText w:val="(%5)"/>
      <w:lvlJc w:val="left"/>
      <w:pPr>
        <w:tabs>
          <w:tab w:val="num" w:pos="2552"/>
        </w:tabs>
        <w:ind w:left="2552" w:hanging="567"/>
      </w:pPr>
      <w:rPr>
        <w:rFonts w:ascii="Arial" w:hAnsi="Arial" w:hint="default"/>
        <w:b w:val="0"/>
        <w:i w:val="0"/>
        <w:sz w:val="20"/>
        <w:szCs w:val="20"/>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30424CB"/>
    <w:multiLevelType w:val="multilevel"/>
    <w:tmpl w:val="145205FC"/>
    <w:numStyleLink w:val="aaReportListDash"/>
  </w:abstractNum>
  <w:abstractNum w:abstractNumId="67"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79674208"/>
    <w:multiLevelType w:val="hybridMultilevel"/>
    <w:tmpl w:val="7DA0D3B2"/>
    <w:lvl w:ilvl="0" w:tplc="5C3CE47E">
      <w:start w:val="1"/>
      <w:numFmt w:val="decimal"/>
      <w:pStyle w:val="LegalParties"/>
      <w:lvlText w:val="%1."/>
      <w:lvlJc w:val="left"/>
      <w:pPr>
        <w:ind w:left="720" w:hanging="360"/>
      </w:pPr>
      <w:rPr>
        <w:rFonts w:ascii="Arial" w:hAnsi="Arial" w:hint="default"/>
        <w:b w:val="0"/>
        <w:i w:val="0"/>
        <w:sz w:val="22"/>
      </w:rPr>
    </w:lvl>
    <w:lvl w:ilvl="1" w:tplc="E9E81690" w:tentative="1">
      <w:start w:val="1"/>
      <w:numFmt w:val="lowerLetter"/>
      <w:lvlText w:val="%2."/>
      <w:lvlJc w:val="left"/>
      <w:pPr>
        <w:ind w:left="1440" w:hanging="360"/>
      </w:pPr>
    </w:lvl>
    <w:lvl w:ilvl="2" w:tplc="09EC2226" w:tentative="1">
      <w:start w:val="1"/>
      <w:numFmt w:val="lowerRoman"/>
      <w:lvlText w:val="%3."/>
      <w:lvlJc w:val="right"/>
      <w:pPr>
        <w:ind w:left="2160" w:hanging="180"/>
      </w:pPr>
    </w:lvl>
    <w:lvl w:ilvl="3" w:tplc="67B86598" w:tentative="1">
      <w:start w:val="1"/>
      <w:numFmt w:val="decimal"/>
      <w:lvlText w:val="%4."/>
      <w:lvlJc w:val="left"/>
      <w:pPr>
        <w:ind w:left="2880" w:hanging="360"/>
      </w:pPr>
    </w:lvl>
    <w:lvl w:ilvl="4" w:tplc="CF325E06" w:tentative="1">
      <w:start w:val="1"/>
      <w:numFmt w:val="lowerLetter"/>
      <w:lvlText w:val="%5."/>
      <w:lvlJc w:val="left"/>
      <w:pPr>
        <w:ind w:left="3600" w:hanging="360"/>
      </w:pPr>
    </w:lvl>
    <w:lvl w:ilvl="5" w:tplc="65086E7E" w:tentative="1">
      <w:start w:val="1"/>
      <w:numFmt w:val="lowerRoman"/>
      <w:lvlText w:val="%6."/>
      <w:lvlJc w:val="right"/>
      <w:pPr>
        <w:ind w:left="4320" w:hanging="180"/>
      </w:pPr>
    </w:lvl>
    <w:lvl w:ilvl="6" w:tplc="464638FC" w:tentative="1">
      <w:start w:val="1"/>
      <w:numFmt w:val="decimal"/>
      <w:lvlText w:val="%7."/>
      <w:lvlJc w:val="left"/>
      <w:pPr>
        <w:ind w:left="5040" w:hanging="360"/>
      </w:pPr>
    </w:lvl>
    <w:lvl w:ilvl="7" w:tplc="A7F4B398" w:tentative="1">
      <w:start w:val="1"/>
      <w:numFmt w:val="lowerLetter"/>
      <w:lvlText w:val="%8."/>
      <w:lvlJc w:val="left"/>
      <w:pPr>
        <w:ind w:left="5760" w:hanging="360"/>
      </w:pPr>
    </w:lvl>
    <w:lvl w:ilvl="8" w:tplc="428C84FC" w:tentative="1">
      <w:start w:val="1"/>
      <w:numFmt w:val="lowerRoman"/>
      <w:lvlText w:val="%9."/>
      <w:lvlJc w:val="right"/>
      <w:pPr>
        <w:ind w:left="6480" w:hanging="180"/>
      </w:pPr>
    </w:lvl>
  </w:abstractNum>
  <w:abstractNum w:abstractNumId="69"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02613324">
    <w:abstractNumId w:val="3"/>
  </w:num>
  <w:num w:numId="2" w16cid:durableId="1770196243">
    <w:abstractNumId w:val="2"/>
  </w:num>
  <w:num w:numId="3" w16cid:durableId="1370254097">
    <w:abstractNumId w:val="1"/>
  </w:num>
  <w:num w:numId="4" w16cid:durableId="891617950">
    <w:abstractNumId w:val="0"/>
  </w:num>
  <w:num w:numId="5" w16cid:durableId="339048128">
    <w:abstractNumId w:val="52"/>
  </w:num>
  <w:num w:numId="6" w16cid:durableId="2104690753">
    <w:abstractNumId w:val="55"/>
  </w:num>
  <w:num w:numId="7" w16cid:durableId="1304775982">
    <w:abstractNumId w:val="57"/>
  </w:num>
  <w:num w:numId="8" w16cid:durableId="572739604">
    <w:abstractNumId w:val="64"/>
  </w:num>
  <w:num w:numId="9" w16cid:durableId="1254779207">
    <w:abstractNumId w:val="50"/>
  </w:num>
  <w:num w:numId="10" w16cid:durableId="599802024">
    <w:abstractNumId w:val="33"/>
  </w:num>
  <w:num w:numId="11" w16cid:durableId="934435854">
    <w:abstractNumId w:val="6"/>
  </w:num>
  <w:num w:numId="12" w16cid:durableId="1064179874">
    <w:abstractNumId w:val="34"/>
  </w:num>
  <w:num w:numId="13" w16cid:durableId="779951882">
    <w:abstractNumId w:val="32"/>
  </w:num>
  <w:num w:numId="14" w16cid:durableId="2074766408">
    <w:abstractNumId w:val="56"/>
  </w:num>
  <w:num w:numId="15" w16cid:durableId="1540317604">
    <w:abstractNumId w:val="39"/>
  </w:num>
  <w:num w:numId="16" w16cid:durableId="600529516">
    <w:abstractNumId w:val="13"/>
  </w:num>
  <w:num w:numId="17" w16cid:durableId="960451873">
    <w:abstractNumId w:val="47"/>
  </w:num>
  <w:num w:numId="18" w16cid:durableId="468666721">
    <w:abstractNumId w:val="45"/>
  </w:num>
  <w:num w:numId="19" w16cid:durableId="1571959459">
    <w:abstractNumId w:val="14"/>
  </w:num>
  <w:num w:numId="20" w16cid:durableId="1492257268">
    <w:abstractNumId w:val="31"/>
  </w:num>
  <w:num w:numId="21" w16cid:durableId="1979533174">
    <w:abstractNumId w:val="16"/>
  </w:num>
  <w:num w:numId="22" w16cid:durableId="731463365">
    <w:abstractNumId w:val="30"/>
  </w:num>
  <w:num w:numId="23" w16cid:durableId="1576478751">
    <w:abstractNumId w:val="42"/>
  </w:num>
  <w:num w:numId="24" w16cid:durableId="1754013163">
    <w:abstractNumId w:val="25"/>
  </w:num>
  <w:num w:numId="25" w16cid:durableId="1739548419">
    <w:abstractNumId w:val="38"/>
  </w:num>
  <w:num w:numId="26" w16cid:durableId="651644925">
    <w:abstractNumId w:val="49"/>
  </w:num>
  <w:num w:numId="27" w16cid:durableId="1638103847">
    <w:abstractNumId w:val="7"/>
  </w:num>
  <w:num w:numId="28" w16cid:durableId="1407000469">
    <w:abstractNumId w:val="20"/>
  </w:num>
  <w:num w:numId="29" w16cid:durableId="1223562198">
    <w:abstractNumId w:val="26"/>
  </w:num>
  <w:num w:numId="30" w16cid:durableId="535972668">
    <w:abstractNumId w:val="18"/>
  </w:num>
  <w:num w:numId="31" w16cid:durableId="330060621">
    <w:abstractNumId w:val="60"/>
  </w:num>
  <w:num w:numId="32" w16cid:durableId="180315142">
    <w:abstractNumId w:val="58"/>
  </w:num>
  <w:num w:numId="33" w16cid:durableId="1970279903">
    <w:abstractNumId w:val="61"/>
  </w:num>
  <w:num w:numId="34" w16cid:durableId="781455438">
    <w:abstractNumId w:val="23"/>
  </w:num>
  <w:num w:numId="35" w16cid:durableId="627470877">
    <w:abstractNumId w:val="69"/>
  </w:num>
  <w:num w:numId="36" w16cid:durableId="440564547">
    <w:abstractNumId w:val="41"/>
  </w:num>
  <w:num w:numId="37" w16cid:durableId="11486672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1678326">
    <w:abstractNumId w:val="17"/>
  </w:num>
  <w:num w:numId="39" w16cid:durableId="997851849">
    <w:abstractNumId w:val="36"/>
  </w:num>
  <w:num w:numId="40" w16cid:durableId="2114131089">
    <w:abstractNumId w:val="10"/>
  </w:num>
  <w:num w:numId="41" w16cid:durableId="548226702">
    <w:abstractNumId w:val="54"/>
  </w:num>
  <w:num w:numId="42" w16cid:durableId="1492986893">
    <w:abstractNumId w:val="35"/>
    <w:lvlOverride w:ilvl="0">
      <w:lvl w:ilvl="0">
        <w:start w:val="1"/>
        <w:numFmt w:val="upperLetter"/>
        <w:pStyle w:val="App-Heading1"/>
        <w:suff w:val="nothing"/>
        <w:lvlText w:val="%1"/>
        <w:lvlJc w:val="left"/>
        <w:pPr>
          <w:ind w:left="1080" w:hanging="1080"/>
        </w:pPr>
        <w:rPr>
          <w:rFonts w:hint="default"/>
        </w:rPr>
      </w:lvl>
    </w:lvlOverride>
  </w:num>
  <w:num w:numId="43" w16cid:durableId="144472248">
    <w:abstractNumId w:val="40"/>
  </w:num>
  <w:num w:numId="44" w16cid:durableId="1857304470">
    <w:abstractNumId w:val="29"/>
  </w:num>
  <w:num w:numId="45" w16cid:durableId="830295001">
    <w:abstractNumId w:val="24"/>
  </w:num>
  <w:num w:numId="46" w16cid:durableId="410540891">
    <w:abstractNumId w:val="28"/>
  </w:num>
  <w:num w:numId="47" w16cid:durableId="1884369454">
    <w:abstractNumId w:val="70"/>
  </w:num>
  <w:num w:numId="48" w16cid:durableId="971594184">
    <w:abstractNumId w:val="19"/>
  </w:num>
  <w:num w:numId="49" w16cid:durableId="220361042">
    <w:abstractNumId w:val="43"/>
  </w:num>
  <w:num w:numId="50" w16cid:durableId="557325352">
    <w:abstractNumId w:val="8"/>
  </w:num>
  <w:num w:numId="51" w16cid:durableId="1866794278">
    <w:abstractNumId w:val="11"/>
  </w:num>
  <w:num w:numId="52" w16cid:durableId="845171557">
    <w:abstractNumId w:val="67"/>
  </w:num>
  <w:num w:numId="53" w16cid:durableId="340277303">
    <w:abstractNumId w:val="66"/>
  </w:num>
  <w:num w:numId="54" w16cid:durableId="1523933689">
    <w:abstractNumId w:val="63"/>
  </w:num>
  <w:num w:numId="55" w16cid:durableId="1720741058">
    <w:abstractNumId w:val="46"/>
  </w:num>
  <w:num w:numId="56" w16cid:durableId="793449832">
    <w:abstractNumId w:val="21"/>
  </w:num>
  <w:num w:numId="57" w16cid:durableId="1818372777">
    <w:abstractNumId w:val="12"/>
  </w:num>
  <w:num w:numId="58" w16cid:durableId="1313145711">
    <w:abstractNumId w:val="27"/>
  </w:num>
  <w:num w:numId="59" w16cid:durableId="2039695945">
    <w:abstractNumId w:val="9"/>
  </w:num>
  <w:num w:numId="60" w16cid:durableId="606162274">
    <w:abstractNumId w:val="44"/>
  </w:num>
  <w:num w:numId="61" w16cid:durableId="1869368829">
    <w:abstractNumId w:val="51"/>
  </w:num>
  <w:num w:numId="62" w16cid:durableId="541141004">
    <w:abstractNumId w:val="62"/>
  </w:num>
  <w:num w:numId="63" w16cid:durableId="344744771">
    <w:abstractNumId w:val="59"/>
  </w:num>
  <w:num w:numId="64" w16cid:durableId="1058439043">
    <w:abstractNumId w:val="65"/>
  </w:num>
  <w:num w:numId="65" w16cid:durableId="368845038">
    <w:abstractNumId w:val="48"/>
  </w:num>
  <w:num w:numId="66" w16cid:durableId="1906866058">
    <w:abstractNumId w:val="68"/>
  </w:num>
  <w:num w:numId="67" w16cid:durableId="918442509">
    <w:abstractNumId w:val="15"/>
  </w:num>
  <w:num w:numId="68" w16cid:durableId="365756665">
    <w:abstractNumId w:val="5"/>
  </w:num>
  <w:num w:numId="69" w16cid:durableId="1866819947">
    <w:abstractNumId w:val="4"/>
  </w:num>
  <w:num w:numId="70" w16cid:durableId="1197161095">
    <w:abstractNumId w:val="22"/>
  </w:num>
  <w:num w:numId="71" w16cid:durableId="269509276">
    <w:abstractNumId w:val="53"/>
  </w:num>
  <w:num w:numId="72" w16cid:durableId="1101757138">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9E1"/>
    <w:rsid w:val="000A484E"/>
    <w:rsid w:val="001838A8"/>
    <w:rsid w:val="002002F8"/>
    <w:rsid w:val="003E2764"/>
    <w:rsid w:val="004C241B"/>
    <w:rsid w:val="007E1D93"/>
    <w:rsid w:val="00A42F85"/>
    <w:rsid w:val="00B949E1"/>
    <w:rsid w:val="00E70910"/>
    <w:rsid w:val="00EB2F2A"/>
    <w:rsid w:val="00F008F9"/>
    <w:rsid w:val="00FA1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81F7B"/>
  <w15:chartTrackingRefBased/>
  <w15:docId w15:val="{53E65A03-74A8-4584-BBFA-400B3539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9E1"/>
    <w:pPr>
      <w:spacing w:before="90" w:after="130" w:line="280" w:lineRule="atLeast"/>
    </w:pPr>
    <w:rPr>
      <w:rFonts w:ascii="Arial Narrow" w:hAnsi="Arial Narrow" w:cs="Arial"/>
    </w:rPr>
  </w:style>
  <w:style w:type="paragraph" w:styleId="Heading1">
    <w:name w:val="heading 1"/>
    <w:aliases w:val="Heading 1 Char1,Heading 1 Char Char,H1,h1,heading 1,Section Heading,(Chapter Nbr),Para1,Top 1,ParaLevel1,Level 1 Para,Level 1 Para1,Level 1 Para2,Level 1 Para3,Level 1 Para4,Level 1 Para11,Level 1 Para21,Level 1 Para31,Level 1 Para5,L1"/>
    <w:basedOn w:val="Normal"/>
    <w:next w:val="Normal"/>
    <w:link w:val="Heading1Char"/>
    <w:uiPriority w:val="9"/>
    <w:qFormat/>
    <w:rsid w:val="00B949E1"/>
    <w:pPr>
      <w:keepNext/>
      <w:keepLines/>
      <w:numPr>
        <w:numId w:val="72"/>
      </w:numPr>
      <w:spacing w:before="0" w:after="200" w:line="192" w:lineRule="auto"/>
      <w:outlineLvl w:val="0"/>
    </w:pPr>
    <w:rPr>
      <w:rFonts w:ascii="Yu Gothic Medium" w:eastAsiaTheme="majorEastAsia" w:hAnsi="Yu Gothic Medium"/>
      <w:color w:val="FFFEFF"/>
      <w:sz w:val="52"/>
      <w:szCs w:val="32"/>
    </w:rPr>
  </w:style>
  <w:style w:type="paragraph" w:styleId="Heading2">
    <w:name w:val="heading 2"/>
    <w:aliases w:val="h2,H2,Heading Two,CS Heading 2,Heading 2A,Alt+2,2m,h 2,Section,Level 2 Head,proj2,proj21,proj22,proj23,proj24,proj25,proj26,proj27,proj28,proj29,proj210,proj211,proj212,proj221,proj231,proj241,proj251,proj261,proj271,proj281,proj291,proj2101"/>
    <w:basedOn w:val="Normal"/>
    <w:next w:val="BodyText"/>
    <w:link w:val="Heading2Char"/>
    <w:uiPriority w:val="9"/>
    <w:unhideWhenUsed/>
    <w:qFormat/>
    <w:rsid w:val="00B949E1"/>
    <w:pPr>
      <w:keepNext/>
      <w:keepLines/>
      <w:numPr>
        <w:ilvl w:val="1"/>
        <w:numId w:val="72"/>
      </w:numPr>
      <w:pBdr>
        <w:bottom w:val="single" w:sz="4" w:space="0" w:color="6C3E99"/>
        <w:between w:val="single" w:sz="4" w:space="1" w:color="6C3E99"/>
      </w:pBdr>
      <w:spacing w:before="240" w:after="216"/>
      <w:outlineLvl w:val="1"/>
    </w:pPr>
    <w:rPr>
      <w:rFonts w:eastAsiaTheme="majorEastAsia"/>
      <w:b/>
      <w:color w:val="6C3E99"/>
      <w:sz w:val="28"/>
      <w:szCs w:val="26"/>
    </w:rPr>
  </w:style>
  <w:style w:type="paragraph" w:styleId="Heading3">
    <w:name w:val="heading 3"/>
    <w:aliases w:val="heading 3 Char Char,H3,heading 3,h3,Level 1 - 1,Para3,(3),Numbered - 3,Sub-heading,(Appendix Nbr),H31,Presentation To,List Heading,- Side,3rd Main head,sl3,Heading 3under,- Maj Side,Mi,Minor,Headline,h31,3,Titre 3,CS Heading 3,Normal Numbered"/>
    <w:basedOn w:val="Normal"/>
    <w:next w:val="BodyText"/>
    <w:link w:val="Heading3Char"/>
    <w:uiPriority w:val="9"/>
    <w:unhideWhenUsed/>
    <w:qFormat/>
    <w:rsid w:val="00B949E1"/>
    <w:pPr>
      <w:keepNext/>
      <w:keepLines/>
      <w:numPr>
        <w:ilvl w:val="2"/>
        <w:numId w:val="72"/>
      </w:numPr>
      <w:pBdr>
        <w:bottom w:val="single" w:sz="4" w:space="0" w:color="000100"/>
        <w:between w:val="single" w:sz="4" w:space="1" w:color="000100"/>
      </w:pBdr>
      <w:spacing w:before="240" w:after="160" w:line="240" w:lineRule="atLeast"/>
      <w:outlineLvl w:val="2"/>
    </w:pPr>
    <w:rPr>
      <w:rFonts w:eastAsiaTheme="majorEastAsia"/>
      <w:b/>
      <w:color w:val="000100"/>
      <w:szCs w:val="24"/>
    </w:rPr>
  </w:style>
  <w:style w:type="paragraph" w:styleId="Heading4">
    <w:name w:val="heading 4"/>
    <w:aliases w:val="h4,heading 4 Char Char,heading 4 Char,heading 4,Level 2 - a,4m,VS4,Heading 4 Char1 Char,Heading 4 Char Char Char,(i),i Char,Heading 41,h41,heading 4 Char Char Char Char Char,Minor Heading"/>
    <w:basedOn w:val="Normal"/>
    <w:next w:val="BodyText"/>
    <w:link w:val="Heading4Char"/>
    <w:uiPriority w:val="9"/>
    <w:unhideWhenUsed/>
    <w:qFormat/>
    <w:rsid w:val="00B949E1"/>
    <w:pPr>
      <w:keepNext/>
      <w:keepLines/>
      <w:numPr>
        <w:ilvl w:val="3"/>
        <w:numId w:val="72"/>
      </w:numPr>
      <w:spacing w:before="240" w:after="160" w:line="240" w:lineRule="atLeast"/>
      <w:outlineLvl w:val="3"/>
    </w:pPr>
    <w:rPr>
      <w:rFonts w:eastAsiaTheme="majorEastAsia"/>
      <w:b/>
      <w:iCs/>
      <w:color w:val="000100"/>
    </w:rPr>
  </w:style>
  <w:style w:type="paragraph" w:styleId="Heading5">
    <w:name w:val="heading 5"/>
    <w:aliases w:val="h5,Block Label,H5,Appendix,Heading 5 StGeorge,Level 3 - i,Level 5,L5,l5+toc5,(A),heading 5,heading 5 Char,h5 Char Char Char Char Char Char Char,Further Points"/>
    <w:basedOn w:val="Normal"/>
    <w:next w:val="BodyText"/>
    <w:link w:val="Heading5Char"/>
    <w:uiPriority w:val="9"/>
    <w:unhideWhenUsed/>
    <w:qFormat/>
    <w:rsid w:val="00B949E1"/>
    <w:pPr>
      <w:keepNext/>
      <w:keepLines/>
      <w:numPr>
        <w:ilvl w:val="4"/>
        <w:numId w:val="72"/>
      </w:numPr>
      <w:spacing w:before="240" w:after="160" w:line="240" w:lineRule="atLeast"/>
      <w:outlineLvl w:val="4"/>
    </w:pPr>
    <w:rPr>
      <w:rFonts w:eastAsiaTheme="majorEastAsia"/>
      <w:b/>
      <w:i/>
      <w:color w:val="000100"/>
    </w:rPr>
  </w:style>
  <w:style w:type="paragraph" w:styleId="Heading6">
    <w:name w:val="heading 6"/>
    <w:aliases w:val="L6,Legal Level 1.,sub-dash,5,Spare2,Para6,Level 1,CS Heading 6,H6,h6,heading 6"/>
    <w:basedOn w:val="Normal"/>
    <w:next w:val="BodyText"/>
    <w:link w:val="Heading6Char"/>
    <w:uiPriority w:val="9"/>
    <w:unhideWhenUsed/>
    <w:qFormat/>
    <w:rsid w:val="00B949E1"/>
    <w:pPr>
      <w:keepNext/>
      <w:keepLines/>
      <w:numPr>
        <w:ilvl w:val="5"/>
        <w:numId w:val="72"/>
      </w:numPr>
      <w:spacing w:before="240" w:after="160" w:line="240" w:lineRule="atLeast"/>
      <w:outlineLvl w:val="5"/>
    </w:pPr>
    <w:rPr>
      <w:rFonts w:eastAsiaTheme="majorEastAsia"/>
      <w:b/>
      <w:i/>
      <w:color w:val="76923C" w:themeColor="accent3" w:themeShade="BF"/>
    </w:rPr>
  </w:style>
  <w:style w:type="paragraph" w:styleId="Heading7">
    <w:name w:val="heading 7"/>
    <w:basedOn w:val="Normal-nospace"/>
    <w:next w:val="BodyText"/>
    <w:link w:val="Heading7Char"/>
    <w:uiPriority w:val="9"/>
    <w:unhideWhenUsed/>
    <w:qFormat/>
    <w:rsid w:val="00B949E1"/>
    <w:pPr>
      <w:keepNext/>
      <w:keepLines/>
      <w:numPr>
        <w:ilvl w:val="6"/>
        <w:numId w:val="72"/>
      </w:numPr>
      <w:spacing w:after="200" w:line="192" w:lineRule="auto"/>
      <w:outlineLvl w:val="6"/>
    </w:pPr>
    <w:rPr>
      <w:rFonts w:ascii="Yu Gothic Medium" w:eastAsiaTheme="majorEastAsia" w:hAnsi="Yu Gothic Medium"/>
      <w:iCs/>
      <w:color w:val="FFFEFF"/>
      <w:sz w:val="52"/>
    </w:rPr>
  </w:style>
  <w:style w:type="paragraph" w:styleId="Heading8">
    <w:name w:val="heading 8"/>
    <w:basedOn w:val="Normal"/>
    <w:next w:val="BodyText"/>
    <w:link w:val="Heading8Char"/>
    <w:uiPriority w:val="9"/>
    <w:qFormat/>
    <w:rsid w:val="00B949E1"/>
    <w:pPr>
      <w:keepNext/>
      <w:keepLines/>
      <w:numPr>
        <w:ilvl w:val="7"/>
        <w:numId w:val="72"/>
      </w:numPr>
      <w:pBdr>
        <w:bottom w:val="single" w:sz="4" w:space="0" w:color="6C3E99"/>
        <w:between w:val="single" w:sz="4" w:space="1" w:color="6C3E99"/>
      </w:pBdr>
      <w:spacing w:before="240" w:after="216"/>
      <w:outlineLvl w:val="7"/>
    </w:pPr>
    <w:rPr>
      <w:rFonts w:eastAsiaTheme="majorEastAsia"/>
      <w:b/>
      <w:color w:val="6C3E99"/>
      <w:sz w:val="28"/>
      <w:szCs w:val="21"/>
    </w:rPr>
  </w:style>
  <w:style w:type="paragraph" w:styleId="Heading9">
    <w:name w:val="heading 9"/>
    <w:basedOn w:val="Normal-nospace"/>
    <w:link w:val="Heading9Char"/>
    <w:uiPriority w:val="9"/>
    <w:qFormat/>
    <w:rsid w:val="00B949E1"/>
    <w:pPr>
      <w:keepNext/>
      <w:keepLines/>
      <w:numPr>
        <w:ilvl w:val="8"/>
        <w:numId w:val="72"/>
      </w:numPr>
      <w:pBdr>
        <w:between w:val="single" w:sz="4" w:space="1" w:color="auto"/>
      </w:pBdr>
      <w:spacing w:line="240" w:lineRule="auto"/>
      <w:outlineLvl w:val="8"/>
    </w:pPr>
    <w:rPr>
      <w:rFonts w:eastAsiaTheme="majorEastAsia"/>
      <w:b/>
      <w:iCs/>
      <w:color w:val="140134"/>
      <w:sz w:val="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Heading 1 Char Char Char,H1 Char,h1 Char,heading 1 Char,Section Heading Char,(Chapter Nbr) Char,Para1 Char,Top 1 Char,ParaLevel1 Char,Level 1 Para Char,Level 1 Para1 Char,Level 1 Para2 Char,Level 1 Para3 Char,L1 Char"/>
    <w:basedOn w:val="DefaultParagraphFont"/>
    <w:link w:val="Heading1"/>
    <w:uiPriority w:val="9"/>
    <w:rsid w:val="00B949E1"/>
    <w:rPr>
      <w:rFonts w:ascii="Yu Gothic Medium" w:eastAsiaTheme="majorEastAsia" w:hAnsi="Yu Gothic Medium" w:cs="Arial"/>
      <w:color w:val="FFFEFF"/>
      <w:sz w:val="52"/>
      <w:szCs w:val="32"/>
    </w:rPr>
  </w:style>
  <w:style w:type="character" w:customStyle="1" w:styleId="Heading2Char">
    <w:name w:val="Heading 2 Char"/>
    <w:aliases w:val="h2 Char,H2 Char,Heading Two Char,CS Heading 2 Char,Heading 2A Char,Alt+2 Char,2m Char,h 2 Char,Section Char,Level 2 Head Char,proj2 Char,proj21 Char,proj22 Char,proj23 Char,proj24 Char,proj25 Char,proj26 Char,proj27 Char,proj28 Char"/>
    <w:basedOn w:val="DefaultParagraphFont"/>
    <w:link w:val="Heading2"/>
    <w:uiPriority w:val="9"/>
    <w:rsid w:val="00B949E1"/>
    <w:rPr>
      <w:rFonts w:ascii="Arial Narrow" w:eastAsiaTheme="majorEastAsia" w:hAnsi="Arial Narrow" w:cs="Arial"/>
      <w:b/>
      <w:color w:val="6C3E99"/>
      <w:sz w:val="28"/>
      <w:szCs w:val="26"/>
    </w:rPr>
  </w:style>
  <w:style w:type="character" w:customStyle="1" w:styleId="Heading3Char">
    <w:name w:val="Heading 3 Char"/>
    <w:aliases w:val="heading 3 Char Char Char,H3 Char,heading 3 Char,h3 Char,Level 1 - 1 Char,Para3 Char,(3) Char,Numbered - 3 Char,Sub-heading Char,(Appendix Nbr) Char,H31 Char,Presentation To Char,List Heading Char,- Side Char,3rd Main head Char,sl3 Char"/>
    <w:basedOn w:val="DefaultParagraphFont"/>
    <w:link w:val="Heading3"/>
    <w:uiPriority w:val="9"/>
    <w:rsid w:val="00B949E1"/>
    <w:rPr>
      <w:rFonts w:ascii="Arial Narrow" w:eastAsiaTheme="majorEastAsia" w:hAnsi="Arial Narrow" w:cs="Arial"/>
      <w:b/>
      <w:color w:val="000100"/>
      <w:szCs w:val="24"/>
    </w:rPr>
  </w:style>
  <w:style w:type="character" w:customStyle="1" w:styleId="Heading4Char">
    <w:name w:val="Heading 4 Char"/>
    <w:aliases w:val="h4 Char,heading 4 Char Char Char,heading 4 Char Char1,heading 4 Char1,Level 2 - a Char,4m Char,VS4 Char,Heading 4 Char1 Char Char,Heading 4 Char Char Char Char,(i) Char,i Char Char,Heading 41 Char,h41 Char,Minor Heading Char"/>
    <w:basedOn w:val="DefaultParagraphFont"/>
    <w:link w:val="Heading4"/>
    <w:uiPriority w:val="9"/>
    <w:rsid w:val="00B949E1"/>
    <w:rPr>
      <w:rFonts w:ascii="Arial Narrow" w:eastAsiaTheme="majorEastAsia" w:hAnsi="Arial Narrow" w:cs="Arial"/>
      <w:b/>
      <w:iCs/>
      <w:color w:val="000100"/>
    </w:rPr>
  </w:style>
  <w:style w:type="character" w:customStyle="1" w:styleId="Heading5Char">
    <w:name w:val="Heading 5 Char"/>
    <w:aliases w:val="h5 Char,Block Label Char,H5 Char,Appendix Char,Heading 5 StGeorge Char,Level 3 - i Char,Level 5 Char,L5 Char,l5+toc5 Char,(A) Char,heading 5 Char1,heading 5 Char Char,h5 Char Char Char Char Char Char Char Char,Further Points Char"/>
    <w:basedOn w:val="DefaultParagraphFont"/>
    <w:link w:val="Heading5"/>
    <w:uiPriority w:val="9"/>
    <w:rsid w:val="00B949E1"/>
    <w:rPr>
      <w:rFonts w:ascii="Arial Narrow" w:eastAsiaTheme="majorEastAsia" w:hAnsi="Arial Narrow" w:cs="Arial"/>
      <w:b/>
      <w:i/>
      <w:color w:val="000100"/>
    </w:rPr>
  </w:style>
  <w:style w:type="character" w:customStyle="1" w:styleId="Heading6Char">
    <w:name w:val="Heading 6 Char"/>
    <w:aliases w:val="L6 Char,Legal Level 1. Char,sub-dash Char,5 Char,Spare2 Char,Para6 Char,Level 1 Char,CS Heading 6 Char,H6 Char,h6 Char,heading 6 Char"/>
    <w:basedOn w:val="DefaultParagraphFont"/>
    <w:link w:val="Heading6"/>
    <w:uiPriority w:val="9"/>
    <w:rsid w:val="00B949E1"/>
    <w:rPr>
      <w:rFonts w:ascii="Arial Narrow" w:eastAsiaTheme="majorEastAsia" w:hAnsi="Arial Narrow" w:cs="Arial"/>
      <w:b/>
      <w:i/>
      <w:color w:val="76923C" w:themeColor="accent3" w:themeShade="BF"/>
    </w:rPr>
  </w:style>
  <w:style w:type="character" w:customStyle="1" w:styleId="Heading7Char">
    <w:name w:val="Heading 7 Char"/>
    <w:basedOn w:val="DefaultParagraphFont"/>
    <w:link w:val="Heading7"/>
    <w:uiPriority w:val="9"/>
    <w:rsid w:val="00B949E1"/>
    <w:rPr>
      <w:rFonts w:ascii="Yu Gothic Medium" w:eastAsiaTheme="majorEastAsia" w:hAnsi="Yu Gothic Medium" w:cs="Arial"/>
      <w:iCs/>
      <w:color w:val="FFFEFF"/>
      <w:sz w:val="52"/>
    </w:rPr>
  </w:style>
  <w:style w:type="character" w:customStyle="1" w:styleId="Heading8Char">
    <w:name w:val="Heading 8 Char"/>
    <w:basedOn w:val="DefaultParagraphFont"/>
    <w:link w:val="Heading8"/>
    <w:uiPriority w:val="9"/>
    <w:rsid w:val="00B949E1"/>
    <w:rPr>
      <w:rFonts w:ascii="Arial Narrow" w:eastAsiaTheme="majorEastAsia" w:hAnsi="Arial Narrow" w:cs="Arial"/>
      <w:b/>
      <w:color w:val="6C3E99"/>
      <w:sz w:val="28"/>
      <w:szCs w:val="21"/>
    </w:rPr>
  </w:style>
  <w:style w:type="character" w:customStyle="1" w:styleId="Heading9Char">
    <w:name w:val="Heading 9 Char"/>
    <w:basedOn w:val="DefaultParagraphFont"/>
    <w:link w:val="Heading9"/>
    <w:uiPriority w:val="9"/>
    <w:rsid w:val="00B949E1"/>
    <w:rPr>
      <w:rFonts w:ascii="Arial Narrow" w:eastAsiaTheme="majorEastAsia" w:hAnsi="Arial Narrow" w:cs="Arial"/>
      <w:b/>
      <w:iCs/>
      <w:color w:val="140134"/>
      <w:sz w:val="8"/>
      <w:szCs w:val="21"/>
    </w:rPr>
  </w:style>
  <w:style w:type="paragraph" w:styleId="BalloonText">
    <w:name w:val="Balloon Text"/>
    <w:basedOn w:val="Normal"/>
    <w:link w:val="BalloonTextChar"/>
    <w:uiPriority w:val="99"/>
    <w:semiHidden/>
    <w:unhideWhenUsed/>
    <w:rsid w:val="00B949E1"/>
    <w:pPr>
      <w:spacing w:after="0"/>
    </w:pPr>
    <w:rPr>
      <w:sz w:val="18"/>
      <w:szCs w:val="18"/>
    </w:rPr>
  </w:style>
  <w:style w:type="character" w:customStyle="1" w:styleId="BalloonTextChar">
    <w:name w:val="Balloon Text Char"/>
    <w:basedOn w:val="DefaultParagraphFont"/>
    <w:link w:val="BalloonText"/>
    <w:uiPriority w:val="99"/>
    <w:semiHidden/>
    <w:rsid w:val="00B949E1"/>
    <w:rPr>
      <w:rFonts w:ascii="Arial Narrow" w:hAnsi="Arial Narrow" w:cs="Arial"/>
      <w:sz w:val="18"/>
      <w:szCs w:val="18"/>
    </w:rPr>
  </w:style>
  <w:style w:type="paragraph" w:styleId="Bibliography">
    <w:name w:val="Bibliography"/>
    <w:basedOn w:val="Normal"/>
    <w:next w:val="Normal"/>
    <w:uiPriority w:val="37"/>
    <w:semiHidden/>
    <w:unhideWhenUsed/>
    <w:rsid w:val="00B949E1"/>
    <w:pPr>
      <w:spacing w:after="160" w:line="259" w:lineRule="auto"/>
    </w:pPr>
  </w:style>
  <w:style w:type="paragraph" w:styleId="BlockText">
    <w:name w:val="Block Text"/>
    <w:basedOn w:val="Normal"/>
    <w:uiPriority w:val="99"/>
    <w:semiHidden/>
    <w:unhideWhenUsed/>
    <w:rsid w:val="00B949E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60" w:line="259" w:lineRule="auto"/>
      <w:ind w:left="1152" w:right="1152"/>
    </w:pPr>
    <w:rPr>
      <w:rFonts w:eastAsiaTheme="minorEastAsia"/>
      <w:i/>
      <w:iCs/>
      <w:color w:val="4F81BD" w:themeColor="accent1"/>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B949E1"/>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B949E1"/>
    <w:rPr>
      <w:rFonts w:ascii="Arial Narrow" w:hAnsi="Arial Narrow" w:cs="Arial"/>
    </w:rPr>
  </w:style>
  <w:style w:type="paragraph" w:styleId="BodyText2">
    <w:name w:val="Body Text 2"/>
    <w:basedOn w:val="Normal"/>
    <w:link w:val="BodyText2Char"/>
    <w:uiPriority w:val="99"/>
    <w:semiHidden/>
    <w:unhideWhenUsed/>
    <w:rsid w:val="00B949E1"/>
    <w:pPr>
      <w:spacing w:line="480" w:lineRule="auto"/>
    </w:pPr>
  </w:style>
  <w:style w:type="character" w:customStyle="1" w:styleId="BodyText2Char">
    <w:name w:val="Body Text 2 Char"/>
    <w:basedOn w:val="DefaultParagraphFont"/>
    <w:link w:val="BodyText2"/>
    <w:uiPriority w:val="99"/>
    <w:semiHidden/>
    <w:rsid w:val="00B949E1"/>
    <w:rPr>
      <w:rFonts w:ascii="Arial Narrow" w:hAnsi="Arial Narrow" w:cs="Arial"/>
    </w:rPr>
  </w:style>
  <w:style w:type="paragraph" w:styleId="BodyText3">
    <w:name w:val="Body Text 3"/>
    <w:basedOn w:val="Normal"/>
    <w:link w:val="BodyText3Char"/>
    <w:uiPriority w:val="99"/>
    <w:unhideWhenUsed/>
    <w:rsid w:val="00B949E1"/>
    <w:pPr>
      <w:spacing w:line="259" w:lineRule="auto"/>
    </w:pPr>
    <w:rPr>
      <w:sz w:val="16"/>
      <w:szCs w:val="16"/>
    </w:rPr>
  </w:style>
  <w:style w:type="character" w:customStyle="1" w:styleId="BodyText3Char">
    <w:name w:val="Body Text 3 Char"/>
    <w:basedOn w:val="DefaultParagraphFont"/>
    <w:link w:val="BodyText3"/>
    <w:uiPriority w:val="99"/>
    <w:rsid w:val="00B949E1"/>
    <w:rPr>
      <w:rFonts w:ascii="Arial Narrow" w:hAnsi="Arial Narrow" w:cs="Arial"/>
      <w:sz w:val="16"/>
      <w:szCs w:val="16"/>
    </w:rPr>
  </w:style>
  <w:style w:type="paragraph" w:styleId="BodyTextFirstIndent">
    <w:name w:val="Body Text First Indent"/>
    <w:basedOn w:val="BodyText"/>
    <w:link w:val="BodyTextFirstIndentChar"/>
    <w:uiPriority w:val="99"/>
    <w:semiHidden/>
    <w:unhideWhenUsed/>
    <w:rsid w:val="00B949E1"/>
    <w:pPr>
      <w:spacing w:after="160"/>
      <w:ind w:firstLine="360"/>
    </w:pPr>
  </w:style>
  <w:style w:type="character" w:customStyle="1" w:styleId="BodyTextFirstIndentChar">
    <w:name w:val="Body Text First Indent Char"/>
    <w:basedOn w:val="BodyTextChar"/>
    <w:link w:val="BodyTextFirstIndent"/>
    <w:uiPriority w:val="99"/>
    <w:semiHidden/>
    <w:rsid w:val="00B949E1"/>
    <w:rPr>
      <w:rFonts w:ascii="Arial Narrow" w:hAnsi="Arial Narrow" w:cs="Arial"/>
    </w:rPr>
  </w:style>
  <w:style w:type="paragraph" w:styleId="BodyTextIndent">
    <w:name w:val="Body Text Indent"/>
    <w:basedOn w:val="Normal"/>
    <w:link w:val="BodyTextIndentChar"/>
    <w:uiPriority w:val="99"/>
    <w:semiHidden/>
    <w:unhideWhenUsed/>
    <w:rsid w:val="00B949E1"/>
    <w:pPr>
      <w:spacing w:line="259" w:lineRule="auto"/>
      <w:ind w:left="283"/>
    </w:pPr>
  </w:style>
  <w:style w:type="character" w:customStyle="1" w:styleId="BodyTextIndentChar">
    <w:name w:val="Body Text Indent Char"/>
    <w:basedOn w:val="DefaultParagraphFont"/>
    <w:link w:val="BodyTextIndent"/>
    <w:uiPriority w:val="99"/>
    <w:semiHidden/>
    <w:rsid w:val="00B949E1"/>
    <w:rPr>
      <w:rFonts w:ascii="Arial Narrow" w:hAnsi="Arial Narrow" w:cs="Arial"/>
    </w:rPr>
  </w:style>
  <w:style w:type="paragraph" w:styleId="BodyTextFirstIndent2">
    <w:name w:val="Body Text First Indent 2"/>
    <w:basedOn w:val="BodyTextIndent"/>
    <w:link w:val="BodyTextFirstIndent2Char"/>
    <w:uiPriority w:val="99"/>
    <w:semiHidden/>
    <w:unhideWhenUsed/>
    <w:rsid w:val="00B949E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949E1"/>
    <w:rPr>
      <w:rFonts w:ascii="Arial Narrow" w:hAnsi="Arial Narrow" w:cs="Arial"/>
    </w:rPr>
  </w:style>
  <w:style w:type="paragraph" w:styleId="BodyTextIndent2">
    <w:name w:val="Body Text Indent 2"/>
    <w:basedOn w:val="Normal"/>
    <w:link w:val="BodyTextIndent2Char"/>
    <w:uiPriority w:val="99"/>
    <w:semiHidden/>
    <w:unhideWhenUsed/>
    <w:rsid w:val="00B949E1"/>
    <w:pPr>
      <w:spacing w:line="480" w:lineRule="auto"/>
      <w:ind w:left="283"/>
    </w:pPr>
  </w:style>
  <w:style w:type="character" w:customStyle="1" w:styleId="BodyTextIndent2Char">
    <w:name w:val="Body Text Indent 2 Char"/>
    <w:basedOn w:val="DefaultParagraphFont"/>
    <w:link w:val="BodyTextIndent2"/>
    <w:uiPriority w:val="99"/>
    <w:semiHidden/>
    <w:rsid w:val="00B949E1"/>
    <w:rPr>
      <w:rFonts w:ascii="Arial Narrow" w:hAnsi="Arial Narrow" w:cs="Arial"/>
    </w:rPr>
  </w:style>
  <w:style w:type="paragraph" w:styleId="BodyTextIndent3">
    <w:name w:val="Body Text Indent 3"/>
    <w:basedOn w:val="Normal"/>
    <w:link w:val="BodyTextIndent3Char"/>
    <w:uiPriority w:val="99"/>
    <w:semiHidden/>
    <w:unhideWhenUsed/>
    <w:rsid w:val="00B949E1"/>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B949E1"/>
    <w:rPr>
      <w:rFonts w:ascii="Arial Narrow" w:hAnsi="Arial Narrow" w:cs="Arial"/>
      <w:sz w:val="16"/>
      <w:szCs w:val="16"/>
    </w:rPr>
  </w:style>
  <w:style w:type="character" w:styleId="BookTitle">
    <w:name w:val="Book Title"/>
    <w:basedOn w:val="DefaultParagraphFont"/>
    <w:uiPriority w:val="33"/>
    <w:qFormat/>
    <w:rsid w:val="00B949E1"/>
    <w:rPr>
      <w:b/>
      <w:bCs/>
      <w:i/>
      <w:iCs/>
      <w:spacing w:val="5"/>
    </w:rPr>
  </w:style>
  <w:style w:type="paragraph" w:styleId="Caption">
    <w:name w:val="caption"/>
    <w:aliases w:val="Caption Char,Char1 Char Char,Char1 Char,Char1 Char Char Char,Char1 Char Char Char Char,Char Char,Caption Char Char Char,1,Char1,Text Caption,minor heading,Caption Char Char Char Char Char,Caption1, Char1 Char Char, Char1 Char, Char Char"/>
    <w:basedOn w:val="Normal-nospace"/>
    <w:next w:val="BodyText"/>
    <w:link w:val="CaptionChar1"/>
    <w:uiPriority w:val="35"/>
    <w:unhideWhenUsed/>
    <w:qFormat/>
    <w:rsid w:val="00B949E1"/>
    <w:pPr>
      <w:keepNext/>
      <w:spacing w:after="120" w:line="240" w:lineRule="auto"/>
      <w:ind w:left="1179" w:hanging="1179"/>
    </w:pPr>
    <w:rPr>
      <w:iCs/>
      <w:szCs w:val="18"/>
    </w:rPr>
  </w:style>
  <w:style w:type="paragraph" w:styleId="Closing">
    <w:name w:val="Closing"/>
    <w:basedOn w:val="Normal"/>
    <w:link w:val="ClosingChar"/>
    <w:uiPriority w:val="99"/>
    <w:semiHidden/>
    <w:unhideWhenUsed/>
    <w:rsid w:val="00B949E1"/>
    <w:pPr>
      <w:spacing w:after="0"/>
      <w:ind w:left="4252"/>
    </w:pPr>
  </w:style>
  <w:style w:type="character" w:customStyle="1" w:styleId="ClosingChar">
    <w:name w:val="Closing Char"/>
    <w:basedOn w:val="DefaultParagraphFont"/>
    <w:link w:val="Closing"/>
    <w:uiPriority w:val="99"/>
    <w:semiHidden/>
    <w:rsid w:val="00B949E1"/>
    <w:rPr>
      <w:rFonts w:ascii="Arial Narrow" w:hAnsi="Arial Narrow" w:cs="Arial"/>
    </w:rPr>
  </w:style>
  <w:style w:type="table" w:styleId="ColorfulGrid">
    <w:name w:val="Colorful Grid"/>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B94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B949E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949E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949E1"/>
    <w:rPr>
      <w:sz w:val="16"/>
      <w:szCs w:val="16"/>
    </w:rPr>
  </w:style>
  <w:style w:type="paragraph" w:styleId="CommentText">
    <w:name w:val="annotation text"/>
    <w:basedOn w:val="Normal"/>
    <w:link w:val="CommentTextChar"/>
    <w:uiPriority w:val="99"/>
    <w:unhideWhenUsed/>
    <w:rsid w:val="00B949E1"/>
    <w:pPr>
      <w:spacing w:after="160"/>
    </w:pPr>
    <w:rPr>
      <w:sz w:val="20"/>
      <w:szCs w:val="20"/>
    </w:rPr>
  </w:style>
  <w:style w:type="character" w:customStyle="1" w:styleId="CommentTextChar">
    <w:name w:val="Comment Text Char"/>
    <w:basedOn w:val="DefaultParagraphFont"/>
    <w:link w:val="CommentText"/>
    <w:uiPriority w:val="99"/>
    <w:rsid w:val="00B949E1"/>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949E1"/>
    <w:rPr>
      <w:b/>
      <w:bCs/>
    </w:rPr>
  </w:style>
  <w:style w:type="character" w:customStyle="1" w:styleId="CommentSubjectChar">
    <w:name w:val="Comment Subject Char"/>
    <w:basedOn w:val="CommentTextChar"/>
    <w:link w:val="CommentSubject"/>
    <w:uiPriority w:val="99"/>
    <w:semiHidden/>
    <w:rsid w:val="00B949E1"/>
    <w:rPr>
      <w:rFonts w:ascii="Arial Narrow" w:hAnsi="Arial Narrow" w:cs="Arial"/>
      <w:b/>
      <w:bCs/>
      <w:sz w:val="20"/>
      <w:szCs w:val="20"/>
    </w:rPr>
  </w:style>
  <w:style w:type="table" w:styleId="DarkList">
    <w:name w:val="Dark List"/>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B949E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B949E1"/>
    <w:pPr>
      <w:spacing w:after="160" w:line="259" w:lineRule="auto"/>
    </w:pPr>
  </w:style>
  <w:style w:type="character" w:customStyle="1" w:styleId="DateChar">
    <w:name w:val="Date Char"/>
    <w:basedOn w:val="DefaultParagraphFont"/>
    <w:link w:val="Date"/>
    <w:uiPriority w:val="99"/>
    <w:semiHidden/>
    <w:rsid w:val="00B949E1"/>
    <w:rPr>
      <w:rFonts w:ascii="Arial Narrow" w:hAnsi="Arial Narrow" w:cs="Arial"/>
    </w:rPr>
  </w:style>
  <w:style w:type="paragraph" w:styleId="DocumentMap">
    <w:name w:val="Document Map"/>
    <w:basedOn w:val="Normal"/>
    <w:link w:val="DocumentMapChar"/>
    <w:uiPriority w:val="99"/>
    <w:semiHidden/>
    <w:unhideWhenUsed/>
    <w:rsid w:val="00B949E1"/>
    <w:pPr>
      <w:spacing w:after="0"/>
    </w:pPr>
    <w:rPr>
      <w:sz w:val="16"/>
      <w:szCs w:val="16"/>
    </w:rPr>
  </w:style>
  <w:style w:type="character" w:customStyle="1" w:styleId="DocumentMapChar">
    <w:name w:val="Document Map Char"/>
    <w:basedOn w:val="DefaultParagraphFont"/>
    <w:link w:val="DocumentMap"/>
    <w:uiPriority w:val="99"/>
    <w:semiHidden/>
    <w:rsid w:val="00B949E1"/>
    <w:rPr>
      <w:rFonts w:ascii="Arial Narrow" w:hAnsi="Arial Narrow" w:cs="Arial"/>
      <w:sz w:val="16"/>
      <w:szCs w:val="16"/>
    </w:rPr>
  </w:style>
  <w:style w:type="paragraph" w:styleId="E-mailSignature">
    <w:name w:val="E-mail Signature"/>
    <w:basedOn w:val="Normal"/>
    <w:link w:val="E-mailSignatureChar"/>
    <w:uiPriority w:val="99"/>
    <w:semiHidden/>
    <w:unhideWhenUsed/>
    <w:rsid w:val="00B949E1"/>
    <w:pPr>
      <w:spacing w:after="0"/>
    </w:pPr>
  </w:style>
  <w:style w:type="character" w:customStyle="1" w:styleId="E-mailSignatureChar">
    <w:name w:val="E-mail Signature Char"/>
    <w:basedOn w:val="DefaultParagraphFont"/>
    <w:link w:val="E-mailSignature"/>
    <w:uiPriority w:val="99"/>
    <w:semiHidden/>
    <w:rsid w:val="00B949E1"/>
    <w:rPr>
      <w:rFonts w:ascii="Arial Narrow" w:hAnsi="Arial Narrow" w:cs="Arial"/>
    </w:rPr>
  </w:style>
  <w:style w:type="character" w:styleId="Emphasis">
    <w:name w:val="Emphasis"/>
    <w:basedOn w:val="DefaultParagraphFont"/>
    <w:uiPriority w:val="20"/>
    <w:qFormat/>
    <w:rsid w:val="00B949E1"/>
    <w:rPr>
      <w:i/>
      <w:iCs/>
    </w:rPr>
  </w:style>
  <w:style w:type="character" w:styleId="EndnoteReference">
    <w:name w:val="endnote reference"/>
    <w:basedOn w:val="DefaultParagraphFont"/>
    <w:uiPriority w:val="99"/>
    <w:semiHidden/>
    <w:unhideWhenUsed/>
    <w:rsid w:val="00B949E1"/>
    <w:rPr>
      <w:vertAlign w:val="superscript"/>
    </w:rPr>
  </w:style>
  <w:style w:type="paragraph" w:styleId="EndnoteText">
    <w:name w:val="endnote text"/>
    <w:basedOn w:val="Normal"/>
    <w:link w:val="EndnoteTextChar"/>
    <w:uiPriority w:val="99"/>
    <w:semiHidden/>
    <w:unhideWhenUsed/>
    <w:rsid w:val="00B949E1"/>
    <w:pPr>
      <w:spacing w:after="0"/>
    </w:pPr>
    <w:rPr>
      <w:sz w:val="20"/>
      <w:szCs w:val="20"/>
    </w:rPr>
  </w:style>
  <w:style w:type="character" w:customStyle="1" w:styleId="EndnoteTextChar">
    <w:name w:val="Endnote Text Char"/>
    <w:basedOn w:val="DefaultParagraphFont"/>
    <w:link w:val="EndnoteText"/>
    <w:uiPriority w:val="99"/>
    <w:semiHidden/>
    <w:rsid w:val="00B949E1"/>
    <w:rPr>
      <w:rFonts w:ascii="Arial Narrow" w:hAnsi="Arial Narrow" w:cs="Arial"/>
      <w:sz w:val="20"/>
      <w:szCs w:val="20"/>
    </w:rPr>
  </w:style>
  <w:style w:type="paragraph" w:styleId="EnvelopeAddress">
    <w:name w:val="envelope address"/>
    <w:basedOn w:val="Normal"/>
    <w:uiPriority w:val="99"/>
    <w:semiHidden/>
    <w:unhideWhenUsed/>
    <w:rsid w:val="00B949E1"/>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B949E1"/>
    <w:pPr>
      <w:spacing w:after="0"/>
    </w:pPr>
    <w:rPr>
      <w:rFonts w:eastAsiaTheme="majorEastAsia"/>
      <w:sz w:val="20"/>
      <w:szCs w:val="20"/>
    </w:rPr>
  </w:style>
  <w:style w:type="character" w:styleId="FollowedHyperlink">
    <w:name w:val="FollowedHyperlink"/>
    <w:basedOn w:val="DefaultParagraphFont"/>
    <w:uiPriority w:val="99"/>
    <w:semiHidden/>
    <w:unhideWhenUsed/>
    <w:rsid w:val="00B949E1"/>
    <w:rPr>
      <w:color w:val="800080" w:themeColor="followedHyperlink"/>
      <w:u w:val="single"/>
    </w:rPr>
  </w:style>
  <w:style w:type="paragraph" w:styleId="Footer">
    <w:name w:val="footer"/>
    <w:basedOn w:val="Normal-nospace"/>
    <w:link w:val="FooterChar"/>
    <w:uiPriority w:val="99"/>
    <w:unhideWhenUsed/>
    <w:rsid w:val="00B949E1"/>
    <w:pPr>
      <w:tabs>
        <w:tab w:val="center" w:pos="4513"/>
        <w:tab w:val="right" w:pos="9026"/>
      </w:tabs>
      <w:spacing w:line="240" w:lineRule="auto"/>
    </w:pPr>
    <w:rPr>
      <w:rFonts w:ascii="Yu Gothic Medium" w:hAnsi="Yu Gothic Medium"/>
      <w:sz w:val="15"/>
    </w:rPr>
  </w:style>
  <w:style w:type="character" w:customStyle="1" w:styleId="FooterChar">
    <w:name w:val="Footer Char"/>
    <w:basedOn w:val="DefaultParagraphFont"/>
    <w:link w:val="Footer"/>
    <w:uiPriority w:val="99"/>
    <w:rsid w:val="00B949E1"/>
    <w:rPr>
      <w:rFonts w:ascii="Yu Gothic Medium" w:hAnsi="Yu Gothic Medium" w:cs="Arial"/>
      <w:color w:val="000100"/>
      <w:sz w:val="15"/>
    </w:rPr>
  </w:style>
  <w:style w:type="character" w:styleId="FootnoteReference">
    <w:name w:val="footnote reference"/>
    <w:aliases w:val="(NECG) Footnote Reference,fr,(NECG) Footnote Reference1,(NECG) Footnote Reference2,(NECG) Footnote Reference3,(NECG) Footnote Reference4,(NECG) Footnote Reference5,(NECG) Footnote Reference6,(NECG) Footnote Reference7,o,Style 3"/>
    <w:basedOn w:val="DefaultParagraphFont"/>
    <w:uiPriority w:val="99"/>
    <w:unhideWhenUsed/>
    <w:qFormat/>
    <w:rsid w:val="00B949E1"/>
    <w:rPr>
      <w:vertAlign w:val="superscript"/>
    </w:rPr>
  </w:style>
  <w:style w:type="paragraph" w:styleId="FootnoteText">
    <w:name w:val="footnote text"/>
    <w:aliases w:val="Footnote Text Char Char,(NECG) Footnote Text,APVMA_Footnote,fn,FT,ft,SD Footnote Text,Footnote Text AG,Footnote Text1 Char,Footnote Text Char Ch,ALTS FOOTNOTE,AR Footnote Text Char,Footnote Text2,Footnote Text1,(NECG) Footnote Text1,f"/>
    <w:basedOn w:val="Normal-nospace"/>
    <w:link w:val="FootnoteTextChar"/>
    <w:uiPriority w:val="99"/>
    <w:unhideWhenUsed/>
    <w:qFormat/>
    <w:rsid w:val="00B949E1"/>
    <w:pPr>
      <w:spacing w:after="90" w:line="240" w:lineRule="auto"/>
    </w:pPr>
    <w:rPr>
      <w:sz w:val="20"/>
      <w:szCs w:val="20"/>
    </w:rPr>
  </w:style>
  <w:style w:type="character" w:customStyle="1" w:styleId="FootnoteTextChar">
    <w:name w:val="Footnote Text Char"/>
    <w:aliases w:val="Footnote Text Char Char Char,(NECG) Footnote Text Char,APVMA_Footnote Char,fn Char,FT Char,ft Char,SD Footnote Text Char,Footnote Text AG Char,Footnote Text1 Char Char,Footnote Text Char Ch Char,ALTS FOOTNOTE Char,Footnote Text2 Char"/>
    <w:basedOn w:val="DefaultParagraphFont"/>
    <w:link w:val="FootnoteText"/>
    <w:uiPriority w:val="99"/>
    <w:rsid w:val="00B949E1"/>
    <w:rPr>
      <w:rFonts w:ascii="Arial Narrow" w:hAnsi="Arial Narrow" w:cs="Arial"/>
      <w:color w:val="000100"/>
      <w:sz w:val="20"/>
      <w:szCs w:val="20"/>
    </w:rPr>
  </w:style>
  <w:style w:type="table" w:styleId="GridTable1Light">
    <w:name w:val="Grid Table 1 Light"/>
    <w:basedOn w:val="TableNormal"/>
    <w:uiPriority w:val="46"/>
    <w:rsid w:val="00B949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949E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949E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949E1"/>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949E1"/>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49E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949E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949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949E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B949E1"/>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B949E1"/>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B949E1"/>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B949E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B949E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B949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949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B949E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B949E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949E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B949E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B949E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B949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949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B949E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B949E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B949E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B949E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B949E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949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B949E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949E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B949E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B949E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B949E1"/>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B949E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B949E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B949E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949E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B949E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B949E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B949E1"/>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B949E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B949E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B949E1"/>
    <w:rPr>
      <w:color w:val="2B579A"/>
      <w:shd w:val="clear" w:color="auto" w:fill="E1DFDD"/>
    </w:rPr>
  </w:style>
  <w:style w:type="paragraph" w:styleId="Header">
    <w:name w:val="header"/>
    <w:basedOn w:val="Normal-nospace"/>
    <w:link w:val="HeaderChar"/>
    <w:uiPriority w:val="99"/>
    <w:unhideWhenUsed/>
    <w:rsid w:val="00B949E1"/>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949E1"/>
    <w:rPr>
      <w:rFonts w:ascii="Arial Narrow" w:hAnsi="Arial Narrow" w:cs="Arial"/>
      <w:color w:val="000100"/>
      <w:sz w:val="16"/>
    </w:rPr>
  </w:style>
  <w:style w:type="character" w:styleId="HTMLAcronym">
    <w:name w:val="HTML Acronym"/>
    <w:basedOn w:val="DefaultParagraphFont"/>
    <w:uiPriority w:val="99"/>
    <w:semiHidden/>
    <w:unhideWhenUsed/>
    <w:rsid w:val="00B949E1"/>
  </w:style>
  <w:style w:type="paragraph" w:styleId="HTMLAddress">
    <w:name w:val="HTML Address"/>
    <w:basedOn w:val="Normal"/>
    <w:link w:val="HTMLAddressChar"/>
    <w:uiPriority w:val="99"/>
    <w:semiHidden/>
    <w:unhideWhenUsed/>
    <w:rsid w:val="00B949E1"/>
    <w:pPr>
      <w:spacing w:after="0"/>
    </w:pPr>
    <w:rPr>
      <w:i/>
      <w:iCs/>
    </w:rPr>
  </w:style>
  <w:style w:type="character" w:customStyle="1" w:styleId="HTMLAddressChar">
    <w:name w:val="HTML Address Char"/>
    <w:basedOn w:val="DefaultParagraphFont"/>
    <w:link w:val="HTMLAddress"/>
    <w:uiPriority w:val="99"/>
    <w:semiHidden/>
    <w:rsid w:val="00B949E1"/>
    <w:rPr>
      <w:rFonts w:ascii="Arial Narrow" w:hAnsi="Arial Narrow" w:cs="Arial"/>
      <w:i/>
      <w:iCs/>
    </w:rPr>
  </w:style>
  <w:style w:type="character" w:styleId="HTMLCite">
    <w:name w:val="HTML Cite"/>
    <w:basedOn w:val="DefaultParagraphFont"/>
    <w:uiPriority w:val="99"/>
    <w:semiHidden/>
    <w:unhideWhenUsed/>
    <w:rsid w:val="00B949E1"/>
    <w:rPr>
      <w:i/>
      <w:iCs/>
    </w:rPr>
  </w:style>
  <w:style w:type="character" w:styleId="HTMLCode">
    <w:name w:val="HTML Code"/>
    <w:basedOn w:val="DefaultParagraphFont"/>
    <w:uiPriority w:val="99"/>
    <w:semiHidden/>
    <w:unhideWhenUsed/>
    <w:rsid w:val="00B949E1"/>
    <w:rPr>
      <w:rFonts w:ascii="Arial Narrow" w:hAnsi="Arial Narrow" w:cs="Arial"/>
      <w:sz w:val="20"/>
      <w:szCs w:val="20"/>
    </w:rPr>
  </w:style>
  <w:style w:type="character" w:styleId="HTMLDefinition">
    <w:name w:val="HTML Definition"/>
    <w:basedOn w:val="DefaultParagraphFont"/>
    <w:uiPriority w:val="99"/>
    <w:semiHidden/>
    <w:unhideWhenUsed/>
    <w:rsid w:val="00B949E1"/>
    <w:rPr>
      <w:i/>
      <w:iCs/>
    </w:rPr>
  </w:style>
  <w:style w:type="character" w:styleId="HTMLKeyboard">
    <w:name w:val="HTML Keyboard"/>
    <w:basedOn w:val="DefaultParagraphFont"/>
    <w:uiPriority w:val="99"/>
    <w:semiHidden/>
    <w:unhideWhenUsed/>
    <w:rsid w:val="00B949E1"/>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B949E1"/>
    <w:pPr>
      <w:spacing w:after="0"/>
    </w:pPr>
    <w:rPr>
      <w:sz w:val="20"/>
      <w:szCs w:val="20"/>
    </w:rPr>
  </w:style>
  <w:style w:type="character" w:customStyle="1" w:styleId="HTMLPreformattedChar">
    <w:name w:val="HTML Preformatted Char"/>
    <w:basedOn w:val="DefaultParagraphFont"/>
    <w:link w:val="HTMLPreformatted"/>
    <w:uiPriority w:val="99"/>
    <w:semiHidden/>
    <w:rsid w:val="00B949E1"/>
    <w:rPr>
      <w:rFonts w:ascii="Arial Narrow" w:hAnsi="Arial Narrow" w:cs="Arial"/>
      <w:sz w:val="20"/>
      <w:szCs w:val="20"/>
    </w:rPr>
  </w:style>
  <w:style w:type="character" w:styleId="HTMLSample">
    <w:name w:val="HTML Sample"/>
    <w:basedOn w:val="DefaultParagraphFont"/>
    <w:uiPriority w:val="99"/>
    <w:semiHidden/>
    <w:unhideWhenUsed/>
    <w:rsid w:val="00B949E1"/>
    <w:rPr>
      <w:rFonts w:ascii="Arial Narrow" w:hAnsi="Arial Narrow" w:cs="Arial"/>
      <w:sz w:val="24"/>
      <w:szCs w:val="24"/>
    </w:rPr>
  </w:style>
  <w:style w:type="character" w:styleId="HTMLTypewriter">
    <w:name w:val="HTML Typewriter"/>
    <w:basedOn w:val="DefaultParagraphFont"/>
    <w:uiPriority w:val="99"/>
    <w:semiHidden/>
    <w:unhideWhenUsed/>
    <w:rsid w:val="00B949E1"/>
    <w:rPr>
      <w:rFonts w:ascii="Arial Narrow" w:hAnsi="Arial Narrow" w:cs="Arial"/>
      <w:sz w:val="20"/>
      <w:szCs w:val="20"/>
    </w:rPr>
  </w:style>
  <w:style w:type="character" w:styleId="HTMLVariable">
    <w:name w:val="HTML Variable"/>
    <w:basedOn w:val="DefaultParagraphFont"/>
    <w:uiPriority w:val="99"/>
    <w:semiHidden/>
    <w:unhideWhenUsed/>
    <w:rsid w:val="00B949E1"/>
    <w:rPr>
      <w:i/>
      <w:iCs/>
    </w:rPr>
  </w:style>
  <w:style w:type="character" w:styleId="Hyperlink">
    <w:name w:val="Hyperlink"/>
    <w:basedOn w:val="DefaultParagraphFont"/>
    <w:uiPriority w:val="99"/>
    <w:unhideWhenUsed/>
    <w:rsid w:val="00B949E1"/>
    <w:rPr>
      <w:color w:val="0000FF" w:themeColor="hyperlink"/>
      <w:u w:val="single"/>
    </w:rPr>
  </w:style>
  <w:style w:type="paragraph" w:styleId="Index1">
    <w:name w:val="index 1"/>
    <w:basedOn w:val="Normal"/>
    <w:next w:val="Normal"/>
    <w:autoRedefine/>
    <w:uiPriority w:val="99"/>
    <w:semiHidden/>
    <w:unhideWhenUsed/>
    <w:rsid w:val="00B949E1"/>
    <w:pPr>
      <w:spacing w:after="0"/>
      <w:ind w:left="220" w:hanging="220"/>
    </w:pPr>
  </w:style>
  <w:style w:type="paragraph" w:styleId="Index2">
    <w:name w:val="index 2"/>
    <w:basedOn w:val="Normal"/>
    <w:next w:val="Normal"/>
    <w:autoRedefine/>
    <w:uiPriority w:val="99"/>
    <w:semiHidden/>
    <w:unhideWhenUsed/>
    <w:rsid w:val="00B949E1"/>
    <w:pPr>
      <w:spacing w:after="0"/>
      <w:ind w:left="440" w:hanging="220"/>
    </w:pPr>
  </w:style>
  <w:style w:type="paragraph" w:styleId="Index3">
    <w:name w:val="index 3"/>
    <w:basedOn w:val="Normal"/>
    <w:next w:val="Normal"/>
    <w:autoRedefine/>
    <w:uiPriority w:val="99"/>
    <w:semiHidden/>
    <w:unhideWhenUsed/>
    <w:rsid w:val="00B949E1"/>
    <w:pPr>
      <w:spacing w:after="0"/>
      <w:ind w:left="660" w:hanging="220"/>
    </w:pPr>
  </w:style>
  <w:style w:type="paragraph" w:styleId="Index4">
    <w:name w:val="index 4"/>
    <w:basedOn w:val="Normal"/>
    <w:next w:val="Normal"/>
    <w:autoRedefine/>
    <w:uiPriority w:val="99"/>
    <w:semiHidden/>
    <w:unhideWhenUsed/>
    <w:rsid w:val="00B949E1"/>
    <w:pPr>
      <w:spacing w:after="0"/>
      <w:ind w:left="880" w:hanging="220"/>
    </w:pPr>
  </w:style>
  <w:style w:type="paragraph" w:styleId="Index5">
    <w:name w:val="index 5"/>
    <w:basedOn w:val="Normal"/>
    <w:next w:val="Normal"/>
    <w:autoRedefine/>
    <w:uiPriority w:val="99"/>
    <w:semiHidden/>
    <w:unhideWhenUsed/>
    <w:rsid w:val="00B949E1"/>
    <w:pPr>
      <w:spacing w:after="0"/>
      <w:ind w:left="1100" w:hanging="220"/>
    </w:pPr>
  </w:style>
  <w:style w:type="paragraph" w:styleId="Index6">
    <w:name w:val="index 6"/>
    <w:basedOn w:val="Normal"/>
    <w:next w:val="Normal"/>
    <w:autoRedefine/>
    <w:uiPriority w:val="99"/>
    <w:semiHidden/>
    <w:unhideWhenUsed/>
    <w:rsid w:val="00B949E1"/>
    <w:pPr>
      <w:spacing w:after="0"/>
      <w:ind w:left="1320" w:hanging="220"/>
    </w:pPr>
  </w:style>
  <w:style w:type="paragraph" w:styleId="Index7">
    <w:name w:val="index 7"/>
    <w:basedOn w:val="Normal"/>
    <w:next w:val="Normal"/>
    <w:autoRedefine/>
    <w:uiPriority w:val="99"/>
    <w:semiHidden/>
    <w:unhideWhenUsed/>
    <w:rsid w:val="00B949E1"/>
    <w:pPr>
      <w:spacing w:after="0"/>
      <w:ind w:left="1540" w:hanging="220"/>
    </w:pPr>
  </w:style>
  <w:style w:type="paragraph" w:styleId="Index8">
    <w:name w:val="index 8"/>
    <w:basedOn w:val="Normal"/>
    <w:next w:val="Normal"/>
    <w:autoRedefine/>
    <w:uiPriority w:val="99"/>
    <w:semiHidden/>
    <w:unhideWhenUsed/>
    <w:rsid w:val="00B949E1"/>
    <w:pPr>
      <w:spacing w:after="0"/>
      <w:ind w:left="1760" w:hanging="220"/>
    </w:pPr>
  </w:style>
  <w:style w:type="paragraph" w:styleId="Index9">
    <w:name w:val="index 9"/>
    <w:basedOn w:val="Normal"/>
    <w:next w:val="Normal"/>
    <w:autoRedefine/>
    <w:uiPriority w:val="99"/>
    <w:semiHidden/>
    <w:unhideWhenUsed/>
    <w:rsid w:val="00B949E1"/>
    <w:pPr>
      <w:spacing w:after="0"/>
      <w:ind w:left="1980" w:hanging="220"/>
    </w:pPr>
  </w:style>
  <w:style w:type="paragraph" w:styleId="IndexHeading">
    <w:name w:val="index heading"/>
    <w:basedOn w:val="Normal"/>
    <w:next w:val="Index1"/>
    <w:uiPriority w:val="99"/>
    <w:semiHidden/>
    <w:unhideWhenUsed/>
    <w:rsid w:val="00B949E1"/>
    <w:pPr>
      <w:spacing w:after="160" w:line="259" w:lineRule="auto"/>
    </w:pPr>
    <w:rPr>
      <w:rFonts w:eastAsiaTheme="majorEastAsia"/>
      <w:b/>
      <w:bCs/>
    </w:rPr>
  </w:style>
  <w:style w:type="character" w:styleId="IntenseEmphasis">
    <w:name w:val="Intense Emphasis"/>
    <w:basedOn w:val="DefaultParagraphFont"/>
    <w:uiPriority w:val="21"/>
    <w:qFormat/>
    <w:rsid w:val="00B949E1"/>
    <w:rPr>
      <w:i/>
      <w:iCs/>
      <w:color w:val="4F81BD" w:themeColor="accent1"/>
    </w:rPr>
  </w:style>
  <w:style w:type="paragraph" w:styleId="IntenseQuote">
    <w:name w:val="Intense Quote"/>
    <w:basedOn w:val="Normal"/>
    <w:next w:val="Normal"/>
    <w:link w:val="IntenseQuoteChar"/>
    <w:uiPriority w:val="30"/>
    <w:qFormat/>
    <w:rsid w:val="00B949E1"/>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949E1"/>
    <w:rPr>
      <w:rFonts w:ascii="Arial Narrow" w:hAnsi="Arial Narrow" w:cs="Arial"/>
      <w:i/>
      <w:iCs/>
      <w:color w:val="4F81BD" w:themeColor="accent1"/>
    </w:rPr>
  </w:style>
  <w:style w:type="character" w:styleId="IntenseReference">
    <w:name w:val="Intense Reference"/>
    <w:basedOn w:val="DefaultParagraphFont"/>
    <w:uiPriority w:val="32"/>
    <w:qFormat/>
    <w:rsid w:val="00B949E1"/>
    <w:rPr>
      <w:b/>
      <w:bCs/>
      <w:smallCaps/>
      <w:color w:val="4F81BD" w:themeColor="accent1"/>
      <w:spacing w:val="5"/>
    </w:rPr>
  </w:style>
  <w:style w:type="table" w:styleId="LightGrid">
    <w:name w:val="Light Grid"/>
    <w:basedOn w:val="TableNormal"/>
    <w:uiPriority w:val="62"/>
    <w:semiHidden/>
    <w:unhideWhenUsed/>
    <w:rsid w:val="00B949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949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B949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B949E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B949E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B94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B949E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B949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949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B949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B949E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B949E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B94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B949E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B949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949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B949E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B949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B949E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B949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B949E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949E1"/>
  </w:style>
  <w:style w:type="paragraph" w:styleId="List">
    <w:name w:val="List"/>
    <w:basedOn w:val="Normal"/>
    <w:uiPriority w:val="99"/>
    <w:semiHidden/>
    <w:unhideWhenUsed/>
    <w:rsid w:val="00B949E1"/>
    <w:pPr>
      <w:spacing w:after="160" w:line="259" w:lineRule="auto"/>
      <w:ind w:left="283" w:hanging="283"/>
      <w:contextualSpacing/>
    </w:pPr>
  </w:style>
  <w:style w:type="paragraph" w:styleId="List2">
    <w:name w:val="List 2"/>
    <w:basedOn w:val="Normal"/>
    <w:uiPriority w:val="99"/>
    <w:semiHidden/>
    <w:unhideWhenUsed/>
    <w:rsid w:val="00B949E1"/>
    <w:pPr>
      <w:spacing w:after="160" w:line="259" w:lineRule="auto"/>
      <w:ind w:left="566" w:hanging="283"/>
      <w:contextualSpacing/>
    </w:pPr>
  </w:style>
  <w:style w:type="paragraph" w:styleId="List3">
    <w:name w:val="List 3"/>
    <w:basedOn w:val="Normal"/>
    <w:uiPriority w:val="99"/>
    <w:semiHidden/>
    <w:unhideWhenUsed/>
    <w:rsid w:val="00B949E1"/>
    <w:pPr>
      <w:spacing w:after="160" w:line="259" w:lineRule="auto"/>
      <w:ind w:left="849" w:hanging="283"/>
      <w:contextualSpacing/>
    </w:pPr>
  </w:style>
  <w:style w:type="paragraph" w:styleId="List4">
    <w:name w:val="List 4"/>
    <w:basedOn w:val="Normal"/>
    <w:uiPriority w:val="99"/>
    <w:semiHidden/>
    <w:unhideWhenUsed/>
    <w:rsid w:val="00B949E1"/>
    <w:pPr>
      <w:spacing w:after="160" w:line="259" w:lineRule="auto"/>
      <w:ind w:left="1132" w:hanging="283"/>
      <w:contextualSpacing/>
    </w:pPr>
  </w:style>
  <w:style w:type="paragraph" w:styleId="List5">
    <w:name w:val="List 5"/>
    <w:basedOn w:val="Normal"/>
    <w:uiPriority w:val="99"/>
    <w:semiHidden/>
    <w:unhideWhenUsed/>
    <w:rsid w:val="00B949E1"/>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Char"/>
    <w:basedOn w:val="Normal"/>
    <w:link w:val="ListBulletChar"/>
    <w:uiPriority w:val="99"/>
    <w:qFormat/>
    <w:rsid w:val="00B949E1"/>
    <w:pPr>
      <w:numPr>
        <w:numId w:val="69"/>
      </w:numPr>
      <w:tabs>
        <w:tab w:val="clear" w:pos="360"/>
      </w:tabs>
      <w:spacing w:before="70" w:after="70"/>
      <w:ind w:left="420" w:hanging="420"/>
    </w:pPr>
  </w:style>
  <w:style w:type="paragraph" w:styleId="ListBullet2">
    <w:name w:val="List Bullet 2"/>
    <w:aliases w:val="Char2,2, Char2,Lista con viñetas 2,List Bullet 2 Char Char Char"/>
    <w:basedOn w:val="Normal"/>
    <w:uiPriority w:val="99"/>
    <w:qFormat/>
    <w:rsid w:val="00B949E1"/>
    <w:pPr>
      <w:numPr>
        <w:ilvl w:val="1"/>
        <w:numId w:val="9"/>
      </w:numPr>
      <w:spacing w:before="0" w:after="60" w:line="240" w:lineRule="atLeast"/>
    </w:pPr>
  </w:style>
  <w:style w:type="paragraph" w:styleId="ListBullet3">
    <w:name w:val="List Bullet 3"/>
    <w:aliases w:val="Lista con viñetas 3"/>
    <w:basedOn w:val="Normal"/>
    <w:uiPriority w:val="99"/>
    <w:qFormat/>
    <w:rsid w:val="00B949E1"/>
    <w:pPr>
      <w:numPr>
        <w:ilvl w:val="2"/>
        <w:numId w:val="9"/>
      </w:numPr>
      <w:spacing w:before="0" w:after="60" w:line="240" w:lineRule="atLeast"/>
    </w:pPr>
  </w:style>
  <w:style w:type="paragraph" w:styleId="ListBullet4">
    <w:name w:val="List Bullet 4"/>
    <w:basedOn w:val="Normal"/>
    <w:uiPriority w:val="99"/>
    <w:semiHidden/>
    <w:unhideWhenUsed/>
    <w:rsid w:val="00B949E1"/>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B949E1"/>
    <w:pPr>
      <w:numPr>
        <w:numId w:val="2"/>
      </w:numPr>
      <w:spacing w:after="160" w:line="259" w:lineRule="auto"/>
      <w:contextualSpacing/>
    </w:pPr>
  </w:style>
  <w:style w:type="paragraph" w:styleId="ListContinue">
    <w:name w:val="List Continue"/>
    <w:basedOn w:val="Normal"/>
    <w:uiPriority w:val="99"/>
    <w:semiHidden/>
    <w:unhideWhenUsed/>
    <w:rsid w:val="00B949E1"/>
    <w:pPr>
      <w:spacing w:line="259" w:lineRule="auto"/>
      <w:ind w:left="283"/>
      <w:contextualSpacing/>
    </w:pPr>
  </w:style>
  <w:style w:type="paragraph" w:styleId="ListContinue2">
    <w:name w:val="List Continue 2"/>
    <w:basedOn w:val="Normal"/>
    <w:uiPriority w:val="99"/>
    <w:semiHidden/>
    <w:unhideWhenUsed/>
    <w:rsid w:val="00B949E1"/>
    <w:pPr>
      <w:spacing w:line="259" w:lineRule="auto"/>
      <w:ind w:left="566"/>
      <w:contextualSpacing/>
    </w:pPr>
  </w:style>
  <w:style w:type="paragraph" w:styleId="ListContinue3">
    <w:name w:val="List Continue 3"/>
    <w:basedOn w:val="Normal"/>
    <w:uiPriority w:val="99"/>
    <w:semiHidden/>
    <w:unhideWhenUsed/>
    <w:rsid w:val="00B949E1"/>
    <w:pPr>
      <w:spacing w:line="259" w:lineRule="auto"/>
      <w:ind w:left="849"/>
      <w:contextualSpacing/>
    </w:pPr>
  </w:style>
  <w:style w:type="paragraph" w:styleId="ListContinue4">
    <w:name w:val="List Continue 4"/>
    <w:basedOn w:val="Normal"/>
    <w:uiPriority w:val="99"/>
    <w:semiHidden/>
    <w:unhideWhenUsed/>
    <w:rsid w:val="00B949E1"/>
    <w:pPr>
      <w:spacing w:line="259" w:lineRule="auto"/>
      <w:ind w:left="1132"/>
      <w:contextualSpacing/>
    </w:pPr>
  </w:style>
  <w:style w:type="paragraph" w:styleId="ListContinue5">
    <w:name w:val="List Continue 5"/>
    <w:basedOn w:val="Normal"/>
    <w:uiPriority w:val="99"/>
    <w:semiHidden/>
    <w:unhideWhenUsed/>
    <w:rsid w:val="00B949E1"/>
    <w:pPr>
      <w:spacing w:line="259" w:lineRule="auto"/>
      <w:ind w:left="1415"/>
      <w:contextualSpacing/>
    </w:pPr>
  </w:style>
  <w:style w:type="paragraph" w:styleId="ListNumber">
    <w:name w:val="List Number"/>
    <w:aliases w:val="List Number Special"/>
    <w:basedOn w:val="Normal"/>
    <w:uiPriority w:val="99"/>
    <w:qFormat/>
    <w:rsid w:val="00B949E1"/>
    <w:pPr>
      <w:numPr>
        <w:numId w:val="8"/>
      </w:numPr>
      <w:spacing w:before="70" w:after="70"/>
    </w:pPr>
  </w:style>
  <w:style w:type="paragraph" w:styleId="ListNumber2">
    <w:name w:val="List Number 2"/>
    <w:basedOn w:val="Normal"/>
    <w:uiPriority w:val="99"/>
    <w:qFormat/>
    <w:rsid w:val="00B949E1"/>
    <w:pPr>
      <w:numPr>
        <w:ilvl w:val="1"/>
        <w:numId w:val="8"/>
      </w:numPr>
      <w:spacing w:before="0" w:after="60" w:line="240" w:lineRule="atLeast"/>
    </w:pPr>
  </w:style>
  <w:style w:type="paragraph" w:styleId="ListNumber3">
    <w:name w:val="List Number 3"/>
    <w:basedOn w:val="Normal"/>
    <w:uiPriority w:val="99"/>
    <w:qFormat/>
    <w:rsid w:val="00B949E1"/>
    <w:pPr>
      <w:numPr>
        <w:ilvl w:val="2"/>
        <w:numId w:val="8"/>
      </w:numPr>
      <w:spacing w:before="0" w:after="60" w:line="240" w:lineRule="atLeast"/>
    </w:pPr>
  </w:style>
  <w:style w:type="paragraph" w:styleId="ListNumber4">
    <w:name w:val="List Number 4"/>
    <w:basedOn w:val="Normal"/>
    <w:uiPriority w:val="99"/>
    <w:semiHidden/>
    <w:unhideWhenUsed/>
    <w:rsid w:val="00B949E1"/>
    <w:pPr>
      <w:numPr>
        <w:numId w:val="3"/>
      </w:numPr>
      <w:spacing w:after="160" w:line="259" w:lineRule="auto"/>
      <w:contextualSpacing/>
    </w:pPr>
  </w:style>
  <w:style w:type="paragraph" w:styleId="ListNumber5">
    <w:name w:val="List Number 5"/>
    <w:basedOn w:val="Normal"/>
    <w:uiPriority w:val="99"/>
    <w:semiHidden/>
    <w:unhideWhenUsed/>
    <w:rsid w:val="00B949E1"/>
    <w:pPr>
      <w:numPr>
        <w:numId w:val="4"/>
      </w:numPr>
      <w:spacing w:after="160" w:line="259" w:lineRule="auto"/>
      <w:contextualSpacing/>
    </w:pPr>
  </w:style>
  <w:style w:type="paragraph" w:styleId="ListParagraph">
    <w:name w:val="List Paragraph"/>
    <w:aliases w:val="List Paragraph1,Recommendation,List Paragraph11,L,1 heading,Bullet point,Dot point 1.5 line spacing,List Paragraph - bullets,NFP GP Bulleted List,bullet point list,Bulletr List Paragraph,FooterText,List Paragraph2,List Paragraph21,CV t"/>
    <w:basedOn w:val="Normal"/>
    <w:link w:val="ListParagraphChar"/>
    <w:uiPriority w:val="34"/>
    <w:qFormat/>
    <w:rsid w:val="00B949E1"/>
    <w:pPr>
      <w:spacing w:after="160" w:line="259" w:lineRule="auto"/>
      <w:ind w:left="720"/>
      <w:contextualSpacing/>
    </w:pPr>
  </w:style>
  <w:style w:type="table" w:styleId="ListTable1Light">
    <w:name w:val="List Table 1 Light"/>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B949E1"/>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B949E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949E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B949E1"/>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B949E1"/>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B949E1"/>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B949E1"/>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B949E1"/>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B949E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949E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B949E1"/>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B949E1"/>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B949E1"/>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B949E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B949E1"/>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B949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949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B949E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B949E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B949E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B949E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B949E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B949E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949E1"/>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949E1"/>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949E1"/>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949E1"/>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949E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949E1"/>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949E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949E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B949E1"/>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B949E1"/>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B949E1"/>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B949E1"/>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B949E1"/>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B949E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949E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949E1"/>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949E1"/>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949E1"/>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949E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949E1"/>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949E1"/>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B949E1"/>
    <w:rPr>
      <w:rFonts w:ascii="Arial Narrow" w:hAnsi="Arial Narrow" w:cs="Arial"/>
      <w:sz w:val="20"/>
      <w:szCs w:val="20"/>
    </w:rPr>
  </w:style>
  <w:style w:type="table" w:styleId="MediumGrid1">
    <w:name w:val="Medium Grid 1"/>
    <w:basedOn w:val="TableNormal"/>
    <w:uiPriority w:val="67"/>
    <w:semiHidden/>
    <w:unhideWhenUsed/>
    <w:rsid w:val="00B949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949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B949E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B949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B949E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B949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B949E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B94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B949E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949E1"/>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949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949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949E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949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949E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949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49E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949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949E1"/>
    <w:rPr>
      <w:color w:val="2B579A"/>
      <w:shd w:val="clear" w:color="auto" w:fill="E1DFDD"/>
    </w:rPr>
  </w:style>
  <w:style w:type="paragraph" w:styleId="MessageHeader">
    <w:name w:val="Message Header"/>
    <w:basedOn w:val="Normal"/>
    <w:link w:val="MessageHeaderChar"/>
    <w:uiPriority w:val="99"/>
    <w:semiHidden/>
    <w:unhideWhenUsed/>
    <w:rsid w:val="00B949E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B949E1"/>
    <w:rPr>
      <w:rFonts w:ascii="Arial Narrow" w:eastAsiaTheme="majorEastAsia" w:hAnsi="Arial Narrow" w:cs="Arial"/>
      <w:sz w:val="24"/>
      <w:szCs w:val="24"/>
      <w:shd w:val="pct20" w:color="auto" w:fill="auto"/>
    </w:rPr>
  </w:style>
  <w:style w:type="paragraph" w:styleId="NoSpacing">
    <w:name w:val="No Spacing"/>
    <w:uiPriority w:val="1"/>
    <w:qFormat/>
    <w:rsid w:val="00B949E1"/>
    <w:pPr>
      <w:spacing w:after="0" w:line="240" w:lineRule="auto"/>
    </w:pPr>
    <w:rPr>
      <w:rFonts w:ascii="Arial Narrow" w:hAnsi="Arial Narrow" w:cs="Arial"/>
    </w:rPr>
  </w:style>
  <w:style w:type="paragraph" w:styleId="NormalWeb">
    <w:name w:val="Normal (Web)"/>
    <w:basedOn w:val="Normal"/>
    <w:uiPriority w:val="99"/>
    <w:unhideWhenUsed/>
    <w:rsid w:val="00B949E1"/>
    <w:pPr>
      <w:spacing w:after="160" w:line="259" w:lineRule="auto"/>
    </w:pPr>
    <w:rPr>
      <w:sz w:val="24"/>
      <w:szCs w:val="24"/>
    </w:rPr>
  </w:style>
  <w:style w:type="paragraph" w:styleId="NormalIndent">
    <w:name w:val="Normal Indent"/>
    <w:basedOn w:val="Normal"/>
    <w:uiPriority w:val="99"/>
    <w:semiHidden/>
    <w:unhideWhenUsed/>
    <w:rsid w:val="00B949E1"/>
    <w:pPr>
      <w:spacing w:after="160" w:line="259" w:lineRule="auto"/>
      <w:ind w:left="720"/>
    </w:pPr>
  </w:style>
  <w:style w:type="paragraph" w:styleId="NoteHeading">
    <w:name w:val="Note Heading"/>
    <w:basedOn w:val="Normal"/>
    <w:next w:val="Normal"/>
    <w:link w:val="NoteHeadingChar"/>
    <w:uiPriority w:val="99"/>
    <w:semiHidden/>
    <w:unhideWhenUsed/>
    <w:rsid w:val="00B949E1"/>
    <w:pPr>
      <w:spacing w:after="0"/>
    </w:pPr>
  </w:style>
  <w:style w:type="character" w:customStyle="1" w:styleId="NoteHeadingChar">
    <w:name w:val="Note Heading Char"/>
    <w:basedOn w:val="DefaultParagraphFont"/>
    <w:link w:val="NoteHeading"/>
    <w:uiPriority w:val="99"/>
    <w:semiHidden/>
    <w:rsid w:val="00B949E1"/>
    <w:rPr>
      <w:rFonts w:ascii="Arial Narrow" w:hAnsi="Arial Narrow" w:cs="Arial"/>
    </w:rPr>
  </w:style>
  <w:style w:type="character" w:styleId="PageNumber">
    <w:name w:val="page number"/>
    <w:basedOn w:val="DefaultParagraphFont"/>
    <w:uiPriority w:val="99"/>
    <w:unhideWhenUsed/>
    <w:rsid w:val="00B949E1"/>
  </w:style>
  <w:style w:type="character" w:styleId="PlaceholderText">
    <w:name w:val="Placeholder Text"/>
    <w:basedOn w:val="DefaultParagraphFont"/>
    <w:uiPriority w:val="99"/>
    <w:semiHidden/>
    <w:rsid w:val="00B949E1"/>
    <w:rPr>
      <w:color w:val="808080"/>
    </w:rPr>
  </w:style>
  <w:style w:type="table" w:styleId="PlainTable1">
    <w:name w:val="Plain Table 1"/>
    <w:basedOn w:val="TableNormal"/>
    <w:uiPriority w:val="41"/>
    <w:rsid w:val="00B949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949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949E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949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949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949E1"/>
    <w:pPr>
      <w:spacing w:after="0"/>
    </w:pPr>
    <w:rPr>
      <w:sz w:val="21"/>
      <w:szCs w:val="21"/>
    </w:rPr>
  </w:style>
  <w:style w:type="character" w:customStyle="1" w:styleId="PlainTextChar">
    <w:name w:val="Plain Text Char"/>
    <w:basedOn w:val="DefaultParagraphFont"/>
    <w:link w:val="PlainText"/>
    <w:uiPriority w:val="99"/>
    <w:semiHidden/>
    <w:rsid w:val="00B949E1"/>
    <w:rPr>
      <w:rFonts w:ascii="Arial Narrow" w:hAnsi="Arial Narrow" w:cs="Arial"/>
      <w:sz w:val="21"/>
      <w:szCs w:val="21"/>
    </w:rPr>
  </w:style>
  <w:style w:type="paragraph" w:styleId="Quote">
    <w:name w:val="Quote"/>
    <w:basedOn w:val="Normal"/>
    <w:next w:val="Normal"/>
    <w:link w:val="QuoteChar"/>
    <w:uiPriority w:val="29"/>
    <w:qFormat/>
    <w:rsid w:val="00B949E1"/>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B949E1"/>
    <w:rPr>
      <w:rFonts w:ascii="Arial Narrow" w:hAnsi="Arial Narrow"/>
      <w:i/>
      <w:iCs/>
      <w:color w:val="4D4C4D"/>
    </w:rPr>
  </w:style>
  <w:style w:type="paragraph" w:styleId="Salutation">
    <w:name w:val="Salutation"/>
    <w:basedOn w:val="Normal"/>
    <w:next w:val="Normal"/>
    <w:link w:val="SalutationChar"/>
    <w:uiPriority w:val="99"/>
    <w:semiHidden/>
    <w:unhideWhenUsed/>
    <w:rsid w:val="00B949E1"/>
    <w:pPr>
      <w:spacing w:after="160" w:line="259" w:lineRule="auto"/>
    </w:pPr>
  </w:style>
  <w:style w:type="character" w:customStyle="1" w:styleId="SalutationChar">
    <w:name w:val="Salutation Char"/>
    <w:basedOn w:val="DefaultParagraphFont"/>
    <w:link w:val="Salutation"/>
    <w:uiPriority w:val="99"/>
    <w:semiHidden/>
    <w:rsid w:val="00B949E1"/>
    <w:rPr>
      <w:rFonts w:ascii="Arial Narrow" w:hAnsi="Arial Narrow" w:cs="Arial"/>
    </w:rPr>
  </w:style>
  <w:style w:type="paragraph" w:styleId="Signature">
    <w:name w:val="Signature"/>
    <w:basedOn w:val="Normal"/>
    <w:link w:val="SignatureChar"/>
    <w:uiPriority w:val="99"/>
    <w:semiHidden/>
    <w:unhideWhenUsed/>
    <w:rsid w:val="00B949E1"/>
    <w:pPr>
      <w:spacing w:after="0"/>
      <w:ind w:left="4252"/>
    </w:pPr>
  </w:style>
  <w:style w:type="character" w:customStyle="1" w:styleId="SignatureChar">
    <w:name w:val="Signature Char"/>
    <w:basedOn w:val="DefaultParagraphFont"/>
    <w:link w:val="Signature"/>
    <w:uiPriority w:val="99"/>
    <w:semiHidden/>
    <w:rsid w:val="00B949E1"/>
    <w:rPr>
      <w:rFonts w:ascii="Arial Narrow" w:hAnsi="Arial Narrow" w:cs="Arial"/>
    </w:rPr>
  </w:style>
  <w:style w:type="character" w:styleId="SmartHyperlink">
    <w:name w:val="Smart Hyperlink"/>
    <w:basedOn w:val="DefaultParagraphFont"/>
    <w:uiPriority w:val="99"/>
    <w:semiHidden/>
    <w:unhideWhenUsed/>
    <w:rsid w:val="00B949E1"/>
    <w:rPr>
      <w:u w:val="dotted"/>
    </w:rPr>
  </w:style>
  <w:style w:type="character" w:styleId="SmartLink">
    <w:name w:val="Smart Link"/>
    <w:basedOn w:val="DefaultParagraphFont"/>
    <w:uiPriority w:val="99"/>
    <w:semiHidden/>
    <w:unhideWhenUsed/>
    <w:rsid w:val="00B949E1"/>
    <w:rPr>
      <w:color w:val="0000FF"/>
      <w:u w:val="single"/>
      <w:shd w:val="clear" w:color="auto" w:fill="F3F2F1"/>
    </w:rPr>
  </w:style>
  <w:style w:type="character" w:styleId="Strong">
    <w:name w:val="Strong"/>
    <w:basedOn w:val="DefaultParagraphFont"/>
    <w:uiPriority w:val="22"/>
    <w:qFormat/>
    <w:rsid w:val="00B949E1"/>
    <w:rPr>
      <w:b/>
      <w:bCs/>
    </w:rPr>
  </w:style>
  <w:style w:type="paragraph" w:styleId="Subtitle">
    <w:name w:val="Subtitle"/>
    <w:basedOn w:val="Normal"/>
    <w:next w:val="Normal"/>
    <w:link w:val="SubtitleChar"/>
    <w:uiPriority w:val="11"/>
    <w:qFormat/>
    <w:rsid w:val="00B949E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949E1"/>
    <w:rPr>
      <w:rFonts w:ascii="Arial Narrow" w:eastAsiaTheme="minorEastAsia" w:hAnsi="Arial Narrow" w:cs="Arial"/>
      <w:color w:val="5A5A5A" w:themeColor="text1" w:themeTint="A5"/>
      <w:spacing w:val="15"/>
    </w:rPr>
  </w:style>
  <w:style w:type="character" w:styleId="SubtleEmphasis">
    <w:name w:val="Subtle Emphasis"/>
    <w:basedOn w:val="DefaultParagraphFont"/>
    <w:uiPriority w:val="19"/>
    <w:qFormat/>
    <w:rsid w:val="00B949E1"/>
    <w:rPr>
      <w:i/>
      <w:iCs/>
      <w:color w:val="404040" w:themeColor="text1" w:themeTint="BF"/>
    </w:rPr>
  </w:style>
  <w:style w:type="character" w:styleId="SubtleReference">
    <w:name w:val="Subtle Reference"/>
    <w:basedOn w:val="DefaultParagraphFont"/>
    <w:uiPriority w:val="31"/>
    <w:qFormat/>
    <w:rsid w:val="00B949E1"/>
    <w:rPr>
      <w:smallCaps/>
      <w:color w:val="5A5A5A" w:themeColor="text1" w:themeTint="A5"/>
    </w:rPr>
  </w:style>
  <w:style w:type="table" w:styleId="Table3Deffects1">
    <w:name w:val="Table 3D effects 1"/>
    <w:basedOn w:val="TableNormal"/>
    <w:uiPriority w:val="99"/>
    <w:semiHidden/>
    <w:unhideWhenUsed/>
    <w:rsid w:val="00B949E1"/>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49E1"/>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49E1"/>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49E1"/>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49E1"/>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49E1"/>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49E1"/>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49E1"/>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49E1"/>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49E1"/>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49E1"/>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49E1"/>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49E1"/>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49E1"/>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49E1"/>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49E1"/>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49E1"/>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DPS Table Grid,none,EP Table Grid,EY Question Table,CV table,EY Table,ICB Table,EYTable,CV1,new tab,Equifax table,Header Table,Format for the table,Header Table Grid,McLL Table General Text,PB Table,1TableGrid,~Tender Table,SGS Numeric Table"/>
    <w:basedOn w:val="TableNormal"/>
    <w:uiPriority w:val="39"/>
    <w:rsid w:val="00B94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949E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49E1"/>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49E1"/>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49E1"/>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49E1"/>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49E1"/>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49E1"/>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49E1"/>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949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949E1"/>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49E1"/>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49E1"/>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49E1"/>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49E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49E1"/>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49E1"/>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49E1"/>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B949E1"/>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49E1"/>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B949E1"/>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49E1"/>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49E1"/>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49E1"/>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49E1"/>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49E1"/>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49E1"/>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49E1"/>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49E1"/>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49E1"/>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949E1"/>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B949E1"/>
    <w:rPr>
      <w:rFonts w:ascii="Arial Narrow" w:eastAsiaTheme="majorEastAsia" w:hAnsi="Arial Narrow" w:cs="Arial"/>
      <w:spacing w:val="-10"/>
      <w:kern w:val="28"/>
      <w:sz w:val="56"/>
      <w:szCs w:val="56"/>
    </w:rPr>
  </w:style>
  <w:style w:type="paragraph" w:styleId="TOAHeading">
    <w:name w:val="toa heading"/>
    <w:basedOn w:val="Normal"/>
    <w:next w:val="Normal"/>
    <w:uiPriority w:val="99"/>
    <w:semiHidden/>
    <w:unhideWhenUsed/>
    <w:rsid w:val="00B949E1"/>
    <w:pPr>
      <w:spacing w:before="120" w:after="160" w:line="259" w:lineRule="auto"/>
    </w:pPr>
    <w:rPr>
      <w:rFonts w:eastAsiaTheme="majorEastAsia"/>
      <w:b/>
      <w:bCs/>
      <w:sz w:val="24"/>
      <w:szCs w:val="24"/>
    </w:rPr>
  </w:style>
  <w:style w:type="paragraph" w:styleId="TOC1">
    <w:name w:val="toc 1"/>
    <w:basedOn w:val="Normal"/>
    <w:next w:val="Normal"/>
    <w:uiPriority w:val="39"/>
    <w:rsid w:val="00B949E1"/>
    <w:pPr>
      <w:tabs>
        <w:tab w:val="right" w:pos="7643"/>
      </w:tabs>
      <w:spacing w:before="300" w:after="360" w:line="240" w:lineRule="exact"/>
      <w:ind w:right="851"/>
    </w:pPr>
    <w:rPr>
      <w:rFonts w:ascii="Yu Gothic Medium" w:eastAsia="Yu Gothic Medium" w:hAnsi="Yu Gothic Medium" w:cstheme="minorBidi"/>
      <w:b/>
      <w:noProof/>
      <w:color w:val="6C3F99"/>
      <w:sz w:val="24"/>
    </w:rPr>
  </w:style>
  <w:style w:type="paragraph" w:styleId="TOC2">
    <w:name w:val="toc 2"/>
    <w:basedOn w:val="Normal"/>
    <w:next w:val="Normal"/>
    <w:uiPriority w:val="39"/>
    <w:rsid w:val="00B949E1"/>
    <w:pPr>
      <w:keepNext/>
      <w:tabs>
        <w:tab w:val="right" w:pos="7643"/>
      </w:tabs>
      <w:spacing w:before="292" w:after="168" w:line="240" w:lineRule="exact"/>
      <w:ind w:left="561" w:right="851" w:hanging="561"/>
    </w:pPr>
    <w:rPr>
      <w:rFonts w:ascii="Yu Gothic Medium" w:eastAsia="Yu Gothic Medium" w:hAnsi="Yu Gothic Medium" w:cstheme="minorBidi"/>
      <w:b/>
      <w:noProof/>
      <w:color w:val="000100"/>
      <w:sz w:val="24"/>
    </w:rPr>
  </w:style>
  <w:style w:type="paragraph" w:styleId="TOC3">
    <w:name w:val="toc 3"/>
    <w:basedOn w:val="Normal"/>
    <w:next w:val="Normal"/>
    <w:uiPriority w:val="39"/>
    <w:rsid w:val="00B949E1"/>
    <w:pPr>
      <w:tabs>
        <w:tab w:val="right" w:pos="7643"/>
      </w:tabs>
      <w:spacing w:before="0" w:after="0" w:line="240" w:lineRule="auto"/>
      <w:ind w:left="1122" w:right="851" w:hanging="561"/>
    </w:pPr>
    <w:rPr>
      <w:rFonts w:cstheme="minorBidi"/>
      <w:noProof/>
      <w:color w:val="000100"/>
      <w:position w:val="-6"/>
    </w:rPr>
  </w:style>
  <w:style w:type="paragraph" w:styleId="TOC4">
    <w:name w:val="toc 4"/>
    <w:basedOn w:val="Normal"/>
    <w:next w:val="Normal"/>
    <w:uiPriority w:val="39"/>
    <w:rsid w:val="00B949E1"/>
    <w:pPr>
      <w:tabs>
        <w:tab w:val="right" w:pos="7643"/>
      </w:tabs>
      <w:spacing w:before="0" w:after="60"/>
      <w:ind w:left="1684" w:right="851" w:hanging="561"/>
      <w:contextualSpacing/>
    </w:pPr>
    <w:rPr>
      <w:rFonts w:cstheme="minorBidi"/>
      <w:noProof/>
      <w:color w:val="000100"/>
      <w:sz w:val="20"/>
    </w:rPr>
  </w:style>
  <w:style w:type="paragraph" w:styleId="TOC5">
    <w:name w:val="toc 5"/>
    <w:basedOn w:val="Normal"/>
    <w:next w:val="Normal"/>
    <w:uiPriority w:val="39"/>
    <w:rsid w:val="00B949E1"/>
    <w:pPr>
      <w:tabs>
        <w:tab w:val="right" w:pos="7643"/>
      </w:tabs>
      <w:spacing w:after="32"/>
      <w:ind w:left="454" w:right="851" w:hanging="454"/>
    </w:pPr>
    <w:rPr>
      <w:rFonts w:cstheme="minorBidi"/>
      <w:noProof/>
      <w:color w:val="000100"/>
      <w:spacing w:val="-4"/>
      <w:sz w:val="21"/>
    </w:rPr>
  </w:style>
  <w:style w:type="paragraph" w:styleId="TOC6">
    <w:name w:val="toc 6"/>
    <w:basedOn w:val="Normal"/>
    <w:next w:val="Normal"/>
    <w:uiPriority w:val="39"/>
    <w:rsid w:val="00B949E1"/>
    <w:pPr>
      <w:numPr>
        <w:ilvl w:val="5"/>
        <w:numId w:val="16"/>
      </w:numPr>
      <w:pBdr>
        <w:bottom w:val="single" w:sz="4" w:space="1" w:color="auto"/>
        <w:between w:val="single" w:sz="4" w:space="1" w:color="auto"/>
      </w:pBdr>
      <w:tabs>
        <w:tab w:val="right" w:pos="7643"/>
      </w:tabs>
      <w:spacing w:before="240" w:after="0" w:line="240" w:lineRule="exact"/>
      <w:ind w:left="0" w:right="851" w:firstLine="0"/>
    </w:pPr>
    <w:rPr>
      <w:rFonts w:cstheme="minorBidi"/>
      <w:noProof/>
      <w:color w:val="000100"/>
      <w:sz w:val="20"/>
    </w:rPr>
  </w:style>
  <w:style w:type="paragraph" w:styleId="TOC7">
    <w:name w:val="toc 7"/>
    <w:basedOn w:val="Normal"/>
    <w:next w:val="Normal"/>
    <w:uiPriority w:val="39"/>
    <w:rsid w:val="00B949E1"/>
    <w:pPr>
      <w:keepNext/>
      <w:numPr>
        <w:ilvl w:val="6"/>
        <w:numId w:val="16"/>
      </w:numPr>
      <w:tabs>
        <w:tab w:val="right" w:pos="7643"/>
      </w:tabs>
      <w:spacing w:before="240" w:after="0" w:line="240" w:lineRule="exact"/>
      <w:ind w:right="851"/>
      <w:contextualSpacing/>
    </w:pPr>
    <w:rPr>
      <w:rFonts w:ascii="Yu Gothic Medium" w:eastAsia="Yu Gothic Medium" w:hAnsi="Yu Gothic Medium" w:cstheme="minorBidi"/>
      <w:b/>
      <w:color w:val="000100"/>
      <w:sz w:val="24"/>
    </w:rPr>
  </w:style>
  <w:style w:type="paragraph" w:styleId="TOC8">
    <w:name w:val="toc 8"/>
    <w:basedOn w:val="Normal"/>
    <w:next w:val="Normal"/>
    <w:uiPriority w:val="39"/>
    <w:rsid w:val="00B949E1"/>
    <w:pPr>
      <w:tabs>
        <w:tab w:val="right" w:pos="7643"/>
      </w:tabs>
      <w:spacing w:after="100"/>
      <w:ind w:right="851"/>
      <w:contextualSpacing/>
    </w:pPr>
    <w:rPr>
      <w:rFonts w:cstheme="minorBidi"/>
      <w:noProof/>
      <w:color w:val="000100"/>
      <w:sz w:val="18"/>
    </w:rPr>
  </w:style>
  <w:style w:type="paragraph" w:styleId="TOC9">
    <w:name w:val="toc 9"/>
    <w:basedOn w:val="Normal"/>
    <w:next w:val="Normal"/>
    <w:uiPriority w:val="39"/>
    <w:rsid w:val="00B949E1"/>
    <w:pPr>
      <w:tabs>
        <w:tab w:val="right" w:pos="7643"/>
      </w:tabs>
      <w:spacing w:after="100"/>
      <w:ind w:right="851"/>
    </w:pPr>
    <w:rPr>
      <w:rFonts w:cstheme="minorBidi"/>
      <w:color w:val="000100"/>
      <w:spacing w:val="-4"/>
      <w:sz w:val="19"/>
    </w:rPr>
  </w:style>
  <w:style w:type="paragraph" w:styleId="TOCHeading">
    <w:name w:val="TOC Heading"/>
    <w:basedOn w:val="Heading1"/>
    <w:next w:val="Normal"/>
    <w:uiPriority w:val="39"/>
    <w:unhideWhenUsed/>
    <w:qFormat/>
    <w:rsid w:val="00B949E1"/>
    <w:pPr>
      <w:numPr>
        <w:numId w:val="0"/>
      </w:numPr>
      <w:outlineLvl w:val="9"/>
    </w:pPr>
    <w:rPr>
      <w:rFonts w:eastAsia="Yu Gothic Medium"/>
      <w:color w:val="6C3D99"/>
    </w:rPr>
  </w:style>
  <w:style w:type="character" w:styleId="UnresolvedMention">
    <w:name w:val="Unresolved Mention"/>
    <w:basedOn w:val="DefaultParagraphFont"/>
    <w:uiPriority w:val="99"/>
    <w:semiHidden/>
    <w:unhideWhenUsed/>
    <w:rsid w:val="00B949E1"/>
    <w:rPr>
      <w:color w:val="605E5C"/>
      <w:shd w:val="clear" w:color="auto" w:fill="E1DFDD"/>
    </w:rPr>
  </w:style>
  <w:style w:type="numbering" w:customStyle="1" w:styleId="aaclstStyleBullets">
    <w:name w:val="aac_lstStyle_Bullets"/>
    <w:uiPriority w:val="99"/>
    <w:rsid w:val="00B949E1"/>
    <w:pPr>
      <w:numPr>
        <w:numId w:val="5"/>
      </w:numPr>
    </w:pPr>
  </w:style>
  <w:style w:type="numbering" w:customStyle="1" w:styleId="aaclstStyleListNumber">
    <w:name w:val="aac_lstStyle_ListNumber"/>
    <w:uiPriority w:val="99"/>
    <w:rsid w:val="00B949E1"/>
    <w:pPr>
      <w:numPr>
        <w:numId w:val="6"/>
      </w:numPr>
    </w:pPr>
  </w:style>
  <w:style w:type="numbering" w:customStyle="1" w:styleId="aaclstStyleHeadingNumbered">
    <w:name w:val="aac_lstStyle_HeadingNumbered"/>
    <w:uiPriority w:val="99"/>
    <w:rsid w:val="00B949E1"/>
    <w:pPr>
      <w:numPr>
        <w:numId w:val="7"/>
      </w:numPr>
    </w:pPr>
  </w:style>
  <w:style w:type="paragraph" w:customStyle="1" w:styleId="Normal-nospace">
    <w:name w:val="Normal - no space"/>
    <w:basedOn w:val="Normal"/>
    <w:qFormat/>
    <w:rsid w:val="00B949E1"/>
    <w:pPr>
      <w:spacing w:before="0" w:after="0"/>
    </w:pPr>
    <w:rPr>
      <w:color w:val="000100"/>
    </w:rPr>
  </w:style>
  <w:style w:type="paragraph" w:customStyle="1" w:styleId="Heading2ES">
    <w:name w:val="Heading 2 (ES)"/>
    <w:basedOn w:val="Normal-nospace"/>
    <w:next w:val="BodyText"/>
    <w:qFormat/>
    <w:rsid w:val="00B949E1"/>
    <w:pPr>
      <w:keepNext/>
      <w:numPr>
        <w:ilvl w:val="1"/>
        <w:numId w:val="31"/>
      </w:numPr>
      <w:pBdr>
        <w:bottom w:val="single" w:sz="4" w:space="1" w:color="6C3E99"/>
      </w:pBdr>
      <w:spacing w:before="240" w:after="216"/>
    </w:pPr>
    <w:rPr>
      <w:b/>
      <w:color w:val="6C3E99"/>
      <w:sz w:val="28"/>
    </w:rPr>
  </w:style>
  <w:style w:type="paragraph" w:customStyle="1" w:styleId="Introduction">
    <w:name w:val="Introduction"/>
    <w:basedOn w:val="Normal-nospace"/>
    <w:qFormat/>
    <w:rsid w:val="00B949E1"/>
    <w:pPr>
      <w:spacing w:before="240" w:after="460" w:line="300" w:lineRule="exact"/>
      <w:ind w:right="120"/>
      <w:contextualSpacing/>
    </w:pPr>
    <w:rPr>
      <w:i/>
      <w:color w:val="7D7C7D"/>
      <w:sz w:val="24"/>
    </w:rPr>
  </w:style>
  <w:style w:type="paragraph" w:customStyle="1" w:styleId="Heading3ES">
    <w:name w:val="Heading 3 (ES)"/>
    <w:basedOn w:val="Normal-nospace"/>
    <w:next w:val="BodyText"/>
    <w:qFormat/>
    <w:rsid w:val="00B949E1"/>
    <w:pPr>
      <w:keepNext/>
      <w:numPr>
        <w:ilvl w:val="2"/>
        <w:numId w:val="31"/>
      </w:numPr>
      <w:pBdr>
        <w:bottom w:val="single" w:sz="4" w:space="0" w:color="000100"/>
      </w:pBdr>
      <w:spacing w:before="240" w:after="160" w:line="240" w:lineRule="atLeast"/>
    </w:pPr>
    <w:rPr>
      <w:b/>
    </w:rPr>
  </w:style>
  <w:style w:type="paragraph" w:customStyle="1" w:styleId="Heading4ES">
    <w:name w:val="Heading 4 (ES)"/>
    <w:basedOn w:val="Normal-nospace"/>
    <w:next w:val="BodyText"/>
    <w:qFormat/>
    <w:rsid w:val="00B949E1"/>
    <w:pPr>
      <w:keepNext/>
      <w:numPr>
        <w:ilvl w:val="3"/>
        <w:numId w:val="31"/>
      </w:numPr>
      <w:spacing w:before="240" w:after="160" w:line="240" w:lineRule="atLeast"/>
    </w:pPr>
    <w:rPr>
      <w:b/>
    </w:rPr>
  </w:style>
  <w:style w:type="paragraph" w:customStyle="1" w:styleId="Heading5ES">
    <w:name w:val="Heading 5 (ES)"/>
    <w:basedOn w:val="Normal-nospace"/>
    <w:next w:val="BodyText"/>
    <w:qFormat/>
    <w:rsid w:val="00B949E1"/>
    <w:pPr>
      <w:keepNext/>
      <w:numPr>
        <w:ilvl w:val="4"/>
        <w:numId w:val="31"/>
      </w:numPr>
      <w:spacing w:before="240" w:after="160" w:line="240" w:lineRule="atLeast"/>
    </w:pPr>
    <w:rPr>
      <w:b/>
      <w:i/>
    </w:rPr>
  </w:style>
  <w:style w:type="paragraph" w:customStyle="1" w:styleId="Heading6ES">
    <w:name w:val="Heading 6 (ES)"/>
    <w:basedOn w:val="Normal-nospace"/>
    <w:next w:val="BodyText"/>
    <w:qFormat/>
    <w:rsid w:val="00B949E1"/>
    <w:pPr>
      <w:keepNext/>
      <w:numPr>
        <w:ilvl w:val="5"/>
        <w:numId w:val="31"/>
      </w:numPr>
      <w:spacing w:before="240" w:after="160" w:line="240" w:lineRule="atLeast"/>
    </w:pPr>
    <w:rPr>
      <w:b/>
      <w:i/>
      <w:color w:val="959495"/>
    </w:rPr>
  </w:style>
  <w:style w:type="numbering" w:customStyle="1" w:styleId="aaclstStyleHeadingsES">
    <w:name w:val="aac_lstStyle_HeadingsES"/>
    <w:uiPriority w:val="99"/>
    <w:rsid w:val="00B949E1"/>
    <w:pPr>
      <w:numPr>
        <w:numId w:val="10"/>
      </w:numPr>
    </w:pPr>
  </w:style>
  <w:style w:type="paragraph" w:customStyle="1" w:styleId="Header-CompanyName">
    <w:name w:val="Header-Company Name"/>
    <w:basedOn w:val="Normal-nospace"/>
    <w:qFormat/>
    <w:rsid w:val="00B949E1"/>
    <w:pPr>
      <w:spacing w:before="16" w:line="240" w:lineRule="auto"/>
      <w:jc w:val="right"/>
    </w:pPr>
    <w:rPr>
      <w:sz w:val="14"/>
    </w:rPr>
  </w:style>
  <w:style w:type="paragraph" w:customStyle="1" w:styleId="FooterText">
    <w:name w:val="Footer Text"/>
    <w:basedOn w:val="Normal-nospace"/>
    <w:qFormat/>
    <w:rsid w:val="00B949E1"/>
    <w:pPr>
      <w:spacing w:line="240" w:lineRule="auto"/>
    </w:pPr>
    <w:rPr>
      <w:rFonts w:ascii="Yu Gothic Medium" w:eastAsia="Yu Gothic Medium" w:hAnsi="Yu Gothic Medium"/>
      <w:spacing w:val="6"/>
      <w:sz w:val="15"/>
    </w:rPr>
  </w:style>
  <w:style w:type="paragraph" w:customStyle="1" w:styleId="pageNumber0">
    <w:name w:val="pageNumber"/>
    <w:basedOn w:val="Normal-nospace"/>
    <w:qFormat/>
    <w:rsid w:val="00B949E1"/>
    <w:pPr>
      <w:spacing w:after="20" w:line="280" w:lineRule="exact"/>
      <w:jc w:val="center"/>
    </w:pPr>
    <w:rPr>
      <w:rFonts w:ascii="Yu Gothic Medium" w:eastAsia="Yu Gothic Medium" w:hAnsi="Yu Gothic Medium"/>
      <w:color w:val="959495"/>
      <w:sz w:val="25"/>
    </w:rPr>
  </w:style>
  <w:style w:type="paragraph" w:customStyle="1" w:styleId="CpTitle">
    <w:name w:val="Cp Title"/>
    <w:basedOn w:val="Normal-nospace"/>
    <w:qFormat/>
    <w:rsid w:val="00B949E1"/>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B949E1"/>
    <w:pPr>
      <w:spacing w:after="400" w:line="168" w:lineRule="auto"/>
    </w:pPr>
    <w:rPr>
      <w:rFonts w:ascii="Yu Gothic Medium" w:hAnsi="Yu Gothic Medium"/>
      <w:sz w:val="48"/>
    </w:rPr>
  </w:style>
  <w:style w:type="numbering" w:customStyle="1" w:styleId="aaclstStyleAppendices">
    <w:name w:val="aac_lstStyle_Appendices"/>
    <w:uiPriority w:val="99"/>
    <w:rsid w:val="00B949E1"/>
    <w:pPr>
      <w:numPr>
        <w:numId w:val="11"/>
      </w:numPr>
    </w:pPr>
  </w:style>
  <w:style w:type="paragraph" w:customStyle="1" w:styleId="CpReportDate">
    <w:name w:val="Cp Report Date"/>
    <w:basedOn w:val="Normalrgb"/>
    <w:qFormat/>
    <w:rsid w:val="00B949E1"/>
    <w:pPr>
      <w:spacing w:before="90" w:line="260" w:lineRule="exact"/>
    </w:pPr>
    <w:rPr>
      <w:rFonts w:ascii="Yu Gothic Medium" w:eastAsia="Yu Gothic Medium" w:hAnsi="Yu Gothic Medium"/>
      <w:sz w:val="20"/>
    </w:rPr>
  </w:style>
  <w:style w:type="paragraph" w:customStyle="1" w:styleId="CpReportTo">
    <w:name w:val="Cp Report To"/>
    <w:basedOn w:val="Normalrgb"/>
    <w:qFormat/>
    <w:rsid w:val="00B949E1"/>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49E1"/>
    <w:pPr>
      <w:spacing w:before="90" w:line="260" w:lineRule="exact"/>
    </w:pPr>
    <w:rPr>
      <w:rFonts w:ascii="Yu Gothic Medium" w:eastAsia="Yu Gothic Medium" w:hAnsi="Yu Gothic Medium"/>
      <w:sz w:val="20"/>
    </w:rPr>
  </w:style>
  <w:style w:type="paragraph" w:customStyle="1" w:styleId="Style1">
    <w:name w:val="Style1"/>
    <w:basedOn w:val="Normal-nospace"/>
    <w:qFormat/>
    <w:rsid w:val="00B949E1"/>
    <w:pPr>
      <w:spacing w:after="400" w:line="216" w:lineRule="auto"/>
    </w:pPr>
    <w:rPr>
      <w:rFonts w:ascii="Yu Gothic Medium" w:hAnsi="Yu Gothic Medium"/>
      <w:b/>
      <w:color w:val="FF0000"/>
      <w:sz w:val="80"/>
    </w:rPr>
  </w:style>
  <w:style w:type="numbering" w:customStyle="1" w:styleId="lstStyleBullets">
    <w:name w:val="lstStyle_Bullets"/>
    <w:uiPriority w:val="99"/>
    <w:rsid w:val="00B949E1"/>
  </w:style>
  <w:style w:type="numbering" w:customStyle="1" w:styleId="lstStyleListNumber">
    <w:name w:val="lstStyle_ListNumber"/>
    <w:uiPriority w:val="99"/>
    <w:rsid w:val="00B949E1"/>
    <w:pPr>
      <w:numPr>
        <w:numId w:val="13"/>
      </w:numPr>
    </w:pPr>
  </w:style>
  <w:style w:type="numbering" w:customStyle="1" w:styleId="lstStyleHeadingNumbered">
    <w:name w:val="lstStyle_Heading_Numbered"/>
    <w:uiPriority w:val="99"/>
    <w:rsid w:val="00B949E1"/>
    <w:pPr>
      <w:numPr>
        <w:numId w:val="14"/>
      </w:numPr>
    </w:pPr>
  </w:style>
  <w:style w:type="paragraph" w:customStyle="1" w:styleId="spacer">
    <w:name w:val="spacer"/>
    <w:basedOn w:val="Normal-nospace"/>
    <w:qFormat/>
    <w:rsid w:val="00B949E1"/>
    <w:pPr>
      <w:spacing w:line="240" w:lineRule="auto"/>
    </w:pPr>
    <w:rPr>
      <w:sz w:val="4"/>
    </w:rPr>
  </w:style>
  <w:style w:type="paragraph" w:customStyle="1" w:styleId="spacertbl">
    <w:name w:val="spacer_tbl"/>
    <w:basedOn w:val="spacer"/>
    <w:qFormat/>
    <w:rsid w:val="00B949E1"/>
  </w:style>
  <w:style w:type="paragraph" w:customStyle="1" w:styleId="tagchapterBanner">
    <w:name w:val="tag_chapterBanner"/>
    <w:basedOn w:val="spacer"/>
    <w:qFormat/>
    <w:rsid w:val="00B949E1"/>
    <w:pPr>
      <w:keepNext/>
      <w:pageBreakBefore/>
    </w:pPr>
  </w:style>
  <w:style w:type="paragraph" w:customStyle="1" w:styleId="HeadingChapter">
    <w:name w:val="Heading (Chapter)"/>
    <w:basedOn w:val="Normal-nospace"/>
    <w:qFormat/>
    <w:rsid w:val="00B949E1"/>
    <w:pPr>
      <w:spacing w:line="1960" w:lineRule="exact"/>
      <w:ind w:left="216" w:right="62"/>
      <w:jc w:val="right"/>
    </w:pPr>
    <w:rPr>
      <w:rFonts w:ascii="Yu Gothic Medium" w:hAnsi="Yu Gothic Medium"/>
      <w:color w:val="FFFEFF"/>
      <w:sz w:val="160"/>
    </w:rPr>
  </w:style>
  <w:style w:type="paragraph" w:customStyle="1" w:styleId="Heading1ES">
    <w:name w:val="Heading 1 (ES)"/>
    <w:basedOn w:val="Normal"/>
    <w:qFormat/>
    <w:rsid w:val="00B949E1"/>
    <w:pPr>
      <w:numPr>
        <w:numId w:val="31"/>
      </w:numPr>
      <w:spacing w:before="0" w:after="200" w:line="192" w:lineRule="auto"/>
    </w:pPr>
    <w:rPr>
      <w:rFonts w:ascii="Yu Gothic Medium" w:hAnsi="Yu Gothic Medium"/>
      <w:color w:val="FFFEFF"/>
      <w:sz w:val="52"/>
    </w:rPr>
  </w:style>
  <w:style w:type="paragraph" w:customStyle="1" w:styleId="tagexecBanner">
    <w:name w:val="tag_execBanner"/>
    <w:basedOn w:val="spacer"/>
    <w:qFormat/>
    <w:rsid w:val="00B949E1"/>
    <w:pPr>
      <w:keepNext/>
      <w:pageBreakBefore/>
    </w:pPr>
  </w:style>
  <w:style w:type="paragraph" w:customStyle="1" w:styleId="HeadingAppendix">
    <w:name w:val="Heading (Appendix)"/>
    <w:basedOn w:val="HeadingChapter"/>
    <w:qFormat/>
    <w:rsid w:val="00B949E1"/>
  </w:style>
  <w:style w:type="paragraph" w:customStyle="1" w:styleId="tagappendixChapter">
    <w:name w:val="tag_appendixChapter"/>
    <w:basedOn w:val="spacer"/>
    <w:qFormat/>
    <w:rsid w:val="00B949E1"/>
    <w:pPr>
      <w:keepNext/>
      <w:pageBreakBefore/>
    </w:pPr>
  </w:style>
  <w:style w:type="table" w:customStyle="1" w:styleId="aacTableBasic">
    <w:name w:val="aac Table (Basic)"/>
    <w:basedOn w:val="TableNormal"/>
    <w:next w:val="TableGrid"/>
    <w:uiPriority w:val="39"/>
    <w:rsid w:val="00B949E1"/>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EEECE1" w:themeFill="background2"/>
      </w:tcPr>
    </w:tblStylePr>
  </w:style>
  <w:style w:type="paragraph" w:customStyle="1" w:styleId="tagcoverPage">
    <w:name w:val="tag_coverPage"/>
    <w:basedOn w:val="spacer"/>
    <w:qFormat/>
    <w:rsid w:val="00B949E1"/>
    <w:rPr>
      <w:b/>
      <w:bCs/>
    </w:rPr>
  </w:style>
  <w:style w:type="paragraph" w:customStyle="1" w:styleId="tagcontactsPage-Front">
    <w:name w:val="tag_contactsPage-Front"/>
    <w:basedOn w:val="spacer"/>
    <w:qFormat/>
    <w:rsid w:val="00B949E1"/>
    <w:pPr>
      <w:keepNext/>
      <w:pageBreakBefore/>
    </w:pPr>
  </w:style>
  <w:style w:type="paragraph" w:customStyle="1" w:styleId="tagcontactsPage-Back">
    <w:name w:val="tag_contactsPage-Back"/>
    <w:basedOn w:val="spacer"/>
    <w:qFormat/>
    <w:rsid w:val="00B949E1"/>
  </w:style>
  <w:style w:type="paragraph" w:customStyle="1" w:styleId="tagpartBanner">
    <w:name w:val="tag_partBanner"/>
    <w:basedOn w:val="spacer"/>
    <w:qFormat/>
    <w:rsid w:val="00B949E1"/>
    <w:pPr>
      <w:keepNext/>
      <w:pageBreakBefore/>
    </w:pPr>
  </w:style>
  <w:style w:type="paragraph" w:customStyle="1" w:styleId="tagappendixPart">
    <w:name w:val="tag_appendixPart"/>
    <w:basedOn w:val="spacer"/>
    <w:qFormat/>
    <w:rsid w:val="00B949E1"/>
  </w:style>
  <w:style w:type="paragraph" w:customStyle="1" w:styleId="Tabletext">
    <w:name w:val="Table text"/>
    <w:basedOn w:val="Normal-nospace"/>
    <w:link w:val="TabletextChar"/>
    <w:qFormat/>
    <w:rsid w:val="00B949E1"/>
    <w:pPr>
      <w:spacing w:before="60" w:line="240" w:lineRule="atLeast"/>
      <w:ind w:right="119"/>
    </w:pPr>
    <w:rPr>
      <w:sz w:val="20"/>
    </w:rPr>
  </w:style>
  <w:style w:type="paragraph" w:customStyle="1" w:styleId="Tabletextsmall">
    <w:name w:val="Table text (small)"/>
    <w:basedOn w:val="Normal-nospace"/>
    <w:qFormat/>
    <w:rsid w:val="00B949E1"/>
    <w:pPr>
      <w:spacing w:before="40" w:line="180" w:lineRule="exact"/>
      <w:ind w:right="119"/>
    </w:pPr>
    <w:rPr>
      <w:sz w:val="16"/>
    </w:rPr>
  </w:style>
  <w:style w:type="paragraph" w:customStyle="1" w:styleId="Tableunitsrow">
    <w:name w:val="Table units row"/>
    <w:basedOn w:val="Normal-nospace"/>
    <w:qFormat/>
    <w:rsid w:val="00B949E1"/>
    <w:pPr>
      <w:spacing w:before="60" w:line="240" w:lineRule="atLeast"/>
      <w:ind w:right="119"/>
    </w:pPr>
    <w:rPr>
      <w:sz w:val="20"/>
    </w:rPr>
  </w:style>
  <w:style w:type="paragraph" w:customStyle="1" w:styleId="Tablecolumnheadings">
    <w:name w:val="Table column headings"/>
    <w:basedOn w:val="Tabletext"/>
    <w:uiPriority w:val="3"/>
    <w:qFormat/>
    <w:rsid w:val="00B949E1"/>
    <w:pPr>
      <w:keepNext/>
      <w:spacing w:before="40" w:after="40"/>
    </w:pPr>
    <w:rPr>
      <w:b/>
      <w:color w:val="FFFFFF" w:themeColor="background1"/>
    </w:rPr>
  </w:style>
  <w:style w:type="paragraph" w:customStyle="1" w:styleId="Source">
    <w:name w:val="Source"/>
    <w:aliases w:val="s,source,source Char,s Char"/>
    <w:basedOn w:val="Normal-nospace"/>
    <w:link w:val="SourceChar"/>
    <w:qFormat/>
    <w:rsid w:val="00B949E1"/>
    <w:pPr>
      <w:spacing w:before="52" w:line="240" w:lineRule="auto"/>
    </w:pPr>
    <w:rPr>
      <w:i/>
      <w:sz w:val="16"/>
    </w:rPr>
  </w:style>
  <w:style w:type="paragraph" w:customStyle="1" w:styleId="CpAboutAcilAllen">
    <w:name w:val="Cp About Acil Allen"/>
    <w:basedOn w:val="Normalrgb"/>
    <w:qFormat/>
    <w:rsid w:val="00B949E1"/>
    <w:pPr>
      <w:spacing w:after="100" w:line="240" w:lineRule="auto"/>
    </w:pPr>
    <w:rPr>
      <w:sz w:val="24"/>
    </w:rPr>
  </w:style>
  <w:style w:type="paragraph" w:customStyle="1" w:styleId="CpDisclaimer">
    <w:name w:val="Cp Disclaimer"/>
    <w:basedOn w:val="Normal-nospace"/>
    <w:qFormat/>
    <w:rsid w:val="00B949E1"/>
    <w:pPr>
      <w:spacing w:after="100" w:line="240" w:lineRule="auto"/>
    </w:pPr>
    <w:rPr>
      <w:color w:val="FFFEFF"/>
      <w:sz w:val="14"/>
    </w:rPr>
  </w:style>
  <w:style w:type="paragraph" w:customStyle="1" w:styleId="CpDisclaimer9pt">
    <w:name w:val="Cp Disclaimer 9pt"/>
    <w:basedOn w:val="Normal-nospace"/>
    <w:qFormat/>
    <w:rsid w:val="00B949E1"/>
    <w:pPr>
      <w:spacing w:after="100" w:line="240" w:lineRule="auto"/>
    </w:pPr>
    <w:rPr>
      <w:color w:val="FFFEFF"/>
      <w:sz w:val="18"/>
    </w:rPr>
  </w:style>
  <w:style w:type="paragraph" w:customStyle="1" w:styleId="Part-HeadingBanner">
    <w:name w:val="Part - Heading (Banner)"/>
    <w:basedOn w:val="Normal-nospace"/>
    <w:next w:val="Part-SubHeadBanner"/>
    <w:qFormat/>
    <w:rsid w:val="00B949E1"/>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B949E1"/>
    <w:pPr>
      <w:spacing w:line="192" w:lineRule="auto"/>
    </w:pPr>
    <w:rPr>
      <w:rFonts w:ascii="Yu Gothic Medium" w:hAnsi="Yu Gothic Medium"/>
      <w:b/>
      <w:sz w:val="52"/>
    </w:rPr>
  </w:style>
  <w:style w:type="paragraph" w:customStyle="1" w:styleId="Partxx">
    <w:name w:val="Part xx"/>
    <w:basedOn w:val="spacer"/>
    <w:qFormat/>
    <w:rsid w:val="00B949E1"/>
    <w:rPr>
      <w:color w:val="140134"/>
    </w:rPr>
  </w:style>
  <w:style w:type="paragraph" w:customStyle="1" w:styleId="Part-Number">
    <w:name w:val="Part - Number"/>
    <w:basedOn w:val="BodyText"/>
    <w:qFormat/>
    <w:rsid w:val="00B949E1"/>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B949E1"/>
  </w:style>
  <w:style w:type="paragraph" w:customStyle="1" w:styleId="App-DividerSubHeading">
    <w:name w:val="App - Divider (Sub Heading)"/>
    <w:basedOn w:val="Part-SubHeadBanner"/>
    <w:qFormat/>
    <w:rsid w:val="00B949E1"/>
  </w:style>
  <w:style w:type="paragraph" w:customStyle="1" w:styleId="CpContactDetails">
    <w:name w:val="Cp Contact Details"/>
    <w:basedOn w:val="Normal"/>
    <w:qFormat/>
    <w:rsid w:val="00B949E1"/>
    <w:pPr>
      <w:spacing w:before="0" w:after="0" w:line="250" w:lineRule="exact"/>
    </w:pPr>
    <w:rPr>
      <w:color w:val="FFFEFF"/>
    </w:rPr>
  </w:style>
  <w:style w:type="paragraph" w:customStyle="1" w:styleId="LetterHeading1">
    <w:name w:val="Letter Heading 1"/>
    <w:basedOn w:val="BodyText"/>
    <w:next w:val="BodyText"/>
    <w:qFormat/>
    <w:rsid w:val="00B949E1"/>
    <w:rPr>
      <w:b/>
      <w:color w:val="000100"/>
    </w:rPr>
  </w:style>
  <w:style w:type="paragraph" w:customStyle="1" w:styleId="LetterDate">
    <w:name w:val="LetterDate"/>
    <w:basedOn w:val="Normal-nospace"/>
    <w:next w:val="LetterRef"/>
    <w:qFormat/>
    <w:rsid w:val="00B949E1"/>
    <w:pPr>
      <w:spacing w:before="600" w:line="280" w:lineRule="exact"/>
    </w:pPr>
  </w:style>
  <w:style w:type="paragraph" w:customStyle="1" w:styleId="LetterRef">
    <w:name w:val="LetterRef"/>
    <w:basedOn w:val="Normal-nospace"/>
    <w:next w:val="LetterName"/>
    <w:qFormat/>
    <w:rsid w:val="00B949E1"/>
    <w:pPr>
      <w:spacing w:before="40" w:after="600"/>
    </w:pPr>
  </w:style>
  <w:style w:type="paragraph" w:customStyle="1" w:styleId="LetterName">
    <w:name w:val="LetterName"/>
    <w:basedOn w:val="Normal-nospace"/>
    <w:next w:val="LetterTitle"/>
    <w:qFormat/>
    <w:rsid w:val="00B949E1"/>
    <w:pPr>
      <w:spacing w:line="280" w:lineRule="exact"/>
    </w:pPr>
  </w:style>
  <w:style w:type="paragraph" w:customStyle="1" w:styleId="LetterTitle">
    <w:name w:val="LetterTitle"/>
    <w:basedOn w:val="Normal-nospace"/>
    <w:next w:val="LetterCompany"/>
    <w:qFormat/>
    <w:rsid w:val="00B949E1"/>
    <w:pPr>
      <w:spacing w:line="280" w:lineRule="exact"/>
    </w:pPr>
  </w:style>
  <w:style w:type="paragraph" w:customStyle="1" w:styleId="LetterCompany">
    <w:name w:val="LetterCompany"/>
    <w:basedOn w:val="Normal-nospace"/>
    <w:next w:val="LetterAddress"/>
    <w:qFormat/>
    <w:rsid w:val="00B949E1"/>
    <w:pPr>
      <w:spacing w:line="280" w:lineRule="exact"/>
    </w:pPr>
  </w:style>
  <w:style w:type="paragraph" w:customStyle="1" w:styleId="LetterAddress">
    <w:name w:val="LetterAddress"/>
    <w:basedOn w:val="Normal-nospace"/>
    <w:next w:val="LetterCityStatePostcode"/>
    <w:qFormat/>
    <w:rsid w:val="00B949E1"/>
    <w:pPr>
      <w:spacing w:line="280" w:lineRule="exact"/>
    </w:pPr>
  </w:style>
  <w:style w:type="paragraph" w:customStyle="1" w:styleId="LetterCityStatePostcode">
    <w:name w:val="LetterCityStatePostcode"/>
    <w:basedOn w:val="Normal-nospace"/>
    <w:next w:val="LetterSubject"/>
    <w:qFormat/>
    <w:rsid w:val="00B949E1"/>
    <w:pPr>
      <w:spacing w:line="280" w:lineRule="exact"/>
    </w:pPr>
  </w:style>
  <w:style w:type="paragraph" w:customStyle="1" w:styleId="LetterSubject">
    <w:name w:val="LetterSubject"/>
    <w:basedOn w:val="Normal-nospace"/>
    <w:next w:val="BodyText"/>
    <w:qFormat/>
    <w:rsid w:val="00B949E1"/>
    <w:pPr>
      <w:spacing w:before="400" w:after="200" w:line="260" w:lineRule="exact"/>
    </w:pPr>
    <w:rPr>
      <w:b/>
      <w:sz w:val="24"/>
    </w:rPr>
  </w:style>
  <w:style w:type="paragraph" w:customStyle="1" w:styleId="SignatureBlock">
    <w:name w:val="Signature Block"/>
    <w:basedOn w:val="Normal-nospace"/>
    <w:qFormat/>
    <w:rsid w:val="00B949E1"/>
    <w:pPr>
      <w:keepNext/>
      <w:keepLines/>
      <w:spacing w:line="240" w:lineRule="auto"/>
    </w:pPr>
  </w:style>
  <w:style w:type="paragraph" w:customStyle="1" w:styleId="StationeryConfidentiality">
    <w:name w:val="Stationery Confidentiality"/>
    <w:basedOn w:val="Normal-nospace"/>
    <w:qFormat/>
    <w:rsid w:val="00B949E1"/>
    <w:pPr>
      <w:spacing w:before="120" w:after="120" w:line="280" w:lineRule="exact"/>
    </w:pPr>
    <w:rPr>
      <w:i/>
    </w:rPr>
  </w:style>
  <w:style w:type="paragraph" w:customStyle="1" w:styleId="StationeryContact">
    <w:name w:val="StationeryContact"/>
    <w:basedOn w:val="Normal-nospace"/>
    <w:qFormat/>
    <w:rsid w:val="00B949E1"/>
    <w:pPr>
      <w:spacing w:line="240" w:lineRule="auto"/>
    </w:pPr>
  </w:style>
  <w:style w:type="paragraph" w:customStyle="1" w:styleId="StationeryType">
    <w:name w:val="StationeryType"/>
    <w:basedOn w:val="Normal-nospace"/>
    <w:qFormat/>
    <w:rsid w:val="00B949E1"/>
    <w:pPr>
      <w:spacing w:before="90" w:after="84" w:line="240" w:lineRule="auto"/>
    </w:pPr>
    <w:rPr>
      <w:b/>
      <w:color w:val="FFFEFF"/>
      <w:sz w:val="24"/>
    </w:rPr>
  </w:style>
  <w:style w:type="paragraph" w:customStyle="1" w:styleId="StationeryLabel">
    <w:name w:val="StationeryLabel"/>
    <w:basedOn w:val="Normal-nospace"/>
    <w:qFormat/>
    <w:rsid w:val="00B949E1"/>
    <w:pPr>
      <w:spacing w:line="240" w:lineRule="auto"/>
    </w:pPr>
    <w:rPr>
      <w:b/>
      <w:spacing w:val="8"/>
    </w:rPr>
  </w:style>
  <w:style w:type="paragraph" w:customStyle="1" w:styleId="StationeryRefMemo">
    <w:name w:val="StationeryRef_Memo"/>
    <w:basedOn w:val="StationeryContact"/>
    <w:qFormat/>
    <w:rsid w:val="00B949E1"/>
  </w:style>
  <w:style w:type="paragraph" w:customStyle="1" w:styleId="FooterLetter">
    <w:name w:val="Footer (Letter)"/>
    <w:basedOn w:val="Normal"/>
    <w:qFormat/>
    <w:rsid w:val="00B949E1"/>
    <w:pPr>
      <w:spacing w:before="26" w:after="0" w:line="240" w:lineRule="auto"/>
    </w:pPr>
    <w:rPr>
      <w:rFonts w:cstheme="minorBidi"/>
      <w:color w:val="000100"/>
      <w:sz w:val="16"/>
    </w:rPr>
  </w:style>
  <w:style w:type="paragraph" w:customStyle="1" w:styleId="FooterLetter-Contact">
    <w:name w:val="Footer (Letter-Contact)"/>
    <w:basedOn w:val="FooterLetter"/>
    <w:qFormat/>
    <w:rsid w:val="00B949E1"/>
    <w:pPr>
      <w:spacing w:before="20" w:after="20"/>
      <w:jc w:val="right"/>
    </w:pPr>
    <w:rPr>
      <w:color w:val="6C3E99"/>
    </w:rPr>
  </w:style>
  <w:style w:type="paragraph" w:customStyle="1" w:styleId="FooterText0">
    <w:name w:val="Footer (Text)"/>
    <w:basedOn w:val="Footer"/>
    <w:qFormat/>
    <w:rsid w:val="00B949E1"/>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B949E1"/>
    <w:pPr>
      <w:spacing w:before="0" w:after="0" w:line="240" w:lineRule="auto"/>
    </w:pPr>
    <w:rPr>
      <w:rFonts w:cstheme="minorBidi"/>
      <w:vanish/>
      <w:color w:val="000100"/>
      <w:sz w:val="8"/>
    </w:rPr>
  </w:style>
  <w:style w:type="numbering" w:customStyle="1" w:styleId="TOCList">
    <w:name w:val="TOC List"/>
    <w:uiPriority w:val="99"/>
    <w:rsid w:val="00B949E1"/>
    <w:pPr>
      <w:numPr>
        <w:numId w:val="15"/>
      </w:numPr>
    </w:pPr>
  </w:style>
  <w:style w:type="paragraph" w:customStyle="1" w:styleId="FooterLetter-Logo">
    <w:name w:val="Footer (Letter-Logo)"/>
    <w:basedOn w:val="FooterLetter-Contact"/>
    <w:qFormat/>
    <w:rsid w:val="00B949E1"/>
    <w:rPr>
      <w:lang w:val="en-US"/>
    </w:rPr>
  </w:style>
  <w:style w:type="paragraph" w:customStyle="1" w:styleId="Headingglossary">
    <w:name w:val="Heading (glossary)"/>
    <w:basedOn w:val="Normal-nospace"/>
    <w:qFormat/>
    <w:rsid w:val="00B949E1"/>
    <w:pPr>
      <w:spacing w:after="200" w:line="192" w:lineRule="auto"/>
      <w:ind w:left="250"/>
    </w:pPr>
    <w:rPr>
      <w:rFonts w:ascii="Yu Gothic Medium" w:hAnsi="Yu Gothic Medium"/>
      <w:color w:val="FFFEFF"/>
      <w:sz w:val="52"/>
    </w:rPr>
  </w:style>
  <w:style w:type="character" w:customStyle="1" w:styleId="CaptionLabel">
    <w:name w:val="Caption Label"/>
    <w:basedOn w:val="DefaultParagraphFont"/>
    <w:uiPriority w:val="1"/>
    <w:qFormat/>
    <w:rsid w:val="00B949E1"/>
    <w:rPr>
      <w:b/>
      <w:color w:val="000100"/>
    </w:rPr>
  </w:style>
  <w:style w:type="paragraph" w:customStyle="1" w:styleId="BoxListBullet">
    <w:name w:val="Box List Bullet"/>
    <w:basedOn w:val="Normal"/>
    <w:qFormat/>
    <w:rsid w:val="00B949E1"/>
    <w:pPr>
      <w:keepNext/>
      <w:numPr>
        <w:numId w:val="36"/>
      </w:numPr>
      <w:spacing w:before="60" w:after="60" w:line="240" w:lineRule="atLeast"/>
    </w:pPr>
    <w:rPr>
      <w:rFonts w:cstheme="minorBidi"/>
      <w:color w:val="000100"/>
      <w:sz w:val="20"/>
    </w:rPr>
  </w:style>
  <w:style w:type="paragraph" w:customStyle="1" w:styleId="BoxListBullet2">
    <w:name w:val="Box List Bullet 2"/>
    <w:basedOn w:val="Normal"/>
    <w:qFormat/>
    <w:rsid w:val="00B949E1"/>
    <w:pPr>
      <w:keepNext/>
      <w:numPr>
        <w:ilvl w:val="1"/>
        <w:numId w:val="36"/>
      </w:numPr>
      <w:spacing w:before="0" w:after="60" w:line="240" w:lineRule="atLeast"/>
    </w:pPr>
    <w:rPr>
      <w:rFonts w:cstheme="minorBidi"/>
      <w:color w:val="000100"/>
      <w:sz w:val="20"/>
    </w:rPr>
  </w:style>
  <w:style w:type="paragraph" w:customStyle="1" w:styleId="BoxListBullet3">
    <w:name w:val="Box List Bullet 3"/>
    <w:basedOn w:val="Normal"/>
    <w:qFormat/>
    <w:rsid w:val="00B949E1"/>
    <w:pPr>
      <w:keepNext/>
      <w:numPr>
        <w:ilvl w:val="2"/>
        <w:numId w:val="36"/>
      </w:numPr>
      <w:spacing w:before="0" w:after="60" w:line="240" w:lineRule="atLeast"/>
    </w:pPr>
    <w:rPr>
      <w:rFonts w:cstheme="minorBidi"/>
      <w:color w:val="000100"/>
      <w:sz w:val="20"/>
    </w:rPr>
  </w:style>
  <w:style w:type="numbering" w:customStyle="1" w:styleId="aaclstStyleBoxListBullets">
    <w:name w:val="aac_lstStyle_BoxListBullets"/>
    <w:uiPriority w:val="99"/>
    <w:rsid w:val="00B949E1"/>
    <w:pPr>
      <w:numPr>
        <w:numId w:val="17"/>
      </w:numPr>
    </w:pPr>
  </w:style>
  <w:style w:type="paragraph" w:customStyle="1" w:styleId="BoxListNumber">
    <w:name w:val="Box List Number"/>
    <w:basedOn w:val="Normal"/>
    <w:qFormat/>
    <w:rsid w:val="00B949E1"/>
    <w:pPr>
      <w:keepNext/>
      <w:numPr>
        <w:numId w:val="25"/>
      </w:numPr>
      <w:spacing w:before="60" w:after="60" w:line="240" w:lineRule="atLeast"/>
    </w:pPr>
    <w:rPr>
      <w:rFonts w:cstheme="minorBidi"/>
      <w:color w:val="000100"/>
      <w:sz w:val="20"/>
    </w:rPr>
  </w:style>
  <w:style w:type="paragraph" w:customStyle="1" w:styleId="BoxText">
    <w:name w:val="Box Text"/>
    <w:basedOn w:val="Normal"/>
    <w:qFormat/>
    <w:rsid w:val="00B949E1"/>
    <w:pPr>
      <w:keepNext/>
      <w:spacing w:before="60" w:after="60" w:line="240" w:lineRule="atLeast"/>
      <w:ind w:left="252"/>
    </w:pPr>
    <w:rPr>
      <w:rFonts w:cstheme="minorBidi"/>
      <w:color w:val="000100"/>
      <w:sz w:val="20"/>
    </w:rPr>
  </w:style>
  <w:style w:type="paragraph" w:customStyle="1" w:styleId="BoxListNumber2">
    <w:name w:val="Box List Number 2"/>
    <w:basedOn w:val="BoxText"/>
    <w:qFormat/>
    <w:rsid w:val="00B949E1"/>
    <w:pPr>
      <w:numPr>
        <w:ilvl w:val="1"/>
        <w:numId w:val="25"/>
      </w:numPr>
      <w:spacing w:before="0"/>
    </w:pPr>
  </w:style>
  <w:style w:type="paragraph" w:customStyle="1" w:styleId="BoxListNumber3">
    <w:name w:val="Box List Number 3"/>
    <w:basedOn w:val="BoxText"/>
    <w:qFormat/>
    <w:rsid w:val="00B949E1"/>
    <w:pPr>
      <w:numPr>
        <w:ilvl w:val="2"/>
        <w:numId w:val="25"/>
      </w:numPr>
      <w:spacing w:before="0"/>
    </w:pPr>
  </w:style>
  <w:style w:type="paragraph" w:customStyle="1" w:styleId="BoxQuote">
    <w:name w:val="Box Quote"/>
    <w:basedOn w:val="BoxText"/>
    <w:qFormat/>
    <w:rsid w:val="00B949E1"/>
    <w:pPr>
      <w:numPr>
        <w:ilvl w:val="3"/>
        <w:numId w:val="36"/>
      </w:numPr>
    </w:pPr>
    <w:rPr>
      <w:i/>
      <w:color w:val="595959" w:themeColor="text1" w:themeTint="A6"/>
      <w:sz w:val="18"/>
    </w:rPr>
  </w:style>
  <w:style w:type="paragraph" w:customStyle="1" w:styleId="BoxQuoteListBullet">
    <w:name w:val="Box Quote List Bullet"/>
    <w:basedOn w:val="Normal-nospace"/>
    <w:qFormat/>
    <w:rsid w:val="00B949E1"/>
    <w:pPr>
      <w:numPr>
        <w:ilvl w:val="4"/>
        <w:numId w:val="36"/>
      </w:numPr>
      <w:spacing w:before="60" w:after="60" w:line="240" w:lineRule="atLeast"/>
      <w:ind w:right="400"/>
    </w:pPr>
    <w:rPr>
      <w:rFonts w:cstheme="minorBidi"/>
      <w:i/>
      <w:color w:val="404040" w:themeColor="text1" w:themeTint="BF"/>
      <w:sz w:val="18"/>
    </w:rPr>
  </w:style>
  <w:style w:type="paragraph" w:customStyle="1" w:styleId="BoxQuoteSource">
    <w:name w:val="Box Quote Source"/>
    <w:basedOn w:val="Normal-nospace"/>
    <w:qFormat/>
    <w:rsid w:val="00B949E1"/>
    <w:pPr>
      <w:spacing w:before="90" w:line="240" w:lineRule="auto"/>
      <w:ind w:right="400"/>
      <w:jc w:val="right"/>
    </w:pPr>
    <w:rPr>
      <w:rFonts w:cstheme="minorBidi"/>
      <w:i/>
      <w:color w:val="595959" w:themeColor="text1" w:themeTint="A6"/>
      <w:sz w:val="18"/>
    </w:rPr>
  </w:style>
  <w:style w:type="paragraph" w:customStyle="1" w:styleId="BoxSideHeading1">
    <w:name w:val="Box Side Heading 1"/>
    <w:basedOn w:val="BoxText"/>
    <w:next w:val="BoxText"/>
    <w:qFormat/>
    <w:rsid w:val="00B949E1"/>
    <w:pPr>
      <w:spacing w:before="0"/>
    </w:pPr>
    <w:rPr>
      <w:b/>
      <w:i/>
    </w:rPr>
  </w:style>
  <w:style w:type="paragraph" w:customStyle="1" w:styleId="BoxSideHeading2">
    <w:name w:val="Box Side Heading 2"/>
    <w:basedOn w:val="BoxText"/>
    <w:next w:val="BoxText"/>
    <w:qFormat/>
    <w:rsid w:val="00B949E1"/>
    <w:pPr>
      <w:spacing w:before="0"/>
    </w:pPr>
    <w:rPr>
      <w:i/>
    </w:rPr>
  </w:style>
  <w:style w:type="paragraph" w:customStyle="1" w:styleId="BoxTextBoldItalic">
    <w:name w:val="Box Text (Bold Italic)"/>
    <w:basedOn w:val="Normal"/>
    <w:qFormat/>
    <w:rsid w:val="00B949E1"/>
    <w:pPr>
      <w:spacing w:after="61" w:line="240" w:lineRule="atLeast"/>
      <w:ind w:left="252"/>
    </w:pPr>
    <w:rPr>
      <w:rFonts w:cstheme="minorBidi"/>
      <w:b/>
      <w:i/>
      <w:color w:val="000100"/>
      <w:sz w:val="20"/>
    </w:rPr>
  </w:style>
  <w:style w:type="paragraph" w:customStyle="1" w:styleId="BoxTextHeading">
    <w:name w:val="Box Text Heading"/>
    <w:basedOn w:val="Normal"/>
    <w:qFormat/>
    <w:rsid w:val="00B949E1"/>
    <w:pPr>
      <w:keepNext/>
      <w:spacing w:after="61" w:line="240" w:lineRule="atLeast"/>
      <w:ind w:left="442"/>
    </w:pPr>
    <w:rPr>
      <w:rFonts w:cstheme="minorBidi"/>
      <w:b/>
      <w:color w:val="000100"/>
      <w:sz w:val="20"/>
    </w:rPr>
  </w:style>
  <w:style w:type="paragraph" w:customStyle="1" w:styleId="Figure">
    <w:name w:val="Figure"/>
    <w:basedOn w:val="Normal-nospace"/>
    <w:qFormat/>
    <w:rsid w:val="00B949E1"/>
    <w:pPr>
      <w:keepNext/>
      <w:spacing w:line="240" w:lineRule="auto"/>
    </w:pPr>
    <w:rPr>
      <w:sz w:val="16"/>
    </w:rPr>
  </w:style>
  <w:style w:type="numbering" w:customStyle="1" w:styleId="aacTableListBullets">
    <w:name w:val="aac Table List Bullets"/>
    <w:uiPriority w:val="99"/>
    <w:rsid w:val="00B949E1"/>
    <w:pPr>
      <w:numPr>
        <w:numId w:val="18"/>
      </w:numPr>
    </w:pPr>
  </w:style>
  <w:style w:type="numbering" w:customStyle="1" w:styleId="aacTableListBulletssmall">
    <w:name w:val="aac Table List Bullets (small)"/>
    <w:uiPriority w:val="99"/>
    <w:rsid w:val="00B949E1"/>
    <w:pPr>
      <w:numPr>
        <w:numId w:val="19"/>
      </w:numPr>
    </w:pPr>
  </w:style>
  <w:style w:type="numbering" w:customStyle="1" w:styleId="aacTableListNumbers">
    <w:name w:val="aac Table List Numbers"/>
    <w:uiPriority w:val="99"/>
    <w:rsid w:val="00B949E1"/>
    <w:pPr>
      <w:numPr>
        <w:numId w:val="20"/>
      </w:numPr>
    </w:pPr>
  </w:style>
  <w:style w:type="numbering" w:customStyle="1" w:styleId="aacTableListNumberssmall">
    <w:name w:val="aac Table List Numbers (small)"/>
    <w:uiPriority w:val="99"/>
    <w:rsid w:val="00B949E1"/>
    <w:pPr>
      <w:numPr>
        <w:numId w:val="21"/>
      </w:numPr>
    </w:pPr>
  </w:style>
  <w:style w:type="paragraph" w:customStyle="1" w:styleId="Tablelistbullet">
    <w:name w:val="Table list bullet"/>
    <w:basedOn w:val="Tabletext"/>
    <w:qFormat/>
    <w:rsid w:val="00B949E1"/>
    <w:pPr>
      <w:numPr>
        <w:numId w:val="22"/>
      </w:numPr>
      <w:tabs>
        <w:tab w:val="num" w:pos="360"/>
      </w:tabs>
      <w:spacing w:before="40" w:after="40"/>
      <w:ind w:left="278" w:hanging="278"/>
    </w:pPr>
    <w:rPr>
      <w:rFonts w:cstheme="minorBidi"/>
    </w:rPr>
  </w:style>
  <w:style w:type="paragraph" w:customStyle="1" w:styleId="Tablelistbulletsmall">
    <w:name w:val="Table list bullet (small)"/>
    <w:basedOn w:val="Tabletextsmall"/>
    <w:qFormat/>
    <w:rsid w:val="00B949E1"/>
    <w:pPr>
      <w:numPr>
        <w:numId w:val="23"/>
      </w:numPr>
      <w:spacing w:after="40"/>
      <w:ind w:right="85"/>
    </w:pPr>
    <w:rPr>
      <w:rFonts w:cstheme="minorBidi"/>
    </w:rPr>
  </w:style>
  <w:style w:type="paragraph" w:customStyle="1" w:styleId="Tablelistbullet2">
    <w:name w:val="Table list bullet 2"/>
    <w:basedOn w:val="Tablelistbullet"/>
    <w:qFormat/>
    <w:rsid w:val="00B949E1"/>
    <w:pPr>
      <w:numPr>
        <w:ilvl w:val="1"/>
      </w:numPr>
      <w:tabs>
        <w:tab w:val="num" w:pos="360"/>
      </w:tabs>
      <w:spacing w:before="0"/>
      <w:ind w:left="516" w:hanging="238"/>
    </w:pPr>
  </w:style>
  <w:style w:type="paragraph" w:customStyle="1" w:styleId="Tablelistbullet2small">
    <w:name w:val="Table list bullet 2 (small)"/>
    <w:basedOn w:val="Tabletextsmall"/>
    <w:qFormat/>
    <w:rsid w:val="00B949E1"/>
    <w:pPr>
      <w:numPr>
        <w:ilvl w:val="1"/>
        <w:numId w:val="23"/>
      </w:numPr>
      <w:spacing w:before="0" w:after="40"/>
      <w:ind w:right="85"/>
    </w:pPr>
    <w:rPr>
      <w:rFonts w:cstheme="minorBidi"/>
    </w:rPr>
  </w:style>
  <w:style w:type="paragraph" w:customStyle="1" w:styleId="Tablelistbullet3">
    <w:name w:val="Table list bullet 3"/>
    <w:basedOn w:val="Tabletext"/>
    <w:qFormat/>
    <w:rsid w:val="00B949E1"/>
    <w:pPr>
      <w:numPr>
        <w:ilvl w:val="2"/>
        <w:numId w:val="22"/>
      </w:numPr>
      <w:tabs>
        <w:tab w:val="num" w:pos="360"/>
      </w:tabs>
      <w:spacing w:before="0" w:after="40"/>
      <w:ind w:left="0" w:hanging="238"/>
    </w:pPr>
    <w:rPr>
      <w:rFonts w:cstheme="minorBidi"/>
    </w:rPr>
  </w:style>
  <w:style w:type="paragraph" w:customStyle="1" w:styleId="Tablelistbullet3small">
    <w:name w:val="Table list bullet 3 (small)"/>
    <w:basedOn w:val="Tabletextsmall"/>
    <w:qFormat/>
    <w:rsid w:val="00B949E1"/>
    <w:pPr>
      <w:numPr>
        <w:ilvl w:val="2"/>
        <w:numId w:val="23"/>
      </w:numPr>
      <w:spacing w:before="0" w:after="40"/>
      <w:ind w:right="85"/>
    </w:pPr>
    <w:rPr>
      <w:rFonts w:cstheme="minorBidi"/>
    </w:rPr>
  </w:style>
  <w:style w:type="paragraph" w:customStyle="1" w:styleId="Tablelistnumber">
    <w:name w:val="Table list number"/>
    <w:basedOn w:val="Tabletext"/>
    <w:qFormat/>
    <w:rsid w:val="00B949E1"/>
    <w:pPr>
      <w:numPr>
        <w:numId w:val="20"/>
      </w:numPr>
      <w:spacing w:before="40" w:after="40"/>
    </w:pPr>
    <w:rPr>
      <w:rFonts w:cstheme="minorBidi"/>
    </w:rPr>
  </w:style>
  <w:style w:type="paragraph" w:customStyle="1" w:styleId="Tablelistnumbersmall">
    <w:name w:val="Table list number (small)"/>
    <w:basedOn w:val="Tabletextsmall"/>
    <w:qFormat/>
    <w:rsid w:val="00B949E1"/>
    <w:pPr>
      <w:numPr>
        <w:numId w:val="21"/>
      </w:numPr>
      <w:spacing w:after="40"/>
      <w:ind w:right="85"/>
    </w:pPr>
    <w:rPr>
      <w:rFonts w:cstheme="minorBidi"/>
    </w:rPr>
  </w:style>
  <w:style w:type="paragraph" w:customStyle="1" w:styleId="Tablelistnumber2">
    <w:name w:val="Table list number 2"/>
    <w:basedOn w:val="Tabletext"/>
    <w:qFormat/>
    <w:rsid w:val="00B949E1"/>
    <w:pPr>
      <w:numPr>
        <w:ilvl w:val="1"/>
        <w:numId w:val="20"/>
      </w:numPr>
      <w:spacing w:before="0" w:after="40"/>
    </w:pPr>
    <w:rPr>
      <w:rFonts w:cstheme="minorBidi"/>
    </w:rPr>
  </w:style>
  <w:style w:type="paragraph" w:customStyle="1" w:styleId="Tablelistnumber2small">
    <w:name w:val="Table list number 2 (small)"/>
    <w:basedOn w:val="Tabletextsmall"/>
    <w:qFormat/>
    <w:rsid w:val="00B949E1"/>
    <w:pPr>
      <w:numPr>
        <w:ilvl w:val="1"/>
        <w:numId w:val="21"/>
      </w:numPr>
      <w:spacing w:before="0" w:after="40"/>
      <w:ind w:right="85"/>
    </w:pPr>
    <w:rPr>
      <w:rFonts w:cstheme="minorBidi"/>
    </w:rPr>
  </w:style>
  <w:style w:type="paragraph" w:customStyle="1" w:styleId="Tablelistnumber3">
    <w:name w:val="Table list number 3"/>
    <w:basedOn w:val="Tabletext"/>
    <w:qFormat/>
    <w:rsid w:val="00B949E1"/>
    <w:pPr>
      <w:numPr>
        <w:ilvl w:val="2"/>
        <w:numId w:val="20"/>
      </w:numPr>
      <w:spacing w:before="0" w:after="40"/>
    </w:pPr>
    <w:rPr>
      <w:rFonts w:cstheme="minorBidi"/>
    </w:rPr>
  </w:style>
  <w:style w:type="paragraph" w:customStyle="1" w:styleId="Tablelistnumber3small">
    <w:name w:val="Table list number 3 (small)"/>
    <w:basedOn w:val="Tabletextsmall"/>
    <w:qFormat/>
    <w:rsid w:val="00B949E1"/>
    <w:pPr>
      <w:numPr>
        <w:ilvl w:val="2"/>
        <w:numId w:val="21"/>
      </w:numPr>
      <w:spacing w:before="0" w:after="40"/>
      <w:ind w:right="85"/>
    </w:pPr>
    <w:rPr>
      <w:rFonts w:cstheme="minorBidi"/>
    </w:rPr>
  </w:style>
  <w:style w:type="numbering" w:customStyle="1" w:styleId="aaclstStyleBoxListNumbers">
    <w:name w:val="aac_lstStyle_BoxListNumbers"/>
    <w:uiPriority w:val="99"/>
    <w:rsid w:val="00B949E1"/>
    <w:pPr>
      <w:numPr>
        <w:numId w:val="24"/>
      </w:numPr>
    </w:pPr>
  </w:style>
  <w:style w:type="paragraph" w:customStyle="1" w:styleId="Tablesideheading1">
    <w:name w:val="Table side heading 1"/>
    <w:basedOn w:val="Tabletext"/>
    <w:next w:val="Tabletext"/>
    <w:qFormat/>
    <w:rsid w:val="00B949E1"/>
    <w:rPr>
      <w:rFonts w:cstheme="minorBidi"/>
      <w:b/>
      <w:spacing w:val="3"/>
    </w:rPr>
  </w:style>
  <w:style w:type="paragraph" w:customStyle="1" w:styleId="Tablesideheading1small">
    <w:name w:val="Table side heading 1 (small)"/>
    <w:basedOn w:val="Tablesideheading1"/>
    <w:qFormat/>
    <w:rsid w:val="00B949E1"/>
    <w:pPr>
      <w:spacing w:before="40" w:line="180" w:lineRule="exact"/>
    </w:pPr>
    <w:rPr>
      <w:sz w:val="16"/>
    </w:rPr>
  </w:style>
  <w:style w:type="paragraph" w:customStyle="1" w:styleId="Tablesideheading2">
    <w:name w:val="Table side heading 2"/>
    <w:basedOn w:val="Tabletext"/>
    <w:qFormat/>
    <w:rsid w:val="00B949E1"/>
    <w:rPr>
      <w:rFonts w:cstheme="minorBidi"/>
      <w:b/>
      <w:i/>
    </w:rPr>
  </w:style>
  <w:style w:type="paragraph" w:customStyle="1" w:styleId="Tablesideheading2small">
    <w:name w:val="Table side heading 2 (small)"/>
    <w:basedOn w:val="Tablesideheading2"/>
    <w:qFormat/>
    <w:rsid w:val="00B949E1"/>
    <w:pPr>
      <w:spacing w:line="180" w:lineRule="exact"/>
    </w:pPr>
    <w:rPr>
      <w:sz w:val="16"/>
    </w:rPr>
  </w:style>
  <w:style w:type="paragraph" w:customStyle="1" w:styleId="Note">
    <w:name w:val="Note"/>
    <w:rsid w:val="00B949E1"/>
    <w:pPr>
      <w:keepNext/>
      <w:keepLines/>
      <w:spacing w:before="40" w:after="0" w:line="180" w:lineRule="exact"/>
    </w:pPr>
    <w:rPr>
      <w:rFonts w:ascii="Arial Narrow" w:eastAsia="Times New Roman" w:hAnsi="Arial Narrow" w:cs="Times New Roman"/>
      <w:sz w:val="16"/>
      <w:szCs w:val="24"/>
    </w:rPr>
  </w:style>
  <w:style w:type="paragraph" w:customStyle="1" w:styleId="SideNoteItalicRight">
    <w:name w:val="SideNote (Italic Right)"/>
    <w:basedOn w:val="Normal-nospace"/>
    <w:qFormat/>
    <w:rsid w:val="00B949E1"/>
    <w:pPr>
      <w:spacing w:before="64" w:line="240" w:lineRule="atLeast"/>
      <w:contextualSpacing/>
      <w:jc w:val="right"/>
    </w:pPr>
    <w:rPr>
      <w:rFonts w:cstheme="minorBidi"/>
      <w:b/>
      <w:i/>
      <w:color w:val="140134"/>
      <w:sz w:val="28"/>
    </w:rPr>
  </w:style>
  <w:style w:type="paragraph" w:customStyle="1" w:styleId="SideNoteItalicLeft">
    <w:name w:val="SideNote (Italic Left)"/>
    <w:basedOn w:val="SideNoteItalicRight"/>
    <w:qFormat/>
    <w:rsid w:val="00B949E1"/>
    <w:pPr>
      <w:jc w:val="left"/>
    </w:pPr>
  </w:style>
  <w:style w:type="paragraph" w:customStyle="1" w:styleId="SideNoteRegularLeft">
    <w:name w:val="SideNote (Regular Left)"/>
    <w:basedOn w:val="Normal-nospace"/>
    <w:qFormat/>
    <w:rsid w:val="00B949E1"/>
    <w:pPr>
      <w:spacing w:before="64" w:line="240" w:lineRule="atLeast"/>
      <w:contextualSpacing/>
    </w:pPr>
    <w:rPr>
      <w:b/>
      <w:color w:val="EEECE1" w:themeColor="background2"/>
      <w:sz w:val="28"/>
    </w:rPr>
  </w:style>
  <w:style w:type="paragraph" w:customStyle="1" w:styleId="SideNoteRegularRight">
    <w:name w:val="SideNote (Regular Right)"/>
    <w:basedOn w:val="SideNoteRegularLeft"/>
    <w:qFormat/>
    <w:rsid w:val="00B949E1"/>
    <w:pPr>
      <w:jc w:val="right"/>
    </w:pPr>
  </w:style>
  <w:style w:type="paragraph" w:customStyle="1" w:styleId="SideNoteBullet">
    <w:name w:val="SideNote Bullet"/>
    <w:basedOn w:val="SideNoteRegularLeft"/>
    <w:rsid w:val="00B949E1"/>
    <w:pPr>
      <w:numPr>
        <w:ilvl w:val="1"/>
        <w:numId w:val="26"/>
      </w:numPr>
      <w:spacing w:before="0" w:after="64"/>
    </w:pPr>
  </w:style>
  <w:style w:type="paragraph" w:customStyle="1" w:styleId="SideNoteDash">
    <w:name w:val="SideNote Dash"/>
    <w:basedOn w:val="SideNoteRegularLeft"/>
    <w:qFormat/>
    <w:rsid w:val="00B949E1"/>
    <w:pPr>
      <w:numPr>
        <w:numId w:val="26"/>
      </w:numPr>
    </w:pPr>
  </w:style>
  <w:style w:type="paragraph" w:customStyle="1" w:styleId="PullOutTitle">
    <w:name w:val="PullOut Title"/>
    <w:basedOn w:val="Normal-nospace"/>
    <w:qFormat/>
    <w:rsid w:val="00B949E1"/>
    <w:pPr>
      <w:spacing w:before="90"/>
    </w:pPr>
    <w:rPr>
      <w:rFonts w:cstheme="minorBidi"/>
      <w:b/>
    </w:rPr>
  </w:style>
  <w:style w:type="character" w:customStyle="1" w:styleId="SourceChar">
    <w:name w:val="Source Char"/>
    <w:basedOn w:val="DefaultParagraphFont"/>
    <w:link w:val="Source"/>
    <w:locked/>
    <w:rsid w:val="00B949E1"/>
    <w:rPr>
      <w:rFonts w:ascii="Arial Narrow" w:hAnsi="Arial Narrow" w:cs="Arial"/>
      <w:i/>
      <w:color w:val="000100"/>
      <w:sz w:val="16"/>
    </w:rPr>
  </w:style>
  <w:style w:type="table" w:customStyle="1" w:styleId="aacTableBanded-Odd">
    <w:name w:val="aac Table (Banded-Odd)"/>
    <w:basedOn w:val="TableNormal"/>
    <w:uiPriority w:val="99"/>
    <w:rsid w:val="00B949E1"/>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B949E1"/>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949E1"/>
    <w:pPr>
      <w:numPr>
        <w:numId w:val="27"/>
      </w:numPr>
    </w:pPr>
  </w:style>
  <w:style w:type="paragraph" w:customStyle="1" w:styleId="Heading1AP">
    <w:name w:val="Heading 1 (AP)"/>
    <w:basedOn w:val="Normal-nospace"/>
    <w:next w:val="BodyText"/>
    <w:qFormat/>
    <w:rsid w:val="00B949E1"/>
    <w:pPr>
      <w:numPr>
        <w:numId w:val="29"/>
      </w:numPr>
      <w:spacing w:after="200" w:line="192" w:lineRule="auto"/>
    </w:pPr>
    <w:rPr>
      <w:rFonts w:ascii="Yu Gothic Medium" w:hAnsi="Yu Gothic Medium"/>
      <w:color w:val="FFFEFF"/>
      <w:sz w:val="52"/>
    </w:rPr>
  </w:style>
  <w:style w:type="paragraph" w:customStyle="1" w:styleId="Heading2AP">
    <w:name w:val="Heading 2 (AP)"/>
    <w:basedOn w:val="Normal-nospace"/>
    <w:next w:val="BodyText"/>
    <w:qFormat/>
    <w:rsid w:val="00B949E1"/>
    <w:pPr>
      <w:keepNext/>
      <w:numPr>
        <w:ilvl w:val="1"/>
        <w:numId w:val="29"/>
      </w:numPr>
      <w:pBdr>
        <w:bottom w:val="single" w:sz="4" w:space="0" w:color="6C3E99"/>
      </w:pBdr>
      <w:spacing w:before="240" w:after="216"/>
    </w:pPr>
    <w:rPr>
      <w:b/>
      <w:color w:val="6C3E99"/>
      <w:sz w:val="28"/>
    </w:rPr>
  </w:style>
  <w:style w:type="paragraph" w:customStyle="1" w:styleId="Heading3AP">
    <w:name w:val="Heading 3 (AP)"/>
    <w:basedOn w:val="Normal-nospace"/>
    <w:next w:val="BodyText"/>
    <w:qFormat/>
    <w:rsid w:val="00B949E1"/>
    <w:pPr>
      <w:keepNext/>
      <w:numPr>
        <w:ilvl w:val="2"/>
        <w:numId w:val="29"/>
      </w:numPr>
      <w:pBdr>
        <w:bottom w:val="single" w:sz="4" w:space="0" w:color="000100"/>
      </w:pBdr>
      <w:spacing w:before="240" w:after="160" w:line="240" w:lineRule="atLeast"/>
    </w:pPr>
    <w:rPr>
      <w:b/>
    </w:rPr>
  </w:style>
  <w:style w:type="paragraph" w:customStyle="1" w:styleId="Heading4AP">
    <w:name w:val="Heading 4 (AP)"/>
    <w:basedOn w:val="Normal-nospace"/>
    <w:next w:val="BodyText"/>
    <w:qFormat/>
    <w:rsid w:val="00B949E1"/>
    <w:pPr>
      <w:keepNext/>
      <w:numPr>
        <w:ilvl w:val="3"/>
        <w:numId w:val="29"/>
      </w:numPr>
      <w:spacing w:before="240" w:after="160" w:line="240" w:lineRule="atLeast"/>
    </w:pPr>
    <w:rPr>
      <w:b/>
    </w:rPr>
  </w:style>
  <w:style w:type="paragraph" w:customStyle="1" w:styleId="Heading5AP">
    <w:name w:val="Heading 5 (AP)"/>
    <w:basedOn w:val="Normal-nospace"/>
    <w:next w:val="BodyText"/>
    <w:qFormat/>
    <w:rsid w:val="00B949E1"/>
    <w:pPr>
      <w:keepNext/>
      <w:numPr>
        <w:ilvl w:val="4"/>
        <w:numId w:val="29"/>
      </w:numPr>
      <w:spacing w:before="240" w:after="160" w:line="240" w:lineRule="atLeast"/>
    </w:pPr>
    <w:rPr>
      <w:b/>
      <w:i/>
    </w:rPr>
  </w:style>
  <w:style w:type="paragraph" w:customStyle="1" w:styleId="Heading6AP">
    <w:name w:val="Heading 6 (AP)"/>
    <w:basedOn w:val="Normal-nospace"/>
    <w:next w:val="BodyText"/>
    <w:qFormat/>
    <w:rsid w:val="00B949E1"/>
    <w:pPr>
      <w:keepNext/>
      <w:numPr>
        <w:ilvl w:val="5"/>
        <w:numId w:val="29"/>
      </w:numPr>
      <w:spacing w:before="240" w:after="160" w:line="240" w:lineRule="atLeast"/>
    </w:pPr>
    <w:rPr>
      <w:b/>
      <w:i/>
      <w:color w:val="959495"/>
    </w:rPr>
  </w:style>
  <w:style w:type="numbering" w:customStyle="1" w:styleId="aaclstStyleHeadingApp">
    <w:name w:val="aac_lstStyle_HeadingApp"/>
    <w:uiPriority w:val="99"/>
    <w:rsid w:val="00B949E1"/>
    <w:pPr>
      <w:numPr>
        <w:numId w:val="28"/>
      </w:numPr>
    </w:pPr>
  </w:style>
  <w:style w:type="numbering" w:customStyle="1" w:styleId="aaReportListDash">
    <w:name w:val="aa Report List Dash"/>
    <w:uiPriority w:val="99"/>
    <w:rsid w:val="00B949E1"/>
    <w:pPr>
      <w:numPr>
        <w:numId w:val="30"/>
      </w:numPr>
    </w:pPr>
  </w:style>
  <w:style w:type="paragraph" w:customStyle="1" w:styleId="waterMarkaadraftstat">
    <w:name w:val="waterMark_aa_draft_stat"/>
    <w:rsid w:val="00B949E1"/>
    <w:pPr>
      <w:spacing w:after="160" w:line="259" w:lineRule="auto"/>
    </w:pPr>
    <w:rPr>
      <w:rFonts w:eastAsiaTheme="minorEastAsia" w:cs="Times New Roman"/>
      <w:sz w:val="3276"/>
      <w:szCs w:val="3276"/>
      <w:lang w:val="en-US"/>
    </w:rPr>
  </w:style>
  <w:style w:type="paragraph" w:customStyle="1" w:styleId="waterMarkaaCabinetsec">
    <w:name w:val="waterMark_aa_Cabinet_sec"/>
    <w:rsid w:val="00B949E1"/>
    <w:pPr>
      <w:spacing w:after="160" w:line="259" w:lineRule="auto"/>
    </w:pPr>
    <w:rPr>
      <w:rFonts w:eastAsiaTheme="minorEastAsia" w:cs="Times New Roman"/>
      <w:sz w:val="3276"/>
      <w:szCs w:val="3276"/>
      <w:lang w:val="en-US"/>
    </w:rPr>
  </w:style>
  <w:style w:type="paragraph" w:customStyle="1" w:styleId="waterMarkaaCommercialsec">
    <w:name w:val="waterMark_aa_Commercial_sec"/>
    <w:rsid w:val="00B949E1"/>
    <w:pPr>
      <w:spacing w:after="160" w:line="259" w:lineRule="auto"/>
    </w:pPr>
    <w:rPr>
      <w:rFonts w:eastAsiaTheme="minorEastAsia" w:cs="Times New Roman"/>
      <w:sz w:val="3276"/>
      <w:szCs w:val="3276"/>
      <w:lang w:val="en-US"/>
    </w:rPr>
  </w:style>
  <w:style w:type="paragraph" w:customStyle="1" w:styleId="waterMarkaadraftOnlyBodstat">
    <w:name w:val="waterMark_aa_draftOnlyBod_stat"/>
    <w:rsid w:val="00B949E1"/>
    <w:pPr>
      <w:spacing w:after="160" w:line="259" w:lineRule="auto"/>
    </w:pPr>
    <w:rPr>
      <w:rFonts w:eastAsiaTheme="minorEastAsia" w:cs="Times New Roman"/>
      <w:sz w:val="3276"/>
      <w:szCs w:val="3276"/>
      <w:lang w:val="en-US"/>
    </w:rPr>
  </w:style>
  <w:style w:type="paragraph" w:customStyle="1" w:styleId="waterMarkaaConfidentialsec">
    <w:name w:val="waterMark_aa_Confidential_sec"/>
    <w:rsid w:val="00B949E1"/>
    <w:pPr>
      <w:spacing w:after="160" w:line="259" w:lineRule="auto"/>
    </w:pPr>
    <w:rPr>
      <w:rFonts w:eastAsiaTheme="minorEastAsia" w:cs="Times New Roman"/>
      <w:sz w:val="3276"/>
      <w:szCs w:val="3276"/>
      <w:lang w:val="en-US"/>
    </w:rPr>
  </w:style>
  <w:style w:type="paragraph" w:customStyle="1" w:styleId="TableQuoteSource">
    <w:name w:val="Table Quote Source"/>
    <w:basedOn w:val="Normal-nospace"/>
    <w:qFormat/>
    <w:rsid w:val="00B949E1"/>
    <w:pPr>
      <w:spacing w:before="90" w:after="60" w:line="240" w:lineRule="auto"/>
      <w:ind w:right="200"/>
      <w:jc w:val="right"/>
    </w:pPr>
    <w:rPr>
      <w:rFonts w:cstheme="minorBidi"/>
      <w:i/>
      <w:color w:val="404040" w:themeColor="text1" w:themeTint="BF"/>
      <w:sz w:val="20"/>
    </w:rPr>
  </w:style>
  <w:style w:type="paragraph" w:customStyle="1" w:styleId="TableQuoteSourcesmall">
    <w:name w:val="Table Quote Source (small)"/>
    <w:basedOn w:val="BodyText"/>
    <w:qFormat/>
    <w:rsid w:val="00B949E1"/>
    <w:pPr>
      <w:spacing w:before="0" w:line="240" w:lineRule="auto"/>
      <w:ind w:right="200"/>
      <w:jc w:val="right"/>
    </w:pPr>
    <w:rPr>
      <w:rFonts w:cstheme="minorBidi"/>
      <w:i/>
      <w:color w:val="403F40"/>
      <w:sz w:val="16"/>
    </w:rPr>
  </w:style>
  <w:style w:type="paragraph" w:customStyle="1" w:styleId="TableQuote">
    <w:name w:val="Table Quote"/>
    <w:basedOn w:val="Normal-nospace"/>
    <w:qFormat/>
    <w:rsid w:val="00B949E1"/>
    <w:pPr>
      <w:spacing w:before="60" w:line="240" w:lineRule="atLeast"/>
      <w:ind w:right="199"/>
    </w:pPr>
    <w:rPr>
      <w:rFonts w:cstheme="minorBidi"/>
      <w:i/>
      <w:color w:val="404040" w:themeColor="text1" w:themeTint="BF"/>
      <w:sz w:val="20"/>
    </w:rPr>
  </w:style>
  <w:style w:type="paragraph" w:customStyle="1" w:styleId="QuoteListBullet">
    <w:name w:val="Quote List Bullet"/>
    <w:basedOn w:val="Quote"/>
    <w:qFormat/>
    <w:rsid w:val="00B949E1"/>
    <w:pPr>
      <w:numPr>
        <w:numId w:val="33"/>
      </w:numPr>
      <w:spacing w:before="0"/>
      <w:ind w:left="777" w:hanging="357"/>
      <w:contextualSpacing/>
    </w:pPr>
  </w:style>
  <w:style w:type="paragraph" w:customStyle="1" w:styleId="QuoteSource">
    <w:name w:val="Quote Source"/>
    <w:basedOn w:val="Quote"/>
    <w:next w:val="BodyText"/>
    <w:qFormat/>
    <w:rsid w:val="00B949E1"/>
    <w:pPr>
      <w:contextualSpacing/>
      <w:jc w:val="right"/>
    </w:pPr>
  </w:style>
  <w:style w:type="paragraph" w:customStyle="1" w:styleId="TableQuotesmall">
    <w:name w:val="Table Quote (small)"/>
    <w:basedOn w:val="Normal-nospace"/>
    <w:qFormat/>
    <w:rsid w:val="00B949E1"/>
    <w:pPr>
      <w:spacing w:before="60" w:line="180" w:lineRule="exact"/>
      <w:ind w:right="199"/>
    </w:pPr>
    <w:rPr>
      <w:rFonts w:cstheme="minorBidi"/>
      <w:i/>
      <w:color w:val="403F40"/>
      <w:sz w:val="16"/>
    </w:rPr>
  </w:style>
  <w:style w:type="paragraph" w:customStyle="1" w:styleId="TableQuoteBullet">
    <w:name w:val="Table Quote Bullet"/>
    <w:basedOn w:val="Normal-nospace"/>
    <w:qFormat/>
    <w:rsid w:val="00B949E1"/>
    <w:pPr>
      <w:numPr>
        <w:numId w:val="34"/>
      </w:numPr>
      <w:spacing w:before="60" w:after="60" w:line="240" w:lineRule="auto"/>
      <w:ind w:left="360" w:right="200"/>
      <w:contextualSpacing/>
    </w:pPr>
    <w:rPr>
      <w:rFonts w:cstheme="minorBidi"/>
      <w:i/>
      <w:color w:val="404040" w:themeColor="text1" w:themeTint="BF"/>
      <w:sz w:val="20"/>
    </w:rPr>
  </w:style>
  <w:style w:type="paragraph" w:customStyle="1" w:styleId="TableQuoteBulletsmall">
    <w:name w:val="Table Quote Bullet (small)"/>
    <w:basedOn w:val="Normal-nospace"/>
    <w:qFormat/>
    <w:rsid w:val="00B949E1"/>
    <w:pPr>
      <w:numPr>
        <w:numId w:val="35"/>
      </w:numPr>
      <w:spacing w:before="40" w:after="60" w:line="240" w:lineRule="auto"/>
      <w:ind w:left="360"/>
      <w:contextualSpacing/>
    </w:pPr>
    <w:rPr>
      <w:rFonts w:cstheme="minorBidi"/>
      <w:i/>
      <w:color w:val="403F40"/>
      <w:sz w:val="16"/>
    </w:rPr>
  </w:style>
  <w:style w:type="paragraph" w:customStyle="1" w:styleId="SubHeading1">
    <w:name w:val="Sub Heading 1"/>
    <w:basedOn w:val="Normalrgb"/>
    <w:qFormat/>
    <w:rsid w:val="00B949E1"/>
    <w:pPr>
      <w:spacing w:line="240" w:lineRule="auto"/>
      <w:contextualSpacing/>
    </w:pPr>
    <w:rPr>
      <w:sz w:val="40"/>
    </w:rPr>
  </w:style>
  <w:style w:type="paragraph" w:customStyle="1" w:styleId="tagglossaryChpt">
    <w:name w:val="tag_glossary_Chpt"/>
    <w:basedOn w:val="spacer"/>
    <w:rsid w:val="00B949E1"/>
  </w:style>
  <w:style w:type="paragraph" w:customStyle="1" w:styleId="tagbiblioChpt">
    <w:name w:val="tag_biblio_Chpt"/>
    <w:basedOn w:val="spacer"/>
    <w:qFormat/>
    <w:rsid w:val="00B949E1"/>
  </w:style>
  <w:style w:type="paragraph" w:customStyle="1" w:styleId="tagrefsChpt">
    <w:name w:val="tag_refs_Chpt"/>
    <w:basedOn w:val="spacer"/>
    <w:qFormat/>
    <w:rsid w:val="00B949E1"/>
  </w:style>
  <w:style w:type="paragraph" w:customStyle="1" w:styleId="tagworksCitedChpt">
    <w:name w:val="tag_worksCited_Chpt"/>
    <w:basedOn w:val="spacer"/>
    <w:qFormat/>
    <w:rsid w:val="00B949E1"/>
  </w:style>
  <w:style w:type="paragraph" w:customStyle="1" w:styleId="TOCTOFSubHeading">
    <w:name w:val="TOC TOFSubHeading"/>
    <w:basedOn w:val="Normal-nospace"/>
    <w:qFormat/>
    <w:rsid w:val="00B949E1"/>
    <w:pPr>
      <w:keepNext/>
      <w:spacing w:before="240" w:after="60" w:line="260" w:lineRule="exact"/>
    </w:pPr>
    <w:rPr>
      <w:rFonts w:ascii="Yu Gothic Medium" w:hAnsi="Yu Gothic Medium"/>
      <w:b/>
    </w:rPr>
  </w:style>
  <w:style w:type="paragraph" w:customStyle="1" w:styleId="Heading2nonumber">
    <w:name w:val="Heading 2 (no number)"/>
    <w:basedOn w:val="Normal-nospace"/>
    <w:next w:val="BodyText"/>
    <w:qFormat/>
    <w:rsid w:val="00B949E1"/>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B949E1"/>
    <w:pPr>
      <w:pBdr>
        <w:bottom w:val="single" w:sz="4" w:space="0" w:color="000100"/>
      </w:pBdr>
      <w:spacing w:before="240" w:after="160" w:line="240" w:lineRule="atLeast"/>
    </w:pPr>
    <w:rPr>
      <w:b/>
    </w:rPr>
  </w:style>
  <w:style w:type="paragraph" w:customStyle="1" w:styleId="Heading4nonumber">
    <w:name w:val="Heading 4 (no number)"/>
    <w:basedOn w:val="Normal-nospace"/>
    <w:next w:val="BodyText"/>
    <w:qFormat/>
    <w:rsid w:val="00B949E1"/>
    <w:pPr>
      <w:keepNext/>
      <w:spacing w:before="240" w:after="160" w:line="240" w:lineRule="atLeast"/>
    </w:pPr>
    <w:rPr>
      <w:b/>
    </w:rPr>
  </w:style>
  <w:style w:type="paragraph" w:customStyle="1" w:styleId="LetterHeading2">
    <w:name w:val="Letter Heading 2"/>
    <w:basedOn w:val="LetterHeading1"/>
    <w:next w:val="BodyText"/>
    <w:qFormat/>
    <w:rsid w:val="00B949E1"/>
    <w:rPr>
      <w:i/>
    </w:rPr>
  </w:style>
  <w:style w:type="paragraph" w:customStyle="1" w:styleId="LetterHeading3">
    <w:name w:val="Letter Heading 3"/>
    <w:basedOn w:val="LetterHeading1"/>
    <w:next w:val="BodyText"/>
    <w:qFormat/>
    <w:rsid w:val="00B949E1"/>
    <w:rPr>
      <w:b w:val="0"/>
      <w:i/>
    </w:rPr>
  </w:style>
  <w:style w:type="paragraph" w:customStyle="1" w:styleId="FigureSubHeadings">
    <w:name w:val="Figure (Sub Headings)"/>
    <w:basedOn w:val="Normal-nospace"/>
    <w:qFormat/>
    <w:rsid w:val="00B949E1"/>
    <w:pPr>
      <w:spacing w:before="60" w:after="120" w:line="240" w:lineRule="auto"/>
    </w:pPr>
    <w:rPr>
      <w:sz w:val="18"/>
    </w:rPr>
  </w:style>
  <w:style w:type="table" w:customStyle="1" w:styleId="aacTablenolines">
    <w:name w:val="aac Table (no lines)"/>
    <w:basedOn w:val="TableNormal"/>
    <w:uiPriority w:val="99"/>
    <w:rsid w:val="00B949E1"/>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949E1"/>
    <w:rPr>
      <w:b/>
      <w:vertAlign w:val="superscript"/>
    </w:rPr>
  </w:style>
  <w:style w:type="paragraph" w:customStyle="1" w:styleId="LetterConfidentiality">
    <w:name w:val="Letter Confidentiality"/>
    <w:basedOn w:val="BodyText"/>
    <w:qFormat/>
    <w:rsid w:val="00B949E1"/>
    <w:rPr>
      <w:color w:val="000000"/>
    </w:rPr>
  </w:style>
  <w:style w:type="paragraph" w:customStyle="1" w:styleId="Normalrgb">
    <w:name w:val="Normal_rgb"/>
    <w:basedOn w:val="Normal-nospace"/>
    <w:qFormat/>
    <w:rsid w:val="00B949E1"/>
    <w:rPr>
      <w:color w:val="9D85BE"/>
    </w:rPr>
  </w:style>
  <w:style w:type="paragraph" w:customStyle="1" w:styleId="CpContactDetailsWeb">
    <w:name w:val="Cp Contact Details Web"/>
    <w:basedOn w:val="Normalrgb"/>
    <w:qFormat/>
    <w:rsid w:val="00B949E1"/>
    <w:pPr>
      <w:spacing w:line="250" w:lineRule="exact"/>
    </w:pPr>
  </w:style>
  <w:style w:type="paragraph" w:customStyle="1" w:styleId="CpContactDetailsHeading">
    <w:name w:val="Cp Contact Details Heading"/>
    <w:basedOn w:val="Normalrgb"/>
    <w:next w:val="CpContactDetails"/>
    <w:qFormat/>
    <w:rsid w:val="00B949E1"/>
    <w:pPr>
      <w:spacing w:line="250" w:lineRule="exact"/>
    </w:pPr>
    <w:rPr>
      <w:b/>
    </w:rPr>
  </w:style>
  <w:style w:type="paragraph" w:customStyle="1" w:styleId="tagaaRptTestStyle00">
    <w:name w:val="tag_aa_RptTestStyle_#?_00"/>
    <w:basedOn w:val="BodyText"/>
    <w:qFormat/>
    <w:rsid w:val="00B949E1"/>
    <w:pPr>
      <w:spacing w:before="0" w:after="0" w:line="240" w:lineRule="auto"/>
    </w:pPr>
    <w:rPr>
      <w:sz w:val="16"/>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locked/>
    <w:rsid w:val="00B949E1"/>
    <w:rPr>
      <w:rFonts w:ascii="Arial Narrow" w:hAnsi="Arial Narrow" w:cs="Arial"/>
    </w:rPr>
  </w:style>
  <w:style w:type="character" w:customStyle="1" w:styleId="CaptionChar1">
    <w:name w:val="Caption Char1"/>
    <w:aliases w:val="Caption Char Char,Char1 Char Char Char1,Char1 Char Char1,Char1 Char Char Char Char1,Char1 Char Char Char Char Char,Char Char Char,Caption Char Char Char Char,1 Char,Char1 Char1,Text Caption Char,minor heading Char,Caption1 Char"/>
    <w:basedOn w:val="DefaultParagraphFont"/>
    <w:link w:val="Caption"/>
    <w:uiPriority w:val="35"/>
    <w:rsid w:val="00B949E1"/>
    <w:rPr>
      <w:rFonts w:ascii="Arial Narrow" w:hAnsi="Arial Narrow" w:cs="Arial"/>
      <w:iCs/>
      <w:color w:val="000100"/>
      <w:szCs w:val="18"/>
    </w:rPr>
  </w:style>
  <w:style w:type="character" w:customStyle="1" w:styleId="Hashtag1">
    <w:name w:val="Hashtag1"/>
    <w:basedOn w:val="DefaultParagraphFont"/>
    <w:uiPriority w:val="99"/>
    <w:semiHidden/>
    <w:unhideWhenUsed/>
    <w:rsid w:val="00B949E1"/>
    <w:rPr>
      <w:color w:val="2B579A"/>
      <w:shd w:val="clear" w:color="auto" w:fill="E1DFDD"/>
    </w:rPr>
  </w:style>
  <w:style w:type="character" w:customStyle="1" w:styleId="Mention1">
    <w:name w:val="Mention1"/>
    <w:basedOn w:val="DefaultParagraphFont"/>
    <w:uiPriority w:val="99"/>
    <w:semiHidden/>
    <w:unhideWhenUsed/>
    <w:rsid w:val="00B949E1"/>
    <w:rPr>
      <w:color w:val="2B579A"/>
      <w:shd w:val="clear" w:color="auto" w:fill="E1DFDD"/>
    </w:rPr>
  </w:style>
  <w:style w:type="character" w:customStyle="1" w:styleId="SmartHyperlink1">
    <w:name w:val="Smart Hyperlink1"/>
    <w:basedOn w:val="DefaultParagraphFont"/>
    <w:uiPriority w:val="99"/>
    <w:semiHidden/>
    <w:unhideWhenUsed/>
    <w:rsid w:val="00B949E1"/>
    <w:rPr>
      <w:u w:val="dotted"/>
    </w:rPr>
  </w:style>
  <w:style w:type="character" w:customStyle="1" w:styleId="SmartLink1">
    <w:name w:val="SmartLink1"/>
    <w:basedOn w:val="DefaultParagraphFont"/>
    <w:uiPriority w:val="99"/>
    <w:semiHidden/>
    <w:unhideWhenUsed/>
    <w:rsid w:val="00B949E1"/>
    <w:rPr>
      <w:color w:val="0000FF"/>
      <w:u w:val="single"/>
      <w:shd w:val="clear" w:color="auto" w:fill="F3F2F1"/>
    </w:rPr>
  </w:style>
  <w:style w:type="character" w:customStyle="1" w:styleId="UnresolvedMention1">
    <w:name w:val="Unresolved Mention1"/>
    <w:basedOn w:val="DefaultParagraphFont"/>
    <w:uiPriority w:val="99"/>
    <w:semiHidden/>
    <w:unhideWhenUsed/>
    <w:rsid w:val="00B949E1"/>
    <w:rPr>
      <w:color w:val="605E5C"/>
      <w:shd w:val="clear" w:color="auto" w:fill="E1DFDD"/>
    </w:rPr>
  </w:style>
  <w:style w:type="paragraph" w:styleId="Revision">
    <w:name w:val="Revision"/>
    <w:hidden/>
    <w:uiPriority w:val="99"/>
    <w:semiHidden/>
    <w:rsid w:val="00B949E1"/>
    <w:pPr>
      <w:spacing w:after="0" w:line="240" w:lineRule="auto"/>
    </w:pPr>
    <w:rPr>
      <w:rFonts w:ascii="Arial Narrow" w:hAnsi="Arial Narrow" w:cs="Arial"/>
    </w:rPr>
  </w:style>
  <w:style w:type="numbering" w:customStyle="1" w:styleId="BoxListBullets">
    <w:name w:val="Box List Bullets"/>
    <w:uiPriority w:val="99"/>
    <w:rsid w:val="00B949E1"/>
    <w:pPr>
      <w:numPr>
        <w:numId w:val="38"/>
      </w:numPr>
    </w:pPr>
  </w:style>
  <w:style w:type="character" w:customStyle="1" w:styleId="TabletextChar">
    <w:name w:val="Table text Char"/>
    <w:link w:val="Tabletext"/>
    <w:locked/>
    <w:rsid w:val="00B949E1"/>
    <w:rPr>
      <w:rFonts w:ascii="Arial Narrow" w:hAnsi="Arial Narrow" w:cs="Arial"/>
      <w:color w:val="000100"/>
      <w:sz w:val="20"/>
    </w:rPr>
  </w:style>
  <w:style w:type="paragraph" w:customStyle="1" w:styleId="Default">
    <w:name w:val="Default"/>
    <w:rsid w:val="00B949E1"/>
    <w:pPr>
      <w:autoSpaceDE w:val="0"/>
      <w:autoSpaceDN w:val="0"/>
      <w:adjustRightInd w:val="0"/>
      <w:spacing w:after="0" w:line="240" w:lineRule="auto"/>
    </w:pPr>
    <w:rPr>
      <w:rFonts w:ascii="Arial" w:hAnsi="Arial" w:cs="Arial"/>
      <w:color w:val="000000"/>
      <w:sz w:val="24"/>
      <w:szCs w:val="24"/>
    </w:rPr>
  </w:style>
  <w:style w:type="paragraph" w:customStyle="1" w:styleId="Cp-Banner">
    <w:name w:val="Cp - Banner"/>
    <w:basedOn w:val="Normal"/>
    <w:rsid w:val="00B949E1"/>
    <w:pPr>
      <w:pageBreakBefore/>
      <w:spacing w:before="0" w:after="0" w:line="240" w:lineRule="auto"/>
    </w:pPr>
    <w:rPr>
      <w:rFonts w:cstheme="minorBidi"/>
      <w:sz w:val="4"/>
    </w:rPr>
  </w:style>
  <w:style w:type="paragraph" w:customStyle="1" w:styleId="CpBoldSubTitle">
    <w:name w:val="Cp Bold SubTitle"/>
    <w:basedOn w:val="Normal"/>
    <w:rsid w:val="00B949E1"/>
    <w:pPr>
      <w:spacing w:before="48" w:after="0" w:line="200" w:lineRule="exact"/>
      <w:ind w:left="159"/>
    </w:pPr>
    <w:rPr>
      <w:rFonts w:ascii="Arial Bold" w:hAnsi="Arial Bold" w:cstheme="minorBidi"/>
      <w:b/>
      <w:caps/>
      <w:color w:val="FFFEFF"/>
    </w:rPr>
  </w:style>
  <w:style w:type="paragraph" w:customStyle="1" w:styleId="CpHeaderConsulting">
    <w:name w:val="Cp Header (Consulting)"/>
    <w:basedOn w:val="Normal"/>
    <w:qFormat/>
    <w:rsid w:val="00B949E1"/>
    <w:pPr>
      <w:spacing w:before="0" w:after="0" w:line="240" w:lineRule="auto"/>
    </w:pPr>
    <w:rPr>
      <w:rFonts w:ascii="Arial" w:hAnsi="Arial" w:cstheme="minorBidi"/>
      <w:caps/>
      <w:spacing w:val="96"/>
      <w:sz w:val="24"/>
    </w:rPr>
  </w:style>
  <w:style w:type="paragraph" w:customStyle="1" w:styleId="CpHeaderAcilAllen">
    <w:name w:val="Cp Header (Acil Allen)"/>
    <w:basedOn w:val="CpHeaderConsulting"/>
    <w:rsid w:val="00B949E1"/>
    <w:rPr>
      <w:spacing w:val="100"/>
    </w:rPr>
  </w:style>
  <w:style w:type="numbering" w:customStyle="1" w:styleId="aaTOCList">
    <w:name w:val="aa TOC List"/>
    <w:uiPriority w:val="99"/>
    <w:rsid w:val="00B949E1"/>
    <w:pPr>
      <w:numPr>
        <w:numId w:val="39"/>
      </w:numPr>
    </w:pPr>
  </w:style>
  <w:style w:type="paragraph" w:customStyle="1" w:styleId="Table-Source">
    <w:name w:val="Table - Source"/>
    <w:basedOn w:val="Normal"/>
    <w:qFormat/>
    <w:rsid w:val="00B949E1"/>
    <w:pPr>
      <w:spacing w:before="52" w:after="0" w:line="240" w:lineRule="auto"/>
    </w:pPr>
    <w:rPr>
      <w:rFonts w:ascii="Helvetica Neue" w:hAnsi="Helvetica Neue" w:cstheme="minorBidi"/>
      <w:caps/>
      <w:spacing w:val="-3"/>
      <w:sz w:val="16"/>
    </w:rPr>
  </w:style>
  <w:style w:type="numbering" w:styleId="111111">
    <w:name w:val="Outline List 2"/>
    <w:basedOn w:val="NoList"/>
    <w:uiPriority w:val="99"/>
    <w:semiHidden/>
    <w:unhideWhenUsed/>
    <w:rsid w:val="00B949E1"/>
    <w:pPr>
      <w:numPr>
        <w:numId w:val="40"/>
      </w:numPr>
    </w:pPr>
  </w:style>
  <w:style w:type="numbering" w:styleId="1ai">
    <w:name w:val="Outline List 1"/>
    <w:aliases w:val="List for Box List Number"/>
    <w:basedOn w:val="NoList"/>
    <w:uiPriority w:val="99"/>
    <w:semiHidden/>
    <w:unhideWhenUsed/>
    <w:rsid w:val="00B949E1"/>
    <w:pPr>
      <w:numPr>
        <w:numId w:val="41"/>
      </w:numPr>
    </w:pPr>
  </w:style>
  <w:style w:type="paragraph" w:customStyle="1" w:styleId="LetterBodyCopy">
    <w:name w:val="Letter Body Copy"/>
    <w:basedOn w:val="Normal"/>
    <w:qFormat/>
    <w:rsid w:val="00B949E1"/>
    <w:pPr>
      <w:spacing w:before="120" w:after="120" w:line="280" w:lineRule="exact"/>
    </w:pPr>
    <w:rPr>
      <w:rFonts w:cstheme="minorBidi"/>
    </w:rPr>
  </w:style>
  <w:style w:type="paragraph" w:customStyle="1" w:styleId="OfficeSide">
    <w:name w:val="OfficeSide"/>
    <w:basedOn w:val="Normal"/>
    <w:rsid w:val="00B949E1"/>
    <w:pPr>
      <w:spacing w:before="0" w:after="0" w:line="200" w:lineRule="exact"/>
    </w:pPr>
    <w:rPr>
      <w:rFonts w:eastAsia="Times New Roman" w:cs="Times New Roman"/>
      <w:caps/>
      <w:sz w:val="14"/>
      <w:szCs w:val="20"/>
    </w:rPr>
  </w:style>
  <w:style w:type="paragraph" w:customStyle="1" w:styleId="HeaderAddress">
    <w:name w:val="HeaderAddress"/>
    <w:basedOn w:val="Normal"/>
    <w:rsid w:val="00B949E1"/>
    <w:pPr>
      <w:spacing w:before="0"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B949E1"/>
    <w:pPr>
      <w:keepNext/>
      <w:keepLines/>
    </w:pPr>
    <w:rPr>
      <w:color w:val="auto"/>
    </w:rPr>
  </w:style>
  <w:style w:type="paragraph" w:customStyle="1" w:styleId="App-Heading1">
    <w:name w:val="App - Heading 1"/>
    <w:basedOn w:val="Normal"/>
    <w:qFormat/>
    <w:rsid w:val="00B949E1"/>
    <w:pPr>
      <w:numPr>
        <w:numId w:val="42"/>
      </w:numPr>
      <w:spacing w:before="0" w:after="0" w:line="3200" w:lineRule="exact"/>
      <w:jc w:val="right"/>
    </w:pPr>
    <w:rPr>
      <w:rFonts w:ascii="Didot LT Std Headline" w:hAnsi="Didot LT Std Headline" w:cstheme="minorBidi"/>
      <w:color w:val="FFFEFF"/>
      <w:sz w:val="320"/>
    </w:rPr>
  </w:style>
  <w:style w:type="paragraph" w:customStyle="1" w:styleId="App-Heading2">
    <w:name w:val="App - Heading 2"/>
    <w:basedOn w:val="Normal"/>
    <w:qFormat/>
    <w:rsid w:val="00B949E1"/>
    <w:pPr>
      <w:numPr>
        <w:ilvl w:val="1"/>
        <w:numId w:val="42"/>
      </w:numPr>
      <w:pBdr>
        <w:bottom w:val="single" w:sz="4" w:space="1" w:color="000100"/>
      </w:pBdr>
      <w:spacing w:before="0" w:after="216"/>
      <w:ind w:left="-17"/>
    </w:pPr>
    <w:rPr>
      <w:rFonts w:ascii="HelveticaNeueLT Std Cn" w:hAnsi="HelveticaNeueLT Std Cn" w:cstheme="minorBidi"/>
      <w:sz w:val="28"/>
    </w:rPr>
  </w:style>
  <w:style w:type="paragraph" w:customStyle="1" w:styleId="rgb-Grey">
    <w:name w:val="rgb-Grey"/>
    <w:basedOn w:val="Header-CompanyName"/>
    <w:semiHidden/>
    <w:qFormat/>
    <w:rsid w:val="00B949E1"/>
    <w:pPr>
      <w:tabs>
        <w:tab w:val="center" w:pos="4680"/>
        <w:tab w:val="right" w:pos="9360"/>
      </w:tabs>
      <w:spacing w:before="0"/>
      <w:jc w:val="left"/>
    </w:pPr>
    <w:rPr>
      <w:rFonts w:cstheme="minorBidi"/>
      <w:color w:val="BEB6AF"/>
      <w:sz w:val="16"/>
    </w:rPr>
  </w:style>
  <w:style w:type="paragraph" w:customStyle="1" w:styleId="rgb-Purple">
    <w:name w:val="rgb-Purple"/>
    <w:basedOn w:val="Normal"/>
    <w:semiHidden/>
    <w:qFormat/>
    <w:rsid w:val="00B949E1"/>
    <w:pPr>
      <w:spacing w:before="0" w:after="0" w:line="240" w:lineRule="auto"/>
    </w:pPr>
    <w:rPr>
      <w:rFonts w:cstheme="minorBidi"/>
      <w:color w:val="9D57A6"/>
    </w:rPr>
  </w:style>
  <w:style w:type="paragraph" w:customStyle="1" w:styleId="Headersmall">
    <w:name w:val="Header (small)"/>
    <w:basedOn w:val="Header"/>
    <w:qFormat/>
    <w:rsid w:val="00B949E1"/>
    <w:pPr>
      <w:tabs>
        <w:tab w:val="clear" w:pos="4513"/>
        <w:tab w:val="clear" w:pos="9026"/>
        <w:tab w:val="center" w:pos="4680"/>
        <w:tab w:val="right" w:pos="9360"/>
      </w:tabs>
      <w:spacing w:before="0"/>
    </w:pPr>
    <w:rPr>
      <w:rFonts w:cstheme="minorBidi"/>
      <w:noProof/>
      <w:color w:val="000004"/>
      <w:sz w:val="4"/>
    </w:rPr>
  </w:style>
  <w:style w:type="paragraph" w:customStyle="1" w:styleId="IntroductionES">
    <w:name w:val="Introduction (ES)"/>
    <w:basedOn w:val="rgb-Grey"/>
    <w:qFormat/>
    <w:rsid w:val="00B949E1"/>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B949E1"/>
    <w:pPr>
      <w:spacing w:before="0" w:after="0" w:line="240" w:lineRule="atLeast"/>
      <w:ind w:left="248"/>
    </w:pPr>
    <w:rPr>
      <w:rFonts w:cstheme="minorBidi"/>
      <w:caps/>
      <w:color w:val="FFFEFF"/>
      <w:spacing w:val="110"/>
      <w:sz w:val="38"/>
    </w:rPr>
  </w:style>
  <w:style w:type="paragraph" w:customStyle="1" w:styleId="Exec-SubHeadBanner">
    <w:name w:val="Exec - SubHead (Banner)"/>
    <w:basedOn w:val="Exec-HeadingBanner"/>
    <w:qFormat/>
    <w:rsid w:val="00B949E1"/>
    <w:rPr>
      <w:color w:val="FFAE3B"/>
    </w:rPr>
  </w:style>
  <w:style w:type="paragraph" w:customStyle="1" w:styleId="Exec-Context">
    <w:name w:val="Exec - Context"/>
    <w:basedOn w:val="Normal"/>
    <w:semiHidden/>
    <w:qFormat/>
    <w:rsid w:val="00B949E1"/>
    <w:pPr>
      <w:spacing w:before="0" w:after="0" w:line="240" w:lineRule="auto"/>
    </w:pPr>
    <w:rPr>
      <w:rFonts w:cstheme="minorBidi"/>
      <w:color w:val="9D57A6"/>
      <w:sz w:val="4"/>
    </w:rPr>
  </w:style>
  <w:style w:type="paragraph" w:customStyle="1" w:styleId="Chpt-HeadingBanner">
    <w:name w:val="Chpt - Heading (Banner)"/>
    <w:basedOn w:val="Normal"/>
    <w:qFormat/>
    <w:rsid w:val="00B949E1"/>
    <w:pPr>
      <w:spacing w:before="0" w:after="0" w:line="240" w:lineRule="atLeast"/>
    </w:pPr>
    <w:rPr>
      <w:rFonts w:ascii="Novecento Book" w:hAnsi="Novecento Book" w:cstheme="minorBidi"/>
      <w:color w:val="FFFEFF"/>
      <w:spacing w:val="110"/>
      <w:sz w:val="41"/>
    </w:rPr>
  </w:style>
  <w:style w:type="paragraph" w:customStyle="1" w:styleId="Chpt-Context">
    <w:name w:val="Chpt - Context"/>
    <w:basedOn w:val="rgb-Purple"/>
    <w:qFormat/>
    <w:rsid w:val="00B949E1"/>
    <w:pPr>
      <w:keepNext/>
    </w:pPr>
    <w:rPr>
      <w:sz w:val="2"/>
    </w:rPr>
  </w:style>
  <w:style w:type="table" w:customStyle="1" w:styleId="TableGrid10">
    <w:name w:val="Table Grid1"/>
    <w:basedOn w:val="TableNormal"/>
    <w:next w:val="TableGrid"/>
    <w:uiPriority w:val="39"/>
    <w:rsid w:val="00B949E1"/>
    <w:pPr>
      <w:spacing w:after="0" w:line="240" w:lineRule="auto"/>
    </w:pPr>
    <w:rPr>
      <w:rFonts w:ascii="Arial Narrow" w:hAnsi="Arial Narrow"/>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B949E1"/>
    <w:rPr>
      <w:sz w:val="4"/>
    </w:rPr>
  </w:style>
  <w:style w:type="paragraph" w:customStyle="1" w:styleId="App-BannerHeading">
    <w:name w:val="App - Banner (Heading)"/>
    <w:basedOn w:val="Normal"/>
    <w:qFormat/>
    <w:rsid w:val="00B949E1"/>
    <w:pPr>
      <w:spacing w:before="0" w:after="0" w:line="240" w:lineRule="atLeast"/>
    </w:pPr>
    <w:rPr>
      <w:rFonts w:ascii="Novecento Book" w:hAnsi="Novecento Book" w:cstheme="minorBidi"/>
      <w:color w:val="FFFEFF"/>
      <w:spacing w:val="110"/>
      <w:sz w:val="41"/>
    </w:rPr>
  </w:style>
  <w:style w:type="paragraph" w:customStyle="1" w:styleId="App-Chpt-Banner">
    <w:name w:val="App - Chpt - Banner"/>
    <w:basedOn w:val="Normal"/>
    <w:qFormat/>
    <w:rsid w:val="00B949E1"/>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B949E1"/>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ascii="Novecento Book" w:eastAsia="Times New Roman" w:hAnsi="Novecento Book" w:cs="Times New Roman"/>
      <w:color w:val="FFFFFF" w:themeColor="background1"/>
      <w:kern w:val="28"/>
      <w:sz w:val="38"/>
      <w:szCs w:val="38"/>
      <w:lang w:eastAsia="en-AU"/>
    </w:rPr>
  </w:style>
  <w:style w:type="numbering" w:customStyle="1" w:styleId="aaReportListBullets">
    <w:name w:val="aa Report List Bullets"/>
    <w:uiPriority w:val="99"/>
    <w:rsid w:val="00B949E1"/>
    <w:pPr>
      <w:numPr>
        <w:numId w:val="46"/>
      </w:numPr>
    </w:pPr>
  </w:style>
  <w:style w:type="numbering" w:customStyle="1" w:styleId="BoxList">
    <w:name w:val="Box List"/>
    <w:uiPriority w:val="99"/>
    <w:rsid w:val="00B949E1"/>
    <w:pPr>
      <w:numPr>
        <w:numId w:val="43"/>
      </w:numPr>
    </w:pPr>
  </w:style>
  <w:style w:type="paragraph" w:customStyle="1" w:styleId="Table-PulloutText">
    <w:name w:val="Table - Pullout Text"/>
    <w:basedOn w:val="rgb-Purple"/>
    <w:qFormat/>
    <w:rsid w:val="00B949E1"/>
    <w:pPr>
      <w:spacing w:before="64" w:line="240" w:lineRule="atLeast"/>
      <w:contextualSpacing/>
      <w:jc w:val="right"/>
    </w:pPr>
    <w:rPr>
      <w:rFonts w:ascii="Helvetica Neue" w:hAnsi="Helvetica Neue"/>
    </w:rPr>
  </w:style>
  <w:style w:type="numbering" w:customStyle="1" w:styleId="aaTableListBullets">
    <w:name w:val="aa Table List Bullets"/>
    <w:uiPriority w:val="99"/>
    <w:rsid w:val="00B949E1"/>
    <w:pPr>
      <w:numPr>
        <w:numId w:val="44"/>
      </w:numPr>
    </w:pPr>
  </w:style>
  <w:style w:type="numbering" w:customStyle="1" w:styleId="aaTableListNumbers">
    <w:name w:val="aa Table List Numbers"/>
    <w:uiPriority w:val="99"/>
    <w:rsid w:val="00B949E1"/>
    <w:pPr>
      <w:numPr>
        <w:numId w:val="45"/>
      </w:numPr>
    </w:pPr>
  </w:style>
  <w:style w:type="paragraph" w:customStyle="1" w:styleId="Abbrev-Context">
    <w:name w:val="Abbrev - Context"/>
    <w:basedOn w:val="Chpt-Context"/>
    <w:qFormat/>
    <w:rsid w:val="00B949E1"/>
  </w:style>
  <w:style w:type="numbering" w:customStyle="1" w:styleId="aaReportListNumber">
    <w:name w:val="aa Report List Number"/>
    <w:uiPriority w:val="99"/>
    <w:rsid w:val="00B949E1"/>
    <w:pPr>
      <w:numPr>
        <w:numId w:val="47"/>
      </w:numPr>
    </w:pPr>
  </w:style>
  <w:style w:type="paragraph" w:customStyle="1" w:styleId="Heading8nonumber">
    <w:name w:val="Heading 8 (no number)"/>
    <w:basedOn w:val="Normal"/>
    <w:next w:val="BodyText"/>
    <w:qFormat/>
    <w:rsid w:val="00B949E1"/>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B949E1"/>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B949E1"/>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B949E1"/>
    <w:pPr>
      <w:keepNext/>
      <w:spacing w:before="240" w:after="89" w:line="240" w:lineRule="atLeast"/>
    </w:pPr>
    <w:rPr>
      <w:rFonts w:cstheme="minorBidi"/>
      <w:b/>
      <w:i/>
      <w:spacing w:val="3"/>
    </w:rPr>
  </w:style>
  <w:style w:type="numbering" w:customStyle="1" w:styleId="aaSideNotesBullets">
    <w:name w:val="aa SideNotes Bullets"/>
    <w:uiPriority w:val="99"/>
    <w:rsid w:val="00B949E1"/>
    <w:pPr>
      <w:numPr>
        <w:numId w:val="48"/>
      </w:numPr>
    </w:pPr>
  </w:style>
  <w:style w:type="numbering" w:customStyle="1" w:styleId="aaReportHeadings">
    <w:name w:val="aa Report Headings"/>
    <w:uiPriority w:val="99"/>
    <w:rsid w:val="00B949E1"/>
    <w:pPr>
      <w:numPr>
        <w:numId w:val="49"/>
      </w:numPr>
    </w:pPr>
  </w:style>
  <w:style w:type="numbering" w:customStyle="1" w:styleId="aaAppendixNumbering">
    <w:name w:val="aa Appendix Numbering"/>
    <w:uiPriority w:val="99"/>
    <w:rsid w:val="00B949E1"/>
    <w:pPr>
      <w:numPr>
        <w:numId w:val="50"/>
      </w:numPr>
    </w:pPr>
  </w:style>
  <w:style w:type="paragraph" w:customStyle="1" w:styleId="Heading5nonumber">
    <w:name w:val="Heading 5 (no number)"/>
    <w:basedOn w:val="Normal"/>
    <w:next w:val="BodyText"/>
    <w:qFormat/>
    <w:rsid w:val="00B949E1"/>
    <w:pPr>
      <w:keepNext/>
      <w:keepLines/>
      <w:spacing w:before="240" w:after="89" w:line="240" w:lineRule="atLeast"/>
      <w:outlineLvl w:val="4"/>
    </w:pPr>
    <w:rPr>
      <w:rFonts w:cstheme="minorBidi"/>
      <w:b/>
      <w:i/>
      <w:color w:val="000100"/>
      <w:spacing w:val="3"/>
    </w:rPr>
  </w:style>
  <w:style w:type="paragraph" w:customStyle="1" w:styleId="Heading6nonumber">
    <w:name w:val="Heading 6 (no number)"/>
    <w:basedOn w:val="Normal"/>
    <w:next w:val="BodyText"/>
    <w:qFormat/>
    <w:rsid w:val="00B949E1"/>
    <w:pPr>
      <w:keepNext/>
      <w:spacing w:before="240" w:after="89" w:line="240" w:lineRule="atLeast"/>
      <w:outlineLvl w:val="5"/>
    </w:pPr>
    <w:rPr>
      <w:rFonts w:cstheme="minorBidi"/>
      <w:b/>
      <w:i/>
      <w:color w:val="808080" w:themeColor="background1" w:themeShade="80"/>
      <w:spacing w:val="3"/>
    </w:rPr>
  </w:style>
  <w:style w:type="paragraph" w:customStyle="1" w:styleId="TOCHeadingwide">
    <w:name w:val="TOC Heading (wide)"/>
    <w:basedOn w:val="TOCHeading"/>
    <w:qFormat/>
    <w:rsid w:val="00B949E1"/>
    <w:pPr>
      <w:keepNext w:val="0"/>
      <w:keepLines w:val="0"/>
      <w:spacing w:after="204" w:line="620" w:lineRule="exact"/>
      <w:ind w:left="454"/>
    </w:pPr>
    <w:rPr>
      <w:rFonts w:ascii="Arial" w:eastAsiaTheme="minorHAnsi" w:hAnsi="Arial" w:cstheme="minorBidi"/>
      <w:bCs/>
      <w:caps/>
      <w:color w:val="978F8B"/>
      <w:spacing w:val="640"/>
      <w:sz w:val="48"/>
    </w:rPr>
  </w:style>
  <w:style w:type="paragraph" w:customStyle="1" w:styleId="Headingbibliography">
    <w:name w:val="Heading (bibliography)"/>
    <w:basedOn w:val="Chpt-HeadingBanner"/>
    <w:qFormat/>
    <w:rsid w:val="00B949E1"/>
    <w:pPr>
      <w:keepNext/>
      <w:ind w:left="216"/>
    </w:pPr>
    <w:rPr>
      <w:rFonts w:ascii="Arial Narrow" w:hAnsi="Arial Narrow"/>
      <w:caps/>
      <w:sz w:val="38"/>
    </w:rPr>
  </w:style>
  <w:style w:type="paragraph" w:customStyle="1" w:styleId="Tablebody">
    <w:name w:val="Table body"/>
    <w:basedOn w:val="Tabletext"/>
    <w:uiPriority w:val="3"/>
    <w:qFormat/>
    <w:rsid w:val="00B949E1"/>
    <w:pPr>
      <w:ind w:right="120"/>
    </w:pPr>
    <w:rPr>
      <w:rFonts w:cstheme="minorBidi"/>
    </w:rPr>
  </w:style>
  <w:style w:type="paragraph" w:customStyle="1" w:styleId="ListDash">
    <w:name w:val="List Dash"/>
    <w:basedOn w:val="Normal"/>
    <w:qFormat/>
    <w:rsid w:val="00B949E1"/>
    <w:pPr>
      <w:numPr>
        <w:numId w:val="53"/>
      </w:numPr>
      <w:spacing w:before="60" w:after="60" w:line="240" w:lineRule="atLeast"/>
    </w:pPr>
    <w:rPr>
      <w:rFonts w:cstheme="minorBidi"/>
    </w:rPr>
  </w:style>
  <w:style w:type="paragraph" w:customStyle="1" w:styleId="ListDash2">
    <w:name w:val="List Dash 2"/>
    <w:basedOn w:val="Normal"/>
    <w:qFormat/>
    <w:rsid w:val="00B949E1"/>
    <w:pPr>
      <w:numPr>
        <w:ilvl w:val="1"/>
        <w:numId w:val="53"/>
      </w:numPr>
      <w:spacing w:before="0" w:after="60" w:line="240" w:lineRule="atLeast"/>
      <w:contextualSpacing/>
    </w:pPr>
    <w:rPr>
      <w:rFonts w:cstheme="minorBidi"/>
    </w:rPr>
  </w:style>
  <w:style w:type="paragraph" w:customStyle="1" w:styleId="ListDash3">
    <w:name w:val="List Dash 3"/>
    <w:basedOn w:val="Normal"/>
    <w:qFormat/>
    <w:rsid w:val="00B949E1"/>
    <w:pPr>
      <w:numPr>
        <w:ilvl w:val="2"/>
        <w:numId w:val="53"/>
      </w:numPr>
      <w:spacing w:before="0" w:after="60" w:line="240" w:lineRule="atLeast"/>
      <w:contextualSpacing/>
    </w:pPr>
    <w:rPr>
      <w:rFonts w:cstheme="minorBidi"/>
    </w:rPr>
  </w:style>
  <w:style w:type="numbering" w:customStyle="1" w:styleId="ACILAllenDashedList">
    <w:name w:val="ACIL Allen Dashed List"/>
    <w:uiPriority w:val="99"/>
    <w:rsid w:val="00B949E1"/>
    <w:pPr>
      <w:numPr>
        <w:numId w:val="51"/>
      </w:numPr>
    </w:pPr>
  </w:style>
  <w:style w:type="paragraph" w:customStyle="1" w:styleId="LetterPageNumber">
    <w:name w:val="Letter Page Number"/>
    <w:basedOn w:val="FooterLetter"/>
    <w:qFormat/>
    <w:rsid w:val="00B949E1"/>
    <w:pPr>
      <w:spacing w:before="0"/>
      <w:jc w:val="right"/>
    </w:pPr>
    <w:rPr>
      <w:color w:val="auto"/>
      <w:sz w:val="18"/>
    </w:rPr>
  </w:style>
  <w:style w:type="numbering" w:styleId="ArticleSection">
    <w:name w:val="Outline List 3"/>
    <w:basedOn w:val="NoList"/>
    <w:uiPriority w:val="99"/>
    <w:semiHidden/>
    <w:unhideWhenUsed/>
    <w:rsid w:val="00B949E1"/>
    <w:pPr>
      <w:numPr>
        <w:numId w:val="52"/>
      </w:numPr>
    </w:pPr>
  </w:style>
  <w:style w:type="table" w:customStyle="1" w:styleId="TableGrid20">
    <w:name w:val="Table Grid2"/>
    <w:basedOn w:val="TableNormal"/>
    <w:next w:val="TableGrid"/>
    <w:uiPriority w:val="39"/>
    <w:rsid w:val="00B949E1"/>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B949E1"/>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B949E1"/>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B949E1"/>
    <w:pPr>
      <w:numPr>
        <w:numId w:val="54"/>
      </w:numPr>
    </w:pPr>
  </w:style>
  <w:style w:type="numbering" w:customStyle="1" w:styleId="aaTableListNumberssmall">
    <w:name w:val="aa Table List Numbers (small)"/>
    <w:uiPriority w:val="99"/>
    <w:rsid w:val="00B949E1"/>
    <w:pPr>
      <w:numPr>
        <w:numId w:val="55"/>
      </w:numPr>
    </w:pPr>
  </w:style>
  <w:style w:type="character" w:customStyle="1" w:styleId="ListParagraphChar">
    <w:name w:val="List Paragraph Char"/>
    <w:aliases w:val="List Paragraph1 Char,Recommendation Char,List Paragraph11 Char,L Char,1 heading Char,Bullet point Char,Dot point 1.5 line spacing Char,List Paragraph - bullets Char,NFP GP Bulleted List Char,bullet point list Char,FooterText Char"/>
    <w:link w:val="ListParagraph"/>
    <w:uiPriority w:val="34"/>
    <w:qFormat/>
    <w:locked/>
    <w:rsid w:val="00B949E1"/>
    <w:rPr>
      <w:rFonts w:ascii="Arial Narrow" w:hAnsi="Arial Narrow" w:cs="Arial"/>
    </w:rPr>
  </w:style>
  <w:style w:type="paragraph" w:customStyle="1" w:styleId="Pa13">
    <w:name w:val="Pa13"/>
    <w:basedOn w:val="Normal"/>
    <w:next w:val="Normal"/>
    <w:uiPriority w:val="99"/>
    <w:rsid w:val="00B949E1"/>
    <w:pPr>
      <w:autoSpaceDE w:val="0"/>
      <w:autoSpaceDN w:val="0"/>
      <w:adjustRightInd w:val="0"/>
      <w:spacing w:before="0" w:after="0" w:line="191" w:lineRule="atLeast"/>
    </w:pPr>
    <w:rPr>
      <w:rFonts w:ascii="Myriad Pro" w:hAnsi="Myriad Pro" w:cstheme="minorBidi"/>
      <w:sz w:val="24"/>
      <w:szCs w:val="24"/>
    </w:rPr>
  </w:style>
  <w:style w:type="paragraph" w:customStyle="1" w:styleId="paragraph">
    <w:name w:val="paragraph"/>
    <w:basedOn w:val="Normal"/>
    <w:rsid w:val="00B949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949E1"/>
  </w:style>
  <w:style w:type="character" w:customStyle="1" w:styleId="eop">
    <w:name w:val="eop"/>
    <w:basedOn w:val="DefaultParagraphFont"/>
    <w:rsid w:val="00B949E1"/>
  </w:style>
  <w:style w:type="character" w:customStyle="1" w:styleId="spellingerror">
    <w:name w:val="spellingerror"/>
    <w:basedOn w:val="DefaultParagraphFont"/>
    <w:rsid w:val="00B949E1"/>
  </w:style>
  <w:style w:type="character" w:customStyle="1" w:styleId="contextualspellingandgrammarerror">
    <w:name w:val="contextualspellingandgrammarerror"/>
    <w:basedOn w:val="DefaultParagraphFont"/>
    <w:rsid w:val="00B949E1"/>
  </w:style>
  <w:style w:type="paragraph" w:customStyle="1" w:styleId="BodyText1">
    <w:name w:val="Body Text 1"/>
    <w:basedOn w:val="Normal"/>
    <w:link w:val="BodyText1Char"/>
    <w:rsid w:val="00B949E1"/>
    <w:pPr>
      <w:spacing w:before="120" w:after="120" w:line="240" w:lineRule="auto"/>
      <w:jc w:val="both"/>
    </w:pPr>
    <w:rPr>
      <w:rFonts w:ascii="Times New Roman" w:eastAsia="Times New Roman" w:hAnsi="Times New Roman" w:cs="Times New Roman"/>
    </w:rPr>
  </w:style>
  <w:style w:type="paragraph" w:customStyle="1" w:styleId="TableText0">
    <w:name w:val="Table Text"/>
    <w:basedOn w:val="Normal"/>
    <w:link w:val="TableTextChar0"/>
    <w:rsid w:val="00B949E1"/>
    <w:pPr>
      <w:tabs>
        <w:tab w:val="left" w:pos="1134"/>
        <w:tab w:val="left" w:pos="1701"/>
        <w:tab w:val="left" w:pos="2268"/>
        <w:tab w:val="left" w:pos="2835"/>
        <w:tab w:val="left" w:pos="3402"/>
      </w:tabs>
      <w:spacing w:before="120" w:after="120" w:line="240" w:lineRule="auto"/>
      <w:jc w:val="both"/>
    </w:pPr>
    <w:rPr>
      <w:rFonts w:ascii="Arial" w:eastAsia="Times New Roman" w:hAnsi="Arial" w:cs="Times New Roman"/>
      <w:sz w:val="20"/>
      <w:szCs w:val="20"/>
    </w:rPr>
  </w:style>
  <w:style w:type="paragraph" w:customStyle="1" w:styleId="TableTextSigning1">
    <w:name w:val="Table Text Signing 1"/>
    <w:basedOn w:val="Normal"/>
    <w:rsid w:val="00B949E1"/>
    <w:pPr>
      <w:pBdr>
        <w:top w:val="dotted" w:sz="4" w:space="1" w:color="auto"/>
      </w:pBdr>
      <w:tabs>
        <w:tab w:val="left" w:pos="1134"/>
        <w:tab w:val="left" w:pos="1701"/>
        <w:tab w:val="left" w:pos="2268"/>
        <w:tab w:val="left" w:pos="2835"/>
        <w:tab w:val="left" w:pos="3402"/>
      </w:tabs>
      <w:spacing w:before="600" w:after="120" w:line="240" w:lineRule="auto"/>
      <w:ind w:right="-1134"/>
      <w:jc w:val="both"/>
    </w:pPr>
    <w:rPr>
      <w:rFonts w:ascii="Arial" w:eastAsia="Times New Roman" w:hAnsi="Arial" w:cs="Times New Roman"/>
      <w:sz w:val="20"/>
      <w:szCs w:val="20"/>
    </w:rPr>
  </w:style>
  <w:style w:type="character" w:customStyle="1" w:styleId="BodyText1Char">
    <w:name w:val="Body Text 1 Char"/>
    <w:basedOn w:val="DefaultParagraphFont"/>
    <w:link w:val="BodyText1"/>
    <w:rsid w:val="00B949E1"/>
    <w:rPr>
      <w:rFonts w:ascii="Times New Roman" w:eastAsia="Times New Roman" w:hAnsi="Times New Roman" w:cs="Times New Roman"/>
    </w:rPr>
  </w:style>
  <w:style w:type="character" w:customStyle="1" w:styleId="TableTextChar0">
    <w:name w:val="Table Text Char"/>
    <w:basedOn w:val="DefaultParagraphFont"/>
    <w:link w:val="TableText0"/>
    <w:rsid w:val="00B949E1"/>
    <w:rPr>
      <w:rFonts w:ascii="Arial" w:eastAsia="Times New Roman" w:hAnsi="Arial" w:cs="Times New Roman"/>
      <w:sz w:val="20"/>
      <w:szCs w:val="20"/>
    </w:rPr>
  </w:style>
  <w:style w:type="paragraph" w:customStyle="1" w:styleId="TableTexta">
    <w:name w:val="Table Text (a)"/>
    <w:basedOn w:val="TableText0"/>
    <w:rsid w:val="00B949E1"/>
    <w:pPr>
      <w:numPr>
        <w:numId w:val="56"/>
      </w:numPr>
      <w:tabs>
        <w:tab w:val="clear" w:pos="851"/>
        <w:tab w:val="num" w:pos="60"/>
        <w:tab w:val="num" w:pos="248"/>
        <w:tab w:val="num" w:pos="360"/>
        <w:tab w:val="num" w:pos="926"/>
      </w:tabs>
      <w:ind w:left="0" w:firstLine="0"/>
    </w:pPr>
  </w:style>
  <w:style w:type="paragraph" w:customStyle="1" w:styleId="TableTextRed">
    <w:name w:val="Table Text + Red"/>
    <w:basedOn w:val="TableText0"/>
    <w:rsid w:val="00B949E1"/>
    <w:rPr>
      <w:b/>
      <w:color w:val="FF0000"/>
    </w:rPr>
  </w:style>
  <w:style w:type="paragraph" w:customStyle="1" w:styleId="BodyText1Red">
    <w:name w:val="Body Text 1 + Red"/>
    <w:basedOn w:val="BodyText1"/>
    <w:rsid w:val="00B949E1"/>
    <w:rPr>
      <w:b/>
      <w:color w:val="FF0000"/>
    </w:rPr>
  </w:style>
  <w:style w:type="paragraph" w:customStyle="1" w:styleId="TableText1">
    <w:name w:val="TableText"/>
    <w:basedOn w:val="Normal"/>
    <w:link w:val="TableTextChar1"/>
    <w:rsid w:val="00B949E1"/>
    <w:pPr>
      <w:tabs>
        <w:tab w:val="left" w:pos="1134"/>
        <w:tab w:val="left" w:pos="1701"/>
        <w:tab w:val="left" w:pos="2268"/>
        <w:tab w:val="left" w:pos="2835"/>
        <w:tab w:val="left" w:pos="3402"/>
      </w:tabs>
      <w:spacing w:before="40" w:after="40" w:line="240" w:lineRule="auto"/>
    </w:pPr>
    <w:rPr>
      <w:rFonts w:ascii="Arial" w:eastAsia="Times New Roman" w:hAnsi="Arial" w:cs="Times New Roman"/>
      <w:sz w:val="20"/>
      <w:szCs w:val="20"/>
    </w:rPr>
  </w:style>
  <w:style w:type="paragraph" w:customStyle="1" w:styleId="TableTextBold">
    <w:name w:val="Table Text + Bold"/>
    <w:basedOn w:val="Normal"/>
    <w:rsid w:val="00B949E1"/>
    <w:pPr>
      <w:numPr>
        <w:numId w:val="57"/>
      </w:numPr>
      <w:spacing w:before="120" w:after="120" w:line="240" w:lineRule="auto"/>
      <w:jc w:val="both"/>
    </w:pPr>
    <w:rPr>
      <w:rFonts w:ascii="Arial" w:eastAsia="Times New Roman" w:hAnsi="Arial" w:cs="Times New Roman"/>
      <w:b/>
      <w:sz w:val="20"/>
    </w:rPr>
  </w:style>
  <w:style w:type="character" w:customStyle="1" w:styleId="TableTextChar1">
    <w:name w:val="TableText Char"/>
    <w:basedOn w:val="DefaultParagraphFont"/>
    <w:link w:val="TableText1"/>
    <w:rsid w:val="00B949E1"/>
    <w:rPr>
      <w:rFonts w:ascii="Arial" w:eastAsia="Times New Roman" w:hAnsi="Arial" w:cs="Times New Roman"/>
      <w:sz w:val="20"/>
      <w:szCs w:val="20"/>
    </w:rPr>
  </w:style>
  <w:style w:type="table" w:customStyle="1" w:styleId="AcilAllenTable">
    <w:name w:val="Acil Allen Table"/>
    <w:basedOn w:val="TableNormal"/>
    <w:uiPriority w:val="99"/>
    <w:rsid w:val="00B949E1"/>
    <w:pPr>
      <w:spacing w:after="0" w:line="240" w:lineRule="atLeast"/>
    </w:pPr>
    <w:rPr>
      <w:rFonts w:ascii="HelveticaNeueLT Std Lt Cn" w:hAnsi="HelveticaNeueLT Std Lt Cn"/>
      <w:sz w:val="20"/>
      <w:lang w:val="en-US"/>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customStyle="1" w:styleId="Clause1">
    <w:name w:val="Clause1"/>
    <w:basedOn w:val="Heading2"/>
    <w:rsid w:val="00B949E1"/>
    <w:pPr>
      <w:keepLines w:val="0"/>
      <w:numPr>
        <w:ilvl w:val="0"/>
        <w:numId w:val="58"/>
      </w:numPr>
      <w:pBdr>
        <w:bottom w:val="single" w:sz="8" w:space="3" w:color="C0C0C0"/>
        <w:between w:val="none" w:sz="0" w:space="0" w:color="auto"/>
      </w:pBdr>
      <w:tabs>
        <w:tab w:val="left" w:pos="851"/>
      </w:tabs>
      <w:spacing w:after="120" w:line="240" w:lineRule="auto"/>
      <w:jc w:val="both"/>
    </w:pPr>
    <w:rPr>
      <w:rFonts w:ascii="Arial" w:eastAsia="Times New Roman" w:hAnsi="Arial" w:cs="Times New Roman"/>
      <w:color w:val="4F6228"/>
      <w:sz w:val="24"/>
      <w:szCs w:val="20"/>
    </w:rPr>
  </w:style>
  <w:style w:type="paragraph" w:customStyle="1" w:styleId="Clause2">
    <w:name w:val="Clause2"/>
    <w:basedOn w:val="Normal"/>
    <w:uiPriority w:val="99"/>
    <w:rsid w:val="00B949E1"/>
    <w:pPr>
      <w:keepNext/>
      <w:numPr>
        <w:ilvl w:val="1"/>
        <w:numId w:val="58"/>
      </w:numPr>
      <w:spacing w:before="120" w:after="120" w:line="240" w:lineRule="auto"/>
      <w:jc w:val="both"/>
    </w:pPr>
    <w:rPr>
      <w:rFonts w:ascii="Arial" w:eastAsia="Times New Roman" w:hAnsi="Arial" w:cs="Times New Roman"/>
      <w:b/>
      <w:color w:val="4F6228"/>
      <w:sz w:val="20"/>
      <w:szCs w:val="20"/>
    </w:rPr>
  </w:style>
  <w:style w:type="paragraph" w:customStyle="1" w:styleId="Clause4">
    <w:name w:val="Clause4"/>
    <w:basedOn w:val="Normal"/>
    <w:uiPriority w:val="99"/>
    <w:qFormat/>
    <w:rsid w:val="00B949E1"/>
    <w:pPr>
      <w:numPr>
        <w:ilvl w:val="4"/>
        <w:numId w:val="58"/>
      </w:numPr>
      <w:spacing w:before="120" w:after="120" w:line="240" w:lineRule="auto"/>
      <w:jc w:val="both"/>
    </w:pPr>
    <w:rPr>
      <w:rFonts w:ascii="Arial" w:eastAsia="Times New Roman" w:hAnsi="Arial" w:cs="Times New Roman"/>
      <w:sz w:val="20"/>
      <w:szCs w:val="20"/>
    </w:rPr>
  </w:style>
  <w:style w:type="paragraph" w:customStyle="1" w:styleId="Clause5">
    <w:name w:val="Clause5"/>
    <w:basedOn w:val="Normal"/>
    <w:uiPriority w:val="99"/>
    <w:rsid w:val="00B949E1"/>
    <w:pPr>
      <w:numPr>
        <w:ilvl w:val="5"/>
        <w:numId w:val="58"/>
      </w:numPr>
      <w:spacing w:before="120" w:after="120" w:line="240" w:lineRule="auto"/>
      <w:jc w:val="both"/>
    </w:pPr>
    <w:rPr>
      <w:rFonts w:ascii="Arial" w:eastAsia="Times New Roman" w:hAnsi="Arial" w:cs="Times New Roman"/>
      <w:sz w:val="20"/>
      <w:szCs w:val="20"/>
    </w:rPr>
  </w:style>
  <w:style w:type="paragraph" w:customStyle="1" w:styleId="ClauseNoFormat">
    <w:name w:val="ClauseNoFormat"/>
    <w:basedOn w:val="Normal"/>
    <w:qFormat/>
    <w:rsid w:val="00B949E1"/>
    <w:pPr>
      <w:numPr>
        <w:ilvl w:val="3"/>
        <w:numId w:val="58"/>
      </w:numPr>
      <w:spacing w:before="120" w:after="120" w:line="240" w:lineRule="auto"/>
      <w:jc w:val="both"/>
    </w:pPr>
    <w:rPr>
      <w:rFonts w:ascii="Arial" w:eastAsia="Times New Roman" w:hAnsi="Arial"/>
      <w:sz w:val="20"/>
      <w:szCs w:val="20"/>
    </w:rPr>
  </w:style>
  <w:style w:type="numbering" w:customStyle="1" w:styleId="ACILAllenTableListNumbering">
    <w:name w:val="ACIL Allen Table List Numbering"/>
    <w:uiPriority w:val="99"/>
    <w:rsid w:val="00B949E1"/>
    <w:pPr>
      <w:numPr>
        <w:numId w:val="59"/>
      </w:numPr>
    </w:pPr>
  </w:style>
  <w:style w:type="numbering" w:customStyle="1" w:styleId="BulletLists">
    <w:name w:val="Bullet Lists"/>
    <w:uiPriority w:val="99"/>
    <w:rsid w:val="00B949E1"/>
    <w:pPr>
      <w:numPr>
        <w:numId w:val="60"/>
      </w:numPr>
    </w:pPr>
  </w:style>
  <w:style w:type="paragraph" w:customStyle="1" w:styleId="MELegal1">
    <w:name w:val="ME Legal 1"/>
    <w:aliases w:val="l1"/>
    <w:basedOn w:val="Normal"/>
    <w:next w:val="Normal"/>
    <w:rsid w:val="00B949E1"/>
    <w:pPr>
      <w:keepNext/>
      <w:numPr>
        <w:numId w:val="61"/>
      </w:numPr>
      <w:spacing w:before="280" w:after="140"/>
      <w:outlineLvl w:val="0"/>
    </w:pPr>
    <w:rPr>
      <w:rFonts w:ascii="Arial" w:eastAsia="Times New Roman" w:hAnsi="Arial" w:cs="Angsana New"/>
      <w:spacing w:val="-10"/>
      <w:w w:val="95"/>
      <w:sz w:val="32"/>
      <w:szCs w:val="32"/>
      <w:lang w:eastAsia="zh-CN" w:bidi="th-TH"/>
    </w:rPr>
  </w:style>
  <w:style w:type="paragraph" w:customStyle="1" w:styleId="MELegal2">
    <w:name w:val="ME Legal 2"/>
    <w:aliases w:val="l2"/>
    <w:basedOn w:val="Normal"/>
    <w:next w:val="Normal"/>
    <w:rsid w:val="00B949E1"/>
    <w:pPr>
      <w:keepNext/>
      <w:numPr>
        <w:ilvl w:val="1"/>
        <w:numId w:val="61"/>
      </w:numPr>
      <w:spacing w:before="60" w:after="60"/>
      <w:outlineLvl w:val="1"/>
    </w:pPr>
    <w:rPr>
      <w:rFonts w:ascii="Arial" w:eastAsia="Times New Roman" w:hAnsi="Arial" w:cs="Angsana New"/>
      <w:b/>
      <w:bCs/>
      <w:w w:val="95"/>
      <w:sz w:val="24"/>
      <w:szCs w:val="24"/>
      <w:lang w:eastAsia="zh-CN" w:bidi="th-TH"/>
    </w:rPr>
  </w:style>
  <w:style w:type="paragraph" w:customStyle="1" w:styleId="MELegal3">
    <w:name w:val="ME Legal 3"/>
    <w:aliases w:val="l3"/>
    <w:basedOn w:val="Normal"/>
    <w:rsid w:val="00B949E1"/>
    <w:pPr>
      <w:numPr>
        <w:ilvl w:val="2"/>
        <w:numId w:val="61"/>
      </w:numPr>
      <w:spacing w:before="0" w:after="140"/>
      <w:outlineLvl w:val="2"/>
    </w:pPr>
    <w:rPr>
      <w:rFonts w:ascii="Times New Roman" w:eastAsia="Times New Roman" w:hAnsi="Times New Roman" w:cs="Angsana New"/>
      <w:lang w:eastAsia="zh-CN" w:bidi="th-TH"/>
    </w:rPr>
  </w:style>
  <w:style w:type="paragraph" w:customStyle="1" w:styleId="MELegal4">
    <w:name w:val="ME Legal 4"/>
    <w:aliases w:val="l4"/>
    <w:basedOn w:val="Normal"/>
    <w:rsid w:val="00B949E1"/>
    <w:pPr>
      <w:numPr>
        <w:ilvl w:val="3"/>
        <w:numId w:val="61"/>
      </w:numPr>
      <w:spacing w:before="0" w:after="140"/>
      <w:outlineLvl w:val="3"/>
    </w:pPr>
    <w:rPr>
      <w:rFonts w:ascii="Times New Roman" w:eastAsia="Times New Roman" w:hAnsi="Times New Roman" w:cs="Angsana New"/>
      <w:lang w:eastAsia="zh-CN" w:bidi="th-TH"/>
    </w:rPr>
  </w:style>
  <w:style w:type="paragraph" w:customStyle="1" w:styleId="MELegal5">
    <w:name w:val="ME Legal 5"/>
    <w:aliases w:val="l5"/>
    <w:basedOn w:val="Normal"/>
    <w:rsid w:val="00B949E1"/>
    <w:pPr>
      <w:numPr>
        <w:ilvl w:val="4"/>
        <w:numId w:val="61"/>
      </w:numPr>
      <w:tabs>
        <w:tab w:val="clear" w:pos="2722"/>
      </w:tabs>
      <w:spacing w:before="0" w:after="140"/>
      <w:outlineLvl w:val="4"/>
    </w:pPr>
    <w:rPr>
      <w:rFonts w:ascii="Times New Roman" w:eastAsia="Times New Roman" w:hAnsi="Times New Roman" w:cs="Angsana New"/>
      <w:lang w:eastAsia="zh-CN" w:bidi="th-TH"/>
    </w:rPr>
  </w:style>
  <w:style w:type="paragraph" w:customStyle="1" w:styleId="MELegal6">
    <w:name w:val="ME Legal 6"/>
    <w:basedOn w:val="Normal"/>
    <w:rsid w:val="00B949E1"/>
    <w:pPr>
      <w:numPr>
        <w:ilvl w:val="5"/>
        <w:numId w:val="61"/>
      </w:numPr>
      <w:tabs>
        <w:tab w:val="clear" w:pos="3402"/>
      </w:tabs>
      <w:spacing w:before="0" w:after="140"/>
      <w:outlineLvl w:val="5"/>
    </w:pPr>
    <w:rPr>
      <w:rFonts w:ascii="Times New Roman" w:eastAsia="Times New Roman" w:hAnsi="Times New Roman" w:cs="Angsana New"/>
      <w:lang w:eastAsia="zh-CN" w:bidi="th-TH"/>
    </w:rPr>
  </w:style>
  <w:style w:type="paragraph" w:customStyle="1" w:styleId="MEBasic1">
    <w:name w:val="ME Basic 1"/>
    <w:basedOn w:val="Normal"/>
    <w:link w:val="MEBasic1Char"/>
    <w:rsid w:val="00B949E1"/>
    <w:pPr>
      <w:numPr>
        <w:numId w:val="62"/>
      </w:numPr>
      <w:spacing w:before="0" w:after="140"/>
      <w:outlineLvl w:val="0"/>
    </w:pPr>
    <w:rPr>
      <w:rFonts w:ascii="Times New Roman" w:eastAsia="Times New Roman" w:hAnsi="Times New Roman" w:cs="Angsana New"/>
      <w:lang w:eastAsia="zh-CN" w:bidi="th-TH"/>
    </w:rPr>
  </w:style>
  <w:style w:type="paragraph" w:customStyle="1" w:styleId="MEBasic2">
    <w:name w:val="ME Basic 2"/>
    <w:basedOn w:val="Normal"/>
    <w:rsid w:val="00B949E1"/>
    <w:pPr>
      <w:numPr>
        <w:ilvl w:val="1"/>
        <w:numId w:val="62"/>
      </w:numPr>
      <w:spacing w:before="0" w:after="140"/>
      <w:outlineLvl w:val="1"/>
    </w:pPr>
    <w:rPr>
      <w:rFonts w:ascii="Times New Roman" w:eastAsia="Times New Roman" w:hAnsi="Times New Roman" w:cs="Angsana New"/>
      <w:lang w:eastAsia="zh-CN" w:bidi="th-TH"/>
    </w:rPr>
  </w:style>
  <w:style w:type="paragraph" w:customStyle="1" w:styleId="MEBasic3">
    <w:name w:val="ME Basic 3"/>
    <w:basedOn w:val="Normal"/>
    <w:rsid w:val="00B949E1"/>
    <w:pPr>
      <w:numPr>
        <w:ilvl w:val="2"/>
        <w:numId w:val="62"/>
      </w:numPr>
      <w:spacing w:before="0" w:after="140"/>
      <w:outlineLvl w:val="2"/>
    </w:pPr>
    <w:rPr>
      <w:rFonts w:ascii="Times New Roman" w:eastAsia="Times New Roman" w:hAnsi="Times New Roman" w:cs="Angsana New"/>
      <w:lang w:eastAsia="zh-CN" w:bidi="th-TH"/>
    </w:rPr>
  </w:style>
  <w:style w:type="paragraph" w:customStyle="1" w:styleId="MEBasic4">
    <w:name w:val="ME Basic 4"/>
    <w:basedOn w:val="Normal"/>
    <w:rsid w:val="00B949E1"/>
    <w:pPr>
      <w:numPr>
        <w:ilvl w:val="3"/>
        <w:numId w:val="62"/>
      </w:numPr>
      <w:spacing w:before="0" w:after="140"/>
      <w:outlineLvl w:val="3"/>
    </w:pPr>
    <w:rPr>
      <w:rFonts w:ascii="Times New Roman" w:eastAsia="Times New Roman" w:hAnsi="Times New Roman" w:cs="Angsana New"/>
      <w:lang w:eastAsia="zh-CN" w:bidi="th-TH"/>
    </w:rPr>
  </w:style>
  <w:style w:type="paragraph" w:customStyle="1" w:styleId="MEBasic5">
    <w:name w:val="ME Basic 5"/>
    <w:basedOn w:val="Normal"/>
    <w:rsid w:val="00B949E1"/>
    <w:pPr>
      <w:numPr>
        <w:ilvl w:val="4"/>
        <w:numId w:val="62"/>
      </w:numPr>
      <w:spacing w:before="0" w:after="140"/>
      <w:outlineLvl w:val="4"/>
    </w:pPr>
    <w:rPr>
      <w:rFonts w:ascii="Times New Roman" w:eastAsia="Times New Roman" w:hAnsi="Times New Roman" w:cs="Angsana New"/>
      <w:lang w:eastAsia="zh-CN" w:bidi="th-TH"/>
    </w:rPr>
  </w:style>
  <w:style w:type="paragraph" w:customStyle="1" w:styleId="MENoIndent1">
    <w:name w:val="ME NoIndent 1"/>
    <w:basedOn w:val="Normal"/>
    <w:next w:val="Normal"/>
    <w:rsid w:val="00B949E1"/>
    <w:pPr>
      <w:numPr>
        <w:numId w:val="63"/>
      </w:numPr>
      <w:spacing w:before="0" w:after="0" w:line="240" w:lineRule="auto"/>
    </w:pPr>
    <w:rPr>
      <w:rFonts w:ascii="Times New Roman" w:eastAsia="Times New Roman" w:hAnsi="Times New Roman" w:cs="Times New Roman"/>
      <w:sz w:val="24"/>
      <w:szCs w:val="20"/>
      <w:lang w:eastAsia="en-AU"/>
    </w:rPr>
  </w:style>
  <w:style w:type="character" w:customStyle="1" w:styleId="MEBasic1Char">
    <w:name w:val="ME Basic 1 Char"/>
    <w:link w:val="MEBasic1"/>
    <w:rsid w:val="00B949E1"/>
    <w:rPr>
      <w:rFonts w:ascii="Times New Roman" w:eastAsia="Times New Roman" w:hAnsi="Times New Roman" w:cs="Angsana New"/>
      <w:lang w:eastAsia="zh-CN" w:bidi="th-TH"/>
    </w:rPr>
  </w:style>
  <w:style w:type="paragraph" w:customStyle="1" w:styleId="LegalBodyText1">
    <w:name w:val="Legal Body Text 1"/>
    <w:basedOn w:val="BodyText"/>
    <w:qFormat/>
    <w:rsid w:val="00B949E1"/>
    <w:pPr>
      <w:spacing w:before="120" w:after="120" w:line="240" w:lineRule="auto"/>
    </w:pPr>
    <w:rPr>
      <w:rFonts w:ascii="Arial" w:eastAsia="Calibri" w:hAnsi="Arial"/>
    </w:rPr>
  </w:style>
  <w:style w:type="paragraph" w:customStyle="1" w:styleId="LegalHeading3">
    <w:name w:val="Legal Heading 3"/>
    <w:basedOn w:val="Normal"/>
    <w:next w:val="Normal"/>
    <w:qFormat/>
    <w:rsid w:val="00B949E1"/>
    <w:pPr>
      <w:keepNext/>
      <w:keepLines/>
      <w:pBdr>
        <w:bottom w:val="single" w:sz="4" w:space="1" w:color="auto"/>
      </w:pBdr>
      <w:spacing w:before="200" w:after="0" w:line="240" w:lineRule="auto"/>
      <w:outlineLvl w:val="2"/>
    </w:pPr>
    <w:rPr>
      <w:rFonts w:ascii="Arial" w:eastAsia="Times New Roman" w:hAnsi="Arial"/>
      <w:bCs/>
      <w:sz w:val="42"/>
      <w:szCs w:val="42"/>
    </w:rPr>
  </w:style>
  <w:style w:type="paragraph" w:customStyle="1" w:styleId="tabletext2">
    <w:name w:val="table text"/>
    <w:basedOn w:val="Normal"/>
    <w:rsid w:val="00B949E1"/>
    <w:pPr>
      <w:tabs>
        <w:tab w:val="left" w:pos="720"/>
      </w:tabs>
      <w:spacing w:before="40" w:after="40"/>
      <w:ind w:left="1134"/>
    </w:pPr>
    <w:rPr>
      <w:rFonts w:eastAsia="Times New Roman" w:cs="Arial Narrow"/>
    </w:rPr>
  </w:style>
  <w:style w:type="paragraph" w:customStyle="1" w:styleId="LegalBodyText3">
    <w:name w:val="Legal Body Text 3"/>
    <w:basedOn w:val="LegalBodyText2"/>
    <w:qFormat/>
    <w:rsid w:val="00B949E1"/>
    <w:pPr>
      <w:tabs>
        <w:tab w:val="clear" w:pos="851"/>
        <w:tab w:val="left" w:pos="1418"/>
      </w:tabs>
      <w:ind w:left="1418"/>
    </w:pPr>
  </w:style>
  <w:style w:type="paragraph" w:customStyle="1" w:styleId="LegalScheduleLevel6">
    <w:name w:val="Legal Schedule Level 6"/>
    <w:basedOn w:val="LegalClauseLevel5"/>
    <w:qFormat/>
    <w:rsid w:val="00B949E1"/>
    <w:pPr>
      <w:numPr>
        <w:ilvl w:val="7"/>
      </w:numPr>
    </w:pPr>
  </w:style>
  <w:style w:type="paragraph" w:customStyle="1" w:styleId="LegalBodyText2">
    <w:name w:val="Legal Body Text 2"/>
    <w:basedOn w:val="LegalBodyText1"/>
    <w:qFormat/>
    <w:rsid w:val="00B949E1"/>
    <w:pPr>
      <w:tabs>
        <w:tab w:val="left" w:pos="851"/>
      </w:tabs>
      <w:ind w:left="851"/>
    </w:pPr>
  </w:style>
  <w:style w:type="paragraph" w:customStyle="1" w:styleId="LegalClauseLevel4">
    <w:name w:val="Legal Clause Level 4"/>
    <w:basedOn w:val="Normal"/>
    <w:qFormat/>
    <w:rsid w:val="00B949E1"/>
    <w:pPr>
      <w:spacing w:before="0" w:after="140"/>
      <w:outlineLvl w:val="3"/>
    </w:pPr>
    <w:rPr>
      <w:rFonts w:ascii="Arial" w:eastAsia="Times New Roman" w:hAnsi="Arial"/>
      <w:lang w:eastAsia="zh-CN" w:bidi="th-TH"/>
    </w:rPr>
  </w:style>
  <w:style w:type="paragraph" w:customStyle="1" w:styleId="LegalClauseLevel5">
    <w:name w:val="Legal Clause Level 5"/>
    <w:basedOn w:val="Normal"/>
    <w:qFormat/>
    <w:rsid w:val="00B949E1"/>
    <w:pPr>
      <w:numPr>
        <w:ilvl w:val="4"/>
        <w:numId w:val="65"/>
      </w:numPr>
      <w:spacing w:before="0" w:after="140"/>
      <w:outlineLvl w:val="4"/>
    </w:pPr>
    <w:rPr>
      <w:rFonts w:ascii="Arial" w:eastAsia="Times New Roman" w:hAnsi="Arial"/>
      <w:lang w:eastAsia="zh-CN" w:bidi="th-TH"/>
    </w:rPr>
  </w:style>
  <w:style w:type="paragraph" w:customStyle="1" w:styleId="LegalHeading2subtitle">
    <w:name w:val="Legal Heading 2 subtitle"/>
    <w:basedOn w:val="Normal"/>
    <w:next w:val="LegalBodyText1"/>
    <w:qFormat/>
    <w:rsid w:val="00B949E1"/>
    <w:pPr>
      <w:pBdr>
        <w:bottom w:val="single" w:sz="4" w:space="1" w:color="auto"/>
      </w:pBdr>
      <w:spacing w:before="240" w:after="240" w:line="240" w:lineRule="auto"/>
    </w:pPr>
    <w:rPr>
      <w:rFonts w:ascii="Arial" w:eastAsia="Times New Roman" w:hAnsi="Arial"/>
      <w:spacing w:val="5"/>
      <w:kern w:val="28"/>
      <w:sz w:val="36"/>
      <w:szCs w:val="36"/>
    </w:rPr>
  </w:style>
  <w:style w:type="paragraph" w:customStyle="1" w:styleId="LegalNote">
    <w:name w:val="Legal Note"/>
    <w:basedOn w:val="Normal"/>
    <w:qFormat/>
    <w:rsid w:val="00B949E1"/>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rPr>
  </w:style>
  <w:style w:type="paragraph" w:customStyle="1" w:styleId="LegalScheduleLevel1">
    <w:name w:val="Legal Schedule Level 1"/>
    <w:basedOn w:val="Normal"/>
    <w:qFormat/>
    <w:rsid w:val="00B949E1"/>
    <w:pPr>
      <w:numPr>
        <w:numId w:val="64"/>
      </w:numPr>
      <w:spacing w:before="240" w:after="240" w:line="240" w:lineRule="auto"/>
    </w:pPr>
    <w:rPr>
      <w:rFonts w:ascii="Arial" w:eastAsia="Calibri" w:hAnsi="Arial"/>
      <w:b/>
      <w:sz w:val="32"/>
      <w:szCs w:val="32"/>
    </w:rPr>
  </w:style>
  <w:style w:type="paragraph" w:customStyle="1" w:styleId="LegalScheduleLevel2">
    <w:name w:val="Legal Schedule Level 2"/>
    <w:basedOn w:val="Normal"/>
    <w:qFormat/>
    <w:rsid w:val="00B949E1"/>
    <w:pPr>
      <w:keepNext/>
      <w:keepLines/>
      <w:numPr>
        <w:ilvl w:val="1"/>
        <w:numId w:val="64"/>
      </w:numPr>
      <w:spacing w:before="60" w:after="60" w:line="280" w:lineRule="exact"/>
      <w:outlineLvl w:val="2"/>
    </w:pPr>
    <w:rPr>
      <w:rFonts w:ascii="Arial" w:eastAsia="Times New Roman" w:hAnsi="Arial"/>
      <w:b/>
      <w:bCs/>
      <w:w w:val="95"/>
      <w:sz w:val="24"/>
      <w:szCs w:val="24"/>
      <w:lang w:eastAsia="zh-CN" w:bidi="th-TH"/>
    </w:rPr>
  </w:style>
  <w:style w:type="paragraph" w:customStyle="1" w:styleId="LegalScheduleLevel4">
    <w:name w:val="Legal Schedule Level 4"/>
    <w:basedOn w:val="LegalClauseLevel4"/>
    <w:qFormat/>
    <w:rsid w:val="00B949E1"/>
    <w:pPr>
      <w:numPr>
        <w:ilvl w:val="3"/>
        <w:numId w:val="64"/>
      </w:numPr>
      <w:tabs>
        <w:tab w:val="clear" w:pos="1560"/>
        <w:tab w:val="num" w:pos="1985"/>
      </w:tabs>
      <w:ind w:left="1985"/>
    </w:pPr>
  </w:style>
  <w:style w:type="paragraph" w:customStyle="1" w:styleId="LegalScheduleLevel5">
    <w:name w:val="Legal Schedule Level 5"/>
    <w:basedOn w:val="LegalClauseLevel5"/>
    <w:qFormat/>
    <w:rsid w:val="00B949E1"/>
    <w:pPr>
      <w:numPr>
        <w:numId w:val="64"/>
      </w:numPr>
    </w:pPr>
  </w:style>
  <w:style w:type="paragraph" w:customStyle="1" w:styleId="PlainParagraph">
    <w:name w:val="Plain Paragraph"/>
    <w:aliases w:val="PP"/>
    <w:basedOn w:val="Normal"/>
    <w:link w:val="PlainParagraphChar"/>
    <w:uiPriority w:val="4"/>
    <w:qFormat/>
    <w:rsid w:val="00B949E1"/>
    <w:pPr>
      <w:spacing w:before="140" w:after="140"/>
      <w:ind w:left="1134"/>
    </w:pPr>
    <w:rPr>
      <w:rFonts w:ascii="Arial" w:eastAsia="Times New Roman" w:hAnsi="Arial"/>
      <w:lang w:eastAsia="en-AU"/>
    </w:rPr>
  </w:style>
  <w:style w:type="character" w:customStyle="1" w:styleId="zDPDocumentType">
    <w:name w:val="zDP Document Type"/>
    <w:semiHidden/>
    <w:rsid w:val="00B949E1"/>
  </w:style>
  <w:style w:type="character" w:customStyle="1" w:styleId="PlainParagraphChar">
    <w:name w:val="Plain Paragraph Char"/>
    <w:aliases w:val="PP Char"/>
    <w:basedOn w:val="DefaultParagraphFont"/>
    <w:link w:val="PlainParagraph"/>
    <w:uiPriority w:val="4"/>
    <w:locked/>
    <w:rsid w:val="00B949E1"/>
    <w:rPr>
      <w:rFonts w:ascii="Arial" w:eastAsia="Times New Roman" w:hAnsi="Arial" w:cs="Arial"/>
      <w:lang w:eastAsia="en-AU"/>
    </w:rPr>
  </w:style>
  <w:style w:type="paragraph" w:customStyle="1" w:styleId="LegalScheduleLevel3">
    <w:name w:val="Legal Schedule Level 3"/>
    <w:basedOn w:val="Normal"/>
    <w:qFormat/>
    <w:rsid w:val="00B949E1"/>
    <w:pPr>
      <w:tabs>
        <w:tab w:val="num" w:pos="851"/>
      </w:tabs>
      <w:spacing w:before="0" w:after="140"/>
      <w:ind w:left="851" w:hanging="851"/>
      <w:outlineLvl w:val="3"/>
    </w:pPr>
    <w:rPr>
      <w:rFonts w:ascii="Arial" w:eastAsia="Times New Roman" w:hAnsi="Arial"/>
      <w:lang w:eastAsia="zh-CN" w:bidi="th-TH"/>
    </w:rPr>
  </w:style>
  <w:style w:type="paragraph" w:customStyle="1" w:styleId="LegalParties">
    <w:name w:val="Legal Parties"/>
    <w:basedOn w:val="LegalScheduleLevel1"/>
    <w:qFormat/>
    <w:rsid w:val="00B949E1"/>
    <w:pPr>
      <w:numPr>
        <w:numId w:val="66"/>
      </w:numPr>
      <w:tabs>
        <w:tab w:val="left" w:pos="851"/>
      </w:tabs>
      <w:spacing w:before="120" w:after="120"/>
    </w:pPr>
    <w:rPr>
      <w:b w:val="0"/>
      <w:sz w:val="22"/>
    </w:rPr>
  </w:style>
  <w:style w:type="paragraph" w:customStyle="1" w:styleId="LegalCoverPageNames">
    <w:name w:val="Legal Cover Page Names"/>
    <w:basedOn w:val="Normal"/>
    <w:qFormat/>
    <w:rsid w:val="00B949E1"/>
    <w:pPr>
      <w:spacing w:before="240" w:after="120" w:line="240" w:lineRule="auto"/>
    </w:pPr>
    <w:rPr>
      <w:rFonts w:ascii="Arial" w:eastAsia="Times New Roman" w:hAnsi="Arial" w:cs="Angsana New"/>
      <w:sz w:val="28"/>
      <w:szCs w:val="28"/>
      <w:lang w:eastAsia="zh-CN" w:bidi="th-TH"/>
    </w:rPr>
  </w:style>
  <w:style w:type="paragraph" w:customStyle="1" w:styleId="LegalDefinition">
    <w:name w:val="Legal Definition"/>
    <w:basedOn w:val="Normal"/>
    <w:qFormat/>
    <w:rsid w:val="00B949E1"/>
    <w:pPr>
      <w:spacing w:before="0" w:after="140"/>
    </w:pPr>
    <w:rPr>
      <w:rFonts w:ascii="Arial" w:eastAsia="Times New Roman" w:hAnsi="Arial"/>
      <w:lang w:eastAsia="zh-CN" w:bidi="th-TH"/>
    </w:rPr>
  </w:style>
  <w:style w:type="paragraph" w:customStyle="1" w:styleId="LegalHeading4subheading">
    <w:name w:val="Legal Heading 4 subheading"/>
    <w:basedOn w:val="LegalHeading2subtitle"/>
    <w:qFormat/>
    <w:rsid w:val="00B949E1"/>
    <w:pPr>
      <w:pBdr>
        <w:bottom w:val="none" w:sz="0" w:space="0" w:color="auto"/>
      </w:pBdr>
    </w:pPr>
  </w:style>
  <w:style w:type="paragraph" w:customStyle="1" w:styleId="LegalDefinedterm">
    <w:name w:val="Legal Defined term"/>
    <w:basedOn w:val="Normal"/>
    <w:qFormat/>
    <w:rsid w:val="00B949E1"/>
    <w:pPr>
      <w:spacing w:before="0" w:after="140"/>
    </w:pPr>
    <w:rPr>
      <w:rFonts w:ascii="Arial Bold" w:eastAsia="Times New Roman" w:hAnsi="Arial Bold"/>
      <w:b/>
      <w:lang w:eastAsia="zh-CN" w:bidi="th-TH"/>
    </w:rPr>
  </w:style>
  <w:style w:type="paragraph" w:customStyle="1" w:styleId="3Address">
    <w:name w:val="3. Address"/>
    <w:basedOn w:val="PlainParagraph"/>
    <w:semiHidden/>
    <w:rsid w:val="00B949E1"/>
    <w:pPr>
      <w:keepLines/>
      <w:widowControl w:val="0"/>
      <w:spacing w:before="0" w:after="0"/>
    </w:pPr>
  </w:style>
  <w:style w:type="paragraph" w:customStyle="1" w:styleId="Text">
    <w:name w:val="Text"/>
    <w:basedOn w:val="Normal"/>
    <w:rsid w:val="00B949E1"/>
    <w:pPr>
      <w:keepLines/>
      <w:spacing w:before="0" w:after="180" w:line="270" w:lineRule="exact"/>
      <w:jc w:val="both"/>
    </w:pPr>
    <w:rPr>
      <w:rFonts w:ascii="Times New Roman" w:eastAsia="Times New Roman" w:hAnsi="Times New Roman" w:cs="Times New Roman"/>
      <w:szCs w:val="20"/>
    </w:rPr>
  </w:style>
  <w:style w:type="paragraph" w:customStyle="1" w:styleId="TextDotPoint">
    <w:name w:val="Text Dot Point"/>
    <w:basedOn w:val="Text"/>
    <w:rsid w:val="00B949E1"/>
    <w:pPr>
      <w:numPr>
        <w:numId w:val="67"/>
      </w:numPr>
      <w:spacing w:after="160"/>
    </w:pPr>
  </w:style>
  <w:style w:type="paragraph" w:customStyle="1" w:styleId="TextDashPoint">
    <w:name w:val="Text Dash Point"/>
    <w:basedOn w:val="Normal"/>
    <w:rsid w:val="00B949E1"/>
    <w:pPr>
      <w:numPr>
        <w:numId w:val="68"/>
      </w:numPr>
      <w:spacing w:before="0" w:after="160" w:line="270" w:lineRule="exact"/>
      <w:ind w:left="714" w:hanging="357"/>
      <w:jc w:val="both"/>
    </w:pPr>
    <w:rPr>
      <w:rFonts w:ascii="Times New Roman" w:eastAsia="Times New Roman" w:hAnsi="Times New Roman" w:cs="Times New Roman"/>
      <w:szCs w:val="20"/>
    </w:rPr>
  </w:style>
  <w:style w:type="paragraph" w:customStyle="1" w:styleId="gmail-m-2319938656659536270msolistparagraph">
    <w:name w:val="gmail-m_-2319938656659536270msolistparagraph"/>
    <w:basedOn w:val="Normal"/>
    <w:rsid w:val="00B949E1"/>
    <w:pPr>
      <w:spacing w:before="100" w:beforeAutospacing="1" w:after="100" w:afterAutospacing="1" w:line="240" w:lineRule="auto"/>
    </w:pPr>
    <w:rPr>
      <w:rFonts w:ascii="Calibri" w:hAnsi="Calibri" w:cs="Calibri"/>
      <w:lang w:eastAsia="en-AU"/>
    </w:rPr>
  </w:style>
  <w:style w:type="character" w:customStyle="1" w:styleId="cf01">
    <w:name w:val="cf01"/>
    <w:basedOn w:val="DefaultParagraphFont"/>
    <w:rsid w:val="00B949E1"/>
    <w:rPr>
      <w:rFonts w:ascii="Segoe UI" w:hAnsi="Segoe UI" w:cs="Segoe UI" w:hint="default"/>
      <w:sz w:val="18"/>
      <w:szCs w:val="18"/>
    </w:rPr>
  </w:style>
  <w:style w:type="character" w:customStyle="1" w:styleId="A4">
    <w:name w:val="A4"/>
    <w:uiPriority w:val="99"/>
    <w:rsid w:val="00B949E1"/>
    <w:rPr>
      <w:rFonts w:cs="Raleway"/>
      <w:color w:val="000000"/>
      <w:sz w:val="20"/>
      <w:szCs w:val="20"/>
    </w:rPr>
  </w:style>
  <w:style w:type="paragraph" w:customStyle="1" w:styleId="pf0">
    <w:name w:val="pf0"/>
    <w:basedOn w:val="Normal"/>
    <w:rsid w:val="00B949E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49.xml"/><Relationship Id="rId21" Type="http://schemas.openxmlformats.org/officeDocument/2006/relationships/header" Target="header6.xml"/><Relationship Id="rId42" Type="http://schemas.openxmlformats.org/officeDocument/2006/relationships/image" Target="media/image4.png"/><Relationship Id="rId47" Type="http://schemas.openxmlformats.org/officeDocument/2006/relationships/footer" Target="footer19.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footer" Target="footer36.xml"/><Relationship Id="rId89" Type="http://schemas.openxmlformats.org/officeDocument/2006/relationships/image" Target="media/image7.png"/><Relationship Id="rId112" Type="http://schemas.openxmlformats.org/officeDocument/2006/relationships/header" Target="header47.xml"/><Relationship Id="rId16" Type="http://schemas.openxmlformats.org/officeDocument/2006/relationships/footer" Target="footer5.xml"/><Relationship Id="rId107" Type="http://schemas.openxmlformats.org/officeDocument/2006/relationships/footer" Target="footer45.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footer" Target="footer22.xml"/><Relationship Id="rId58" Type="http://schemas.openxmlformats.org/officeDocument/2006/relationships/footer" Target="footer24.xml"/><Relationship Id="rId74" Type="http://schemas.openxmlformats.org/officeDocument/2006/relationships/chart" Target="charts/chart1.xml"/><Relationship Id="rId79" Type="http://schemas.openxmlformats.org/officeDocument/2006/relationships/footer" Target="footer34.xml"/><Relationship Id="rId102" Type="http://schemas.openxmlformats.org/officeDocument/2006/relationships/footer" Target="footer43.xm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png"/><Relationship Id="rId95" Type="http://schemas.openxmlformats.org/officeDocument/2006/relationships/header" Target="header39.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image" Target="media/image5.png"/><Relationship Id="rId48" Type="http://schemas.openxmlformats.org/officeDocument/2006/relationships/header" Target="header18.xml"/><Relationship Id="rId64" Type="http://schemas.openxmlformats.org/officeDocument/2006/relationships/footer" Target="footer27.xml"/><Relationship Id="rId69" Type="http://schemas.openxmlformats.org/officeDocument/2006/relationships/header" Target="header29.xml"/><Relationship Id="rId113" Type="http://schemas.openxmlformats.org/officeDocument/2006/relationships/footer" Target="footer48.xml"/><Relationship Id="rId118" Type="http://schemas.openxmlformats.org/officeDocument/2006/relationships/header" Target="header50.xml"/><Relationship Id="rId80" Type="http://schemas.openxmlformats.org/officeDocument/2006/relationships/header" Target="header33.xml"/><Relationship Id="rId85" Type="http://schemas.openxmlformats.org/officeDocument/2006/relationships/footer" Target="footer37.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2.xml"/><Relationship Id="rId108" Type="http://schemas.openxmlformats.org/officeDocument/2006/relationships/footer" Target="footer46.xml"/><Relationship Id="rId124" Type="http://schemas.openxmlformats.org/officeDocument/2006/relationships/glossaryDocument" Target="glossary/document.xml"/><Relationship Id="rId54" Type="http://schemas.openxmlformats.org/officeDocument/2006/relationships/header" Target="header21.xml"/><Relationship Id="rId70" Type="http://schemas.openxmlformats.org/officeDocument/2006/relationships/footer" Target="footer30.xml"/><Relationship Id="rId75" Type="http://schemas.openxmlformats.org/officeDocument/2006/relationships/chart" Target="charts/chart2.xml"/><Relationship Id="rId91" Type="http://schemas.openxmlformats.org/officeDocument/2006/relationships/header" Target="header37.xml"/><Relationship Id="rId96"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header" Target="header9.xml"/><Relationship Id="rId49" Type="http://schemas.openxmlformats.org/officeDocument/2006/relationships/footer" Target="footer20.xml"/><Relationship Id="rId114" Type="http://schemas.openxmlformats.org/officeDocument/2006/relationships/footer" Target="footer49.xml"/><Relationship Id="rId119" Type="http://schemas.openxmlformats.org/officeDocument/2006/relationships/footer" Target="footer51.xml"/><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8.xml"/><Relationship Id="rId81" Type="http://schemas.openxmlformats.org/officeDocument/2006/relationships/footer" Target="footer35.xml"/><Relationship Id="rId86" Type="http://schemas.openxmlformats.org/officeDocument/2006/relationships/header" Target="header36.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6.xm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3.xml"/><Relationship Id="rId76" Type="http://schemas.openxmlformats.org/officeDocument/2006/relationships/header" Target="header31.xml"/><Relationship Id="rId97" Type="http://schemas.openxmlformats.org/officeDocument/2006/relationships/chart" Target="charts/chart3.xml"/><Relationship Id="rId104" Type="http://schemas.openxmlformats.org/officeDocument/2006/relationships/footer" Target="footer44.xml"/><Relationship Id="rId120" Type="http://schemas.openxmlformats.org/officeDocument/2006/relationships/footer" Target="footer52.xm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31.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8.xml"/><Relationship Id="rId110" Type="http://schemas.openxmlformats.org/officeDocument/2006/relationships/footer" Target="footer47.xml"/><Relationship Id="rId115" Type="http://schemas.openxmlformats.org/officeDocument/2006/relationships/header" Target="header48.xml"/><Relationship Id="rId61" Type="http://schemas.openxmlformats.org/officeDocument/2006/relationships/footer" Target="footer26.xml"/><Relationship Id="rId82" Type="http://schemas.openxmlformats.org/officeDocument/2006/relationships/header" Target="header34.xml"/><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header" Target="header10.xml"/><Relationship Id="rId35" Type="http://schemas.openxmlformats.org/officeDocument/2006/relationships/footer" Target="footer14.xml"/><Relationship Id="rId56" Type="http://schemas.openxmlformats.org/officeDocument/2006/relationships/header" Target="header22.xml"/><Relationship Id="rId77" Type="http://schemas.openxmlformats.org/officeDocument/2006/relationships/header" Target="header32.xml"/><Relationship Id="rId100" Type="http://schemas.openxmlformats.org/officeDocument/2006/relationships/header" Target="header41.xml"/><Relationship Id="rId105" Type="http://schemas.openxmlformats.org/officeDocument/2006/relationships/header" Target="header43.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footer" Target="footer39.xml"/><Relationship Id="rId98" Type="http://schemas.openxmlformats.org/officeDocument/2006/relationships/chart" Target="charts/chart4.xml"/><Relationship Id="rId121" Type="http://schemas.openxmlformats.org/officeDocument/2006/relationships/header" Target="header51.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8.xml"/><Relationship Id="rId67" Type="http://schemas.openxmlformats.org/officeDocument/2006/relationships/footer" Target="footer29.xml"/><Relationship Id="rId116" Type="http://schemas.openxmlformats.org/officeDocument/2006/relationships/footer" Target="footer50.xml"/><Relationship Id="rId20" Type="http://schemas.openxmlformats.org/officeDocument/2006/relationships/footer" Target="footer7.xml"/><Relationship Id="rId41" Type="http://schemas.openxmlformats.org/officeDocument/2006/relationships/footer" Target="footer17.xml"/><Relationship Id="rId62" Type="http://schemas.openxmlformats.org/officeDocument/2006/relationships/header" Target="header25.xml"/><Relationship Id="rId83" Type="http://schemas.openxmlformats.org/officeDocument/2006/relationships/header" Target="header35.xml"/><Relationship Id="rId88" Type="http://schemas.openxmlformats.org/officeDocument/2006/relationships/image" Target="media/image6.png"/><Relationship Id="rId111" Type="http://schemas.openxmlformats.org/officeDocument/2006/relationships/header" Target="header46.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header" Target="header44.xml"/><Relationship Id="rId10" Type="http://schemas.openxmlformats.org/officeDocument/2006/relationships/image" Target="media/image2.png"/><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footer" Target="footer32.xml"/><Relationship Id="rId78" Type="http://schemas.openxmlformats.org/officeDocument/2006/relationships/footer" Target="footer33.xml"/><Relationship Id="rId94" Type="http://schemas.openxmlformats.org/officeDocument/2006/relationships/footer" Target="footer40.xml"/><Relationship Id="rId99" Type="http://schemas.openxmlformats.org/officeDocument/2006/relationships/header" Target="header40.xml"/><Relationship Id="rId101" Type="http://schemas.openxmlformats.org/officeDocument/2006/relationships/footer" Target="footer42.xml"/><Relationship Id="rId122" Type="http://schemas.openxmlformats.org/officeDocument/2006/relationships/footer" Target="footer53.xml"/><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oceanliteracy.unesco.org/plastic-pollution-ocean/" TargetMode="External"/><Relationship Id="rId18" Type="http://schemas.openxmlformats.org/officeDocument/2006/relationships/hyperlink" Target="https://www.epa.gov/lmop/basic-information-about-landfill-gas" TargetMode="External"/><Relationship Id="rId26" Type="http://schemas.openxmlformats.org/officeDocument/2006/relationships/hyperlink" Target="https://www.epa.nsw.gov.au/-/media/epa/corporate-site/resources/litter/willingness-to-pay-reduced-litter-illegal-dumping-cie-final-report.pdf" TargetMode="External"/><Relationship Id="rId3" Type="http://schemas.openxmlformats.org/officeDocument/2006/relationships/hyperlink" Target="https://www.dcceew.gov.au/environment/protection/waste/plastics-and-packaging/plastic-microbeads" TargetMode="External"/><Relationship Id="rId21" Type="http://schemas.openxmlformats.org/officeDocument/2006/relationships/hyperlink" Target="https://oceanliteracy.unesco.org/plastic-pollution-ocean/" TargetMode="External"/><Relationship Id="rId34" Type="http://schemas.openxmlformats.org/officeDocument/2006/relationships/hyperlink" Target="https://www.epa.nsw.gov.au/your-environment/waste/reducing-your-household-waste/what-are-microbeads" TargetMode="External"/><Relationship Id="rId7" Type="http://schemas.openxmlformats.org/officeDocument/2006/relationships/hyperlink" Target="https://www.theguardian.com/us-news/2020/feb/18/are-plastic-containers-safe-to-use-food-experts" TargetMode="External"/><Relationship Id="rId12" Type="http://schemas.openxmlformats.org/officeDocument/2006/relationships/hyperlink" Target="https://www.dcceew.gov.au/environment/protection/waste/publications/national-plastics-plan-summary" TargetMode="External"/><Relationship Id="rId17" Type="http://schemas.openxmlformats.org/officeDocument/2006/relationships/hyperlink" Target="https://www.unep.org/news-and-stories/story/plastic-planet-how-tiny-plastic-particles-are-polluting-our-soil" TargetMode="External"/><Relationship Id="rId25" Type="http://schemas.openxmlformats.org/officeDocument/2006/relationships/hyperlink" Target="http://www.nepc.gov.au/system/files/resources/0c513e54-d968-ac04-758b-3b7613af0d07/files/bevcon-rpt-pwc-wtp-packaging-final-report-201007-0.pdf" TargetMode="External"/><Relationship Id="rId33" Type="http://schemas.openxmlformats.org/officeDocument/2006/relationships/hyperlink" Target="https://www.dcceew.gov.au/environment/protection/waste/publications/assessment-presence-microbeads-pccc" TargetMode="External"/><Relationship Id="rId2" Type="http://schemas.openxmlformats.org/officeDocument/2006/relationships/hyperlink" Target="https://www.cityservices.act.gov.au/__data/assets/pdf_file/0005/1458599/SUP_NextStepsPolicy_2021_05-DIGITAL.pdf" TargetMode="External"/><Relationship Id="rId16" Type="http://schemas.openxmlformats.org/officeDocument/2006/relationships/hyperlink" Target="https://wwf.panda.org/wwf_news/press_releases/?4959466/Ocean-plastic-pollution-to-quadruple-by-2050-pushing-more-areas-to-exceed-ecologically-dangerous-threshold-of-microplastic-concentration" TargetMode="External"/><Relationship Id="rId20" Type="http://schemas.openxmlformats.org/officeDocument/2006/relationships/hyperlink" Target="https://www.wwf.org.au/news/news/2019/revealed-plastic-ingestion-by-people-could-be-equating-to-a-credit-card-a-week" TargetMode="External"/><Relationship Id="rId29" Type="http://schemas.openxmlformats.org/officeDocument/2006/relationships/hyperlink" Target="https://www.epa.nsw.gov.au/your-environment/waste/reducing-your-household-waste/what-are-microbeads" TargetMode="External"/><Relationship Id="rId1" Type="http://schemas.openxmlformats.org/officeDocument/2006/relationships/hyperlink" Target="https://oceanliteracy.unesco.org/plastic-pollution-ocean/" TargetMode="External"/><Relationship Id="rId6" Type="http://schemas.openxmlformats.org/officeDocument/2006/relationships/hyperlink" Target="https://yoursayconversations.act.gov.au/single-use-plastics/single-use-plastic-takeaway-containers" TargetMode="External"/><Relationship Id="rId11" Type="http://schemas.openxmlformats.org/officeDocument/2006/relationships/hyperlink" Target="https://www.climatechoices.act.gov.au/policy-programs/act-climate-change-strategy" TargetMode="External"/><Relationship Id="rId24" Type="http://schemas.openxmlformats.org/officeDocument/2006/relationships/hyperlink" Target="https://resource.co/article/why-we-need-competitively-price-secondary-plastics" TargetMode="External"/><Relationship Id="rId32" Type="http://schemas.openxmlformats.org/officeDocument/2006/relationships/hyperlink" Target="https://www.dcceew.gov.au/environment/protection/waste/plastics-and-packaging/plastic-microbeads" TargetMode="External"/><Relationship Id="rId5" Type="http://schemas.openxmlformats.org/officeDocument/2006/relationships/hyperlink" Target="https://www.replacethewaste.sa.gov.au/phased-out-2024" TargetMode="External"/><Relationship Id="rId15" Type="http://schemas.openxmlformats.org/officeDocument/2006/relationships/hyperlink" Target="https://oceanliteracy.unesco.org/plastic-pollution-ocean/" TargetMode="External"/><Relationship Id="rId23" Type="http://schemas.openxmlformats.org/officeDocument/2006/relationships/hyperlink" Target="https://www.dcceew.gov.au/environment/protection/waste/publications/assessment-voluntary-phase-out-microbeads" TargetMode="External"/><Relationship Id="rId28" Type="http://schemas.openxmlformats.org/officeDocument/2006/relationships/hyperlink" Target="https://www.weforum.org/agenda/2022/01/plastic-pollution-climate-change-solution/" TargetMode="External"/><Relationship Id="rId10" Type="http://schemas.openxmlformats.org/officeDocument/2006/relationships/hyperlink" Target="https://yoursayconversations.act.gov.au/single-use-plastics/heavyweight-and-boutique-plastic-bags" TargetMode="External"/><Relationship Id="rId19" Type="http://schemas.openxmlformats.org/officeDocument/2006/relationships/hyperlink" Target="https://www.ciel.org/project-update/plastic-climate-the-hidden-costs-of-a-plastic-planet/" TargetMode="External"/><Relationship Id="rId31" Type="http://schemas.openxmlformats.org/officeDocument/2006/relationships/hyperlink" Target="https://www.elgalabwater.com/blog/microbeads-tiny-plastics-creating-big-problems" TargetMode="External"/><Relationship Id="rId4" Type="http://schemas.openxmlformats.org/officeDocument/2006/relationships/hyperlink" Target="https://epsa.org.au/about-eps/what-is-eps/" TargetMode="External"/><Relationship Id="rId9" Type="http://schemas.openxmlformats.org/officeDocument/2006/relationships/hyperlink" Target="https://bagbanwa.com.au/about-the-ban/" TargetMode="External"/><Relationship Id="rId14" Type="http://schemas.openxmlformats.org/officeDocument/2006/relationships/hyperlink" Target="https://www.wwf.org.au/news/blogs/plastic-in-our-oceans-is-killing-marine-mammals" TargetMode="External"/><Relationship Id="rId22" Type="http://schemas.openxmlformats.org/officeDocument/2006/relationships/hyperlink" Target="https://www.cityservices.act.gov.au/public-land/maintenance/littering" TargetMode="External"/><Relationship Id="rId27" Type="http://schemas.openxmlformats.org/officeDocument/2006/relationships/hyperlink" Target="https://www.wwf.org.au/news/news/2019/revealed-plastic-ingestion-by-people-could-be-equating-to-a-credit-card-a-week" TargetMode="External"/><Relationship Id="rId30" Type="http://schemas.openxmlformats.org/officeDocument/2006/relationships/hyperlink" Target="https://www.dcceew.gov.au/environment/protection/waste/plastics-and-packaging/plastic-microbeads" TargetMode="External"/><Relationship Id="rId8" Type="http://schemas.openxmlformats.org/officeDocument/2006/relationships/hyperlink" Target="https://yoursayconversations.act.gov.au/single-use-plastics/single-use-plastic-plates-and-bowl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cilallen365-my.sharepoint.com/personal/q_cu_acilallen_com_au/Documents/Cost%20Benefit%20Analysis%20and%20Regulatory%20Impact%20Statement%20of%20Single-use%20Plastic%20Ban%20Third%20Tranche-%20ACT%20Gov/CBA/ACT%20SUP%20RIS_CBA_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cilallen365-my.sharepoint.com/personal/q_cu_acilallen_com_au/Documents/Cost%20Benefit%20Analysis%20and%20Regulatory%20Impact%20Statement%20of%20Single-use%20Plastic%20Ban%20Third%20Tranche-%20ACT%20Gov/CBA/ACT%20SUP%20RIS_CBA_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'T1'!$A$20</c:f>
              <c:strCache>
                <c:ptCount val="1"/>
                <c:pt idx="0">
                  <c:v>Total annual SUP consumption in the ACT (tonnes)</c:v>
                </c:pt>
              </c:strCache>
            </c:strRef>
          </c:tx>
          <c:spPr>
            <a:solidFill>
              <a:schemeClr val="accent1"/>
            </a:solidFill>
            <a:ln>
              <a:noFill/>
            </a:ln>
            <a:effectLst/>
            <a:extLst>
              <a:ext uri="{91240B29-F687-4F45-9708-019B960494DF}">
                <a14:hiddenLine xmlns:a14="http://schemas.microsoft.com/office/drawing/2010/main">
                  <a:noFill/>
                </a14:hiddenLine>
              </a:ext>
            </a:ex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'T1'!$E$19:$AC$19</c:f>
              <c:numCache>
                <c:formatCode>General</c:formatCode>
                <c:ptCount val="2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numCache>
              <c:extLst/>
            </c:numRef>
          </c:cat>
          <c:val>
            <c:numRef>
              <c:f>'T1'!$E$20:$AC$20</c:f>
              <c:numCache>
                <c:formatCode>#,##0</c:formatCode>
                <c:ptCount val="25"/>
                <c:pt idx="0">
                  <c:v>760.06061481529025</c:v>
                </c:pt>
                <c:pt idx="1">
                  <c:v>770.48593205716872</c:v>
                </c:pt>
                <c:pt idx="2">
                  <c:v>781.05424741982233</c:v>
                </c:pt>
                <c:pt idx="3">
                  <c:v>791.76752232678109</c:v>
                </c:pt>
                <c:pt idx="4">
                  <c:v>802.62774510530085</c:v>
                </c:pt>
                <c:pt idx="5">
                  <c:v>813.63693135538676</c:v>
                </c:pt>
                <c:pt idx="6">
                  <c:v>824.79712432387748</c:v>
                </c:pt>
                <c:pt idx="7">
                  <c:v>836.11039528366166</c:v>
                </c:pt>
                <c:pt idx="8">
                  <c:v>847.57884391809455</c:v>
                </c:pt>
                <c:pt idx="9">
                  <c:v>859.20459871068851</c:v>
                </c:pt>
                <c:pt idx="10">
                  <c:v>870.98981734014831</c:v>
                </c:pt>
                <c:pt idx="11">
                  <c:v>882.93668708082487</c:v>
                </c:pt>
                <c:pt idx="12">
                  <c:v>895.04742520866193</c:v>
                </c:pt>
                <c:pt idx="13">
                  <c:v>907.32427941271044</c:v>
                </c:pt>
                <c:pt idx="14">
                  <c:v>919.76952821228815</c:v>
                </c:pt>
                <c:pt idx="15">
                  <c:v>932.38548137986061</c:v>
                </c:pt>
                <c:pt idx="16">
                  <c:v>945.17448036972257</c:v>
                </c:pt>
                <c:pt idx="17">
                  <c:v>958.13889875255984</c:v>
                </c:pt>
                <c:pt idx="18">
                  <c:v>971.28114265597151</c:v>
                </c:pt>
                <c:pt idx="19">
                  <c:v>984.60365121103393</c:v>
                </c:pt>
                <c:pt idx="20">
                  <c:v>998.10889700499138</c:v>
                </c:pt>
                <c:pt idx="21">
                  <c:v>1011.7993865401546</c:v>
                </c:pt>
                <c:pt idx="22">
                  <c:v>1025.6776606990948</c:v>
                </c:pt>
                <c:pt idx="23">
                  <c:v>1039.7462952162173</c:v>
                </c:pt>
                <c:pt idx="24">
                  <c:v>1054.0079011558055</c:v>
                </c:pt>
              </c:numCache>
              <c:extLst/>
            </c:numRef>
          </c:val>
          <c:extLst>
            <c:ext xmlns:c16="http://schemas.microsoft.com/office/drawing/2014/chart" uri="{C3380CC4-5D6E-409C-BE32-E72D297353CC}">
              <c16:uniqueId val="{00000000-6B02-48A7-B9B3-DC38C857A810}"/>
            </c:ext>
          </c:extLst>
        </c:ser>
        <c:dLbls>
          <c:dLblPos val="outEnd"/>
          <c:showLegendKey val="0"/>
          <c:showVal val="1"/>
          <c:showCatName val="0"/>
          <c:showSerName val="0"/>
          <c:showPercent val="0"/>
          <c:showBubbleSize val="0"/>
        </c:dLbls>
        <c:gapWidth val="60"/>
        <c:overlap val="-27"/>
        <c:axId val="254549824"/>
        <c:axId val="1480467951"/>
      </c:barChart>
      <c:catAx>
        <c:axId val="2545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480467951"/>
        <c:crosses val="autoZero"/>
        <c:auto val="1"/>
        <c:lblAlgn val="ctr"/>
        <c:lblOffset val="100"/>
        <c:tickLblSkip val="2"/>
        <c:noMultiLvlLbl val="0"/>
      </c:catAx>
      <c:valAx>
        <c:axId val="1480467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r>
                  <a:rPr lang="en-AU"/>
                  <a:t>Annual</a:t>
                </a:r>
                <a:r>
                  <a:rPr lang="en-AU" baseline="0"/>
                  <a:t> consumption of SUP in the ACT (tonnes)</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254549824"/>
        <c:crosses val="autoZero"/>
        <c:crossBetween val="between"/>
      </c:valAx>
      <c:spPr>
        <a:noFill/>
        <a:ln>
          <a:noFill/>
        </a:ln>
        <a:effectLst/>
      </c:spPr>
    </c:plotArea>
    <c:plotVisOnly val="1"/>
    <c:dispBlanksAs val="gap"/>
    <c:showDLblsOverMax val="0"/>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'T1'!$A$21</c:f>
              <c:strCache>
                <c:ptCount val="1"/>
                <c:pt idx="0">
                  <c:v>Total annual SUP consumption in the ACT, per capita (kg)</c:v>
                </c:pt>
              </c:strCache>
            </c:strRef>
          </c:tx>
          <c:spPr>
            <a:solidFill>
              <a:schemeClr val="accent1"/>
            </a:solidFill>
            <a:ln>
              <a:noFill/>
            </a:ln>
            <a:effectLst/>
            <a:extLst>
              <a:ext uri="{91240B29-F687-4F45-9708-019B960494DF}">
                <a14:hiddenLine xmlns:a14="http://schemas.microsoft.com/office/drawing/2010/main">
                  <a:noFill/>
                </a14:hiddenLine>
              </a:ext>
            </a:ex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'T1'!$E$19:$AC$19</c:f>
              <c:numCache>
                <c:formatCode>General</c:formatCode>
                <c:ptCount val="2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numCache>
              <c:extLst/>
            </c:numRef>
          </c:cat>
          <c:val>
            <c:numRef>
              <c:f>'T1'!$E$21:$AC$21</c:f>
              <c:numCache>
                <c:formatCode>#,##0.00</c:formatCode>
                <c:ptCount val="25"/>
                <c:pt idx="0">
                  <c:v>1.6610986741015816</c:v>
                </c:pt>
                <c:pt idx="1">
                  <c:v>1.6553779615250905</c:v>
                </c:pt>
                <c:pt idx="2">
                  <c:v>1.6496769506995508</c:v>
                </c:pt>
                <c:pt idx="3">
                  <c:v>1.6439955737734515</c:v>
                </c:pt>
                <c:pt idx="4">
                  <c:v>1.6383337631289583</c:v>
                </c:pt>
                <c:pt idx="5">
                  <c:v>1.6326914513811079</c:v>
                </c:pt>
                <c:pt idx="6">
                  <c:v>1.6270685713770063</c:v>
                </c:pt>
                <c:pt idx="7">
                  <c:v>1.6214650561950292</c:v>
                </c:pt>
                <c:pt idx="8">
                  <c:v>1.6158808391440267</c:v>
                </c:pt>
                <c:pt idx="9">
                  <c:v>1.6103158537625282</c:v>
                </c:pt>
                <c:pt idx="10">
                  <c:v>1.6047700338179511</c:v>
                </c:pt>
                <c:pt idx="11">
                  <c:v>1.5992433133058155</c:v>
                </c:pt>
                <c:pt idx="12">
                  <c:v>1.5937356264489548</c:v>
                </c:pt>
                <c:pt idx="13">
                  <c:v>1.5882469076967352</c:v>
                </c:pt>
                <c:pt idx="14">
                  <c:v>1.5827770917242745</c:v>
                </c:pt>
                <c:pt idx="15">
                  <c:v>1.5773261134316656</c:v>
                </c:pt>
                <c:pt idx="16">
                  <c:v>1.5718939079432004</c:v>
                </c:pt>
                <c:pt idx="17">
                  <c:v>1.5664804106065993</c:v>
                </c:pt>
                <c:pt idx="18">
                  <c:v>1.5610855569922399</c:v>
                </c:pt>
                <c:pt idx="19">
                  <c:v>1.555709282892392</c:v>
                </c:pt>
                <c:pt idx="20">
                  <c:v>1.5503515243204515</c:v>
                </c:pt>
                <c:pt idx="21">
                  <c:v>1.5450122175101808</c:v>
                </c:pt>
                <c:pt idx="22">
                  <c:v>1.5396912989149485</c:v>
                </c:pt>
                <c:pt idx="23">
                  <c:v>1.5343887052069733</c:v>
                </c:pt>
                <c:pt idx="24">
                  <c:v>1.5291043732765712</c:v>
                </c:pt>
              </c:numCache>
              <c:extLst/>
            </c:numRef>
          </c:val>
          <c:extLst>
            <c:ext xmlns:c16="http://schemas.microsoft.com/office/drawing/2014/chart" uri="{C3380CC4-5D6E-409C-BE32-E72D297353CC}">
              <c16:uniqueId val="{00000000-C5E0-4357-B8BE-0060E11321F9}"/>
            </c:ext>
          </c:extLst>
        </c:ser>
        <c:dLbls>
          <c:dLblPos val="outEnd"/>
          <c:showLegendKey val="0"/>
          <c:showVal val="1"/>
          <c:showCatName val="0"/>
          <c:showSerName val="0"/>
          <c:showPercent val="0"/>
          <c:showBubbleSize val="0"/>
        </c:dLbls>
        <c:gapWidth val="60"/>
        <c:overlap val="-27"/>
        <c:axId val="362856432"/>
        <c:axId val="566737392"/>
      </c:barChart>
      <c:catAx>
        <c:axId val="3628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566737392"/>
        <c:crosses val="autoZero"/>
        <c:auto val="1"/>
        <c:lblAlgn val="ctr"/>
        <c:lblOffset val="100"/>
        <c:tickLblSkip val="2"/>
        <c:tickMarkSkip val="2"/>
        <c:noMultiLvlLbl val="0"/>
      </c:catAx>
      <c:valAx>
        <c:axId val="56673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r>
                  <a:rPr lang="en-AU"/>
                  <a:t>Annual consumption</a:t>
                </a:r>
                <a:r>
                  <a:rPr lang="en-AU" baseline="0"/>
                  <a:t> of SUP in the ACT per capita (kg per capita)</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362856432"/>
        <c:crosses val="autoZero"/>
        <c:crossBetween val="between"/>
      </c:valAx>
      <c:spPr>
        <a:noFill/>
        <a:ln>
          <a:noFill/>
        </a:ln>
        <a:effectLst/>
      </c:spPr>
    </c:plotArea>
    <c:plotVisOnly val="1"/>
    <c:dispBlanksAs val="gap"/>
    <c:showDLblsOverMax val="0"/>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Sheet5!$B$1</c:f>
              <c:strCache>
                <c:ptCount val="1"/>
              </c:strCache>
            </c:strRef>
          </c:tx>
          <c:spPr>
            <a:solidFill>
              <a:srgbClr val="9D85BE"/>
            </a:solidFill>
            <a:ln w="19050">
              <a:noFill/>
            </a:ln>
            <a:effectLst/>
            <a:extLst>
              <a:ext uri="{91240B29-F687-4F45-9708-019B960494DF}">
                <a14:hiddenLine xmlns:a14="http://schemas.microsoft.com/office/drawing/2010/main" w="19050">
                  <a:solidFill>
                    <a:sysClr val="window" lastClr="FFFFFF"/>
                  </a:solidFill>
                </a14:hiddenLine>
              </a:ext>
            </a:extLst>
          </c:spPr>
          <c:dPt>
            <c:idx val="0"/>
            <c:bubble3D val="0"/>
            <c:spPr>
              <a:solidFill>
                <a:srgbClr val="140034"/>
              </a:solidFill>
              <a:ln w="19050">
                <a:noFill/>
                <a:prstDash val="solid"/>
              </a:ln>
              <a:effectLst/>
              <a:extLst>
                <a:ext uri="{91240B29-F687-4F45-9708-019B960494DF}">
                  <a14:hiddenLine xmlns:a14="http://schemas.microsoft.com/office/drawing/2010/main" w="19050">
                    <a:solidFill>
                      <a:srgbClr val="140034"/>
                    </a:solidFill>
                    <a:prstDash val="solid"/>
                  </a14:hiddenLine>
                </a:ext>
              </a:extLst>
            </c:spPr>
            <c:extLst>
              <c:ext xmlns:c16="http://schemas.microsoft.com/office/drawing/2014/chart" uri="{C3380CC4-5D6E-409C-BE32-E72D297353CC}">
                <c16:uniqueId val="{00000001-2204-408F-8579-E8F9E5F96CCC}"/>
              </c:ext>
            </c:extLst>
          </c:dPt>
          <c:dPt>
            <c:idx val="1"/>
            <c:bubble3D val="0"/>
            <c:spPr>
              <a:solidFill>
                <a:schemeClr val="accent1"/>
              </a:solidFill>
              <a:ln w="19050">
                <a:noFill/>
                <a:prstDash val="solid"/>
              </a:ln>
              <a:effectLst/>
              <a:extLst>
                <a:ext uri="{91240B29-F687-4F45-9708-019B960494DF}">
                  <a14:hiddenLine xmlns:a14="http://schemas.microsoft.com/office/drawing/2010/main" w="19050">
                    <a:solidFill>
                      <a:srgbClr val="C8C8C8"/>
                    </a:solidFill>
                    <a:prstDash val="solid"/>
                  </a14:hiddenLine>
                </a:ext>
              </a:extLst>
            </c:spPr>
            <c:extLst>
              <c:ext xmlns:c16="http://schemas.microsoft.com/office/drawing/2014/chart" uri="{C3380CC4-5D6E-409C-BE32-E72D297353CC}">
                <c16:uniqueId val="{00000003-2204-408F-8579-E8F9E5F96CCC}"/>
              </c:ext>
            </c:extLst>
          </c:dPt>
          <c:dPt>
            <c:idx val="2"/>
            <c:bubble3D val="0"/>
            <c:spPr>
              <a:solidFill>
                <a:srgbClr val="7D7D7D"/>
              </a:solidFill>
              <a:ln w="19050">
                <a:noFill/>
                <a:prstDash val="solid"/>
              </a:ln>
              <a:effectLst/>
              <a:extLst>
                <a:ext uri="{91240B29-F687-4F45-9708-019B960494DF}">
                  <a14:hiddenLine xmlns:a14="http://schemas.microsoft.com/office/drawing/2010/main" w="19050">
                    <a:solidFill>
                      <a:srgbClr val="7D7D7D"/>
                    </a:solidFill>
                    <a:prstDash val="solid"/>
                  </a14:hiddenLine>
                </a:ext>
              </a:extLst>
            </c:spPr>
            <c:extLst>
              <c:ext xmlns:c16="http://schemas.microsoft.com/office/drawing/2014/chart" uri="{C3380CC4-5D6E-409C-BE32-E72D297353CC}">
                <c16:uniqueId val="{00000005-2204-408F-8579-E8F9E5F96CCC}"/>
              </c:ext>
            </c:extLst>
          </c:dPt>
          <c:dPt>
            <c:idx val="3"/>
            <c:bubble3D val="0"/>
            <c:spPr>
              <a:solidFill>
                <a:schemeClr val="accent2"/>
              </a:solidFill>
              <a:ln w="19050">
                <a:noFill/>
                <a:prstDash val="solid"/>
              </a:ln>
              <a:effectLst/>
              <a:extLst>
                <a:ext uri="{91240B29-F687-4F45-9708-019B960494DF}">
                  <a14:hiddenLine xmlns:a14="http://schemas.microsoft.com/office/drawing/2010/main" w="19050">
                    <a:solidFill>
                      <a:srgbClr val="9D85BE"/>
                    </a:solidFill>
                    <a:prstDash val="solid"/>
                  </a14:hiddenLine>
                </a:ext>
              </a:extLst>
            </c:spPr>
            <c:extLst>
              <c:ext xmlns:c16="http://schemas.microsoft.com/office/drawing/2014/chart" uri="{C3380CC4-5D6E-409C-BE32-E72D297353CC}">
                <c16:uniqueId val="{00000007-2204-408F-8579-E8F9E5F96CCC}"/>
              </c:ext>
            </c:extLst>
          </c:dPt>
          <c:dPt>
            <c:idx val="4"/>
            <c:bubble3D val="0"/>
            <c:spPr>
              <a:solidFill>
                <a:schemeClr val="accent3"/>
              </a:solidFill>
              <a:ln w="19050">
                <a:noFill/>
                <a:prstDash val="solid"/>
              </a:ln>
              <a:effectLst/>
              <a:extLst>
                <a:ext uri="{91240B29-F687-4F45-9708-019B960494DF}">
                  <a14:hiddenLine xmlns:a14="http://schemas.microsoft.com/office/drawing/2010/main" w="19050">
                    <a:solidFill>
                      <a:srgbClr val="6C3F69"/>
                    </a:solidFill>
                    <a:prstDash val="solid"/>
                  </a14:hiddenLine>
                </a:ext>
              </a:extLst>
            </c:spPr>
            <c:extLst>
              <c:ext xmlns:c16="http://schemas.microsoft.com/office/drawing/2014/chart" uri="{C3380CC4-5D6E-409C-BE32-E72D297353CC}">
                <c16:uniqueId val="{00000009-2204-408F-8579-E8F9E5F96CCC}"/>
              </c:ext>
            </c:extLst>
          </c:dPt>
          <c:dPt>
            <c:idx val="5"/>
            <c:bubble3D val="0"/>
            <c:spPr>
              <a:solidFill>
                <a:schemeClr val="accent5"/>
              </a:solidFill>
              <a:ln w="19050">
                <a:noFill/>
                <a:prstDash val="solid"/>
              </a:ln>
              <a:effectLst/>
              <a:extLst>
                <a:ext uri="{91240B29-F687-4F45-9708-019B960494DF}">
                  <a14:hiddenLine xmlns:a14="http://schemas.microsoft.com/office/drawing/2010/main" w="19050">
                    <a:solidFill>
                      <a:srgbClr val="7BBDD6"/>
                    </a:solidFill>
                    <a:prstDash val="solid"/>
                  </a14:hiddenLine>
                </a:ext>
              </a:extLst>
            </c:spPr>
            <c:extLst>
              <c:ext xmlns:c16="http://schemas.microsoft.com/office/drawing/2014/chart" uri="{C3380CC4-5D6E-409C-BE32-E72D297353CC}">
                <c16:uniqueId val="{0000000B-2204-408F-8579-E8F9E5F96CCC}"/>
              </c:ext>
            </c:extLst>
          </c:dPt>
          <c:dPt>
            <c:idx val="6"/>
            <c:bubble3D val="0"/>
            <c:spPr>
              <a:solidFill>
                <a:schemeClr val="accent4"/>
              </a:solidFill>
              <a:ln w="19050">
                <a:noFill/>
                <a:prstDash val="solid"/>
              </a:ln>
              <a:effectLst/>
              <a:extLst>
                <a:ext uri="{91240B29-F687-4F45-9708-019B960494DF}">
                  <a14:hiddenLine xmlns:a14="http://schemas.microsoft.com/office/drawing/2010/main" w="19050">
                    <a:solidFill>
                      <a:srgbClr val="006A9F"/>
                    </a:solidFill>
                    <a:prstDash val="solid"/>
                  </a14:hiddenLine>
                </a:ext>
              </a:extLst>
            </c:spPr>
            <c:extLst>
              <c:ext xmlns:c16="http://schemas.microsoft.com/office/drawing/2014/chart" uri="{C3380CC4-5D6E-409C-BE32-E72D297353CC}">
                <c16:uniqueId val="{0000000D-2204-408F-8579-E8F9E5F96CCC}"/>
              </c:ext>
            </c:extLst>
          </c:dPt>
          <c:dPt>
            <c:idx val="7"/>
            <c:bubble3D val="0"/>
            <c:spPr>
              <a:solidFill>
                <a:schemeClr val="accent6"/>
              </a:solidFill>
              <a:ln w="19050">
                <a:noFill/>
                <a:prstDash val="solid"/>
              </a:ln>
              <a:effectLst/>
              <a:extLst>
                <a:ext uri="{91240B29-F687-4F45-9708-019B960494DF}">
                  <a14:hiddenLine xmlns:a14="http://schemas.microsoft.com/office/drawing/2010/main" w="19050">
                    <a:solidFill>
                      <a:srgbClr val="9FD18B"/>
                    </a:solidFill>
                    <a:prstDash val="solid"/>
                  </a14:hiddenLine>
                </a:ext>
              </a:extLst>
            </c:spPr>
            <c:extLst>
              <c:ext xmlns:c16="http://schemas.microsoft.com/office/drawing/2014/chart" uri="{C3380CC4-5D6E-409C-BE32-E72D297353CC}">
                <c16:uniqueId val="{0000000F-2204-408F-8579-E8F9E5F96CCC}"/>
              </c:ext>
            </c:extLst>
          </c:dPt>
          <c:dLbls>
            <c:dLbl>
              <c:idx val="0"/>
              <c:tx>
                <c:rich>
                  <a:bodyPr/>
                  <a:lstStyle/>
                  <a:p>
                    <a:fld id="{18129F2D-371C-492C-ADE8-5A0C11E12514}" type="CATEGORYNAME">
                      <a:rPr lang="en-US" b="1"/>
                      <a:pPr/>
                      <a:t>[CATEGORY NAME]</a:t>
                    </a:fld>
                    <a:r>
                      <a:rPr lang="en-US" b="1" baseline="0"/>
                      <a:t>, </a:t>
                    </a:r>
                    <a:fld id="{FC46118F-6031-43BD-9D26-3216A683CA3C}" type="VALUE">
                      <a:rPr lang="en-US" b="1" baseline="0"/>
                      <a:pPr/>
                      <a:t>[VALUE]</a:t>
                    </a:fld>
                    <a:endParaRPr lang="en-US" b="1"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04-408F-8579-E8F9E5F96C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Sheet5!$A$2:$A$9</c:f>
              <c:strCache>
                <c:ptCount val="8"/>
                <c:pt idx="0">
                  <c:v>ACT</c:v>
                </c:pt>
                <c:pt idx="1">
                  <c:v>NSW</c:v>
                </c:pt>
                <c:pt idx="2">
                  <c:v>NT</c:v>
                </c:pt>
                <c:pt idx="3">
                  <c:v>QLD</c:v>
                </c:pt>
                <c:pt idx="4">
                  <c:v>SA</c:v>
                </c:pt>
                <c:pt idx="5">
                  <c:v>TAS</c:v>
                </c:pt>
                <c:pt idx="6">
                  <c:v>VIC</c:v>
                </c:pt>
                <c:pt idx="7">
                  <c:v>WA</c:v>
                </c:pt>
              </c:strCache>
            </c:strRef>
          </c:cat>
          <c:val>
            <c:numRef>
              <c:f>Sheet5!$B$2:$B$9</c:f>
              <c:numCache>
                <c:formatCode>0.0%</c:formatCode>
                <c:ptCount val="8"/>
                <c:pt idx="0">
                  <c:v>5.0000000000000001E-3</c:v>
                </c:pt>
                <c:pt idx="1">
                  <c:v>0.28699999999999998</c:v>
                </c:pt>
                <c:pt idx="2">
                  <c:v>2E-3</c:v>
                </c:pt>
                <c:pt idx="3">
                  <c:v>0.17100000000000001</c:v>
                </c:pt>
                <c:pt idx="4">
                  <c:v>8.1000000000000003E-2</c:v>
                </c:pt>
                <c:pt idx="5">
                  <c:v>1.6E-2</c:v>
                </c:pt>
                <c:pt idx="6">
                  <c:v>0.34</c:v>
                </c:pt>
                <c:pt idx="7">
                  <c:v>9.8000000000000004E-2</c:v>
                </c:pt>
              </c:numCache>
            </c:numRef>
          </c:val>
          <c:extLst>
            <c:ext xmlns:c16="http://schemas.microsoft.com/office/drawing/2014/chart" uri="{C3380CC4-5D6E-409C-BE32-E72D297353CC}">
              <c16:uniqueId val="{00000010-2204-408F-8579-E8F9E5F96CC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Sheet5!$B$12</c:f>
              <c:strCache>
                <c:ptCount val="1"/>
              </c:strCache>
            </c:strRef>
          </c:tx>
          <c:spPr>
            <a:solidFill>
              <a:srgbClr val="9D85BE"/>
            </a:solidFill>
            <a:ln w="19050">
              <a:noFill/>
            </a:ln>
            <a:effectLst/>
            <a:extLst>
              <a:ext uri="{91240B29-F687-4F45-9708-019B960494DF}">
                <a14:hiddenLine xmlns:a14="http://schemas.microsoft.com/office/drawing/2010/main" w="19050">
                  <a:solidFill>
                    <a:sysClr val="window" lastClr="FFFFFF"/>
                  </a:solidFill>
                </a14:hiddenLine>
              </a:ext>
            </a:extLst>
          </c:spPr>
          <c:dPt>
            <c:idx val="0"/>
            <c:bubble3D val="0"/>
            <c:spPr>
              <a:solidFill>
                <a:schemeClr val="accent1"/>
              </a:solidFill>
              <a:ln w="19050">
                <a:noFill/>
                <a:prstDash val="solid"/>
              </a:ln>
              <a:effectLst/>
              <a:extLst>
                <a:ext uri="{91240B29-F687-4F45-9708-019B960494DF}">
                  <a14:hiddenLine xmlns:a14="http://schemas.microsoft.com/office/drawing/2010/main" w="19050">
                    <a:solidFill>
                      <a:srgbClr val="140034"/>
                    </a:solidFill>
                    <a:prstDash val="solid"/>
                  </a14:hiddenLine>
                </a:ext>
              </a:extLst>
            </c:spPr>
            <c:extLst>
              <c:ext xmlns:c16="http://schemas.microsoft.com/office/drawing/2014/chart" uri="{C3380CC4-5D6E-409C-BE32-E72D297353CC}">
                <c16:uniqueId val="{00000001-A3E9-4426-9781-26AD21E198B1}"/>
              </c:ext>
            </c:extLst>
          </c:dPt>
          <c:dPt>
            <c:idx val="1"/>
            <c:bubble3D val="0"/>
            <c:spPr>
              <a:solidFill>
                <a:schemeClr val="accent2"/>
              </a:solidFill>
              <a:ln w="19050">
                <a:noFill/>
                <a:prstDash val="solid"/>
              </a:ln>
              <a:effectLst/>
              <a:extLst>
                <a:ext uri="{91240B29-F687-4F45-9708-019B960494DF}">
                  <a14:hiddenLine xmlns:a14="http://schemas.microsoft.com/office/drawing/2010/main" w="19050">
                    <a:solidFill>
                      <a:srgbClr val="C8C8C8"/>
                    </a:solidFill>
                    <a:prstDash val="solid"/>
                  </a14:hiddenLine>
                </a:ext>
              </a:extLst>
            </c:spPr>
            <c:extLst>
              <c:ext xmlns:c16="http://schemas.microsoft.com/office/drawing/2014/chart" uri="{C3380CC4-5D6E-409C-BE32-E72D297353CC}">
                <c16:uniqueId val="{00000003-A3E9-4426-9781-26AD21E198B1}"/>
              </c:ext>
            </c:extLst>
          </c:dPt>
          <c:dPt>
            <c:idx val="2"/>
            <c:bubble3D val="0"/>
            <c:spPr>
              <a:solidFill>
                <a:schemeClr val="accent3"/>
              </a:solidFill>
              <a:ln w="19050">
                <a:noFill/>
                <a:prstDash val="solid"/>
              </a:ln>
              <a:effectLst/>
              <a:extLst>
                <a:ext uri="{91240B29-F687-4F45-9708-019B960494DF}">
                  <a14:hiddenLine xmlns:a14="http://schemas.microsoft.com/office/drawing/2010/main" w="19050">
                    <a:solidFill>
                      <a:srgbClr val="7D7D7D"/>
                    </a:solidFill>
                    <a:prstDash val="solid"/>
                  </a14:hiddenLine>
                </a:ext>
              </a:extLst>
            </c:spPr>
            <c:extLst>
              <c:ext xmlns:c16="http://schemas.microsoft.com/office/drawing/2014/chart" uri="{C3380CC4-5D6E-409C-BE32-E72D297353CC}">
                <c16:uniqueId val="{00000005-A3E9-4426-9781-26AD21E198B1}"/>
              </c:ext>
            </c:extLst>
          </c:dPt>
          <c:dPt>
            <c:idx val="3"/>
            <c:bubble3D val="0"/>
            <c:spPr>
              <a:solidFill>
                <a:schemeClr val="accent5"/>
              </a:solidFill>
              <a:ln w="19050">
                <a:noFill/>
                <a:prstDash val="solid"/>
              </a:ln>
              <a:effectLst/>
              <a:extLst>
                <a:ext uri="{91240B29-F687-4F45-9708-019B960494DF}">
                  <a14:hiddenLine xmlns:a14="http://schemas.microsoft.com/office/drawing/2010/main" w="19050">
                    <a:solidFill>
                      <a:srgbClr val="9D85BE"/>
                    </a:solidFill>
                    <a:prstDash val="solid"/>
                  </a14:hiddenLine>
                </a:ext>
              </a:extLst>
            </c:spPr>
            <c:extLst>
              <c:ext xmlns:c16="http://schemas.microsoft.com/office/drawing/2014/chart" uri="{C3380CC4-5D6E-409C-BE32-E72D297353CC}">
                <c16:uniqueId val="{00000007-A3E9-4426-9781-26AD21E198B1}"/>
              </c:ext>
            </c:extLst>
          </c:dPt>
          <c:dPt>
            <c:idx val="4"/>
            <c:bubble3D val="0"/>
            <c:spPr>
              <a:solidFill>
                <a:schemeClr val="accent4"/>
              </a:solidFill>
              <a:ln w="19050">
                <a:noFill/>
                <a:prstDash val="solid"/>
              </a:ln>
              <a:effectLst/>
              <a:extLst>
                <a:ext uri="{91240B29-F687-4F45-9708-019B960494DF}">
                  <a14:hiddenLine xmlns:a14="http://schemas.microsoft.com/office/drawing/2010/main" w="19050">
                    <a:solidFill>
                      <a:srgbClr val="6C3F69"/>
                    </a:solidFill>
                    <a:prstDash val="solid"/>
                  </a14:hiddenLine>
                </a:ext>
              </a:extLst>
            </c:spPr>
            <c:extLst>
              <c:ext xmlns:c16="http://schemas.microsoft.com/office/drawing/2014/chart" uri="{C3380CC4-5D6E-409C-BE32-E72D297353CC}">
                <c16:uniqueId val="{00000009-A3E9-4426-9781-26AD21E198B1}"/>
              </c:ext>
            </c:extLst>
          </c:dPt>
          <c:dPt>
            <c:idx val="5"/>
            <c:bubble3D val="0"/>
            <c:spPr>
              <a:solidFill>
                <a:schemeClr val="accent6"/>
              </a:solidFill>
              <a:ln w="19050">
                <a:noFill/>
                <a:prstDash val="solid"/>
              </a:ln>
              <a:effectLst/>
              <a:extLst>
                <a:ext uri="{91240B29-F687-4F45-9708-019B960494DF}">
                  <a14:hiddenLine xmlns:a14="http://schemas.microsoft.com/office/drawing/2010/main" w="19050">
                    <a:solidFill>
                      <a:srgbClr val="7BBDD6"/>
                    </a:solidFill>
                    <a:prstDash val="solid"/>
                  </a14:hiddenLine>
                </a:ext>
              </a:extLst>
            </c:spPr>
            <c:extLst>
              <c:ext xmlns:c16="http://schemas.microsoft.com/office/drawing/2014/chart" uri="{C3380CC4-5D6E-409C-BE32-E72D297353CC}">
                <c16:uniqueId val="{0000000B-A3E9-4426-9781-26AD21E198B1}"/>
              </c:ext>
            </c:extLst>
          </c:dPt>
          <c:dLbls>
            <c:dLbl>
              <c:idx val="1"/>
              <c:layout>
                <c:manualLayout>
                  <c:x val="1.9584677611340147E-2"/>
                  <c:y val="-3.447127755440309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9-4426-9781-26AD21E198B1}"/>
                </c:ext>
              </c:extLst>
            </c:dLbl>
            <c:dLbl>
              <c:idx val="2"/>
              <c:layout>
                <c:manualLayout>
                  <c:x val="4.7382183570337293E-2"/>
                  <c:y val="2.409173484785078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9-4426-9781-26AD21E198B1}"/>
                </c:ext>
              </c:extLst>
            </c:dLbl>
            <c:dLbl>
              <c:idx val="3"/>
              <c:layout>
                <c:manualLayout>
                  <c:x val="-0.1500831052834814"/>
                  <c:y val="1.72353755746249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E9-4426-9781-26AD21E198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Sheet5!$A$13:$A$18</c:f>
              <c:strCache>
                <c:ptCount val="6"/>
                <c:pt idx="0">
                  <c:v>NSW</c:v>
                </c:pt>
                <c:pt idx="1">
                  <c:v>QLD</c:v>
                </c:pt>
                <c:pt idx="2">
                  <c:v>SA</c:v>
                </c:pt>
                <c:pt idx="3">
                  <c:v>TAS</c:v>
                </c:pt>
                <c:pt idx="4">
                  <c:v>VIC</c:v>
                </c:pt>
                <c:pt idx="5">
                  <c:v>WA</c:v>
                </c:pt>
              </c:strCache>
            </c:strRef>
          </c:cat>
          <c:val>
            <c:numRef>
              <c:f>Sheet5!$B$13:$B$18</c:f>
              <c:numCache>
                <c:formatCode>0.0%</c:formatCode>
                <c:ptCount val="6"/>
                <c:pt idx="0">
                  <c:v>0.33300000000000002</c:v>
                </c:pt>
                <c:pt idx="1">
                  <c:v>0.125</c:v>
                </c:pt>
                <c:pt idx="2">
                  <c:v>4.0000000000000001E-3</c:v>
                </c:pt>
                <c:pt idx="3">
                  <c:v>1.0999999999999999E-2</c:v>
                </c:pt>
                <c:pt idx="4">
                  <c:v>0.44700000000000001</c:v>
                </c:pt>
                <c:pt idx="5">
                  <c:v>4.3999999999999997E-2</c:v>
                </c:pt>
              </c:numCache>
            </c:numRef>
          </c:val>
          <c:extLst>
            <c:ext xmlns:c16="http://schemas.microsoft.com/office/drawing/2014/chart" uri="{C3380CC4-5D6E-409C-BE32-E72D297353CC}">
              <c16:uniqueId val="{0000000C-A3E9-4426-9781-26AD21E198B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87C0221F2A4680A104DB4A5A66F551"/>
        <w:category>
          <w:name w:val="General"/>
          <w:gallery w:val="placeholder"/>
        </w:category>
        <w:types>
          <w:type w:val="bbPlcHdr"/>
        </w:types>
        <w:behaviors>
          <w:behavior w:val="content"/>
        </w:behaviors>
        <w:guid w:val="{DD2FE30E-2CCA-4C11-B72C-93AD8FA6F78C}"/>
      </w:docPartPr>
      <w:docPartBody>
        <w:p w:rsidR="00A443B4" w:rsidRDefault="007D7F0E" w:rsidP="007D7F0E">
          <w:pPr>
            <w:pStyle w:val="F287C0221F2A4680A104DB4A5A66F551"/>
          </w:pPr>
          <w:r w:rsidRPr="00C3017E">
            <w:rPr>
              <w:rStyle w:val="PlaceholderText"/>
            </w:rPr>
            <w:t>Click or tap to enter a date.</w:t>
          </w:r>
        </w:p>
      </w:docPartBody>
    </w:docPart>
    <w:docPart>
      <w:docPartPr>
        <w:name w:val="306CB3E3CF6D4FCEB7F0346112881F66"/>
        <w:category>
          <w:name w:val="General"/>
          <w:gallery w:val="placeholder"/>
        </w:category>
        <w:types>
          <w:type w:val="bbPlcHdr"/>
        </w:types>
        <w:behaviors>
          <w:behavior w:val="content"/>
        </w:behaviors>
        <w:guid w:val="{055FBE35-6556-40C2-8366-4D595E021D00}"/>
      </w:docPartPr>
      <w:docPartBody>
        <w:p w:rsidR="00A443B4" w:rsidRDefault="007D7F0E" w:rsidP="007D7F0E">
          <w:pPr>
            <w:pStyle w:val="306CB3E3CF6D4FCEB7F0346112881F66"/>
          </w:pPr>
          <w:r w:rsidRPr="00C3017E">
            <w:rPr>
              <w:rStyle w:val="PlaceholderText"/>
            </w:rPr>
            <w:t>Report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modern"/>
    <w:notTrueType/>
    <w:pitch w:val="variable"/>
    <w:sig w:usb0="A000002F" w:usb1="40000048" w:usb2="00000000" w:usb3="00000000" w:csb0="00000111"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Segoe UI"/>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0E"/>
    <w:rsid w:val="007D7F0E"/>
    <w:rsid w:val="00A44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F0E"/>
    <w:rPr>
      <w:color w:val="808080"/>
    </w:rPr>
  </w:style>
  <w:style w:type="paragraph" w:customStyle="1" w:styleId="F287C0221F2A4680A104DB4A5A66F551">
    <w:name w:val="F287C0221F2A4680A104DB4A5A66F551"/>
    <w:rsid w:val="007D7F0E"/>
  </w:style>
  <w:style w:type="paragraph" w:customStyle="1" w:styleId="306CB3E3CF6D4FCEB7F0346112881F66">
    <w:name w:val="306CB3E3CF6D4FCEB7F0346112881F66"/>
    <w:rsid w:val="007D7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85</TotalTime>
  <Pages>71</Pages>
  <Words>24126</Words>
  <Characters>138727</Characters>
  <Application>Microsoft Office Word</Application>
  <DocSecurity>0</DocSecurity>
  <Lines>6606</Lines>
  <Paragraphs>2626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Moxon, KarenL</dc:creator>
  <cp:keywords/>
  <dc:description/>
  <cp:lastModifiedBy>Moxon, KarenL</cp:lastModifiedBy>
  <cp:revision>9</cp:revision>
  <dcterms:created xsi:type="dcterms:W3CDTF">2023-06-06T00:01:00Z</dcterms:created>
  <dcterms:modified xsi:type="dcterms:W3CDTF">2023-06-08T02:12:00Z</dcterms:modified>
</cp:coreProperties>
</file>