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222D" w14:textId="77777777" w:rsidR="00795996" w:rsidRDefault="00521E20">
      <w:pPr>
        <w:spacing w:after="129" w:line="259" w:lineRule="auto"/>
        <w:ind w:left="80" w:firstLine="0"/>
        <w:jc w:val="center"/>
      </w:pPr>
      <w:r>
        <w:rPr>
          <w:noProof/>
        </w:rPr>
        <w:drawing>
          <wp:inline distT="0" distB="0" distL="0" distR="0" wp14:anchorId="56158CC5" wp14:editId="13C64AEB">
            <wp:extent cx="2028825" cy="7524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2028825" cy="752475"/>
                    </a:xfrm>
                    <a:prstGeom prst="rect">
                      <a:avLst/>
                    </a:prstGeom>
                  </pic:spPr>
                </pic:pic>
              </a:graphicData>
            </a:graphic>
          </wp:inline>
        </w:drawing>
      </w:r>
      <w:r>
        <w:rPr>
          <w:b/>
          <w:sz w:val="32"/>
        </w:rPr>
        <w:t xml:space="preserve"> </w:t>
      </w:r>
    </w:p>
    <w:p w14:paraId="54EBE081" w14:textId="77777777" w:rsidR="00795996" w:rsidRDefault="00521E20">
      <w:pPr>
        <w:spacing w:after="227" w:line="259" w:lineRule="auto"/>
        <w:ind w:left="78" w:firstLine="0"/>
        <w:jc w:val="center"/>
      </w:pPr>
      <w:r>
        <w:rPr>
          <w:b/>
          <w:sz w:val="32"/>
        </w:rPr>
        <w:t xml:space="preserve"> </w:t>
      </w:r>
    </w:p>
    <w:p w14:paraId="78108BA1" w14:textId="77777777" w:rsidR="00795996" w:rsidRDefault="00521E20">
      <w:pPr>
        <w:spacing w:after="230" w:line="259" w:lineRule="auto"/>
        <w:ind w:left="0" w:firstLine="0"/>
      </w:pPr>
      <w:r>
        <w:rPr>
          <w:sz w:val="32"/>
        </w:rPr>
        <w:t xml:space="preserve"> </w:t>
      </w:r>
    </w:p>
    <w:p w14:paraId="2864BA7C" w14:textId="3A043569" w:rsidR="004634A5" w:rsidRDefault="004634A5" w:rsidP="004634A5">
      <w:pPr>
        <w:spacing w:after="153" w:line="259" w:lineRule="auto"/>
        <w:ind w:left="-5"/>
        <w:jc w:val="center"/>
      </w:pPr>
      <w:r>
        <w:rPr>
          <w:b/>
          <w:sz w:val="32"/>
        </w:rPr>
        <w:t>Regulatory Impact Statement</w:t>
      </w:r>
    </w:p>
    <w:p w14:paraId="2DC9865E" w14:textId="5286EBA0" w:rsidR="00795996" w:rsidRDefault="00521E20">
      <w:pPr>
        <w:spacing w:after="189" w:line="259" w:lineRule="auto"/>
        <w:ind w:left="1897"/>
      </w:pPr>
      <w:r>
        <w:rPr>
          <w:b/>
          <w:sz w:val="32"/>
        </w:rPr>
        <w:t xml:space="preserve">Energy Efficiency Improvement Scheme </w:t>
      </w:r>
    </w:p>
    <w:p w14:paraId="273486C3" w14:textId="375FB568" w:rsidR="00795996" w:rsidRDefault="00521E20">
      <w:pPr>
        <w:spacing w:after="261" w:line="259" w:lineRule="auto"/>
        <w:ind w:left="0" w:right="416" w:firstLine="0"/>
        <w:jc w:val="right"/>
      </w:pPr>
      <w:r>
        <w:rPr>
          <w:b/>
          <w:sz w:val="28"/>
        </w:rPr>
        <w:t>Setting Key Scheme Parameters for 202</w:t>
      </w:r>
      <w:r w:rsidR="00343627">
        <w:rPr>
          <w:b/>
          <w:sz w:val="28"/>
        </w:rPr>
        <w:t>5</w:t>
      </w:r>
      <w:r>
        <w:rPr>
          <w:b/>
          <w:sz w:val="28"/>
        </w:rPr>
        <w:t xml:space="preserve"> by Disallowable Instruments: </w:t>
      </w:r>
    </w:p>
    <w:p w14:paraId="2522ACAD" w14:textId="73C160AE" w:rsidR="00795996" w:rsidRPr="00A7573A" w:rsidRDefault="00521E20">
      <w:pPr>
        <w:spacing w:after="214" w:line="268" w:lineRule="auto"/>
        <w:ind w:left="-5"/>
        <w:rPr>
          <w:iCs/>
        </w:rPr>
      </w:pPr>
      <w:r>
        <w:rPr>
          <w:i/>
          <w:sz w:val="32"/>
        </w:rPr>
        <w:t>Energy Efficiency (Cost of Living) Improvement (Energy Savings Target) Determination 202</w:t>
      </w:r>
      <w:r w:rsidR="00343627">
        <w:rPr>
          <w:i/>
          <w:sz w:val="32"/>
        </w:rPr>
        <w:t>4</w:t>
      </w:r>
      <w:r>
        <w:rPr>
          <w:i/>
          <w:sz w:val="32"/>
        </w:rPr>
        <w:t xml:space="preserve">  </w:t>
      </w:r>
      <w:r w:rsidR="00A7573A">
        <w:rPr>
          <w:iCs/>
          <w:sz w:val="32"/>
        </w:rPr>
        <w:t>DI2024-269</w:t>
      </w:r>
    </w:p>
    <w:p w14:paraId="3E47276A" w14:textId="77777777" w:rsidR="00795996" w:rsidRDefault="00521E20">
      <w:pPr>
        <w:spacing w:after="17" w:line="268" w:lineRule="auto"/>
        <w:ind w:left="-5"/>
      </w:pPr>
      <w:r>
        <w:rPr>
          <w:i/>
          <w:sz w:val="32"/>
        </w:rPr>
        <w:t xml:space="preserve">Energy Efficiency (Cost of Living) Improvement (Energy Savings </w:t>
      </w:r>
    </w:p>
    <w:p w14:paraId="4ABFDAAF" w14:textId="52982BEF" w:rsidR="00795996" w:rsidRPr="00A7573A" w:rsidRDefault="00521E20">
      <w:pPr>
        <w:spacing w:after="214" w:line="268" w:lineRule="auto"/>
        <w:ind w:left="-5"/>
        <w:rPr>
          <w:iCs/>
        </w:rPr>
      </w:pPr>
      <w:r>
        <w:rPr>
          <w:i/>
          <w:sz w:val="32"/>
        </w:rPr>
        <w:t>Contribution) Determination 202</w:t>
      </w:r>
      <w:r w:rsidR="00343627">
        <w:rPr>
          <w:i/>
          <w:sz w:val="32"/>
        </w:rPr>
        <w:t>4</w:t>
      </w:r>
      <w:r>
        <w:rPr>
          <w:i/>
          <w:sz w:val="32"/>
        </w:rPr>
        <w:t xml:space="preserve">  </w:t>
      </w:r>
      <w:r w:rsidR="00A7573A">
        <w:rPr>
          <w:iCs/>
          <w:sz w:val="32"/>
        </w:rPr>
        <w:t>DI2024-270</w:t>
      </w:r>
    </w:p>
    <w:p w14:paraId="3D3548DC" w14:textId="0198E248" w:rsidR="00795996" w:rsidRPr="00B909F3" w:rsidRDefault="00521E20">
      <w:pPr>
        <w:spacing w:after="214" w:line="268" w:lineRule="auto"/>
        <w:ind w:left="-5"/>
        <w:rPr>
          <w:iCs/>
        </w:rPr>
      </w:pPr>
      <w:r>
        <w:rPr>
          <w:i/>
          <w:sz w:val="32"/>
        </w:rPr>
        <w:t>Energy Efficiency (Cost of Living) Improvement (</w:t>
      </w:r>
      <w:r w:rsidR="005D5DC4">
        <w:rPr>
          <w:i/>
          <w:sz w:val="32"/>
        </w:rPr>
        <w:t>Penalties for noncompliance</w:t>
      </w:r>
      <w:r>
        <w:rPr>
          <w:i/>
          <w:sz w:val="32"/>
        </w:rPr>
        <w:t>) Determination 202</w:t>
      </w:r>
      <w:r w:rsidR="00343627">
        <w:rPr>
          <w:i/>
          <w:sz w:val="32"/>
        </w:rPr>
        <w:t>4</w:t>
      </w:r>
      <w:r>
        <w:rPr>
          <w:i/>
          <w:sz w:val="32"/>
        </w:rPr>
        <w:t xml:space="preserve">  </w:t>
      </w:r>
      <w:r w:rsidR="00B909F3">
        <w:rPr>
          <w:iCs/>
          <w:sz w:val="32"/>
        </w:rPr>
        <w:t>DI2024-271</w:t>
      </w:r>
    </w:p>
    <w:p w14:paraId="259D9022" w14:textId="77777777" w:rsidR="004634A5" w:rsidRDefault="004634A5">
      <w:pPr>
        <w:spacing w:after="221" w:line="259" w:lineRule="auto"/>
        <w:ind w:left="-5"/>
        <w:rPr>
          <w:b/>
        </w:rPr>
      </w:pPr>
    </w:p>
    <w:p w14:paraId="0C55643B" w14:textId="77777777" w:rsidR="004634A5" w:rsidRDefault="004634A5">
      <w:pPr>
        <w:spacing w:after="221" w:line="259" w:lineRule="auto"/>
        <w:ind w:left="-5"/>
        <w:rPr>
          <w:b/>
        </w:rPr>
      </w:pPr>
    </w:p>
    <w:p w14:paraId="65A45612" w14:textId="6C7CD71D" w:rsidR="00795996" w:rsidRDefault="00521E20">
      <w:pPr>
        <w:spacing w:after="221" w:line="259" w:lineRule="auto"/>
        <w:ind w:left="-5"/>
      </w:pPr>
      <w:r>
        <w:rPr>
          <w:b/>
        </w:rPr>
        <w:t xml:space="preserve">Prepared in accordance with Chapter 5 of the </w:t>
      </w:r>
      <w:r>
        <w:rPr>
          <w:b/>
          <w:i/>
        </w:rPr>
        <w:t>Legislation Act 2001</w:t>
      </w:r>
      <w:r>
        <w:rPr>
          <w:b/>
        </w:rPr>
        <w:t xml:space="preserve"> </w:t>
      </w:r>
    </w:p>
    <w:p w14:paraId="6C86CFFF" w14:textId="1C08A064" w:rsidR="00795996" w:rsidRDefault="00521E20">
      <w:pPr>
        <w:spacing w:after="221" w:line="259" w:lineRule="auto"/>
        <w:ind w:left="-5"/>
      </w:pPr>
      <w:r>
        <w:rPr>
          <w:b/>
        </w:rPr>
        <w:t xml:space="preserve">   June 202</w:t>
      </w:r>
      <w:r w:rsidR="00343627">
        <w:rPr>
          <w:b/>
        </w:rPr>
        <w:t>4</w:t>
      </w:r>
      <w:r>
        <w:rPr>
          <w:b/>
        </w:rPr>
        <w:t xml:space="preserve"> </w:t>
      </w:r>
    </w:p>
    <w:p w14:paraId="0AE65337" w14:textId="39EBECB9" w:rsidR="004552A1" w:rsidRDefault="004552A1">
      <w:pPr>
        <w:spacing w:after="0" w:line="259" w:lineRule="auto"/>
        <w:ind w:left="0" w:firstLine="0"/>
      </w:pPr>
    </w:p>
    <w:p w14:paraId="32C0F546" w14:textId="77777777" w:rsidR="004552A1" w:rsidRDefault="004552A1">
      <w:pPr>
        <w:spacing w:after="160" w:line="259" w:lineRule="auto"/>
        <w:ind w:left="0" w:firstLine="0"/>
      </w:pPr>
      <w:r>
        <w:br w:type="page"/>
      </w:r>
    </w:p>
    <w:p w14:paraId="13F476FD" w14:textId="77777777" w:rsidR="00795996" w:rsidRDefault="00795996">
      <w:pPr>
        <w:spacing w:after="0" w:line="259" w:lineRule="auto"/>
        <w:ind w:left="0" w:firstLine="0"/>
      </w:pPr>
    </w:p>
    <w:sdt>
      <w:sdtPr>
        <w:id w:val="1982719080"/>
        <w:docPartObj>
          <w:docPartGallery w:val="Table of Contents"/>
        </w:docPartObj>
      </w:sdtPr>
      <w:sdtEndPr/>
      <w:sdtContent>
        <w:p w14:paraId="411315E9" w14:textId="77777777" w:rsidR="00795996" w:rsidRDefault="00521E20">
          <w:pPr>
            <w:spacing w:after="0" w:line="259" w:lineRule="auto"/>
            <w:ind w:left="0" w:firstLine="0"/>
          </w:pPr>
          <w:r>
            <w:rPr>
              <w:color w:val="2F5496"/>
              <w:sz w:val="32"/>
            </w:rPr>
            <w:t xml:space="preserve">Contents </w:t>
          </w:r>
        </w:p>
        <w:p w14:paraId="0DC5CB6F" w14:textId="7B3E7059" w:rsidR="00C25C34" w:rsidRDefault="00521E20">
          <w:pPr>
            <w:pStyle w:val="TOC1"/>
            <w:tabs>
              <w:tab w:val="left" w:pos="440"/>
              <w:tab w:val="right" w:leader="dot" w:pos="9008"/>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38754915" w:history="1">
            <w:r w:rsidR="00C25C34" w:rsidRPr="003346F4">
              <w:rPr>
                <w:rStyle w:val="Hyperlink"/>
                <w:noProof/>
              </w:rPr>
              <w:t>1.</w:t>
            </w:r>
            <w:r w:rsidR="00C25C34">
              <w:rPr>
                <w:rFonts w:asciiTheme="minorHAnsi" w:eastAsiaTheme="minorEastAsia" w:hAnsiTheme="minorHAnsi" w:cstheme="minorBidi"/>
                <w:noProof/>
                <w:color w:val="auto"/>
                <w:sz w:val="22"/>
              </w:rPr>
              <w:tab/>
            </w:r>
            <w:r w:rsidR="00C25C34" w:rsidRPr="003346F4">
              <w:rPr>
                <w:rStyle w:val="Hyperlink"/>
                <w:noProof/>
              </w:rPr>
              <w:t>Executive summary</w:t>
            </w:r>
            <w:r w:rsidR="00C25C34">
              <w:rPr>
                <w:noProof/>
                <w:webHidden/>
              </w:rPr>
              <w:tab/>
            </w:r>
            <w:r w:rsidR="00C25C34">
              <w:rPr>
                <w:noProof/>
                <w:webHidden/>
              </w:rPr>
              <w:fldChar w:fldCharType="begin"/>
            </w:r>
            <w:r w:rsidR="00C25C34">
              <w:rPr>
                <w:noProof/>
                <w:webHidden/>
              </w:rPr>
              <w:instrText xml:space="preserve"> PAGEREF _Toc138754915 \h </w:instrText>
            </w:r>
            <w:r w:rsidR="00C25C34">
              <w:rPr>
                <w:noProof/>
                <w:webHidden/>
              </w:rPr>
            </w:r>
            <w:r w:rsidR="00C25C34">
              <w:rPr>
                <w:noProof/>
                <w:webHidden/>
              </w:rPr>
              <w:fldChar w:fldCharType="separate"/>
            </w:r>
            <w:r w:rsidR="00B11B9F">
              <w:rPr>
                <w:noProof/>
                <w:webHidden/>
              </w:rPr>
              <w:t>3</w:t>
            </w:r>
            <w:r w:rsidR="00C25C34">
              <w:rPr>
                <w:noProof/>
                <w:webHidden/>
              </w:rPr>
              <w:fldChar w:fldCharType="end"/>
            </w:r>
          </w:hyperlink>
        </w:p>
        <w:p w14:paraId="781A23C8" w14:textId="53ADBDF2"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16" w:history="1">
            <w:r w:rsidR="00C25C34" w:rsidRPr="003346F4">
              <w:rPr>
                <w:rStyle w:val="Hyperlink"/>
                <w:noProof/>
              </w:rPr>
              <w:t>2.</w:t>
            </w:r>
            <w:r w:rsidR="00C25C34">
              <w:rPr>
                <w:rFonts w:asciiTheme="minorHAnsi" w:eastAsiaTheme="minorEastAsia" w:hAnsiTheme="minorHAnsi" w:cstheme="minorBidi"/>
                <w:noProof/>
                <w:color w:val="auto"/>
                <w:sz w:val="22"/>
              </w:rPr>
              <w:tab/>
            </w:r>
            <w:r w:rsidR="00C25C34" w:rsidRPr="003346F4">
              <w:rPr>
                <w:rStyle w:val="Hyperlink"/>
                <w:noProof/>
              </w:rPr>
              <w:t>The authorising law</w:t>
            </w:r>
            <w:r w:rsidR="00C25C34">
              <w:rPr>
                <w:noProof/>
                <w:webHidden/>
              </w:rPr>
              <w:tab/>
            </w:r>
            <w:r w:rsidR="00C25C34">
              <w:rPr>
                <w:noProof/>
                <w:webHidden/>
              </w:rPr>
              <w:fldChar w:fldCharType="begin"/>
            </w:r>
            <w:r w:rsidR="00C25C34">
              <w:rPr>
                <w:noProof/>
                <w:webHidden/>
              </w:rPr>
              <w:instrText xml:space="preserve"> PAGEREF _Toc138754916 \h </w:instrText>
            </w:r>
            <w:r w:rsidR="00C25C34">
              <w:rPr>
                <w:noProof/>
                <w:webHidden/>
              </w:rPr>
            </w:r>
            <w:r w:rsidR="00C25C34">
              <w:rPr>
                <w:noProof/>
                <w:webHidden/>
              </w:rPr>
              <w:fldChar w:fldCharType="separate"/>
            </w:r>
            <w:r w:rsidR="00B11B9F">
              <w:rPr>
                <w:noProof/>
                <w:webHidden/>
              </w:rPr>
              <w:t>3</w:t>
            </w:r>
            <w:r w:rsidR="00C25C34">
              <w:rPr>
                <w:noProof/>
                <w:webHidden/>
              </w:rPr>
              <w:fldChar w:fldCharType="end"/>
            </w:r>
          </w:hyperlink>
        </w:p>
        <w:p w14:paraId="1DDBB448" w14:textId="1040B3F4"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17" w:history="1">
            <w:r w:rsidR="00C25C34" w:rsidRPr="003346F4">
              <w:rPr>
                <w:rStyle w:val="Hyperlink"/>
                <w:noProof/>
              </w:rPr>
              <w:t>3.</w:t>
            </w:r>
            <w:r w:rsidR="00C25C34">
              <w:rPr>
                <w:rFonts w:asciiTheme="minorHAnsi" w:eastAsiaTheme="minorEastAsia" w:hAnsiTheme="minorHAnsi" w:cstheme="minorBidi"/>
                <w:noProof/>
                <w:color w:val="auto"/>
                <w:sz w:val="22"/>
              </w:rPr>
              <w:tab/>
            </w:r>
            <w:r w:rsidR="00C25C34" w:rsidRPr="003346F4">
              <w:rPr>
                <w:rStyle w:val="Hyperlink"/>
                <w:noProof/>
              </w:rPr>
              <w:t>Policy objectives of the disallowable instruments</w:t>
            </w:r>
            <w:r w:rsidR="00C25C34">
              <w:rPr>
                <w:noProof/>
                <w:webHidden/>
              </w:rPr>
              <w:tab/>
            </w:r>
            <w:r w:rsidR="00C25C34">
              <w:rPr>
                <w:noProof/>
                <w:webHidden/>
              </w:rPr>
              <w:fldChar w:fldCharType="begin"/>
            </w:r>
            <w:r w:rsidR="00C25C34">
              <w:rPr>
                <w:noProof/>
                <w:webHidden/>
              </w:rPr>
              <w:instrText xml:space="preserve"> PAGEREF _Toc138754917 \h </w:instrText>
            </w:r>
            <w:r w:rsidR="00C25C34">
              <w:rPr>
                <w:noProof/>
                <w:webHidden/>
              </w:rPr>
            </w:r>
            <w:r w:rsidR="00C25C34">
              <w:rPr>
                <w:noProof/>
                <w:webHidden/>
              </w:rPr>
              <w:fldChar w:fldCharType="separate"/>
            </w:r>
            <w:r w:rsidR="00B11B9F">
              <w:rPr>
                <w:noProof/>
                <w:webHidden/>
              </w:rPr>
              <w:t>4</w:t>
            </w:r>
            <w:r w:rsidR="00C25C34">
              <w:rPr>
                <w:noProof/>
                <w:webHidden/>
              </w:rPr>
              <w:fldChar w:fldCharType="end"/>
            </w:r>
          </w:hyperlink>
        </w:p>
        <w:p w14:paraId="109FF51E" w14:textId="65F44FC6"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18" w:history="1">
            <w:r w:rsidR="00C25C34" w:rsidRPr="003346F4">
              <w:rPr>
                <w:rStyle w:val="Hyperlink"/>
                <w:noProof/>
              </w:rPr>
              <w:t>4.</w:t>
            </w:r>
            <w:r w:rsidR="00C25C34">
              <w:rPr>
                <w:rFonts w:asciiTheme="minorHAnsi" w:eastAsiaTheme="minorEastAsia" w:hAnsiTheme="minorHAnsi" w:cstheme="minorBidi"/>
                <w:noProof/>
                <w:color w:val="auto"/>
                <w:sz w:val="22"/>
              </w:rPr>
              <w:tab/>
            </w:r>
            <w:r w:rsidR="00C25C34" w:rsidRPr="003346F4">
              <w:rPr>
                <w:rStyle w:val="Hyperlink"/>
                <w:noProof/>
              </w:rPr>
              <w:t>Achieving the policy objectives</w:t>
            </w:r>
            <w:r w:rsidR="00C25C34">
              <w:rPr>
                <w:noProof/>
                <w:webHidden/>
              </w:rPr>
              <w:tab/>
            </w:r>
            <w:r w:rsidR="00C25C34">
              <w:rPr>
                <w:noProof/>
                <w:webHidden/>
              </w:rPr>
              <w:fldChar w:fldCharType="begin"/>
            </w:r>
            <w:r w:rsidR="00C25C34">
              <w:rPr>
                <w:noProof/>
                <w:webHidden/>
              </w:rPr>
              <w:instrText xml:space="preserve"> PAGEREF _Toc138754918 \h </w:instrText>
            </w:r>
            <w:r w:rsidR="00C25C34">
              <w:rPr>
                <w:noProof/>
                <w:webHidden/>
              </w:rPr>
            </w:r>
            <w:r w:rsidR="00C25C34">
              <w:rPr>
                <w:noProof/>
                <w:webHidden/>
              </w:rPr>
              <w:fldChar w:fldCharType="separate"/>
            </w:r>
            <w:r w:rsidR="00B11B9F">
              <w:rPr>
                <w:noProof/>
                <w:webHidden/>
              </w:rPr>
              <w:t>4</w:t>
            </w:r>
            <w:r w:rsidR="00C25C34">
              <w:rPr>
                <w:noProof/>
                <w:webHidden/>
              </w:rPr>
              <w:fldChar w:fldCharType="end"/>
            </w:r>
          </w:hyperlink>
        </w:p>
        <w:p w14:paraId="638B33E6" w14:textId="085AD707"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19" w:history="1">
            <w:r w:rsidR="00C25C34" w:rsidRPr="003346F4">
              <w:rPr>
                <w:rStyle w:val="Hyperlink"/>
                <w:noProof/>
              </w:rPr>
              <w:t>5.</w:t>
            </w:r>
            <w:r w:rsidR="00C25C34">
              <w:rPr>
                <w:rFonts w:asciiTheme="minorHAnsi" w:eastAsiaTheme="minorEastAsia" w:hAnsiTheme="minorHAnsi" w:cstheme="minorBidi"/>
                <w:noProof/>
                <w:color w:val="auto"/>
                <w:sz w:val="22"/>
              </w:rPr>
              <w:tab/>
            </w:r>
            <w:r w:rsidR="00C25C34" w:rsidRPr="003346F4">
              <w:rPr>
                <w:rStyle w:val="Hyperlink"/>
                <w:noProof/>
              </w:rPr>
              <w:t>Considering a level of ambition</w:t>
            </w:r>
            <w:r w:rsidR="00C25C34">
              <w:rPr>
                <w:noProof/>
                <w:webHidden/>
              </w:rPr>
              <w:tab/>
            </w:r>
            <w:r w:rsidR="00C25C34">
              <w:rPr>
                <w:noProof/>
                <w:webHidden/>
              </w:rPr>
              <w:fldChar w:fldCharType="begin"/>
            </w:r>
            <w:r w:rsidR="00C25C34">
              <w:rPr>
                <w:noProof/>
                <w:webHidden/>
              </w:rPr>
              <w:instrText xml:space="preserve"> PAGEREF _Toc138754919 \h </w:instrText>
            </w:r>
            <w:r w:rsidR="00C25C34">
              <w:rPr>
                <w:noProof/>
                <w:webHidden/>
              </w:rPr>
            </w:r>
            <w:r w:rsidR="00C25C34">
              <w:rPr>
                <w:noProof/>
                <w:webHidden/>
              </w:rPr>
              <w:fldChar w:fldCharType="separate"/>
            </w:r>
            <w:r w:rsidR="00B11B9F">
              <w:rPr>
                <w:noProof/>
                <w:webHidden/>
              </w:rPr>
              <w:t>5</w:t>
            </w:r>
            <w:r w:rsidR="00C25C34">
              <w:rPr>
                <w:noProof/>
                <w:webHidden/>
              </w:rPr>
              <w:fldChar w:fldCharType="end"/>
            </w:r>
          </w:hyperlink>
        </w:p>
        <w:p w14:paraId="6E52DAA4" w14:textId="5C20126C"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0" w:history="1">
            <w:r w:rsidR="00C25C34" w:rsidRPr="003346F4">
              <w:rPr>
                <w:rStyle w:val="Hyperlink"/>
                <w:noProof/>
              </w:rPr>
              <w:t>5.1</w:t>
            </w:r>
            <w:r w:rsidR="00C25C34">
              <w:rPr>
                <w:rFonts w:asciiTheme="minorHAnsi" w:eastAsiaTheme="minorEastAsia" w:hAnsiTheme="minorHAnsi" w:cstheme="minorBidi"/>
                <w:noProof/>
                <w:color w:val="auto"/>
                <w:sz w:val="22"/>
              </w:rPr>
              <w:tab/>
            </w:r>
            <w:r w:rsidR="00C25C34" w:rsidRPr="003346F4">
              <w:rPr>
                <w:rStyle w:val="Hyperlink"/>
                <w:noProof/>
              </w:rPr>
              <w:t>Setting the Energy Savings Target</w:t>
            </w:r>
            <w:r w:rsidR="00C25C34">
              <w:rPr>
                <w:noProof/>
                <w:webHidden/>
              </w:rPr>
              <w:tab/>
            </w:r>
            <w:r w:rsidR="00C25C34">
              <w:rPr>
                <w:noProof/>
                <w:webHidden/>
              </w:rPr>
              <w:fldChar w:fldCharType="begin"/>
            </w:r>
            <w:r w:rsidR="00C25C34">
              <w:rPr>
                <w:noProof/>
                <w:webHidden/>
              </w:rPr>
              <w:instrText xml:space="preserve"> PAGEREF _Toc138754920 \h </w:instrText>
            </w:r>
            <w:r w:rsidR="00C25C34">
              <w:rPr>
                <w:noProof/>
                <w:webHidden/>
              </w:rPr>
            </w:r>
            <w:r w:rsidR="00C25C34">
              <w:rPr>
                <w:noProof/>
                <w:webHidden/>
              </w:rPr>
              <w:fldChar w:fldCharType="separate"/>
            </w:r>
            <w:r w:rsidR="00B11B9F">
              <w:rPr>
                <w:noProof/>
                <w:webHidden/>
              </w:rPr>
              <w:t>5</w:t>
            </w:r>
            <w:r w:rsidR="00C25C34">
              <w:rPr>
                <w:noProof/>
                <w:webHidden/>
              </w:rPr>
              <w:fldChar w:fldCharType="end"/>
            </w:r>
          </w:hyperlink>
        </w:p>
        <w:p w14:paraId="7B9AA87B" w14:textId="1385B7D2"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1" w:history="1">
            <w:r w:rsidR="00C25C34" w:rsidRPr="003346F4">
              <w:rPr>
                <w:rStyle w:val="Hyperlink"/>
                <w:noProof/>
              </w:rPr>
              <w:t>5.2</w:t>
            </w:r>
            <w:r w:rsidR="00C25C34">
              <w:rPr>
                <w:rFonts w:asciiTheme="minorHAnsi" w:eastAsiaTheme="minorEastAsia" w:hAnsiTheme="minorHAnsi" w:cstheme="minorBidi"/>
                <w:noProof/>
                <w:color w:val="auto"/>
                <w:sz w:val="22"/>
              </w:rPr>
              <w:tab/>
            </w:r>
            <w:r w:rsidR="00C25C34" w:rsidRPr="003346F4">
              <w:rPr>
                <w:rStyle w:val="Hyperlink"/>
                <w:noProof/>
              </w:rPr>
              <w:t>Pass-through costs</w:t>
            </w:r>
            <w:r w:rsidR="00C25C34">
              <w:rPr>
                <w:noProof/>
                <w:webHidden/>
              </w:rPr>
              <w:tab/>
            </w:r>
            <w:r w:rsidR="00C25C34">
              <w:rPr>
                <w:noProof/>
                <w:webHidden/>
              </w:rPr>
              <w:fldChar w:fldCharType="begin"/>
            </w:r>
            <w:r w:rsidR="00C25C34">
              <w:rPr>
                <w:noProof/>
                <w:webHidden/>
              </w:rPr>
              <w:instrText xml:space="preserve"> PAGEREF _Toc138754921 \h </w:instrText>
            </w:r>
            <w:r w:rsidR="00C25C34">
              <w:rPr>
                <w:noProof/>
                <w:webHidden/>
              </w:rPr>
            </w:r>
            <w:r w:rsidR="00C25C34">
              <w:rPr>
                <w:noProof/>
                <w:webHidden/>
              </w:rPr>
              <w:fldChar w:fldCharType="separate"/>
            </w:r>
            <w:r w:rsidR="00B11B9F">
              <w:rPr>
                <w:noProof/>
                <w:webHidden/>
              </w:rPr>
              <w:t>5</w:t>
            </w:r>
            <w:r w:rsidR="00C25C34">
              <w:rPr>
                <w:noProof/>
                <w:webHidden/>
              </w:rPr>
              <w:fldChar w:fldCharType="end"/>
            </w:r>
          </w:hyperlink>
        </w:p>
        <w:p w14:paraId="773E6DE4" w14:textId="3E9BF432"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2" w:history="1">
            <w:r w:rsidR="00C25C34" w:rsidRPr="003346F4">
              <w:rPr>
                <w:rStyle w:val="Hyperlink"/>
                <w:noProof/>
              </w:rPr>
              <w:t>5.3</w:t>
            </w:r>
            <w:r w:rsidR="00C25C34">
              <w:rPr>
                <w:rFonts w:asciiTheme="minorHAnsi" w:eastAsiaTheme="minorEastAsia" w:hAnsiTheme="minorHAnsi" w:cstheme="minorBidi"/>
                <w:noProof/>
                <w:color w:val="auto"/>
                <w:sz w:val="22"/>
              </w:rPr>
              <w:tab/>
            </w:r>
            <w:r w:rsidR="00C25C34" w:rsidRPr="003346F4">
              <w:rPr>
                <w:rStyle w:val="Hyperlink"/>
                <w:noProof/>
              </w:rPr>
              <w:t>Setting the Energy Savings Contribution</w:t>
            </w:r>
            <w:r w:rsidR="00C25C34">
              <w:rPr>
                <w:noProof/>
                <w:webHidden/>
              </w:rPr>
              <w:tab/>
            </w:r>
            <w:r w:rsidR="00C25C34">
              <w:rPr>
                <w:noProof/>
                <w:webHidden/>
              </w:rPr>
              <w:fldChar w:fldCharType="begin"/>
            </w:r>
            <w:r w:rsidR="00C25C34">
              <w:rPr>
                <w:noProof/>
                <w:webHidden/>
              </w:rPr>
              <w:instrText xml:space="preserve"> PAGEREF _Toc138754922 \h </w:instrText>
            </w:r>
            <w:r w:rsidR="00C25C34">
              <w:rPr>
                <w:noProof/>
                <w:webHidden/>
              </w:rPr>
            </w:r>
            <w:r w:rsidR="00C25C34">
              <w:rPr>
                <w:noProof/>
                <w:webHidden/>
              </w:rPr>
              <w:fldChar w:fldCharType="separate"/>
            </w:r>
            <w:r w:rsidR="00B11B9F">
              <w:rPr>
                <w:noProof/>
                <w:webHidden/>
              </w:rPr>
              <w:t>6</w:t>
            </w:r>
            <w:r w:rsidR="00C25C34">
              <w:rPr>
                <w:noProof/>
                <w:webHidden/>
              </w:rPr>
              <w:fldChar w:fldCharType="end"/>
            </w:r>
          </w:hyperlink>
        </w:p>
        <w:p w14:paraId="310AC3BB" w14:textId="08F2F585"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3" w:history="1">
            <w:r w:rsidR="00C25C34" w:rsidRPr="003346F4">
              <w:rPr>
                <w:rStyle w:val="Hyperlink"/>
                <w:noProof/>
              </w:rPr>
              <w:t>5.4</w:t>
            </w:r>
            <w:r w:rsidR="00C25C34">
              <w:rPr>
                <w:rFonts w:asciiTheme="minorHAnsi" w:eastAsiaTheme="minorEastAsia" w:hAnsiTheme="minorHAnsi" w:cstheme="minorBidi"/>
                <w:noProof/>
                <w:color w:val="auto"/>
                <w:sz w:val="22"/>
              </w:rPr>
              <w:tab/>
            </w:r>
            <w:r w:rsidR="00C25C34" w:rsidRPr="003346F4">
              <w:rPr>
                <w:rStyle w:val="Hyperlink"/>
                <w:noProof/>
              </w:rPr>
              <w:t>Setting Penalties for Noncompliance</w:t>
            </w:r>
            <w:r w:rsidR="00C25C34">
              <w:rPr>
                <w:noProof/>
                <w:webHidden/>
              </w:rPr>
              <w:tab/>
            </w:r>
            <w:r w:rsidR="00C25C34">
              <w:rPr>
                <w:noProof/>
                <w:webHidden/>
              </w:rPr>
              <w:fldChar w:fldCharType="begin"/>
            </w:r>
            <w:r w:rsidR="00C25C34">
              <w:rPr>
                <w:noProof/>
                <w:webHidden/>
              </w:rPr>
              <w:instrText xml:space="preserve"> PAGEREF _Toc138754923 \h </w:instrText>
            </w:r>
            <w:r w:rsidR="00C25C34">
              <w:rPr>
                <w:noProof/>
                <w:webHidden/>
              </w:rPr>
            </w:r>
            <w:r w:rsidR="00C25C34">
              <w:rPr>
                <w:noProof/>
                <w:webHidden/>
              </w:rPr>
              <w:fldChar w:fldCharType="separate"/>
            </w:r>
            <w:r w:rsidR="00B11B9F">
              <w:rPr>
                <w:noProof/>
                <w:webHidden/>
              </w:rPr>
              <w:t>6</w:t>
            </w:r>
            <w:r w:rsidR="00C25C34">
              <w:rPr>
                <w:noProof/>
                <w:webHidden/>
              </w:rPr>
              <w:fldChar w:fldCharType="end"/>
            </w:r>
          </w:hyperlink>
        </w:p>
        <w:p w14:paraId="0503B92D" w14:textId="63F19850"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4" w:history="1">
            <w:r w:rsidR="00C25C34" w:rsidRPr="003346F4">
              <w:rPr>
                <w:rStyle w:val="Hyperlink"/>
                <w:noProof/>
              </w:rPr>
              <w:t>5.5</w:t>
            </w:r>
            <w:r w:rsidR="00C25C34">
              <w:rPr>
                <w:rFonts w:asciiTheme="minorHAnsi" w:eastAsiaTheme="minorEastAsia" w:hAnsiTheme="minorHAnsi" w:cstheme="minorBidi"/>
                <w:noProof/>
                <w:color w:val="auto"/>
                <w:sz w:val="22"/>
              </w:rPr>
              <w:tab/>
            </w:r>
            <w:r w:rsidR="00C25C34" w:rsidRPr="003346F4">
              <w:rPr>
                <w:rStyle w:val="Hyperlink"/>
                <w:noProof/>
              </w:rPr>
              <w:t>Summary of proposed key Scheme parameters</w:t>
            </w:r>
            <w:r w:rsidR="00C25C34">
              <w:rPr>
                <w:noProof/>
                <w:webHidden/>
              </w:rPr>
              <w:tab/>
            </w:r>
            <w:r w:rsidR="00C25C34">
              <w:rPr>
                <w:noProof/>
                <w:webHidden/>
              </w:rPr>
              <w:fldChar w:fldCharType="begin"/>
            </w:r>
            <w:r w:rsidR="00C25C34">
              <w:rPr>
                <w:noProof/>
                <w:webHidden/>
              </w:rPr>
              <w:instrText xml:space="preserve"> PAGEREF _Toc138754924 \h </w:instrText>
            </w:r>
            <w:r w:rsidR="00C25C34">
              <w:rPr>
                <w:noProof/>
                <w:webHidden/>
              </w:rPr>
            </w:r>
            <w:r w:rsidR="00C25C34">
              <w:rPr>
                <w:noProof/>
                <w:webHidden/>
              </w:rPr>
              <w:fldChar w:fldCharType="separate"/>
            </w:r>
            <w:r w:rsidR="00B11B9F">
              <w:rPr>
                <w:noProof/>
                <w:webHidden/>
              </w:rPr>
              <w:t>6</w:t>
            </w:r>
            <w:r w:rsidR="00C25C34">
              <w:rPr>
                <w:noProof/>
                <w:webHidden/>
              </w:rPr>
              <w:fldChar w:fldCharType="end"/>
            </w:r>
          </w:hyperlink>
        </w:p>
        <w:p w14:paraId="7AE39776" w14:textId="767CDA5D"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25" w:history="1">
            <w:r w:rsidR="00C25C34" w:rsidRPr="003346F4">
              <w:rPr>
                <w:rStyle w:val="Hyperlink"/>
                <w:noProof/>
              </w:rPr>
              <w:t>6.</w:t>
            </w:r>
            <w:r w:rsidR="00C25C34">
              <w:rPr>
                <w:rFonts w:asciiTheme="minorHAnsi" w:eastAsiaTheme="minorEastAsia" w:hAnsiTheme="minorHAnsi" w:cstheme="minorBidi"/>
                <w:noProof/>
                <w:color w:val="auto"/>
                <w:sz w:val="22"/>
              </w:rPr>
              <w:tab/>
            </w:r>
            <w:r w:rsidR="00C25C34" w:rsidRPr="003346F4">
              <w:rPr>
                <w:rStyle w:val="Hyperlink"/>
                <w:noProof/>
              </w:rPr>
              <w:t>Strategy for further implementation, review and consultation</w:t>
            </w:r>
            <w:r w:rsidR="00C25C34">
              <w:rPr>
                <w:noProof/>
                <w:webHidden/>
              </w:rPr>
              <w:tab/>
            </w:r>
            <w:r w:rsidR="00C25C34">
              <w:rPr>
                <w:noProof/>
                <w:webHidden/>
              </w:rPr>
              <w:fldChar w:fldCharType="begin"/>
            </w:r>
            <w:r w:rsidR="00C25C34">
              <w:rPr>
                <w:noProof/>
                <w:webHidden/>
              </w:rPr>
              <w:instrText xml:space="preserve"> PAGEREF _Toc138754925 \h </w:instrText>
            </w:r>
            <w:r w:rsidR="00C25C34">
              <w:rPr>
                <w:noProof/>
                <w:webHidden/>
              </w:rPr>
            </w:r>
            <w:r w:rsidR="00C25C34">
              <w:rPr>
                <w:noProof/>
                <w:webHidden/>
              </w:rPr>
              <w:fldChar w:fldCharType="separate"/>
            </w:r>
            <w:r w:rsidR="00B11B9F">
              <w:rPr>
                <w:noProof/>
                <w:webHidden/>
              </w:rPr>
              <w:t>7</w:t>
            </w:r>
            <w:r w:rsidR="00C25C34">
              <w:rPr>
                <w:noProof/>
                <w:webHidden/>
              </w:rPr>
              <w:fldChar w:fldCharType="end"/>
            </w:r>
          </w:hyperlink>
        </w:p>
        <w:p w14:paraId="083678D7" w14:textId="49EBF904"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26" w:history="1">
            <w:r w:rsidR="00C25C34" w:rsidRPr="003346F4">
              <w:rPr>
                <w:rStyle w:val="Hyperlink"/>
                <w:noProof/>
              </w:rPr>
              <w:t>7.</w:t>
            </w:r>
            <w:r w:rsidR="00C25C34">
              <w:rPr>
                <w:rFonts w:asciiTheme="minorHAnsi" w:eastAsiaTheme="minorEastAsia" w:hAnsiTheme="minorHAnsi" w:cstheme="minorBidi"/>
                <w:noProof/>
                <w:color w:val="auto"/>
                <w:sz w:val="22"/>
              </w:rPr>
              <w:tab/>
            </w:r>
            <w:r w:rsidR="00C25C34" w:rsidRPr="003346F4">
              <w:rPr>
                <w:rStyle w:val="Hyperlink"/>
                <w:noProof/>
              </w:rPr>
              <w:t>Complementarity</w:t>
            </w:r>
            <w:r w:rsidR="00C25C34">
              <w:rPr>
                <w:noProof/>
                <w:webHidden/>
              </w:rPr>
              <w:tab/>
            </w:r>
            <w:r w:rsidR="00C25C34">
              <w:rPr>
                <w:noProof/>
                <w:webHidden/>
              </w:rPr>
              <w:fldChar w:fldCharType="begin"/>
            </w:r>
            <w:r w:rsidR="00C25C34">
              <w:rPr>
                <w:noProof/>
                <w:webHidden/>
              </w:rPr>
              <w:instrText xml:space="preserve"> PAGEREF _Toc138754926 \h </w:instrText>
            </w:r>
            <w:r w:rsidR="00C25C34">
              <w:rPr>
                <w:noProof/>
                <w:webHidden/>
              </w:rPr>
            </w:r>
            <w:r w:rsidR="00C25C34">
              <w:rPr>
                <w:noProof/>
                <w:webHidden/>
              </w:rPr>
              <w:fldChar w:fldCharType="separate"/>
            </w:r>
            <w:r w:rsidR="00B11B9F">
              <w:rPr>
                <w:noProof/>
                <w:webHidden/>
              </w:rPr>
              <w:t>7</w:t>
            </w:r>
            <w:r w:rsidR="00C25C34">
              <w:rPr>
                <w:noProof/>
                <w:webHidden/>
              </w:rPr>
              <w:fldChar w:fldCharType="end"/>
            </w:r>
          </w:hyperlink>
        </w:p>
        <w:p w14:paraId="2CC68408" w14:textId="106187DF"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27" w:history="1">
            <w:r w:rsidR="00C25C34" w:rsidRPr="003346F4">
              <w:rPr>
                <w:rStyle w:val="Hyperlink"/>
                <w:noProof/>
              </w:rPr>
              <w:t>8.</w:t>
            </w:r>
            <w:r w:rsidR="00C25C34">
              <w:rPr>
                <w:rFonts w:asciiTheme="minorHAnsi" w:eastAsiaTheme="minorEastAsia" w:hAnsiTheme="minorHAnsi" w:cstheme="minorBidi"/>
                <w:noProof/>
                <w:color w:val="auto"/>
                <w:sz w:val="22"/>
              </w:rPr>
              <w:tab/>
            </w:r>
            <w:r w:rsidR="00C25C34" w:rsidRPr="003346F4">
              <w:rPr>
                <w:rStyle w:val="Hyperlink"/>
                <w:noProof/>
              </w:rPr>
              <w:t>Human rights</w:t>
            </w:r>
            <w:r w:rsidR="00C25C34">
              <w:rPr>
                <w:noProof/>
                <w:webHidden/>
              </w:rPr>
              <w:tab/>
            </w:r>
            <w:r w:rsidR="00C25C34">
              <w:rPr>
                <w:noProof/>
                <w:webHidden/>
              </w:rPr>
              <w:fldChar w:fldCharType="begin"/>
            </w:r>
            <w:r w:rsidR="00C25C34">
              <w:rPr>
                <w:noProof/>
                <w:webHidden/>
              </w:rPr>
              <w:instrText xml:space="preserve"> PAGEREF _Toc138754927 \h </w:instrText>
            </w:r>
            <w:r w:rsidR="00C25C34">
              <w:rPr>
                <w:noProof/>
                <w:webHidden/>
              </w:rPr>
            </w:r>
            <w:r w:rsidR="00C25C34">
              <w:rPr>
                <w:noProof/>
                <w:webHidden/>
              </w:rPr>
              <w:fldChar w:fldCharType="separate"/>
            </w:r>
            <w:r w:rsidR="00B11B9F">
              <w:rPr>
                <w:noProof/>
                <w:webHidden/>
              </w:rPr>
              <w:t>7</w:t>
            </w:r>
            <w:r w:rsidR="00C25C34">
              <w:rPr>
                <w:noProof/>
                <w:webHidden/>
              </w:rPr>
              <w:fldChar w:fldCharType="end"/>
            </w:r>
          </w:hyperlink>
        </w:p>
        <w:p w14:paraId="56C3FC06" w14:textId="4A06F170" w:rsidR="00C25C34" w:rsidRDefault="00D17CB7">
          <w:pPr>
            <w:pStyle w:val="TOC1"/>
            <w:tabs>
              <w:tab w:val="left" w:pos="440"/>
              <w:tab w:val="right" w:leader="dot" w:pos="9008"/>
            </w:tabs>
            <w:rPr>
              <w:rFonts w:asciiTheme="minorHAnsi" w:eastAsiaTheme="minorEastAsia" w:hAnsiTheme="minorHAnsi" w:cstheme="minorBidi"/>
              <w:noProof/>
              <w:color w:val="auto"/>
              <w:sz w:val="22"/>
            </w:rPr>
          </w:pPr>
          <w:hyperlink w:anchor="_Toc138754928" w:history="1">
            <w:r w:rsidR="00C25C34" w:rsidRPr="003346F4">
              <w:rPr>
                <w:rStyle w:val="Hyperlink"/>
                <w:noProof/>
              </w:rPr>
              <w:t>9.</w:t>
            </w:r>
            <w:r w:rsidR="00C25C34">
              <w:rPr>
                <w:rFonts w:asciiTheme="minorHAnsi" w:eastAsiaTheme="minorEastAsia" w:hAnsiTheme="minorHAnsi" w:cstheme="minorBidi"/>
                <w:noProof/>
                <w:color w:val="auto"/>
                <w:sz w:val="22"/>
              </w:rPr>
              <w:tab/>
            </w:r>
            <w:r w:rsidR="00C25C34" w:rsidRPr="003346F4">
              <w:rPr>
                <w:rStyle w:val="Hyperlink"/>
                <w:noProof/>
              </w:rPr>
              <w:t>Assessment of the consistency of the proposed law with Scrutiny of Bills</w:t>
            </w:r>
            <w:r w:rsidR="00C25C34">
              <w:rPr>
                <w:noProof/>
                <w:webHidden/>
              </w:rPr>
              <w:tab/>
            </w:r>
            <w:r w:rsidR="00C25C34">
              <w:rPr>
                <w:noProof/>
                <w:webHidden/>
              </w:rPr>
              <w:fldChar w:fldCharType="begin"/>
            </w:r>
            <w:r w:rsidR="00C25C34">
              <w:rPr>
                <w:noProof/>
                <w:webHidden/>
              </w:rPr>
              <w:instrText xml:space="preserve"> PAGEREF _Toc138754928 \h </w:instrText>
            </w:r>
            <w:r w:rsidR="00C25C34">
              <w:rPr>
                <w:noProof/>
                <w:webHidden/>
              </w:rPr>
            </w:r>
            <w:r w:rsidR="00C25C34">
              <w:rPr>
                <w:noProof/>
                <w:webHidden/>
              </w:rPr>
              <w:fldChar w:fldCharType="separate"/>
            </w:r>
            <w:r w:rsidR="00B11B9F">
              <w:rPr>
                <w:noProof/>
                <w:webHidden/>
              </w:rPr>
              <w:t>8</w:t>
            </w:r>
            <w:r w:rsidR="00C25C34">
              <w:rPr>
                <w:noProof/>
                <w:webHidden/>
              </w:rPr>
              <w:fldChar w:fldCharType="end"/>
            </w:r>
          </w:hyperlink>
        </w:p>
        <w:p w14:paraId="37A85935" w14:textId="6B381D33" w:rsidR="00C25C34" w:rsidRDefault="00D17CB7">
          <w:pPr>
            <w:pStyle w:val="TOC2"/>
            <w:tabs>
              <w:tab w:val="left" w:pos="880"/>
              <w:tab w:val="right" w:leader="dot" w:pos="9008"/>
            </w:tabs>
            <w:rPr>
              <w:rFonts w:asciiTheme="minorHAnsi" w:eastAsiaTheme="minorEastAsia" w:hAnsiTheme="minorHAnsi" w:cstheme="minorBidi"/>
              <w:noProof/>
              <w:color w:val="auto"/>
              <w:sz w:val="22"/>
            </w:rPr>
          </w:pPr>
          <w:hyperlink w:anchor="_Toc138754929" w:history="1">
            <w:r w:rsidR="00C25C34" w:rsidRPr="003346F4">
              <w:rPr>
                <w:rStyle w:val="Hyperlink"/>
                <w:noProof/>
              </w:rPr>
              <w:t>9.1</w:t>
            </w:r>
            <w:r w:rsidR="00C25C34">
              <w:rPr>
                <w:rFonts w:asciiTheme="minorHAnsi" w:eastAsiaTheme="minorEastAsia" w:hAnsiTheme="minorHAnsi" w:cstheme="minorBidi"/>
                <w:noProof/>
                <w:color w:val="auto"/>
                <w:sz w:val="22"/>
              </w:rPr>
              <w:tab/>
            </w:r>
            <w:r w:rsidR="00C25C34" w:rsidRPr="003346F4">
              <w:rPr>
                <w:rStyle w:val="Hyperlink"/>
                <w:noProof/>
              </w:rPr>
              <w:t>Committee principles</w:t>
            </w:r>
            <w:r w:rsidR="00C25C34">
              <w:rPr>
                <w:noProof/>
                <w:webHidden/>
              </w:rPr>
              <w:tab/>
            </w:r>
            <w:r w:rsidR="00C25C34">
              <w:rPr>
                <w:noProof/>
                <w:webHidden/>
              </w:rPr>
              <w:fldChar w:fldCharType="begin"/>
            </w:r>
            <w:r w:rsidR="00C25C34">
              <w:rPr>
                <w:noProof/>
                <w:webHidden/>
              </w:rPr>
              <w:instrText xml:space="preserve"> PAGEREF _Toc138754929 \h </w:instrText>
            </w:r>
            <w:r w:rsidR="00C25C34">
              <w:rPr>
                <w:noProof/>
                <w:webHidden/>
              </w:rPr>
            </w:r>
            <w:r w:rsidR="00C25C34">
              <w:rPr>
                <w:noProof/>
                <w:webHidden/>
              </w:rPr>
              <w:fldChar w:fldCharType="separate"/>
            </w:r>
            <w:r w:rsidR="00B11B9F">
              <w:rPr>
                <w:noProof/>
                <w:webHidden/>
              </w:rPr>
              <w:t>8</w:t>
            </w:r>
            <w:r w:rsidR="00C25C34">
              <w:rPr>
                <w:noProof/>
                <w:webHidden/>
              </w:rPr>
              <w:fldChar w:fldCharType="end"/>
            </w:r>
          </w:hyperlink>
        </w:p>
        <w:p w14:paraId="507316BA" w14:textId="76E56AB9" w:rsidR="00C25C34" w:rsidRDefault="00D17CB7">
          <w:pPr>
            <w:pStyle w:val="TOC1"/>
            <w:tabs>
              <w:tab w:val="left" w:pos="660"/>
              <w:tab w:val="right" w:leader="dot" w:pos="9008"/>
            </w:tabs>
            <w:rPr>
              <w:rFonts w:asciiTheme="minorHAnsi" w:eastAsiaTheme="minorEastAsia" w:hAnsiTheme="minorHAnsi" w:cstheme="minorBidi"/>
              <w:noProof/>
              <w:color w:val="auto"/>
              <w:sz w:val="22"/>
            </w:rPr>
          </w:pPr>
          <w:hyperlink w:anchor="_Toc138754930" w:history="1">
            <w:r w:rsidR="00C25C34" w:rsidRPr="003346F4">
              <w:rPr>
                <w:rStyle w:val="Hyperlink"/>
                <w:noProof/>
              </w:rPr>
              <w:t>10.</w:t>
            </w:r>
            <w:r w:rsidR="00C25C34">
              <w:rPr>
                <w:rFonts w:asciiTheme="minorHAnsi" w:eastAsiaTheme="minorEastAsia" w:hAnsiTheme="minorHAnsi" w:cstheme="minorBidi"/>
                <w:noProof/>
                <w:color w:val="auto"/>
                <w:sz w:val="22"/>
              </w:rPr>
              <w:tab/>
            </w:r>
            <w:r w:rsidR="00C25C34" w:rsidRPr="003346F4">
              <w:rPr>
                <w:rStyle w:val="Hyperlink"/>
                <w:noProof/>
              </w:rPr>
              <w:t>Conclusion</w:t>
            </w:r>
            <w:r w:rsidR="00C25C34">
              <w:rPr>
                <w:noProof/>
                <w:webHidden/>
              </w:rPr>
              <w:tab/>
            </w:r>
            <w:r w:rsidR="00C25C34">
              <w:rPr>
                <w:noProof/>
                <w:webHidden/>
              </w:rPr>
              <w:fldChar w:fldCharType="begin"/>
            </w:r>
            <w:r w:rsidR="00C25C34">
              <w:rPr>
                <w:noProof/>
                <w:webHidden/>
              </w:rPr>
              <w:instrText xml:space="preserve"> PAGEREF _Toc138754930 \h </w:instrText>
            </w:r>
            <w:r w:rsidR="00C25C34">
              <w:rPr>
                <w:noProof/>
                <w:webHidden/>
              </w:rPr>
            </w:r>
            <w:r w:rsidR="00C25C34">
              <w:rPr>
                <w:noProof/>
                <w:webHidden/>
              </w:rPr>
              <w:fldChar w:fldCharType="separate"/>
            </w:r>
            <w:r w:rsidR="00B11B9F">
              <w:rPr>
                <w:noProof/>
                <w:webHidden/>
              </w:rPr>
              <w:t>9</w:t>
            </w:r>
            <w:r w:rsidR="00C25C34">
              <w:rPr>
                <w:noProof/>
                <w:webHidden/>
              </w:rPr>
              <w:fldChar w:fldCharType="end"/>
            </w:r>
          </w:hyperlink>
        </w:p>
        <w:p w14:paraId="0177701D" w14:textId="6A3BBA8E" w:rsidR="00795996" w:rsidRDefault="00521E20">
          <w:r>
            <w:fldChar w:fldCharType="end"/>
          </w:r>
        </w:p>
      </w:sdtContent>
    </w:sdt>
    <w:p w14:paraId="26119D03" w14:textId="77777777" w:rsidR="005D5DC4" w:rsidRDefault="005D5DC4">
      <w:pPr>
        <w:spacing w:after="160" w:line="259" w:lineRule="auto"/>
        <w:ind w:left="0" w:firstLine="0"/>
      </w:pPr>
      <w:r>
        <w:br w:type="page"/>
      </w:r>
    </w:p>
    <w:p w14:paraId="6283ADC2" w14:textId="77777777" w:rsidR="00795996" w:rsidRDefault="00521E20" w:rsidP="007F76E5">
      <w:pPr>
        <w:pStyle w:val="Heading1"/>
        <w:ind w:left="426" w:hanging="426"/>
      </w:pPr>
      <w:bookmarkStart w:id="0" w:name="_Toc138754915"/>
      <w:r>
        <w:lastRenderedPageBreak/>
        <w:t>Executive summary</w:t>
      </w:r>
      <w:bookmarkEnd w:id="0"/>
      <w:r>
        <w:t xml:space="preserve"> </w:t>
      </w:r>
    </w:p>
    <w:p w14:paraId="70ADE41C" w14:textId="77777777" w:rsidR="00795996" w:rsidRDefault="00521E20">
      <w:pPr>
        <w:spacing w:after="11" w:line="267" w:lineRule="auto"/>
        <w:ind w:left="0" w:firstLine="0"/>
      </w:pPr>
      <w:r>
        <w:t xml:space="preserve">The </w:t>
      </w:r>
      <w:r>
        <w:rPr>
          <w:i/>
        </w:rPr>
        <w:t>Energy Efficiency (Cost of Living) Improvement Act 2012</w:t>
      </w:r>
      <w:r>
        <w:t xml:space="preserve"> (the Act) establishes the </w:t>
      </w:r>
    </w:p>
    <w:p w14:paraId="706C479B" w14:textId="67F0A883" w:rsidR="00795996" w:rsidRDefault="00521E20" w:rsidP="00343627">
      <w:pPr>
        <w:spacing w:after="206" w:line="271" w:lineRule="auto"/>
        <w:ind w:left="5" w:hanging="11"/>
      </w:pPr>
      <w:r>
        <w:t xml:space="preserve">Australian Capital Territory’s (ACT’s) Energy Efficiency Improvement Scheme (EEIS/the ‘Scheme’), which aims to encourage the efficient use of energy; reduce greenhouse gas emissions associated with energy use in the Territory; reduce household and small to medium sized business energy use and costs; and increase opportunities for priority households to reduce energy use and costs. The EEIS establishes a Territory-wide </w:t>
      </w:r>
      <w:r w:rsidR="007E6694">
        <w:t>e</w:t>
      </w:r>
      <w:r>
        <w:t xml:space="preserve">nergy </w:t>
      </w:r>
      <w:r w:rsidR="007E6694">
        <w:t>s</w:t>
      </w:r>
      <w:r>
        <w:t xml:space="preserve">avings </w:t>
      </w:r>
      <w:r w:rsidR="007E6694">
        <w:t>t</w:t>
      </w:r>
      <w:r>
        <w:t xml:space="preserve">arget (EST), defined as a proportion of a retailer’s total electricity sales in the ACT. </w:t>
      </w:r>
    </w:p>
    <w:p w14:paraId="05040165" w14:textId="7B38B344" w:rsidR="00795996" w:rsidRDefault="00521E20" w:rsidP="00F26546">
      <w:pPr>
        <w:spacing w:after="206" w:line="271" w:lineRule="auto"/>
        <w:ind w:left="5" w:hanging="11"/>
      </w:pPr>
      <w:r>
        <w:t>The Act requires electricity retailers to achieve energy savings by delivering eligible activities to households and small-to-medium businesses. Eligible activities are determined by the Minister and include insulation,</w:t>
      </w:r>
      <w:r w:rsidR="003A5D4C">
        <w:t xml:space="preserve"> draught sealing,</w:t>
      </w:r>
      <w:r>
        <w:t xml:space="preserve"> efficient space heating and cooling systems, water heaters and other items that reduce energy bills and provide energy savings while maintaining quality of life. </w:t>
      </w:r>
      <w:r w:rsidR="00D374BB">
        <w:t>EEIS</w:t>
      </w:r>
      <w:r>
        <w:t xml:space="preserve"> ‘</w:t>
      </w:r>
      <w:r w:rsidR="00F56330">
        <w:t>t</w:t>
      </w:r>
      <w:r>
        <w:t xml:space="preserve">ier 1’ retailers must deliver energy savings activities or acquire energy savings factors (ESFs) from Approved Energy Savings Providers (AESPs), </w:t>
      </w:r>
      <w:r w:rsidR="00D374BB">
        <w:t>while</w:t>
      </w:r>
      <w:r>
        <w:t xml:space="preserve"> ‘</w:t>
      </w:r>
      <w:r w:rsidR="00F56330">
        <w:t>t</w:t>
      </w:r>
      <w:r>
        <w:t xml:space="preserve">ier 2’ retailers can either deliver eligible activities, acquire ESFs from AESPs, or opt to pay an Energy Savings Contribution (ESC). </w:t>
      </w:r>
      <w:bookmarkStart w:id="1" w:name="_Hlk172209106"/>
      <w:r>
        <w:t>Any retailer that fails to meet its obligations under the Scheme within a given compliance period is required to pay a ‘</w:t>
      </w:r>
      <w:r w:rsidR="007E6694">
        <w:t>s</w:t>
      </w:r>
      <w:r>
        <w:t xml:space="preserve">hortfall </w:t>
      </w:r>
      <w:r w:rsidR="007E6694">
        <w:t>p</w:t>
      </w:r>
      <w:r>
        <w:t xml:space="preserve">enalty’. </w:t>
      </w:r>
      <w:bookmarkEnd w:id="1"/>
    </w:p>
    <w:p w14:paraId="38AAD7BE" w14:textId="1DE35F7C" w:rsidR="00795996" w:rsidRDefault="00521E20" w:rsidP="007F76E5">
      <w:pPr>
        <w:spacing w:after="206"/>
        <w:ind w:left="7"/>
      </w:pPr>
      <w:r>
        <w:t xml:space="preserve">This Regulatory Impact Statement (RIS) was prepared in accordance with Part 5.2 of the </w:t>
      </w:r>
      <w:r>
        <w:rPr>
          <w:i/>
        </w:rPr>
        <w:t>Legislation Act 2001</w:t>
      </w:r>
      <w:r>
        <w:t>. The specific proposal considered in this document is for the following Scheme parameters to be set by the Minister for Water, Energy and Emissions Reduction in disallowable instruments for the 202</w:t>
      </w:r>
      <w:r w:rsidR="00343627">
        <w:t>5</w:t>
      </w:r>
      <w:r>
        <w:t xml:space="preserve"> compliance period: </w:t>
      </w:r>
    </w:p>
    <w:p w14:paraId="0D237403" w14:textId="77777777" w:rsidR="00795996" w:rsidRDefault="00521E20" w:rsidP="007F76E5">
      <w:pPr>
        <w:numPr>
          <w:ilvl w:val="0"/>
          <w:numId w:val="1"/>
        </w:numPr>
        <w:spacing w:after="0" w:line="240" w:lineRule="auto"/>
        <w:ind w:left="709" w:hanging="357"/>
      </w:pPr>
      <w:r>
        <w:t xml:space="preserve">Energy Savings Target at 14.6%  </w:t>
      </w:r>
    </w:p>
    <w:p w14:paraId="24263E5B" w14:textId="77777777" w:rsidR="00795996" w:rsidRDefault="00521E20" w:rsidP="007F76E5">
      <w:pPr>
        <w:numPr>
          <w:ilvl w:val="0"/>
          <w:numId w:val="1"/>
        </w:numPr>
        <w:spacing w:after="0" w:line="240" w:lineRule="auto"/>
        <w:ind w:left="709" w:hanging="357"/>
      </w:pPr>
      <w:r>
        <w:t xml:space="preserve">Energy Savings Contribution at $27.43/MWh, and </w:t>
      </w:r>
    </w:p>
    <w:p w14:paraId="6A32E36D" w14:textId="77777777" w:rsidR="00795996" w:rsidRDefault="00521E20" w:rsidP="007F76E5">
      <w:pPr>
        <w:numPr>
          <w:ilvl w:val="0"/>
          <w:numId w:val="1"/>
        </w:numPr>
        <w:spacing w:after="206" w:line="240" w:lineRule="auto"/>
        <w:ind w:left="709" w:hanging="357"/>
      </w:pPr>
      <w:r>
        <w:t xml:space="preserve">Shortfall Penalty at $71.32/MWh. </w:t>
      </w:r>
    </w:p>
    <w:p w14:paraId="1D19E762" w14:textId="37B78905" w:rsidR="00795996" w:rsidRDefault="00521E20" w:rsidP="007F76E5">
      <w:pPr>
        <w:spacing w:after="206" w:line="259" w:lineRule="auto"/>
        <w:ind w:left="0" w:firstLine="0"/>
      </w:pPr>
      <w:r>
        <w:t>These parameters are set by the following disallowable instruments</w:t>
      </w:r>
      <w:r w:rsidR="00441DF2">
        <w:t xml:space="preserve"> (the determinations)</w:t>
      </w:r>
      <w:r>
        <w:t xml:space="preserve">: </w:t>
      </w:r>
    </w:p>
    <w:p w14:paraId="05CE64EF" w14:textId="4FF2E90B" w:rsidR="00795996" w:rsidRDefault="00521E20">
      <w:pPr>
        <w:numPr>
          <w:ilvl w:val="0"/>
          <w:numId w:val="1"/>
        </w:numPr>
        <w:spacing w:after="11" w:line="267" w:lineRule="auto"/>
        <w:ind w:hanging="360"/>
      </w:pPr>
      <w:r>
        <w:rPr>
          <w:i/>
        </w:rPr>
        <w:t>Energy Efficiency (Cost of Living) Improvement (Energy Savings Target) Determination 202</w:t>
      </w:r>
      <w:r w:rsidR="00343627">
        <w:rPr>
          <w:i/>
        </w:rPr>
        <w:t>4</w:t>
      </w:r>
      <w:r>
        <w:rPr>
          <w:i/>
        </w:rPr>
        <w:t xml:space="preserve"> </w:t>
      </w:r>
    </w:p>
    <w:p w14:paraId="5A02DF7E" w14:textId="4858B28C" w:rsidR="00795996" w:rsidRDefault="00521E20">
      <w:pPr>
        <w:numPr>
          <w:ilvl w:val="0"/>
          <w:numId w:val="1"/>
        </w:numPr>
        <w:spacing w:after="11" w:line="267" w:lineRule="auto"/>
        <w:ind w:hanging="360"/>
      </w:pPr>
      <w:r>
        <w:rPr>
          <w:i/>
        </w:rPr>
        <w:t>Energy Efficiency (Cost of Living) Improvement (Energy Savings Contribution) Determination 202</w:t>
      </w:r>
      <w:r w:rsidR="00343627">
        <w:rPr>
          <w:i/>
        </w:rPr>
        <w:t>4</w:t>
      </w:r>
      <w:r>
        <w:rPr>
          <w:i/>
        </w:rPr>
        <w:t xml:space="preserve"> </w:t>
      </w:r>
    </w:p>
    <w:p w14:paraId="3B44C73B" w14:textId="726A91BB" w:rsidR="00795996" w:rsidRDefault="00521E20" w:rsidP="00C25C34">
      <w:pPr>
        <w:numPr>
          <w:ilvl w:val="0"/>
          <w:numId w:val="1"/>
        </w:numPr>
        <w:spacing w:after="360" w:line="266" w:lineRule="auto"/>
        <w:ind w:left="709" w:hanging="357"/>
      </w:pPr>
      <w:r>
        <w:rPr>
          <w:i/>
        </w:rPr>
        <w:t>Energy Efficiency (Cost of Living) Improvement (</w:t>
      </w:r>
      <w:r w:rsidR="005D5DC4">
        <w:rPr>
          <w:i/>
        </w:rPr>
        <w:t>Penalties for noncompliance</w:t>
      </w:r>
      <w:r>
        <w:rPr>
          <w:i/>
        </w:rPr>
        <w:t>) Determination 202</w:t>
      </w:r>
      <w:r w:rsidR="00343627">
        <w:rPr>
          <w:i/>
        </w:rPr>
        <w:t>4</w:t>
      </w:r>
      <w:r>
        <w:rPr>
          <w:i/>
        </w:rPr>
        <w:t xml:space="preserve"> </w:t>
      </w:r>
    </w:p>
    <w:p w14:paraId="589BEFD5" w14:textId="77777777" w:rsidR="00795996" w:rsidRDefault="00521E20" w:rsidP="007F76E5">
      <w:pPr>
        <w:pStyle w:val="Heading1"/>
        <w:ind w:left="426" w:hanging="426"/>
      </w:pPr>
      <w:bookmarkStart w:id="2" w:name="_Toc138754916"/>
      <w:r>
        <w:t>The authorising law</w:t>
      </w:r>
      <w:bookmarkEnd w:id="2"/>
      <w:r>
        <w:t xml:space="preserve"> </w:t>
      </w:r>
    </w:p>
    <w:p w14:paraId="714CB091" w14:textId="1382DC21" w:rsidR="00795996" w:rsidRDefault="00521E20" w:rsidP="007F76E5">
      <w:pPr>
        <w:spacing w:after="206" w:line="271" w:lineRule="auto"/>
        <w:ind w:left="5" w:hanging="11"/>
      </w:pPr>
      <w:bookmarkStart w:id="3" w:name="_Hlk172209188"/>
      <w:r>
        <w:t xml:space="preserve">The EEIS is the ACT’s market-based Energy Efficiency Obligation (EEO) scheme established under the Act. </w:t>
      </w:r>
      <w:bookmarkEnd w:id="3"/>
      <w:r>
        <w:t>The Act was passed by the Legislative Assembly on 3 May 2012 and the Scheme is currently legislated to run until 31 December 2030. Under the Act, a</w:t>
      </w:r>
      <w:r w:rsidR="00F26546">
        <w:t>n</w:t>
      </w:r>
      <w:r>
        <w:t xml:space="preserve"> </w:t>
      </w:r>
      <w:r w:rsidR="007E6694">
        <w:t>e</w:t>
      </w:r>
      <w:r>
        <w:t xml:space="preserve">nergy </w:t>
      </w:r>
      <w:r w:rsidR="007E6694">
        <w:t>s</w:t>
      </w:r>
      <w:r>
        <w:t xml:space="preserve">avings </w:t>
      </w:r>
      <w:r w:rsidR="007E6694">
        <w:t>t</w:t>
      </w:r>
      <w:r>
        <w:t xml:space="preserve">arget (EST) is established, which determines the total energy savings to be achieved by individual retailers in a compliance period, expressed as a percentage of their total </w:t>
      </w:r>
      <w:r>
        <w:lastRenderedPageBreak/>
        <w:t xml:space="preserve">electricity sales in the ACT. A </w:t>
      </w:r>
      <w:r w:rsidR="007E6694">
        <w:t>r</w:t>
      </w:r>
      <w:r>
        <w:t xml:space="preserve">etailer’s </w:t>
      </w:r>
      <w:r w:rsidR="007E6694">
        <w:t>e</w:t>
      </w:r>
      <w:r>
        <w:t xml:space="preserve">nergy </w:t>
      </w:r>
      <w:r w:rsidR="007E6694">
        <w:t>s</w:t>
      </w:r>
      <w:r>
        <w:t xml:space="preserve">avings </w:t>
      </w:r>
      <w:r w:rsidR="007E6694">
        <w:t>o</w:t>
      </w:r>
      <w:r>
        <w:t xml:space="preserve">bligation (RESO) for a compliance period is calculated as follows: EST (%) x </w:t>
      </w:r>
      <w:r w:rsidR="007E6694">
        <w:t>e</w:t>
      </w:r>
      <w:r>
        <w:t xml:space="preserve">lectricity </w:t>
      </w:r>
      <w:r w:rsidR="007E6694">
        <w:t>s</w:t>
      </w:r>
      <w:r>
        <w:t xml:space="preserve">ales (in megawatt hours or MWh).  </w:t>
      </w:r>
    </w:p>
    <w:p w14:paraId="261EA3FD" w14:textId="61C9BA5F" w:rsidR="00795996" w:rsidRDefault="00521E20" w:rsidP="007F76E5">
      <w:pPr>
        <w:spacing w:after="206" w:line="271" w:lineRule="auto"/>
        <w:ind w:left="5" w:hanging="11"/>
      </w:pPr>
      <w:r>
        <w:t xml:space="preserve">Those </w:t>
      </w:r>
      <w:r w:rsidR="00F56330">
        <w:t>t</w:t>
      </w:r>
      <w:r>
        <w:t xml:space="preserve">ier 2 retailers that choose not to deliver energy savings activities or acquire ESFs are required to achieve their RESO through the payment of an </w:t>
      </w:r>
      <w:r w:rsidR="007E6694">
        <w:t>e</w:t>
      </w:r>
      <w:r>
        <w:t xml:space="preserve">nergy </w:t>
      </w:r>
      <w:r w:rsidR="007E6694">
        <w:t>s</w:t>
      </w:r>
      <w:r>
        <w:t xml:space="preserve">avings </w:t>
      </w:r>
      <w:r w:rsidR="007E6694">
        <w:t>c</w:t>
      </w:r>
      <w:r>
        <w:t xml:space="preserve">ontribution (ESC). In cases where a retailer fails to meet their RESO, a </w:t>
      </w:r>
      <w:r w:rsidR="007E6694">
        <w:t>s</w:t>
      </w:r>
      <w:r>
        <w:t xml:space="preserve">hortfall </w:t>
      </w:r>
      <w:r w:rsidR="007E6694">
        <w:t>p</w:t>
      </w:r>
      <w:r>
        <w:t xml:space="preserve">enalty applies.  </w:t>
      </w:r>
    </w:p>
    <w:p w14:paraId="0085D763" w14:textId="77777777" w:rsidR="00795996" w:rsidRDefault="00521E20" w:rsidP="00C25C34">
      <w:pPr>
        <w:spacing w:after="360" w:line="271" w:lineRule="auto"/>
        <w:ind w:left="5" w:hanging="11"/>
      </w:pPr>
      <w:r>
        <w:t xml:space="preserve">The specific level of each of these parameters may be set for several years in advance and reviewed and adjusted as needed. The EST must be determined by the Minister for Water, Energy and Emissions Reductions no later than six months before the commencement of the compliance period (by 30 June) if it increases; or no later than three months before the commencement of the compliance period (by 30 September) if there is no increase.  </w:t>
      </w:r>
    </w:p>
    <w:p w14:paraId="29A4A677" w14:textId="77777777" w:rsidR="00795996" w:rsidRDefault="00521E20" w:rsidP="007F76E5">
      <w:pPr>
        <w:pStyle w:val="Heading1"/>
        <w:ind w:left="426" w:hanging="426"/>
      </w:pPr>
      <w:bookmarkStart w:id="4" w:name="_Toc138754917"/>
      <w:r>
        <w:t>Policy objectives of the disallowable instruments</w:t>
      </w:r>
      <w:bookmarkEnd w:id="4"/>
      <w:r>
        <w:t xml:space="preserve"> </w:t>
      </w:r>
    </w:p>
    <w:p w14:paraId="2C92F13C" w14:textId="3DB75B69" w:rsidR="00795996" w:rsidRDefault="00521E20">
      <w:pPr>
        <w:spacing w:after="219"/>
        <w:ind w:left="7"/>
      </w:pPr>
      <w:r>
        <w:t xml:space="preserve">The </w:t>
      </w:r>
      <w:r w:rsidR="00441DF2">
        <w:t>determinations</w:t>
      </w:r>
      <w:r>
        <w:t xml:space="preserve"> set three of the key parameters for the EEIS. The </w:t>
      </w:r>
      <w:r w:rsidR="00441DF2">
        <w:t>o</w:t>
      </w:r>
      <w:r>
        <w:t xml:space="preserve">bjects of the Scheme, as set out in Section 6 of the Act, are to: </w:t>
      </w:r>
    </w:p>
    <w:p w14:paraId="1C3D4D26" w14:textId="77777777" w:rsidR="00795996" w:rsidRDefault="00521E20">
      <w:pPr>
        <w:numPr>
          <w:ilvl w:val="0"/>
          <w:numId w:val="2"/>
        </w:numPr>
        <w:ind w:hanging="696"/>
      </w:pPr>
      <w:r>
        <w:t xml:space="preserve">encourage the efficient use of energy; and </w:t>
      </w:r>
    </w:p>
    <w:p w14:paraId="76C56B6D" w14:textId="77777777" w:rsidR="00795996" w:rsidRDefault="00521E20">
      <w:pPr>
        <w:numPr>
          <w:ilvl w:val="0"/>
          <w:numId w:val="2"/>
        </w:numPr>
        <w:ind w:hanging="696"/>
      </w:pPr>
      <w:r>
        <w:t xml:space="preserve">reduce greenhouse gas emissions associated with energy use in the Territory; and </w:t>
      </w:r>
    </w:p>
    <w:p w14:paraId="0EB73B22" w14:textId="77777777" w:rsidR="00795996" w:rsidRDefault="00521E20">
      <w:pPr>
        <w:numPr>
          <w:ilvl w:val="0"/>
          <w:numId w:val="2"/>
        </w:numPr>
        <w:ind w:hanging="696"/>
      </w:pPr>
      <w:r>
        <w:t xml:space="preserve">reduce household and business energy use and costs; and </w:t>
      </w:r>
    </w:p>
    <w:p w14:paraId="26645341" w14:textId="77777777" w:rsidR="00795996" w:rsidRDefault="00521E20">
      <w:pPr>
        <w:numPr>
          <w:ilvl w:val="0"/>
          <w:numId w:val="2"/>
        </w:numPr>
        <w:ind w:hanging="696"/>
      </w:pPr>
      <w:r>
        <w:t>increase opportunities for priority households to reduce energy use and costs</w:t>
      </w:r>
      <w:r>
        <w:rPr>
          <w:vertAlign w:val="superscript"/>
        </w:rPr>
        <w:footnoteReference w:id="1"/>
      </w:r>
      <w:r>
        <w:t xml:space="preserve">. </w:t>
      </w:r>
    </w:p>
    <w:p w14:paraId="71DABE86" w14:textId="77777777" w:rsidR="00795996" w:rsidRDefault="00521E20">
      <w:pPr>
        <w:spacing w:after="19" w:line="259" w:lineRule="auto"/>
        <w:ind w:left="0" w:firstLine="0"/>
      </w:pPr>
      <w:r>
        <w:t xml:space="preserve"> </w:t>
      </w:r>
    </w:p>
    <w:p w14:paraId="6FCC19AE" w14:textId="6EFC0437" w:rsidR="00795996" w:rsidRDefault="00521E20" w:rsidP="00C25C34">
      <w:pPr>
        <w:spacing w:after="360" w:line="271" w:lineRule="auto"/>
        <w:ind w:left="5" w:hanging="11"/>
      </w:pPr>
      <w:r>
        <w:t xml:space="preserve">These </w:t>
      </w:r>
      <w:r w:rsidR="007E6694">
        <w:t>o</w:t>
      </w:r>
      <w:r>
        <w:t xml:space="preserve">bjects also deliver on key objectives of the </w:t>
      </w:r>
      <w:r>
        <w:rPr>
          <w:i/>
        </w:rPr>
        <w:t>ACT Climate Strategy 2019–2025</w:t>
      </w:r>
      <w:r>
        <w:rPr>
          <w:vertAlign w:val="superscript"/>
        </w:rPr>
        <w:footnoteReference w:id="2"/>
      </w:r>
      <w:r>
        <w:rPr>
          <w:i/>
        </w:rPr>
        <w:t xml:space="preserve"> </w:t>
      </w:r>
      <w:r>
        <w:t xml:space="preserve">including: achieving net zero emissions in the ACT by 2045 at the latest; building resilience to climate change impacts; and supporting a just transition to net zero emissions. As one of the most cost-effective ways for the ACT to reduce emissions and energy bills, the EEIS is a key delivery mechanism of the Climate Change Strategy. The EEIS supports the objective of a just transition through the </w:t>
      </w:r>
      <w:r w:rsidR="007E6694">
        <w:t>p</w:t>
      </w:r>
      <w:r>
        <w:t xml:space="preserve">riority </w:t>
      </w:r>
      <w:r w:rsidR="007E6694">
        <w:t>h</w:t>
      </w:r>
      <w:r>
        <w:t xml:space="preserve">ousehold </w:t>
      </w:r>
      <w:r w:rsidR="007E6694">
        <w:t>t</w:t>
      </w:r>
      <w:r>
        <w:t>arget,</w:t>
      </w:r>
      <w:r w:rsidR="00CC41DE">
        <w:t xml:space="preserve"> which specifies a minimum proportion of energy savings activities to be delivered to priority households. </w:t>
      </w:r>
      <w:r>
        <w:t xml:space="preserve"> </w:t>
      </w:r>
    </w:p>
    <w:p w14:paraId="73F49887" w14:textId="77777777" w:rsidR="00795996" w:rsidRDefault="00521E20" w:rsidP="00755290">
      <w:pPr>
        <w:pStyle w:val="Heading1"/>
        <w:spacing w:line="266" w:lineRule="auto"/>
        <w:ind w:left="425" w:hanging="425"/>
      </w:pPr>
      <w:bookmarkStart w:id="5" w:name="_Toc138754918"/>
      <w:r>
        <w:t>Achieving the policy objectives</w:t>
      </w:r>
      <w:bookmarkEnd w:id="5"/>
      <w:r>
        <w:t xml:space="preserve"> </w:t>
      </w:r>
    </w:p>
    <w:p w14:paraId="7259F477" w14:textId="1A1F3A84" w:rsidR="002B3E6D" w:rsidRDefault="002B3E6D" w:rsidP="00A12594">
      <w:pPr>
        <w:spacing w:after="120" w:line="271" w:lineRule="auto"/>
        <w:ind w:left="5" w:hanging="11"/>
      </w:pPr>
      <w:r w:rsidRPr="00B628AC">
        <w:t>An independent review of the EEIS was completed in 2024 by Frontier Economics</w:t>
      </w:r>
      <w:r w:rsidR="00D374BB">
        <w:rPr>
          <w:rStyle w:val="FootnoteReference"/>
        </w:rPr>
        <w:footnoteReference w:id="3"/>
      </w:r>
      <w:r w:rsidRPr="00B628AC">
        <w:t xml:space="preserve"> (th</w:t>
      </w:r>
      <w:r>
        <w:t xml:space="preserve">e Review). The Review found that the Scheme’s reported savings met legislated targets and contributed to each of the four objects of the Act. The Scheme is providing a positive cost-benefit ratio of 1.5:1 and has </w:t>
      </w:r>
      <w:r w:rsidR="005B2E26">
        <w:t>provided</w:t>
      </w:r>
      <w:r>
        <w:t xml:space="preserve"> $256 million in lifetime energy bill cost savings between 2021 and 2023.</w:t>
      </w:r>
    </w:p>
    <w:p w14:paraId="15FE83EF" w14:textId="01691327" w:rsidR="00FE49AB" w:rsidRDefault="005B2E26" w:rsidP="004F0D7E">
      <w:pPr>
        <w:spacing w:after="360" w:line="271" w:lineRule="auto"/>
        <w:ind w:left="5" w:hanging="11"/>
        <w:rPr>
          <w:highlight w:val="yellow"/>
        </w:rPr>
      </w:pPr>
      <w:r>
        <w:t>Maintaining scheme settings for</w:t>
      </w:r>
      <w:r w:rsidR="00FE49AB">
        <w:t xml:space="preserve"> 2025 will </w:t>
      </w:r>
      <w:r>
        <w:t>allow ongoing achievement of the EEIS objectives.</w:t>
      </w:r>
    </w:p>
    <w:p w14:paraId="41BD0C72" w14:textId="77777777" w:rsidR="00795996" w:rsidRDefault="00521E20" w:rsidP="00755290">
      <w:pPr>
        <w:pStyle w:val="Heading1"/>
        <w:spacing w:line="266" w:lineRule="auto"/>
        <w:ind w:left="425" w:hanging="425"/>
      </w:pPr>
      <w:bookmarkStart w:id="6" w:name="_Toc138754919"/>
      <w:r>
        <w:lastRenderedPageBreak/>
        <w:t>Considering a level of ambition</w:t>
      </w:r>
      <w:bookmarkEnd w:id="6"/>
      <w:r>
        <w:t xml:space="preserve"> </w:t>
      </w:r>
    </w:p>
    <w:p w14:paraId="0C934975" w14:textId="72549F2A" w:rsidR="00795996" w:rsidRDefault="00763629" w:rsidP="00755290">
      <w:pPr>
        <w:spacing w:after="206" w:line="271" w:lineRule="auto"/>
        <w:ind w:left="5" w:hanging="11"/>
      </w:pPr>
      <w:r>
        <w:t>T</w:t>
      </w:r>
      <w:r w:rsidR="00521E20">
        <w:t>his section outlines the key Scheme parameters that have been identified through modelling</w:t>
      </w:r>
      <w:r>
        <w:t xml:space="preserve"> conducted by Common Capital</w:t>
      </w:r>
      <w:r w:rsidR="00521E20">
        <w:t xml:space="preserve"> as ideal for maximising EEIS benefits in 202</w:t>
      </w:r>
      <w:r w:rsidR="00343627">
        <w:t>5</w:t>
      </w:r>
      <w:r w:rsidR="00521E20">
        <w:t xml:space="preserve">. </w:t>
      </w:r>
    </w:p>
    <w:p w14:paraId="0975D165" w14:textId="6C4C6427" w:rsidR="00795996" w:rsidRDefault="00763629" w:rsidP="00C25C34">
      <w:pPr>
        <w:spacing w:after="206" w:line="271" w:lineRule="auto"/>
        <w:ind w:left="5" w:hanging="11"/>
      </w:pPr>
      <w:r>
        <w:t>P</w:t>
      </w:r>
      <w:r w:rsidR="00521E20">
        <w:t xml:space="preserve">rior to 2020, the EEIS determined energy savings in the ACT using a greenhouse gas emissions abatement metric. </w:t>
      </w:r>
      <w:r>
        <w:t>When the ACT secured</w:t>
      </w:r>
      <w:r w:rsidR="00521E20">
        <w:t xml:space="preserve"> a 100% renewable electricity supply</w:t>
      </w:r>
      <w:r>
        <w:t xml:space="preserve"> in 2020</w:t>
      </w:r>
      <w:r w:rsidR="00521E20">
        <w:t xml:space="preserve"> the EEIS transitioned to an energy savings metric. This has implications for the Scheme settings </w:t>
      </w:r>
      <w:r>
        <w:t>as</w:t>
      </w:r>
      <w:r w:rsidR="00521E20">
        <w:t xml:space="preserve"> the numerical abatement values under the former abatement metric do not equate directly to values under the energy savings metric. </w:t>
      </w:r>
    </w:p>
    <w:p w14:paraId="2967B4E9" w14:textId="77777777" w:rsidR="00795996" w:rsidRDefault="00521E20" w:rsidP="007F76E5">
      <w:pPr>
        <w:pStyle w:val="Heading2"/>
        <w:ind w:left="426" w:hanging="420"/>
      </w:pPr>
      <w:bookmarkStart w:id="7" w:name="_Toc138754920"/>
      <w:r>
        <w:t>Setting the Energy Savings Target</w:t>
      </w:r>
      <w:bookmarkEnd w:id="7"/>
      <w:r>
        <w:t xml:space="preserve"> </w:t>
      </w:r>
    </w:p>
    <w:p w14:paraId="0A941681" w14:textId="77777777" w:rsidR="00795996" w:rsidRDefault="00521E20" w:rsidP="007F76E5">
      <w:pPr>
        <w:spacing w:after="206" w:line="271" w:lineRule="auto"/>
        <w:ind w:left="5" w:hanging="11"/>
      </w:pPr>
      <w:r>
        <w:t xml:space="preserve">The EST setting aims to optimise EEIS outcomes, which are measured in energy savings, bill savings and Net Present Value (NPV) to the ACT economy.  </w:t>
      </w:r>
    </w:p>
    <w:p w14:paraId="6E300DC1" w14:textId="495499CF" w:rsidR="00795996" w:rsidRDefault="00521E20" w:rsidP="007F76E5">
      <w:pPr>
        <w:spacing w:after="206" w:line="271" w:lineRule="auto"/>
        <w:ind w:left="5" w:hanging="11"/>
      </w:pPr>
      <w:r>
        <w:t xml:space="preserve">It is recommended that the EST be </w:t>
      </w:r>
      <w:r w:rsidR="004A0220">
        <w:t xml:space="preserve">maintained at </w:t>
      </w:r>
      <w:r>
        <w:t>14.6% for the 202</w:t>
      </w:r>
      <w:r w:rsidR="00343627">
        <w:t>5</w:t>
      </w:r>
      <w:r>
        <w:t xml:space="preserve"> compliance period</w:t>
      </w:r>
      <w:r w:rsidR="00763629">
        <w:t xml:space="preserve"> as supported by analysis outlined below.</w:t>
      </w:r>
      <w:r>
        <w:t xml:space="preserve"> </w:t>
      </w:r>
    </w:p>
    <w:p w14:paraId="448C9C79" w14:textId="2DBB66D2" w:rsidR="00795996" w:rsidRPr="00B628AC" w:rsidRDefault="00521E20" w:rsidP="007F76E5">
      <w:pPr>
        <w:spacing w:after="206" w:line="271" w:lineRule="auto"/>
        <w:ind w:left="5" w:hanging="11"/>
      </w:pPr>
      <w:r w:rsidRPr="00B628AC">
        <w:t>The 2018 Review into the EEIS recommended that the ACT Government continue the Scheme at the existing level of ambition (greenhouse gas savings equivalent to 8.6% of electricity sales) and with a pass-through cost of $4/MWh.</w:t>
      </w:r>
    </w:p>
    <w:p w14:paraId="615BB56E" w14:textId="3F28F625" w:rsidR="00795996" w:rsidRDefault="00F56330" w:rsidP="007F76E5">
      <w:pPr>
        <w:spacing w:after="206" w:line="271" w:lineRule="auto"/>
        <w:ind w:left="5" w:hanging="11"/>
      </w:pPr>
      <w:r w:rsidRPr="00B628AC">
        <w:t xml:space="preserve">Realised pass through costs for the tier 1 retailer have been below this modelled cost. </w:t>
      </w:r>
      <w:r w:rsidR="00521E20" w:rsidRPr="00B628AC">
        <w:t>The Independent Competition and Regulatory Commission (ICRC) agreed to a pass-through cost of $3.</w:t>
      </w:r>
      <w:r w:rsidR="00B628AC" w:rsidRPr="004F0D7E">
        <w:t>50</w:t>
      </w:r>
      <w:r w:rsidR="00521E20" w:rsidRPr="00B628AC">
        <w:t>/MWh for 202</w:t>
      </w:r>
      <w:r w:rsidR="00B628AC" w:rsidRPr="004F0D7E">
        <w:t>4</w:t>
      </w:r>
      <w:r w:rsidR="00521E20" w:rsidRPr="00B628AC">
        <w:t>–2</w:t>
      </w:r>
      <w:r w:rsidR="00B628AC" w:rsidRPr="004F0D7E">
        <w:t>5</w:t>
      </w:r>
      <w:r w:rsidR="00521E20" w:rsidRPr="00B628AC">
        <w:rPr>
          <w:vertAlign w:val="superscript"/>
        </w:rPr>
        <w:footnoteReference w:id="4"/>
      </w:r>
      <w:r w:rsidR="00B628AC" w:rsidRPr="004F0D7E">
        <w:t>, which is an increase of 20.51 per cent over the $2.90/MWh pass</w:t>
      </w:r>
      <w:r w:rsidR="004A1082">
        <w:t>-</w:t>
      </w:r>
      <w:r w:rsidR="00B628AC" w:rsidRPr="004F0D7E">
        <w:t>through for 2023-24</w:t>
      </w:r>
      <w:r w:rsidR="00521E20" w:rsidRPr="00B628AC">
        <w:t xml:space="preserve">. </w:t>
      </w:r>
      <w:r w:rsidR="00B628AC" w:rsidRPr="004F0D7E">
        <w:t xml:space="preserve">This increase in cost is due to demand for more expensive activities and </w:t>
      </w:r>
      <w:r w:rsidR="00214315">
        <w:t>adjustments</w:t>
      </w:r>
      <w:r w:rsidR="00B628AC" w:rsidRPr="004F0D7E">
        <w:t xml:space="preserve"> from under-recovery during 2023-</w:t>
      </w:r>
      <w:r w:rsidR="00214315">
        <w:t>2</w:t>
      </w:r>
      <w:r w:rsidR="00B628AC" w:rsidRPr="004F0D7E">
        <w:t xml:space="preserve">4. </w:t>
      </w:r>
      <w:r w:rsidR="00214315">
        <w:t>T</w:t>
      </w:r>
      <w:r w:rsidR="00B628AC" w:rsidRPr="004F0D7E">
        <w:t xml:space="preserve">he </w:t>
      </w:r>
      <w:r w:rsidR="004A1082" w:rsidRPr="004F0D7E">
        <w:t>pass-through</w:t>
      </w:r>
      <w:r w:rsidR="00B628AC" w:rsidRPr="004F0D7E">
        <w:t xml:space="preserve"> cost continues to remain below the </w:t>
      </w:r>
      <w:r w:rsidR="00521E20" w:rsidRPr="00B628AC">
        <w:t>model</w:t>
      </w:r>
      <w:r w:rsidR="00214315">
        <w:t>led figure which indicates</w:t>
      </w:r>
      <w:r w:rsidR="00521E20" w:rsidRPr="00B628AC">
        <w:t xml:space="preserve"> that </w:t>
      </w:r>
      <w:r w:rsidR="00BF7195" w:rsidRPr="00B628AC">
        <w:t xml:space="preserve">the </w:t>
      </w:r>
      <w:r w:rsidR="00521E20" w:rsidRPr="00B628AC">
        <w:t>EST can</w:t>
      </w:r>
      <w:r w:rsidRPr="00B628AC">
        <w:t xml:space="preserve"> continue to</w:t>
      </w:r>
      <w:r w:rsidR="00521E20" w:rsidRPr="00B628AC">
        <w:t xml:space="preserve"> be achieved without </w:t>
      </w:r>
      <w:r w:rsidR="00214315">
        <w:t>increasing costs to consumers.</w:t>
      </w:r>
      <w:r w:rsidR="00521E20">
        <w:t xml:space="preserve"> </w:t>
      </w:r>
    </w:p>
    <w:p w14:paraId="164C373F" w14:textId="23BD56EC" w:rsidR="00795996" w:rsidRDefault="00521E20" w:rsidP="00C25C34">
      <w:pPr>
        <w:spacing w:after="206" w:line="271" w:lineRule="auto"/>
        <w:ind w:left="5" w:hanging="11"/>
      </w:pPr>
      <w:r>
        <w:t xml:space="preserve">The </w:t>
      </w:r>
      <w:r w:rsidR="001670CE">
        <w:t xml:space="preserve">increase in the EST to </w:t>
      </w:r>
      <w:r>
        <w:t xml:space="preserve">14.6% </w:t>
      </w:r>
      <w:r w:rsidR="001670CE">
        <w:t xml:space="preserve">since 2023 </w:t>
      </w:r>
      <w:r>
        <w:t xml:space="preserve">represents an additional $5.72 </w:t>
      </w:r>
      <w:r w:rsidR="00214315">
        <w:t>pass</w:t>
      </w:r>
      <w:r w:rsidR="004A1082">
        <w:t>-</w:t>
      </w:r>
      <w:r w:rsidR="00214315">
        <w:t>through cost to</w:t>
      </w:r>
      <w:r>
        <w:t xml:space="preserve"> average annual residential bills as compared to the lower ambition EST of 12.5%</w:t>
      </w:r>
      <w:r w:rsidR="001670CE">
        <w:t xml:space="preserve"> </w:t>
      </w:r>
      <w:r w:rsidR="00214315">
        <w:t>in</w:t>
      </w:r>
      <w:r w:rsidR="001670CE">
        <w:t xml:space="preserve"> 2022</w:t>
      </w:r>
      <w:r>
        <w:t xml:space="preserve">. </w:t>
      </w:r>
      <w:r w:rsidR="001670CE">
        <w:t>The increased EST is modelled to</w:t>
      </w:r>
      <w:r>
        <w:t xml:space="preserve"> </w:t>
      </w:r>
      <w:r w:rsidR="00FE49AB">
        <w:t xml:space="preserve">contribute to </w:t>
      </w:r>
      <w:r>
        <w:t>an additional: 138GWh of lifetime energy savings; 26ktCO2-e of lifetime emissions reductions and $13m of lifetime energy bill savings as compared to the low</w:t>
      </w:r>
      <w:r w:rsidR="001670CE">
        <w:t>er</w:t>
      </w:r>
      <w:r>
        <w:t xml:space="preserve"> ambition scenario. </w:t>
      </w:r>
    </w:p>
    <w:p w14:paraId="0D73E77E" w14:textId="77777777" w:rsidR="00795996" w:rsidRDefault="00521E20" w:rsidP="007F76E5">
      <w:pPr>
        <w:pStyle w:val="Heading2"/>
        <w:ind w:left="426" w:hanging="420"/>
      </w:pPr>
      <w:bookmarkStart w:id="8" w:name="_Toc138754921"/>
      <w:r>
        <w:t>Pass-through costs</w:t>
      </w:r>
      <w:bookmarkEnd w:id="8"/>
      <w:r>
        <w:t xml:space="preserve"> </w:t>
      </w:r>
    </w:p>
    <w:p w14:paraId="63D8C747" w14:textId="052E732D" w:rsidR="00795996" w:rsidRDefault="00521E20" w:rsidP="00C25C34">
      <w:pPr>
        <w:spacing w:after="206" w:line="271" w:lineRule="auto"/>
        <w:ind w:left="5" w:hanging="11"/>
      </w:pPr>
      <w:r>
        <w:t xml:space="preserve">The EEIS is funded via pass-through costs incorporated in the electricity bills of all ACT energy users. ActewAGL Retail is the only </w:t>
      </w:r>
      <w:r w:rsidR="00F56330">
        <w:t>t</w:t>
      </w:r>
      <w:r>
        <w:t xml:space="preserve">ier 1 retailer, and the only retailer that is currently delivering activities. ActewAGL Retail is also a regulated retailer, meaning its EEIS pass-through costs are determined by the Independent Competition and Regulatory </w:t>
      </w:r>
      <w:r>
        <w:lastRenderedPageBreak/>
        <w:t>Commission (ICRC)</w:t>
      </w:r>
      <w:r>
        <w:rPr>
          <w:vertAlign w:val="superscript"/>
        </w:rPr>
        <w:footnoteReference w:id="5"/>
      </w:r>
      <w:r>
        <w:t>. This determination is made annually, based on a methodology that takes account of legislative requirements and cost estimates provided by ActewAGL</w:t>
      </w:r>
      <w:r w:rsidR="003A71E0">
        <w:t>.</w:t>
      </w:r>
      <w:r>
        <w:t xml:space="preserve"> </w:t>
      </w:r>
    </w:p>
    <w:p w14:paraId="0E61D526" w14:textId="75F72C3E" w:rsidR="00795996" w:rsidRDefault="00454781" w:rsidP="00C25C34">
      <w:pPr>
        <w:spacing w:after="260" w:line="271" w:lineRule="auto"/>
        <w:ind w:left="5" w:hanging="11"/>
      </w:pPr>
      <w:r>
        <w:t>P</w:t>
      </w:r>
      <w:r w:rsidR="00521E20">
        <w:t>ass-through costs of $4/MWh were modelled</w:t>
      </w:r>
      <w:r>
        <w:t xml:space="preserve"> for the 202</w:t>
      </w:r>
      <w:r w:rsidR="007E6694">
        <w:t>3</w:t>
      </w:r>
      <w:r>
        <w:t>-202</w:t>
      </w:r>
      <w:r w:rsidR="007E6694">
        <w:t>5</w:t>
      </w:r>
      <w:r>
        <w:t xml:space="preserve"> compliance periods</w:t>
      </w:r>
      <w:r w:rsidR="00521E20">
        <w:t>. The recommendation based on</w:t>
      </w:r>
      <w:r w:rsidR="002E58F6">
        <w:t xml:space="preserve"> analysis by</w:t>
      </w:r>
      <w:r w:rsidR="00D45828">
        <w:t xml:space="preserve"> </w:t>
      </w:r>
      <w:r w:rsidR="002E58F6">
        <w:t>the ACT Government contractor</w:t>
      </w:r>
      <w:r w:rsidR="00521E20">
        <w:t xml:space="preserve"> Common Capital is that the currently modelled pass-through cost of $4/MWh be retained for the 202</w:t>
      </w:r>
      <w:r w:rsidR="00737B90">
        <w:t>5</w:t>
      </w:r>
      <w:r w:rsidR="00521E20">
        <w:t xml:space="preserve"> compliance period. </w:t>
      </w:r>
    </w:p>
    <w:p w14:paraId="5A3ACAED" w14:textId="77777777" w:rsidR="00795996" w:rsidRDefault="00521E20" w:rsidP="007F76E5">
      <w:pPr>
        <w:pStyle w:val="Heading2"/>
        <w:ind w:left="426" w:hanging="420"/>
      </w:pPr>
      <w:bookmarkStart w:id="9" w:name="_Toc138754922"/>
      <w:r>
        <w:t>Setting the Energy Savings Contribution</w:t>
      </w:r>
      <w:bookmarkEnd w:id="9"/>
      <w:r>
        <w:t xml:space="preserve"> </w:t>
      </w:r>
    </w:p>
    <w:p w14:paraId="1C87C1D0" w14:textId="16A1ACA0" w:rsidR="00795996" w:rsidRDefault="00521E20" w:rsidP="000A1D8E">
      <w:pPr>
        <w:spacing w:after="206" w:line="276" w:lineRule="auto"/>
        <w:ind w:left="-6" w:right="232" w:hanging="11"/>
      </w:pPr>
      <w:r>
        <w:t xml:space="preserve">Smaller </w:t>
      </w:r>
      <w:r w:rsidR="00F56330">
        <w:t>t</w:t>
      </w:r>
      <w:r>
        <w:t xml:space="preserve">ier 2 retailers can opt to pay an </w:t>
      </w:r>
      <w:r w:rsidR="007E6694">
        <w:t>e</w:t>
      </w:r>
      <w:r>
        <w:t xml:space="preserve">nergy </w:t>
      </w:r>
      <w:r w:rsidR="007E6694">
        <w:t>s</w:t>
      </w:r>
      <w:r>
        <w:t xml:space="preserve">avings </w:t>
      </w:r>
      <w:r w:rsidR="007E6694">
        <w:t>c</w:t>
      </w:r>
      <w:r>
        <w:t xml:space="preserve">ontribution (ESC) to meet their obligation under the EEIS. This is intended to offset the cost advantage a </w:t>
      </w:r>
      <w:r w:rsidR="00F56330">
        <w:t>t</w:t>
      </w:r>
      <w:r>
        <w:t xml:space="preserve">ier 1 NERL retailer would have if a </w:t>
      </w:r>
      <w:r w:rsidR="00F56330">
        <w:t>t</w:t>
      </w:r>
      <w:r>
        <w:t>ier 2 NERL retailer were required to set up and deliver energy efficiency service</w:t>
      </w:r>
      <w:r w:rsidR="000A1D8E">
        <w:t>s</w:t>
      </w:r>
      <w:r>
        <w:t xml:space="preserve">. This simplified obligation considers the impact of the Act on competition and reduces the risk that compliance costs may lead to a competitive disadvantage for smaller NERL retailers in electricity retail markets. </w:t>
      </w:r>
    </w:p>
    <w:p w14:paraId="1E0EC795" w14:textId="5E9F09EB" w:rsidR="00795996" w:rsidRDefault="00521E20" w:rsidP="00C25C34">
      <w:pPr>
        <w:spacing w:after="260" w:line="271" w:lineRule="auto"/>
        <w:ind w:left="5" w:hanging="11"/>
      </w:pPr>
      <w:r w:rsidRPr="00345BA7">
        <w:t xml:space="preserve">All </w:t>
      </w:r>
      <w:r w:rsidR="00F56330">
        <w:t>t</w:t>
      </w:r>
      <w:r w:rsidRPr="00345BA7">
        <w:t xml:space="preserve">ier 2 retailers currently opt to pay the ESC as an alternative to delivering activities. </w:t>
      </w:r>
      <w:r w:rsidR="00345BA7" w:rsidRPr="00454781">
        <w:t>It is recommended that the ESC be maintained at $27.43/MWh.</w:t>
      </w:r>
      <w:r w:rsidR="00345BA7" w:rsidRPr="00345BA7">
        <w:t xml:space="preserve">  </w:t>
      </w:r>
      <w:r w:rsidRPr="00345BA7">
        <w:t xml:space="preserve">The ESC calculation is based on the </w:t>
      </w:r>
      <w:r w:rsidR="007E6694">
        <w:t>modelled</w:t>
      </w:r>
      <w:r w:rsidRPr="00345BA7">
        <w:t xml:space="preserve"> cost of compliance for a </w:t>
      </w:r>
      <w:r w:rsidR="00F56330">
        <w:t>t</w:t>
      </w:r>
      <w:r w:rsidRPr="00345BA7">
        <w:t xml:space="preserve">ier 1 electricity retailer. </w:t>
      </w:r>
    </w:p>
    <w:p w14:paraId="380B505C" w14:textId="450ACC96" w:rsidR="00795996" w:rsidRDefault="00521E20" w:rsidP="007F76E5">
      <w:pPr>
        <w:pStyle w:val="Heading2"/>
        <w:ind w:left="426" w:hanging="420"/>
      </w:pPr>
      <w:bookmarkStart w:id="10" w:name="_Toc138754923"/>
      <w:r>
        <w:t>Setting Penalties for Noncompliance</w:t>
      </w:r>
      <w:bookmarkEnd w:id="10"/>
      <w:r>
        <w:t xml:space="preserve"> </w:t>
      </w:r>
    </w:p>
    <w:p w14:paraId="387D0970" w14:textId="4A578071" w:rsidR="00454781" w:rsidRDefault="00521E20" w:rsidP="00C25C34">
      <w:pPr>
        <w:spacing w:after="206" w:line="271" w:lineRule="auto"/>
        <w:ind w:left="5" w:hanging="11"/>
      </w:pPr>
      <w:r>
        <w:t xml:space="preserve">The </w:t>
      </w:r>
      <w:r w:rsidR="00F56330">
        <w:t>s</w:t>
      </w:r>
      <w:r>
        <w:t xml:space="preserve">hortfall </w:t>
      </w:r>
      <w:r w:rsidR="00F56330">
        <w:t>p</w:t>
      </w:r>
      <w:r>
        <w:t xml:space="preserve">enalty acts as an upper limit to potential costs for delivering activities and aims to disincentivise noncompliance, including the risk of </w:t>
      </w:r>
      <w:r w:rsidR="00F56330">
        <w:t>t</w:t>
      </w:r>
      <w:r>
        <w:t xml:space="preserve">ier 1 retailers not delivering activities. If a retailer’s energy savings result is a net shortfall, the retailer is liable to pay a </w:t>
      </w:r>
      <w:r w:rsidR="00F56330">
        <w:t>s</w:t>
      </w:r>
      <w:r>
        <w:t xml:space="preserve">hortfall </w:t>
      </w:r>
      <w:r w:rsidR="00F56330">
        <w:t>p</w:t>
      </w:r>
      <w:r>
        <w:t xml:space="preserve">enalty to the Territory. </w:t>
      </w:r>
    </w:p>
    <w:p w14:paraId="3DBE8A8C" w14:textId="56B8081F" w:rsidR="00795996" w:rsidRPr="00345BA7" w:rsidRDefault="00521E20" w:rsidP="00C25C34">
      <w:pPr>
        <w:spacing w:after="206" w:line="271" w:lineRule="auto"/>
        <w:ind w:left="5" w:hanging="11"/>
      </w:pPr>
      <w:r>
        <w:t xml:space="preserve">The </w:t>
      </w:r>
      <w:r w:rsidR="00F56330">
        <w:t>s</w:t>
      </w:r>
      <w:r>
        <w:t xml:space="preserve">hortfall </w:t>
      </w:r>
      <w:r w:rsidR="00F56330">
        <w:t>p</w:t>
      </w:r>
      <w:r>
        <w:t xml:space="preserve">enalty </w:t>
      </w:r>
      <w:r w:rsidR="00821A28">
        <w:t>for the period 1 January 202</w:t>
      </w:r>
      <w:r w:rsidR="00CF0611">
        <w:t>4</w:t>
      </w:r>
      <w:r w:rsidR="00821A28">
        <w:t xml:space="preserve"> to 31 December 202</w:t>
      </w:r>
      <w:r w:rsidR="00CF0611">
        <w:t>4</w:t>
      </w:r>
      <w:r w:rsidR="00821A28">
        <w:t xml:space="preserve"> is</w:t>
      </w:r>
      <w:r w:rsidRPr="00345BA7">
        <w:t xml:space="preserve"> $</w:t>
      </w:r>
      <w:r w:rsidR="00454781">
        <w:t>71.32</w:t>
      </w:r>
      <w:r w:rsidRPr="00345BA7">
        <w:t xml:space="preserve">/MWh by way of the </w:t>
      </w:r>
      <w:r w:rsidRPr="00345BA7">
        <w:rPr>
          <w:i/>
        </w:rPr>
        <w:t>Energy Efficiency (Cost of</w:t>
      </w:r>
      <w:r w:rsidR="00454781">
        <w:rPr>
          <w:i/>
        </w:rPr>
        <w:t xml:space="preserve"> Living </w:t>
      </w:r>
      <w:r w:rsidR="00454781" w:rsidRPr="00345BA7">
        <w:rPr>
          <w:i/>
        </w:rPr>
        <w:t>Improvement (Penalties for Noncompliance) Determination 202</w:t>
      </w:r>
      <w:r w:rsidR="00CF0611">
        <w:rPr>
          <w:i/>
        </w:rPr>
        <w:t>3</w:t>
      </w:r>
      <w:r w:rsidR="00454781" w:rsidRPr="00345BA7">
        <w:t xml:space="preserve">. </w:t>
      </w:r>
      <w:r w:rsidR="00454781" w:rsidRPr="00345BA7" w:rsidDel="00345BA7">
        <w:t>The</w:t>
      </w:r>
      <w:r w:rsidR="00454781" w:rsidDel="00345BA7">
        <w:t xml:space="preserve"> ICRC uses the </w:t>
      </w:r>
      <w:r w:rsidR="00F56330">
        <w:t>s</w:t>
      </w:r>
      <w:r w:rsidR="00454781" w:rsidDel="00345BA7">
        <w:t xml:space="preserve">hortfall </w:t>
      </w:r>
      <w:r w:rsidR="00F56330">
        <w:t>p</w:t>
      </w:r>
      <w:r w:rsidR="00454781" w:rsidDel="00345BA7">
        <w:t>enalty as a ceiling on its price determination. Compliance has been high</w:t>
      </w:r>
      <w:r w:rsidR="00454781">
        <w:t xml:space="preserve"> under the Scheme</w:t>
      </w:r>
      <w:r w:rsidR="00454781" w:rsidDel="00345BA7">
        <w:t xml:space="preserve">, and the </w:t>
      </w:r>
      <w:r w:rsidR="00F56330">
        <w:t>s</w:t>
      </w:r>
      <w:r w:rsidR="00454781" w:rsidDel="00345BA7">
        <w:t xml:space="preserve">hortfall </w:t>
      </w:r>
      <w:r w:rsidR="00F56330">
        <w:t>p</w:t>
      </w:r>
      <w:r w:rsidR="00454781" w:rsidDel="00345BA7">
        <w:t xml:space="preserve">enalty has </w:t>
      </w:r>
      <w:r w:rsidR="00454781">
        <w:t>not been applied to date.</w:t>
      </w:r>
      <w:r w:rsidR="00454781">
        <w:rPr>
          <w:i/>
        </w:rPr>
        <w:t xml:space="preserve"> </w:t>
      </w:r>
      <w:r w:rsidRPr="00345BA7">
        <w:rPr>
          <w:i/>
        </w:rPr>
        <w:t xml:space="preserve"> </w:t>
      </w:r>
    </w:p>
    <w:p w14:paraId="14E52B0D" w14:textId="7684D604" w:rsidR="00795996" w:rsidRDefault="00521E20" w:rsidP="00C25C34">
      <w:pPr>
        <w:spacing w:after="260" w:line="271" w:lineRule="auto"/>
        <w:ind w:left="5" w:hanging="11"/>
      </w:pPr>
      <w:r>
        <w:t xml:space="preserve">The </w:t>
      </w:r>
      <w:r w:rsidR="00F56330">
        <w:t>s</w:t>
      </w:r>
      <w:r>
        <w:t xml:space="preserve">hortfall </w:t>
      </w:r>
      <w:r w:rsidR="00F56330">
        <w:t>p</w:t>
      </w:r>
      <w:r>
        <w:t xml:space="preserve">enalty of $71.32/MWh is 2.6 times the value of the ESC, as </w:t>
      </w:r>
      <w:r w:rsidR="00B06642">
        <w:t xml:space="preserve">has been standard </w:t>
      </w:r>
      <w:r>
        <w:t xml:space="preserve">practice. This setting is recommended to be an incentive for retailers to deliver an energy savings result consistent with the set targets. </w:t>
      </w:r>
    </w:p>
    <w:p w14:paraId="36B15888" w14:textId="77777777" w:rsidR="00795996" w:rsidRDefault="00521E20" w:rsidP="00C25C34">
      <w:pPr>
        <w:pStyle w:val="Heading2"/>
        <w:ind w:left="426" w:hanging="420"/>
      </w:pPr>
      <w:bookmarkStart w:id="11" w:name="_Toc138754924"/>
      <w:r>
        <w:t>Summary of proposed key Scheme parameters</w:t>
      </w:r>
      <w:bookmarkEnd w:id="11"/>
      <w:r>
        <w:t xml:space="preserve"> </w:t>
      </w:r>
    </w:p>
    <w:p w14:paraId="4C9E25D5" w14:textId="2FF33CB3" w:rsidR="00795996" w:rsidRDefault="00521E20" w:rsidP="00C25C34">
      <w:pPr>
        <w:spacing w:after="206" w:line="271" w:lineRule="auto"/>
        <w:ind w:left="5" w:hanging="11"/>
      </w:pPr>
      <w:r>
        <w:t>For the reasons outlined above, the EEIS settings for the 202</w:t>
      </w:r>
      <w:r w:rsidR="00CF0611">
        <w:t>5</w:t>
      </w:r>
      <w:r>
        <w:t xml:space="preserve"> compliance period are </w:t>
      </w:r>
      <w:r w:rsidR="00454781">
        <w:t xml:space="preserve">maintained as in </w:t>
      </w:r>
      <w:r w:rsidR="00441DF2">
        <w:t xml:space="preserve">the </w:t>
      </w:r>
      <w:r w:rsidR="00454781">
        <w:t>2023</w:t>
      </w:r>
      <w:r w:rsidR="00CF0611">
        <w:t xml:space="preserve"> and 2024</w:t>
      </w:r>
      <w:r w:rsidR="00454781">
        <w:t xml:space="preserve"> </w:t>
      </w:r>
      <w:r w:rsidR="00441DF2">
        <w:t xml:space="preserve">compliance periods </w:t>
      </w:r>
      <w:r>
        <w:t xml:space="preserve">as follows: </w:t>
      </w:r>
    </w:p>
    <w:p w14:paraId="6A1E40B5" w14:textId="77777777" w:rsidR="00795996" w:rsidRDefault="00521E20">
      <w:pPr>
        <w:numPr>
          <w:ilvl w:val="0"/>
          <w:numId w:val="4"/>
        </w:numPr>
        <w:ind w:hanging="360"/>
      </w:pPr>
      <w:r>
        <w:t xml:space="preserve">Energy Savings Target at 14.6% </w:t>
      </w:r>
    </w:p>
    <w:p w14:paraId="25A541E9" w14:textId="77777777" w:rsidR="00795996" w:rsidRDefault="00521E20">
      <w:pPr>
        <w:numPr>
          <w:ilvl w:val="0"/>
          <w:numId w:val="4"/>
        </w:numPr>
        <w:ind w:hanging="360"/>
      </w:pPr>
      <w:r>
        <w:t xml:space="preserve">Energy Savings Contribution at $27.43/MWh, and </w:t>
      </w:r>
    </w:p>
    <w:p w14:paraId="4FDE5F89" w14:textId="77777777" w:rsidR="00795996" w:rsidRDefault="00521E20" w:rsidP="00C25C34">
      <w:pPr>
        <w:numPr>
          <w:ilvl w:val="0"/>
          <w:numId w:val="4"/>
        </w:numPr>
        <w:spacing w:after="206" w:line="271" w:lineRule="auto"/>
        <w:ind w:left="714" w:hanging="357"/>
      </w:pPr>
      <w:r>
        <w:lastRenderedPageBreak/>
        <w:t xml:space="preserve">Shortfall Penalty at $71.32/MWh. </w:t>
      </w:r>
    </w:p>
    <w:p w14:paraId="2103E715" w14:textId="15A54664" w:rsidR="00795996" w:rsidRDefault="00521E20" w:rsidP="00C25C34">
      <w:pPr>
        <w:spacing w:after="206" w:line="271" w:lineRule="auto"/>
        <w:ind w:left="5" w:hanging="11"/>
      </w:pPr>
      <w:r>
        <w:t>As part of analysis to inform the 202</w:t>
      </w:r>
      <w:r w:rsidR="00CF0611">
        <w:t>5</w:t>
      </w:r>
      <w:r>
        <w:t xml:space="preserve"> settings, Common Capital modelled several alternative options for Scheme settings. The modelled ‘low ambition’ scenario would represent a lesser cost to the ACT economy but would have reduced effectiveness against the </w:t>
      </w:r>
      <w:r w:rsidR="005E4E5B">
        <w:t>o</w:t>
      </w:r>
      <w:r>
        <w:t xml:space="preserve">bjects of the Scheme. In contrast, the ‘high ambition’ scenario would deliver the highest performance against the </w:t>
      </w:r>
      <w:r w:rsidR="005E4E5B">
        <w:t>o</w:t>
      </w:r>
      <w:r>
        <w:t xml:space="preserve">bjects of the Scheme but would translate into a greater cost burden on consumers </w:t>
      </w:r>
      <w:r w:rsidR="00454781">
        <w:t xml:space="preserve">with </w:t>
      </w:r>
      <w:r w:rsidR="000A1D8E">
        <w:t xml:space="preserve">a </w:t>
      </w:r>
      <w:r w:rsidR="00454781">
        <w:t xml:space="preserve">diminishing </w:t>
      </w:r>
      <w:r w:rsidR="00B80D18">
        <w:t>benefit to cost ratio.</w:t>
      </w:r>
    </w:p>
    <w:p w14:paraId="2DC4E214" w14:textId="6F243A8B" w:rsidR="00795996" w:rsidRDefault="00653AEE" w:rsidP="00C25C34">
      <w:pPr>
        <w:spacing w:after="206" w:line="271" w:lineRule="auto"/>
        <w:ind w:left="5" w:hanging="11"/>
      </w:pPr>
      <w:r>
        <w:t>Maintaining t</w:t>
      </w:r>
      <w:r w:rsidR="00521E20">
        <w:t xml:space="preserve">he modelled option of </w:t>
      </w:r>
      <w:r w:rsidR="00B06642">
        <w:t>a</w:t>
      </w:r>
      <w:r w:rsidR="00521E20">
        <w:t xml:space="preserve"> 14.6%</w:t>
      </w:r>
      <w:r w:rsidR="00B06642">
        <w:t xml:space="preserve"> </w:t>
      </w:r>
      <w:r w:rsidR="005E4E5B">
        <w:t>e</w:t>
      </w:r>
      <w:r w:rsidR="00B06642">
        <w:t xml:space="preserve">nergy </w:t>
      </w:r>
      <w:r w:rsidR="005E4E5B">
        <w:t>s</w:t>
      </w:r>
      <w:r w:rsidR="00B06642">
        <w:t xml:space="preserve">avings </w:t>
      </w:r>
      <w:r w:rsidR="005E4E5B">
        <w:t>t</w:t>
      </w:r>
      <w:r w:rsidR="00B06642">
        <w:t>arget</w:t>
      </w:r>
      <w:r w:rsidR="00521E20">
        <w:t xml:space="preserve"> while maintaining the expected pass-through cost of $4/MWh is considered optimal as it delivers higher effectiveness against the </w:t>
      </w:r>
      <w:r w:rsidR="005E4E5B">
        <w:t>o</w:t>
      </w:r>
      <w:r w:rsidR="00521E20">
        <w:t>bjects of the Scheme</w:t>
      </w:r>
      <w:r w:rsidR="000A1D8E">
        <w:t xml:space="preserve"> without</w:t>
      </w:r>
      <w:r w:rsidR="00521E20">
        <w:t xml:space="preserve"> imposing additional costs on ACT electricity consumers.  </w:t>
      </w:r>
    </w:p>
    <w:p w14:paraId="01B87950" w14:textId="77777777" w:rsidR="00795996" w:rsidRDefault="00521E20" w:rsidP="00C25C34">
      <w:pPr>
        <w:pStyle w:val="Heading1"/>
        <w:ind w:left="426" w:hanging="426"/>
      </w:pPr>
      <w:bookmarkStart w:id="12" w:name="_Toc138754925"/>
      <w:r>
        <w:t>Strategy for further implementation, review and consultation</w:t>
      </w:r>
      <w:bookmarkEnd w:id="12"/>
      <w:r>
        <w:t xml:space="preserve"> </w:t>
      </w:r>
    </w:p>
    <w:p w14:paraId="1D12A936" w14:textId="52CCEDB8" w:rsidR="00795996" w:rsidRDefault="00521E20" w:rsidP="00C25C34">
      <w:pPr>
        <w:spacing w:after="206" w:line="271" w:lineRule="auto"/>
        <w:ind w:left="5" w:hanging="11"/>
      </w:pPr>
      <w:r>
        <w:t xml:space="preserve">The regulatory revisions presented here will be achieved through a continuation of current EEIS implementation processes. The Act allows the EST and ESC to be reviewed and re-set by the Minister throughout the life of the Scheme. </w:t>
      </w:r>
      <w:r w:rsidR="00964304">
        <w:t>T</w:t>
      </w:r>
      <w:r>
        <w:t>he Act requires that increased targets be set at least six months ahead of the relevant compliance period</w:t>
      </w:r>
      <w:r w:rsidR="00964304">
        <w:t xml:space="preserve"> to provide business clarity to retailers. </w:t>
      </w:r>
    </w:p>
    <w:p w14:paraId="6FF24A78" w14:textId="299DB353" w:rsidR="00795996" w:rsidRDefault="00521E20" w:rsidP="00C25C34">
      <w:pPr>
        <w:spacing w:after="360" w:line="271" w:lineRule="auto"/>
        <w:ind w:left="5" w:hanging="11"/>
      </w:pPr>
      <w:r>
        <w:t xml:space="preserve">The ACT Government will continue reviewing Tier 1 delivery costs, pass-through </w:t>
      </w:r>
      <w:r w:rsidR="00755290">
        <w:t>costs,</w:t>
      </w:r>
      <w:r>
        <w:t xml:space="preserve"> and the energy savings outcomes, and adjust Scheme parameters if needed.  </w:t>
      </w:r>
    </w:p>
    <w:p w14:paraId="7160E97F" w14:textId="2C49B26B" w:rsidR="00FD74B5" w:rsidRDefault="00FD74B5" w:rsidP="00755290">
      <w:pPr>
        <w:pStyle w:val="Heading1"/>
        <w:spacing w:line="266" w:lineRule="auto"/>
        <w:ind w:left="425" w:hanging="425"/>
      </w:pPr>
      <w:bookmarkStart w:id="13" w:name="_Toc138754926"/>
      <w:r w:rsidRPr="00645CB1">
        <w:t>Consistency of the proposed law with the authorising law</w:t>
      </w:r>
    </w:p>
    <w:p w14:paraId="58376AC6" w14:textId="270B08E2" w:rsidR="00FD74B5" w:rsidRPr="00EE28CD" w:rsidRDefault="00FD74B5" w:rsidP="00755290">
      <w:pPr>
        <w:spacing w:after="120" w:line="271" w:lineRule="auto"/>
        <w:ind w:left="11" w:hanging="11"/>
      </w:pPr>
      <w:r>
        <w:t>The Act requires the Minister to determine an EST at least six months before the start of the compliance period if the EST is to be increased</w:t>
      </w:r>
      <w:r w:rsidR="00FE387A">
        <w:t>,</w:t>
      </w:r>
      <w:r>
        <w:t xml:space="preserve"> or in any other case, at least 3 months before the </w:t>
      </w:r>
      <w:r w:rsidR="00FE387A">
        <w:t>start of the relevant compliance period</w:t>
      </w:r>
      <w:r>
        <w:t xml:space="preserve">. Compliance periods are calendar years. As the proposal is to retain, rather than increase the EST, the </w:t>
      </w:r>
      <w:r w:rsidR="00FE387A">
        <w:t xml:space="preserve">determination will be made </w:t>
      </w:r>
      <w:r>
        <w:t>at least three months before the beginning of 2025.</w:t>
      </w:r>
    </w:p>
    <w:p w14:paraId="516A21DE" w14:textId="32C523BA" w:rsidR="00FD74B5" w:rsidRPr="00FD74B5" w:rsidRDefault="00FD74B5" w:rsidP="004F0D7E">
      <w:pPr>
        <w:spacing w:after="360"/>
      </w:pPr>
      <w:r>
        <w:t xml:space="preserve">The Act requires the shortfall penalty to be determined at least 3 months before the start of the compliance period to which the shortfall penalty relates. </w:t>
      </w:r>
    </w:p>
    <w:p w14:paraId="3D1FC3DF" w14:textId="5FC5B34C" w:rsidR="00795996" w:rsidRDefault="00441DF2" w:rsidP="00755290">
      <w:pPr>
        <w:pStyle w:val="Heading1"/>
        <w:spacing w:line="266" w:lineRule="auto"/>
        <w:ind w:left="425" w:hanging="425"/>
      </w:pPr>
      <w:r w:rsidRPr="00645CB1">
        <w:t>Inconsistency with the policy objectives of another territory law</w:t>
      </w:r>
      <w:bookmarkEnd w:id="13"/>
    </w:p>
    <w:p w14:paraId="06AA199B" w14:textId="77777777" w:rsidR="00795996" w:rsidRDefault="00521E20" w:rsidP="00FE387A">
      <w:pPr>
        <w:spacing w:after="360"/>
        <w:ind w:left="7"/>
      </w:pPr>
      <w:r>
        <w:t xml:space="preserve">The determinations are not inconsistent with the policy objectives of another Territory law.  </w:t>
      </w:r>
    </w:p>
    <w:p w14:paraId="5E17B8D9" w14:textId="77777777" w:rsidR="00FE387A" w:rsidRDefault="00FE387A" w:rsidP="00755290">
      <w:pPr>
        <w:pStyle w:val="Heading1"/>
        <w:spacing w:line="266" w:lineRule="auto"/>
        <w:ind w:left="425" w:hanging="425"/>
      </w:pPr>
      <w:bookmarkStart w:id="14" w:name="_Toc138754927"/>
      <w:r w:rsidRPr="00645CB1">
        <w:t>Reasonable alternatives to the proposed law</w:t>
      </w:r>
    </w:p>
    <w:p w14:paraId="2C9AC8A4" w14:textId="2EA9126D" w:rsidR="00FE387A" w:rsidRPr="00FE387A" w:rsidRDefault="00FE387A" w:rsidP="00FE387A">
      <w:pPr>
        <w:spacing w:after="360"/>
      </w:pPr>
      <w:r>
        <w:t xml:space="preserve">The Act requires the Minister to make the determinations therefore not making the disallowable instruments is not an option. </w:t>
      </w:r>
    </w:p>
    <w:p w14:paraId="6669B1D6" w14:textId="043B7924" w:rsidR="00FE387A" w:rsidRDefault="00FE387A" w:rsidP="00755290">
      <w:pPr>
        <w:pStyle w:val="Heading1"/>
        <w:spacing w:line="266" w:lineRule="auto"/>
        <w:ind w:left="425" w:hanging="425"/>
      </w:pPr>
      <w:r>
        <w:lastRenderedPageBreak/>
        <w:t>B</w:t>
      </w:r>
      <w:r w:rsidRPr="00645CB1">
        <w:t>rief assessment of the benefits and costs of the proposed law</w:t>
      </w:r>
    </w:p>
    <w:p w14:paraId="4338C1C0" w14:textId="70136318" w:rsidR="00FE387A" w:rsidRDefault="00AF74CD">
      <w:pPr>
        <w:spacing w:after="360"/>
      </w:pPr>
      <w:r>
        <w:t>The Common Capital report modelled benefits and costs for the scheme depending on the level of ambition, the determ</w:t>
      </w:r>
      <w:r w:rsidR="00A63F45">
        <w:t xml:space="preserve">inations have been made </w:t>
      </w:r>
      <w:r w:rsidR="00755290">
        <w:t>based on</w:t>
      </w:r>
      <w:r w:rsidR="00A63F45">
        <w:t xml:space="preserve"> the ‘medium ambition</w:t>
      </w:r>
      <w:r w:rsidR="00B151A3">
        <w:t>’</w:t>
      </w:r>
      <w:r w:rsidR="00A63F45">
        <w:t xml:space="preserve"> model. The table below outlines the costs and benefits of the three options:</w:t>
      </w:r>
    </w:p>
    <w:tbl>
      <w:tblPr>
        <w:tblW w:w="92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6"/>
        <w:gridCol w:w="1134"/>
        <w:gridCol w:w="1275"/>
        <w:gridCol w:w="1249"/>
      </w:tblGrid>
      <w:tr w:rsidR="00A63F45" w:rsidRPr="00A63F45" w14:paraId="0893E37C" w14:textId="77777777" w:rsidTr="004F0D7E">
        <w:trPr>
          <w:trHeight w:val="279"/>
        </w:trPr>
        <w:tc>
          <w:tcPr>
            <w:tcW w:w="4361" w:type="dxa"/>
          </w:tcPr>
          <w:p w14:paraId="02F41DD3" w14:textId="77777777" w:rsidR="00A63F45" w:rsidRPr="00A63F45" w:rsidRDefault="00A63F45" w:rsidP="00A63F45">
            <w:pPr>
              <w:spacing w:after="360"/>
            </w:pPr>
            <w:r w:rsidRPr="00A63F45">
              <w:rPr>
                <w:b/>
                <w:bCs/>
              </w:rPr>
              <w:t xml:space="preserve">Scheme setting </w:t>
            </w:r>
          </w:p>
        </w:tc>
        <w:tc>
          <w:tcPr>
            <w:tcW w:w="1276" w:type="dxa"/>
          </w:tcPr>
          <w:p w14:paraId="6A28E3D1" w14:textId="77777777" w:rsidR="00A63F45" w:rsidRPr="00A63F45" w:rsidRDefault="00A63F45" w:rsidP="00A63F45">
            <w:pPr>
              <w:spacing w:after="360"/>
            </w:pPr>
            <w:r w:rsidRPr="00A63F45">
              <w:rPr>
                <w:b/>
                <w:bCs/>
              </w:rPr>
              <w:t xml:space="preserve">Unit </w:t>
            </w:r>
          </w:p>
        </w:tc>
        <w:tc>
          <w:tcPr>
            <w:tcW w:w="1134" w:type="dxa"/>
          </w:tcPr>
          <w:p w14:paraId="3DB8C3A9" w14:textId="77777777" w:rsidR="00A63F45" w:rsidRPr="00A63F45" w:rsidRDefault="00A63F45" w:rsidP="00A63F45">
            <w:pPr>
              <w:spacing w:after="360"/>
            </w:pPr>
            <w:r w:rsidRPr="00A63F45">
              <w:rPr>
                <w:b/>
                <w:bCs/>
              </w:rPr>
              <w:t xml:space="preserve">Low ambition </w:t>
            </w:r>
          </w:p>
        </w:tc>
        <w:tc>
          <w:tcPr>
            <w:tcW w:w="1275" w:type="dxa"/>
          </w:tcPr>
          <w:p w14:paraId="7437091A" w14:textId="77777777" w:rsidR="00A63F45" w:rsidRPr="00A63F45" w:rsidRDefault="00A63F45" w:rsidP="00A63F45">
            <w:pPr>
              <w:spacing w:after="360"/>
            </w:pPr>
            <w:r w:rsidRPr="00A63F45">
              <w:rPr>
                <w:b/>
                <w:bCs/>
              </w:rPr>
              <w:t xml:space="preserve">Medium ambition </w:t>
            </w:r>
          </w:p>
        </w:tc>
        <w:tc>
          <w:tcPr>
            <w:tcW w:w="1249" w:type="dxa"/>
          </w:tcPr>
          <w:p w14:paraId="7E651B0F" w14:textId="77777777" w:rsidR="00A63F45" w:rsidRPr="00A63F45" w:rsidRDefault="00A63F45" w:rsidP="00A63F45">
            <w:pPr>
              <w:spacing w:after="360"/>
            </w:pPr>
            <w:r w:rsidRPr="00A63F45">
              <w:rPr>
                <w:b/>
                <w:bCs/>
              </w:rPr>
              <w:t xml:space="preserve">High ambition </w:t>
            </w:r>
          </w:p>
        </w:tc>
      </w:tr>
      <w:tr w:rsidR="00A63F45" w:rsidRPr="00A63F45" w14:paraId="02B4232B" w14:textId="77777777" w:rsidTr="004F0D7E">
        <w:trPr>
          <w:trHeight w:val="112"/>
        </w:trPr>
        <w:tc>
          <w:tcPr>
            <w:tcW w:w="4361" w:type="dxa"/>
          </w:tcPr>
          <w:p w14:paraId="3A666DE6" w14:textId="77777777" w:rsidR="00A63F45" w:rsidRPr="00A63F45" w:rsidRDefault="00A63F45" w:rsidP="00A63F45">
            <w:pPr>
              <w:spacing w:after="360"/>
            </w:pPr>
            <w:r w:rsidRPr="00A63F45">
              <w:rPr>
                <w:b/>
                <w:bCs/>
              </w:rPr>
              <w:t xml:space="preserve">EST </w:t>
            </w:r>
          </w:p>
        </w:tc>
        <w:tc>
          <w:tcPr>
            <w:tcW w:w="1276" w:type="dxa"/>
          </w:tcPr>
          <w:p w14:paraId="0692E06F" w14:textId="77777777" w:rsidR="00A63F45" w:rsidRPr="00A63F45" w:rsidRDefault="00A63F45" w:rsidP="00A63F45">
            <w:pPr>
              <w:spacing w:after="360"/>
            </w:pPr>
            <w:r w:rsidRPr="00A63F45">
              <w:rPr>
                <w:i/>
                <w:iCs/>
              </w:rPr>
              <w:t xml:space="preserve">% </w:t>
            </w:r>
          </w:p>
        </w:tc>
        <w:tc>
          <w:tcPr>
            <w:tcW w:w="1134" w:type="dxa"/>
          </w:tcPr>
          <w:p w14:paraId="4BB8A790" w14:textId="77777777" w:rsidR="00A63F45" w:rsidRPr="00A63F45" w:rsidRDefault="00A63F45" w:rsidP="00A63F45">
            <w:pPr>
              <w:spacing w:after="360"/>
            </w:pPr>
            <w:r w:rsidRPr="00A63F45">
              <w:t xml:space="preserve">12.5% </w:t>
            </w:r>
          </w:p>
        </w:tc>
        <w:tc>
          <w:tcPr>
            <w:tcW w:w="1275" w:type="dxa"/>
          </w:tcPr>
          <w:p w14:paraId="060123B8" w14:textId="77777777" w:rsidR="00A63F45" w:rsidRPr="00A63F45" w:rsidRDefault="00A63F45" w:rsidP="00A63F45">
            <w:pPr>
              <w:spacing w:after="360"/>
            </w:pPr>
            <w:r w:rsidRPr="00A63F45">
              <w:t xml:space="preserve">14.6% </w:t>
            </w:r>
          </w:p>
        </w:tc>
        <w:tc>
          <w:tcPr>
            <w:tcW w:w="1249" w:type="dxa"/>
          </w:tcPr>
          <w:p w14:paraId="74C40C9A" w14:textId="77777777" w:rsidR="00A63F45" w:rsidRPr="00A63F45" w:rsidRDefault="00A63F45" w:rsidP="00A63F45">
            <w:pPr>
              <w:spacing w:after="360"/>
            </w:pPr>
            <w:r w:rsidRPr="00A63F45">
              <w:t xml:space="preserve">19.7% </w:t>
            </w:r>
          </w:p>
        </w:tc>
      </w:tr>
      <w:tr w:rsidR="00A63F45" w:rsidRPr="00A63F45" w14:paraId="6DFE04F4" w14:textId="77777777" w:rsidTr="004F0D7E">
        <w:trPr>
          <w:trHeight w:val="112"/>
        </w:trPr>
        <w:tc>
          <w:tcPr>
            <w:tcW w:w="4361" w:type="dxa"/>
          </w:tcPr>
          <w:p w14:paraId="30065E1A" w14:textId="77777777" w:rsidR="00A63F45" w:rsidRPr="00A63F45" w:rsidRDefault="00A63F45" w:rsidP="00A63F45">
            <w:pPr>
              <w:spacing w:after="360"/>
            </w:pPr>
            <w:r w:rsidRPr="00A63F45">
              <w:rPr>
                <w:b/>
                <w:bCs/>
              </w:rPr>
              <w:t xml:space="preserve">ESC </w:t>
            </w:r>
          </w:p>
        </w:tc>
        <w:tc>
          <w:tcPr>
            <w:tcW w:w="1276" w:type="dxa"/>
          </w:tcPr>
          <w:p w14:paraId="7F54E74E" w14:textId="77777777" w:rsidR="00A63F45" w:rsidRPr="00A63F45" w:rsidRDefault="00A63F45" w:rsidP="00A63F45">
            <w:pPr>
              <w:spacing w:after="360"/>
            </w:pPr>
            <w:r w:rsidRPr="00A63F45">
              <w:rPr>
                <w:i/>
                <w:iCs/>
              </w:rPr>
              <w:t xml:space="preserve">$/MWh </w:t>
            </w:r>
          </w:p>
        </w:tc>
        <w:tc>
          <w:tcPr>
            <w:tcW w:w="1134" w:type="dxa"/>
          </w:tcPr>
          <w:p w14:paraId="773A8FB2" w14:textId="77777777" w:rsidR="00A63F45" w:rsidRPr="00A63F45" w:rsidRDefault="00A63F45" w:rsidP="00A63F45">
            <w:pPr>
              <w:spacing w:after="360"/>
            </w:pPr>
            <w:r w:rsidRPr="00A63F45">
              <w:t xml:space="preserve">$24.69 </w:t>
            </w:r>
          </w:p>
        </w:tc>
        <w:tc>
          <w:tcPr>
            <w:tcW w:w="1275" w:type="dxa"/>
          </w:tcPr>
          <w:p w14:paraId="1CA7A351" w14:textId="77777777" w:rsidR="00A63F45" w:rsidRPr="00A63F45" w:rsidRDefault="00A63F45" w:rsidP="00A63F45">
            <w:pPr>
              <w:spacing w:after="360"/>
            </w:pPr>
            <w:r w:rsidRPr="00A63F45">
              <w:t xml:space="preserve">$27.43 </w:t>
            </w:r>
          </w:p>
        </w:tc>
        <w:tc>
          <w:tcPr>
            <w:tcW w:w="1249" w:type="dxa"/>
          </w:tcPr>
          <w:p w14:paraId="66311372" w14:textId="77777777" w:rsidR="00A63F45" w:rsidRPr="00A63F45" w:rsidRDefault="00A63F45" w:rsidP="00A63F45">
            <w:pPr>
              <w:spacing w:after="360"/>
            </w:pPr>
            <w:r w:rsidRPr="00A63F45">
              <w:t xml:space="preserve">$32.00 </w:t>
            </w:r>
          </w:p>
        </w:tc>
      </w:tr>
      <w:tr w:rsidR="00A63F45" w:rsidRPr="00A63F45" w14:paraId="000D7A7C" w14:textId="77777777" w:rsidTr="004F0D7E">
        <w:trPr>
          <w:trHeight w:val="112"/>
        </w:trPr>
        <w:tc>
          <w:tcPr>
            <w:tcW w:w="4361" w:type="dxa"/>
          </w:tcPr>
          <w:p w14:paraId="0C4F9E28" w14:textId="77777777" w:rsidR="00A63F45" w:rsidRPr="00A63F45" w:rsidRDefault="00A63F45" w:rsidP="00A63F45">
            <w:pPr>
              <w:spacing w:after="360"/>
            </w:pPr>
            <w:r w:rsidRPr="00A63F45">
              <w:rPr>
                <w:b/>
                <w:bCs/>
              </w:rPr>
              <w:t xml:space="preserve">Shortfall Penalty </w:t>
            </w:r>
          </w:p>
        </w:tc>
        <w:tc>
          <w:tcPr>
            <w:tcW w:w="1276" w:type="dxa"/>
          </w:tcPr>
          <w:p w14:paraId="6573281D" w14:textId="77777777" w:rsidR="00A63F45" w:rsidRPr="00A63F45" w:rsidRDefault="00A63F45" w:rsidP="00A63F45">
            <w:pPr>
              <w:spacing w:after="360"/>
            </w:pPr>
            <w:r w:rsidRPr="00A63F45">
              <w:rPr>
                <w:i/>
                <w:iCs/>
              </w:rPr>
              <w:t xml:space="preserve">$ </w:t>
            </w:r>
          </w:p>
        </w:tc>
        <w:tc>
          <w:tcPr>
            <w:tcW w:w="1134" w:type="dxa"/>
          </w:tcPr>
          <w:p w14:paraId="0DD6DA99" w14:textId="77777777" w:rsidR="00A63F45" w:rsidRPr="00A63F45" w:rsidRDefault="00A63F45" w:rsidP="00A63F45">
            <w:pPr>
              <w:spacing w:after="360"/>
            </w:pPr>
            <w:r w:rsidRPr="00A63F45">
              <w:t xml:space="preserve">$64.20 </w:t>
            </w:r>
          </w:p>
        </w:tc>
        <w:tc>
          <w:tcPr>
            <w:tcW w:w="1275" w:type="dxa"/>
          </w:tcPr>
          <w:p w14:paraId="068CCEF1" w14:textId="77777777" w:rsidR="00A63F45" w:rsidRPr="00A63F45" w:rsidRDefault="00A63F45" w:rsidP="00A63F45">
            <w:pPr>
              <w:spacing w:after="360"/>
            </w:pPr>
            <w:r w:rsidRPr="00A63F45">
              <w:t xml:space="preserve">$71.32 </w:t>
            </w:r>
          </w:p>
        </w:tc>
        <w:tc>
          <w:tcPr>
            <w:tcW w:w="1249" w:type="dxa"/>
          </w:tcPr>
          <w:p w14:paraId="62EB9F3B" w14:textId="77777777" w:rsidR="00A63F45" w:rsidRPr="00A63F45" w:rsidRDefault="00A63F45" w:rsidP="00A63F45">
            <w:pPr>
              <w:spacing w:after="360"/>
            </w:pPr>
            <w:r w:rsidRPr="00A63F45">
              <w:t xml:space="preserve">$83.20 </w:t>
            </w:r>
          </w:p>
        </w:tc>
      </w:tr>
      <w:tr w:rsidR="00A63F45" w:rsidRPr="00A63F45" w14:paraId="4CBD3B9B" w14:textId="77777777" w:rsidTr="004F0D7E">
        <w:trPr>
          <w:trHeight w:val="272"/>
        </w:trPr>
        <w:tc>
          <w:tcPr>
            <w:tcW w:w="4361" w:type="dxa"/>
          </w:tcPr>
          <w:p w14:paraId="6FC8D7BD" w14:textId="77777777" w:rsidR="00A63F45" w:rsidRPr="00A63F45" w:rsidRDefault="00A63F45" w:rsidP="00A63F45">
            <w:pPr>
              <w:spacing w:after="360"/>
            </w:pPr>
            <w:r w:rsidRPr="00A63F45">
              <w:rPr>
                <w:b/>
                <w:bCs/>
              </w:rPr>
              <w:t xml:space="preserve">Lifetime energy savings from the scheme, 2013-2030 </w:t>
            </w:r>
          </w:p>
        </w:tc>
        <w:tc>
          <w:tcPr>
            <w:tcW w:w="1276" w:type="dxa"/>
          </w:tcPr>
          <w:p w14:paraId="070961A7" w14:textId="77777777" w:rsidR="00A63F45" w:rsidRPr="00A63F45" w:rsidRDefault="00A63F45" w:rsidP="00A63F45">
            <w:pPr>
              <w:spacing w:after="360"/>
            </w:pPr>
            <w:r w:rsidRPr="00A63F45">
              <w:rPr>
                <w:i/>
                <w:iCs/>
              </w:rPr>
              <w:t xml:space="preserve">GWh </w:t>
            </w:r>
          </w:p>
        </w:tc>
        <w:tc>
          <w:tcPr>
            <w:tcW w:w="1134" w:type="dxa"/>
          </w:tcPr>
          <w:p w14:paraId="0DF3FE0A" w14:textId="77777777" w:rsidR="00A63F45" w:rsidRPr="00A63F45" w:rsidRDefault="00A63F45" w:rsidP="00A63F45">
            <w:pPr>
              <w:spacing w:after="360"/>
            </w:pPr>
            <w:r w:rsidRPr="00A63F45">
              <w:t xml:space="preserve">3815 </w:t>
            </w:r>
          </w:p>
        </w:tc>
        <w:tc>
          <w:tcPr>
            <w:tcW w:w="1275" w:type="dxa"/>
          </w:tcPr>
          <w:p w14:paraId="64658C37" w14:textId="77777777" w:rsidR="00A63F45" w:rsidRPr="00A63F45" w:rsidRDefault="00A63F45" w:rsidP="00A63F45">
            <w:pPr>
              <w:spacing w:after="360"/>
            </w:pPr>
            <w:r w:rsidRPr="00A63F45">
              <w:t xml:space="preserve">3953 </w:t>
            </w:r>
          </w:p>
        </w:tc>
        <w:tc>
          <w:tcPr>
            <w:tcW w:w="1249" w:type="dxa"/>
          </w:tcPr>
          <w:p w14:paraId="26C0F7DE" w14:textId="77777777" w:rsidR="00A63F45" w:rsidRPr="00A63F45" w:rsidRDefault="00A63F45" w:rsidP="00A63F45">
            <w:pPr>
              <w:spacing w:after="360"/>
            </w:pPr>
            <w:r w:rsidRPr="00A63F45">
              <w:t xml:space="preserve">4303 </w:t>
            </w:r>
          </w:p>
        </w:tc>
      </w:tr>
      <w:tr w:rsidR="00A63F45" w:rsidRPr="00A63F45" w14:paraId="43059BA5" w14:textId="77777777" w:rsidTr="004F0D7E">
        <w:trPr>
          <w:trHeight w:val="279"/>
        </w:trPr>
        <w:tc>
          <w:tcPr>
            <w:tcW w:w="4361" w:type="dxa"/>
          </w:tcPr>
          <w:p w14:paraId="7DDE5CD9" w14:textId="77777777" w:rsidR="00A63F45" w:rsidRPr="00A63F45" w:rsidRDefault="00A63F45" w:rsidP="00A63F45">
            <w:pPr>
              <w:spacing w:after="360"/>
            </w:pPr>
            <w:r w:rsidRPr="00A63F45">
              <w:rPr>
                <w:b/>
                <w:bCs/>
              </w:rPr>
              <w:t xml:space="preserve">Lifetime emission reductions from the scheme, 2013-2030 </w:t>
            </w:r>
          </w:p>
        </w:tc>
        <w:tc>
          <w:tcPr>
            <w:tcW w:w="1276" w:type="dxa"/>
          </w:tcPr>
          <w:p w14:paraId="569CF9A6" w14:textId="77777777" w:rsidR="00A63F45" w:rsidRPr="00A63F45" w:rsidRDefault="00A63F45" w:rsidP="00A63F45">
            <w:pPr>
              <w:spacing w:after="360"/>
            </w:pPr>
            <w:r w:rsidRPr="00A63F45">
              <w:rPr>
                <w:i/>
                <w:iCs/>
              </w:rPr>
              <w:t xml:space="preserve">kt CO2-e </w:t>
            </w:r>
          </w:p>
        </w:tc>
        <w:tc>
          <w:tcPr>
            <w:tcW w:w="1134" w:type="dxa"/>
          </w:tcPr>
          <w:p w14:paraId="5F224938" w14:textId="77777777" w:rsidR="00A63F45" w:rsidRPr="00A63F45" w:rsidRDefault="00A63F45" w:rsidP="00A63F45">
            <w:pPr>
              <w:spacing w:after="360"/>
            </w:pPr>
            <w:r w:rsidRPr="00A63F45">
              <w:t xml:space="preserve">793 </w:t>
            </w:r>
          </w:p>
        </w:tc>
        <w:tc>
          <w:tcPr>
            <w:tcW w:w="1275" w:type="dxa"/>
          </w:tcPr>
          <w:p w14:paraId="415FC31C" w14:textId="77777777" w:rsidR="00A63F45" w:rsidRPr="00A63F45" w:rsidRDefault="00A63F45" w:rsidP="00A63F45">
            <w:pPr>
              <w:spacing w:after="360"/>
            </w:pPr>
            <w:r w:rsidRPr="00A63F45">
              <w:t xml:space="preserve">819 </w:t>
            </w:r>
          </w:p>
        </w:tc>
        <w:tc>
          <w:tcPr>
            <w:tcW w:w="1249" w:type="dxa"/>
          </w:tcPr>
          <w:p w14:paraId="11CCD3E1" w14:textId="77777777" w:rsidR="00A63F45" w:rsidRPr="00A63F45" w:rsidRDefault="00A63F45" w:rsidP="00A63F45">
            <w:pPr>
              <w:spacing w:after="360"/>
            </w:pPr>
            <w:r w:rsidRPr="00A63F45">
              <w:t xml:space="preserve">901 </w:t>
            </w:r>
          </w:p>
        </w:tc>
      </w:tr>
      <w:tr w:rsidR="00A63F45" w:rsidRPr="00A63F45" w14:paraId="63BE0CE2" w14:textId="77777777" w:rsidTr="004F0D7E">
        <w:trPr>
          <w:trHeight w:val="272"/>
        </w:trPr>
        <w:tc>
          <w:tcPr>
            <w:tcW w:w="4361" w:type="dxa"/>
          </w:tcPr>
          <w:p w14:paraId="7DF97350" w14:textId="77777777" w:rsidR="00A63F45" w:rsidRPr="00A63F45" w:rsidRDefault="00A63F45" w:rsidP="00A63F45">
            <w:pPr>
              <w:spacing w:after="360"/>
            </w:pPr>
            <w:r w:rsidRPr="00A63F45">
              <w:rPr>
                <w:b/>
                <w:bCs/>
              </w:rPr>
              <w:t xml:space="preserve">Lifetime bill savings from the scheme, 2013-2030 </w:t>
            </w:r>
          </w:p>
        </w:tc>
        <w:tc>
          <w:tcPr>
            <w:tcW w:w="1276" w:type="dxa"/>
          </w:tcPr>
          <w:p w14:paraId="65C9B9C6" w14:textId="77777777" w:rsidR="00A63F45" w:rsidRPr="00A63F45" w:rsidRDefault="00A63F45" w:rsidP="00A63F45">
            <w:pPr>
              <w:spacing w:after="360"/>
            </w:pPr>
            <w:r w:rsidRPr="00A63F45">
              <w:rPr>
                <w:i/>
                <w:iCs/>
              </w:rPr>
              <w:t xml:space="preserve">$ million </w:t>
            </w:r>
          </w:p>
        </w:tc>
        <w:tc>
          <w:tcPr>
            <w:tcW w:w="1134" w:type="dxa"/>
          </w:tcPr>
          <w:p w14:paraId="06E8C88F" w14:textId="77777777" w:rsidR="00A63F45" w:rsidRPr="00A63F45" w:rsidRDefault="00A63F45" w:rsidP="00A63F45">
            <w:pPr>
              <w:spacing w:after="360"/>
            </w:pPr>
            <w:r w:rsidRPr="00A63F45">
              <w:t xml:space="preserve">$649.00 </w:t>
            </w:r>
          </w:p>
        </w:tc>
        <w:tc>
          <w:tcPr>
            <w:tcW w:w="1275" w:type="dxa"/>
          </w:tcPr>
          <w:p w14:paraId="2B62D172" w14:textId="77777777" w:rsidR="00A63F45" w:rsidRPr="00A63F45" w:rsidRDefault="00A63F45" w:rsidP="00A63F45">
            <w:pPr>
              <w:spacing w:after="360"/>
            </w:pPr>
            <w:r w:rsidRPr="00A63F45">
              <w:t xml:space="preserve">$662.00 </w:t>
            </w:r>
          </w:p>
        </w:tc>
        <w:tc>
          <w:tcPr>
            <w:tcW w:w="1249" w:type="dxa"/>
          </w:tcPr>
          <w:p w14:paraId="0909BE6F" w14:textId="77777777" w:rsidR="00A63F45" w:rsidRPr="00A63F45" w:rsidRDefault="00A63F45" w:rsidP="00A63F45">
            <w:pPr>
              <w:spacing w:after="360"/>
            </w:pPr>
            <w:r w:rsidRPr="00A63F45">
              <w:t xml:space="preserve">$682.00 </w:t>
            </w:r>
          </w:p>
        </w:tc>
      </w:tr>
      <w:tr w:rsidR="00A63F45" w:rsidRPr="00A63F45" w14:paraId="3AC18832" w14:textId="77777777" w:rsidTr="004F0D7E">
        <w:trPr>
          <w:trHeight w:val="112"/>
        </w:trPr>
        <w:tc>
          <w:tcPr>
            <w:tcW w:w="4361" w:type="dxa"/>
          </w:tcPr>
          <w:p w14:paraId="5E34D86C" w14:textId="26BE01CE" w:rsidR="00A63F45" w:rsidRPr="00A63F45" w:rsidRDefault="00A63F45" w:rsidP="00A63F45">
            <w:pPr>
              <w:spacing w:after="360"/>
            </w:pPr>
            <w:r>
              <w:rPr>
                <w:b/>
                <w:bCs/>
              </w:rPr>
              <w:t xml:space="preserve">Estimated </w:t>
            </w:r>
            <w:r w:rsidRPr="00A63F45">
              <w:rPr>
                <w:b/>
                <w:bCs/>
              </w:rPr>
              <w:t xml:space="preserve">Pass through cost </w:t>
            </w:r>
          </w:p>
        </w:tc>
        <w:tc>
          <w:tcPr>
            <w:tcW w:w="1276" w:type="dxa"/>
          </w:tcPr>
          <w:p w14:paraId="2C5FA02C" w14:textId="77777777" w:rsidR="00A63F45" w:rsidRPr="00A63F45" w:rsidRDefault="00A63F45" w:rsidP="00A63F45">
            <w:pPr>
              <w:spacing w:after="360"/>
            </w:pPr>
            <w:r w:rsidRPr="00A63F45">
              <w:rPr>
                <w:i/>
                <w:iCs/>
              </w:rPr>
              <w:t xml:space="preserve">$/MWh </w:t>
            </w:r>
          </w:p>
        </w:tc>
        <w:tc>
          <w:tcPr>
            <w:tcW w:w="1134" w:type="dxa"/>
          </w:tcPr>
          <w:p w14:paraId="6B9071E7" w14:textId="77777777" w:rsidR="00A63F45" w:rsidRPr="00A63F45" w:rsidRDefault="00A63F45" w:rsidP="00A63F45">
            <w:pPr>
              <w:spacing w:after="360"/>
            </w:pPr>
            <w:r w:rsidRPr="00A63F45">
              <w:t xml:space="preserve">$3.10 </w:t>
            </w:r>
          </w:p>
        </w:tc>
        <w:tc>
          <w:tcPr>
            <w:tcW w:w="1275" w:type="dxa"/>
          </w:tcPr>
          <w:p w14:paraId="1F6E946B" w14:textId="77777777" w:rsidR="00A63F45" w:rsidRPr="00A63F45" w:rsidRDefault="00A63F45" w:rsidP="00A63F45">
            <w:pPr>
              <w:spacing w:after="360"/>
            </w:pPr>
            <w:r w:rsidRPr="00A63F45">
              <w:t xml:space="preserve">$4.00 </w:t>
            </w:r>
          </w:p>
        </w:tc>
        <w:tc>
          <w:tcPr>
            <w:tcW w:w="1249" w:type="dxa"/>
          </w:tcPr>
          <w:p w14:paraId="70409D1E" w14:textId="77777777" w:rsidR="00A63F45" w:rsidRPr="00A63F45" w:rsidRDefault="00A63F45" w:rsidP="00A63F45">
            <w:pPr>
              <w:spacing w:after="360"/>
            </w:pPr>
            <w:r w:rsidRPr="00A63F45">
              <w:t xml:space="preserve">$6.30 </w:t>
            </w:r>
          </w:p>
        </w:tc>
      </w:tr>
      <w:tr w:rsidR="00A63F45" w:rsidRPr="00A63F45" w14:paraId="2BE5F88A" w14:textId="77777777" w:rsidTr="004F0D7E">
        <w:trPr>
          <w:trHeight w:val="112"/>
        </w:trPr>
        <w:tc>
          <w:tcPr>
            <w:tcW w:w="4361" w:type="dxa"/>
          </w:tcPr>
          <w:p w14:paraId="0040DDEC" w14:textId="0BC36865" w:rsidR="00A63F45" w:rsidRPr="00A63F45" w:rsidRDefault="00A63F45" w:rsidP="00A63F45">
            <w:pPr>
              <w:spacing w:after="360"/>
            </w:pPr>
            <w:r>
              <w:rPr>
                <w:b/>
                <w:bCs/>
              </w:rPr>
              <w:t xml:space="preserve">Estimated </w:t>
            </w:r>
            <w:r w:rsidRPr="00A63F45">
              <w:rPr>
                <w:b/>
                <w:bCs/>
              </w:rPr>
              <w:t xml:space="preserve">Average annual bill increase </w:t>
            </w:r>
          </w:p>
        </w:tc>
        <w:tc>
          <w:tcPr>
            <w:tcW w:w="1276" w:type="dxa"/>
          </w:tcPr>
          <w:p w14:paraId="538E5304" w14:textId="77777777" w:rsidR="00A63F45" w:rsidRPr="00A63F45" w:rsidRDefault="00A63F45" w:rsidP="00A63F45">
            <w:pPr>
              <w:spacing w:after="360"/>
            </w:pPr>
            <w:r w:rsidRPr="00A63F45">
              <w:rPr>
                <w:i/>
                <w:iCs/>
              </w:rPr>
              <w:t xml:space="preserve">$ </w:t>
            </w:r>
          </w:p>
        </w:tc>
        <w:tc>
          <w:tcPr>
            <w:tcW w:w="1134" w:type="dxa"/>
          </w:tcPr>
          <w:p w14:paraId="1613A7B5" w14:textId="77777777" w:rsidR="00A63F45" w:rsidRPr="00A63F45" w:rsidRDefault="00A63F45" w:rsidP="00A63F45">
            <w:pPr>
              <w:spacing w:after="360"/>
            </w:pPr>
            <w:r w:rsidRPr="00A63F45">
              <w:t xml:space="preserve">$19.76 </w:t>
            </w:r>
          </w:p>
        </w:tc>
        <w:tc>
          <w:tcPr>
            <w:tcW w:w="1275" w:type="dxa"/>
          </w:tcPr>
          <w:p w14:paraId="0B159829" w14:textId="77777777" w:rsidR="00A63F45" w:rsidRPr="00A63F45" w:rsidRDefault="00A63F45" w:rsidP="00A63F45">
            <w:pPr>
              <w:spacing w:after="360"/>
            </w:pPr>
            <w:r w:rsidRPr="00A63F45">
              <w:t xml:space="preserve">$25.48 </w:t>
            </w:r>
          </w:p>
        </w:tc>
        <w:tc>
          <w:tcPr>
            <w:tcW w:w="1249" w:type="dxa"/>
          </w:tcPr>
          <w:p w14:paraId="567B025C" w14:textId="77777777" w:rsidR="00A63F45" w:rsidRPr="00A63F45" w:rsidRDefault="00A63F45" w:rsidP="00A63F45">
            <w:pPr>
              <w:spacing w:after="360"/>
            </w:pPr>
            <w:r w:rsidRPr="00A63F45">
              <w:t xml:space="preserve">$40.16 </w:t>
            </w:r>
          </w:p>
        </w:tc>
      </w:tr>
      <w:tr w:rsidR="00A63F45" w:rsidRPr="00A63F45" w14:paraId="3937357C" w14:textId="77777777" w:rsidTr="004F0D7E">
        <w:trPr>
          <w:trHeight w:val="285"/>
        </w:trPr>
        <w:tc>
          <w:tcPr>
            <w:tcW w:w="4361" w:type="dxa"/>
          </w:tcPr>
          <w:p w14:paraId="1BFC30EA" w14:textId="77777777" w:rsidR="00A63F45" w:rsidRPr="00A63F45" w:rsidRDefault="00A63F45" w:rsidP="00A63F45">
            <w:pPr>
              <w:spacing w:after="360"/>
            </w:pPr>
            <w:r w:rsidRPr="00A63F45">
              <w:rPr>
                <w:b/>
                <w:bCs/>
              </w:rPr>
              <w:t xml:space="preserve">Net present value of public investment </w:t>
            </w:r>
          </w:p>
        </w:tc>
        <w:tc>
          <w:tcPr>
            <w:tcW w:w="1276" w:type="dxa"/>
          </w:tcPr>
          <w:p w14:paraId="34ED2F8A" w14:textId="77777777" w:rsidR="00A63F45" w:rsidRPr="00A63F45" w:rsidRDefault="00A63F45" w:rsidP="00A63F45">
            <w:pPr>
              <w:spacing w:after="360"/>
            </w:pPr>
            <w:r w:rsidRPr="00A63F45">
              <w:rPr>
                <w:i/>
                <w:iCs/>
              </w:rPr>
              <w:t xml:space="preserve">$ million </w:t>
            </w:r>
          </w:p>
        </w:tc>
        <w:tc>
          <w:tcPr>
            <w:tcW w:w="1134" w:type="dxa"/>
          </w:tcPr>
          <w:p w14:paraId="0A459342" w14:textId="77777777" w:rsidR="00A63F45" w:rsidRPr="00A63F45" w:rsidRDefault="00A63F45" w:rsidP="00A63F45">
            <w:pPr>
              <w:spacing w:after="360"/>
            </w:pPr>
            <w:r w:rsidRPr="00A63F45">
              <w:t xml:space="preserve">$72 </w:t>
            </w:r>
          </w:p>
        </w:tc>
        <w:tc>
          <w:tcPr>
            <w:tcW w:w="1275" w:type="dxa"/>
          </w:tcPr>
          <w:p w14:paraId="2A2F0173" w14:textId="77777777" w:rsidR="00A63F45" w:rsidRPr="00A63F45" w:rsidRDefault="00A63F45" w:rsidP="00A63F45">
            <w:pPr>
              <w:spacing w:after="360"/>
            </w:pPr>
            <w:r w:rsidRPr="00A63F45">
              <w:t xml:space="preserve">$80 </w:t>
            </w:r>
          </w:p>
        </w:tc>
        <w:tc>
          <w:tcPr>
            <w:tcW w:w="1249" w:type="dxa"/>
          </w:tcPr>
          <w:p w14:paraId="685774A3" w14:textId="77777777" w:rsidR="00A63F45" w:rsidRPr="00A63F45" w:rsidRDefault="00A63F45" w:rsidP="00A63F45">
            <w:pPr>
              <w:spacing w:after="360"/>
            </w:pPr>
            <w:r w:rsidRPr="00A63F45">
              <w:t xml:space="preserve">$95 </w:t>
            </w:r>
          </w:p>
        </w:tc>
      </w:tr>
    </w:tbl>
    <w:p w14:paraId="155A3423" w14:textId="77777777" w:rsidR="00A63F45" w:rsidRPr="00FE387A" w:rsidRDefault="00A63F45" w:rsidP="004F0D7E">
      <w:pPr>
        <w:spacing w:after="360"/>
      </w:pPr>
    </w:p>
    <w:p w14:paraId="46A50FBF" w14:textId="30C3E660" w:rsidR="00795996" w:rsidRDefault="00521E20" w:rsidP="00395FC5">
      <w:pPr>
        <w:pStyle w:val="Heading1"/>
        <w:spacing w:line="266" w:lineRule="auto"/>
        <w:ind w:left="425" w:hanging="425"/>
      </w:pPr>
      <w:r>
        <w:t>Human rights</w:t>
      </w:r>
      <w:bookmarkEnd w:id="14"/>
      <w:r>
        <w:t xml:space="preserve"> </w:t>
      </w:r>
    </w:p>
    <w:p w14:paraId="4559F451" w14:textId="75A1DB47" w:rsidR="00795996" w:rsidRDefault="00521E20" w:rsidP="00C25C34">
      <w:pPr>
        <w:spacing w:after="360" w:line="271" w:lineRule="auto"/>
        <w:ind w:left="5" w:hanging="11"/>
      </w:pPr>
      <w:r>
        <w:t xml:space="preserve">The determinations do not engage any human right set out in the </w:t>
      </w:r>
      <w:r>
        <w:rPr>
          <w:i/>
        </w:rPr>
        <w:t>Human Rights Act 2004</w:t>
      </w:r>
      <w:r>
        <w:t xml:space="preserve">. </w:t>
      </w:r>
    </w:p>
    <w:p w14:paraId="13D0849C" w14:textId="198C1B30" w:rsidR="00795996" w:rsidRDefault="00521E20" w:rsidP="00395FC5">
      <w:pPr>
        <w:pStyle w:val="Heading1"/>
        <w:spacing w:line="266" w:lineRule="auto"/>
        <w:ind w:left="425" w:hanging="425"/>
      </w:pPr>
      <w:bookmarkStart w:id="15" w:name="_Toc138754928"/>
      <w:r>
        <w:t>Assessment of the consistency of the proposed law with Scrutiny of Bills</w:t>
      </w:r>
      <w:bookmarkEnd w:id="15"/>
      <w:r>
        <w:t xml:space="preserve"> </w:t>
      </w:r>
      <w:bookmarkStart w:id="16" w:name="_Toc138754929"/>
      <w:r>
        <w:t>Committee principles</w:t>
      </w:r>
      <w:bookmarkEnd w:id="16"/>
      <w:r>
        <w:t xml:space="preserve"> </w:t>
      </w:r>
    </w:p>
    <w:p w14:paraId="417BFEA2" w14:textId="7A604140" w:rsidR="00795996" w:rsidRDefault="00521E20" w:rsidP="00C25C34">
      <w:pPr>
        <w:spacing w:after="206" w:line="271" w:lineRule="auto"/>
        <w:ind w:left="5" w:hanging="11"/>
      </w:pPr>
      <w:r>
        <w:t xml:space="preserve">The Standing Committee on Justice and Community Safety (Legislative Scrutiny Role) must consider whether any instrument of a legislative nature made under an Act which is subject to disallowance and/or disapproval by the Assembly: </w:t>
      </w:r>
    </w:p>
    <w:p w14:paraId="37D36EC9" w14:textId="68C100FA" w:rsidR="00B06642" w:rsidRPr="001B42CE" w:rsidRDefault="00521E20" w:rsidP="001B42CE">
      <w:pPr>
        <w:pStyle w:val="ListParagraph"/>
        <w:numPr>
          <w:ilvl w:val="0"/>
          <w:numId w:val="11"/>
        </w:numPr>
        <w:ind w:left="1134" w:right="895" w:hanging="708"/>
        <w:rPr>
          <w:rFonts w:ascii="Arial" w:eastAsia="Arial" w:hAnsi="Arial" w:cs="Arial"/>
          <w:i/>
          <w:iCs/>
        </w:rPr>
      </w:pPr>
      <w:r w:rsidRPr="001B42CE">
        <w:rPr>
          <w:i/>
          <w:iCs/>
        </w:rPr>
        <w:lastRenderedPageBreak/>
        <w:t xml:space="preserve">is in accord with the general objects of the Act under which it is made, </w:t>
      </w:r>
    </w:p>
    <w:p w14:paraId="718DE66D" w14:textId="35AFFD33" w:rsidR="00B06642" w:rsidRPr="001B42CE" w:rsidRDefault="00521E20" w:rsidP="001B42CE">
      <w:pPr>
        <w:pStyle w:val="ListParagraph"/>
        <w:numPr>
          <w:ilvl w:val="0"/>
          <w:numId w:val="11"/>
        </w:numPr>
        <w:ind w:left="1134" w:right="895" w:hanging="708"/>
        <w:rPr>
          <w:i/>
          <w:iCs/>
        </w:rPr>
      </w:pPr>
      <w:r w:rsidRPr="001B42CE">
        <w:rPr>
          <w:i/>
          <w:iCs/>
        </w:rPr>
        <w:t xml:space="preserve">unduly trespasses on rights previously established by law,  </w:t>
      </w:r>
    </w:p>
    <w:p w14:paraId="4CE45BE7" w14:textId="51D02E7F" w:rsidR="00795996" w:rsidRPr="001B42CE" w:rsidRDefault="00521E20" w:rsidP="001B42CE">
      <w:pPr>
        <w:pStyle w:val="ListParagraph"/>
        <w:numPr>
          <w:ilvl w:val="0"/>
          <w:numId w:val="11"/>
        </w:numPr>
        <w:ind w:left="1134" w:right="895" w:hanging="708"/>
        <w:rPr>
          <w:i/>
          <w:iCs/>
        </w:rPr>
      </w:pPr>
      <w:r w:rsidRPr="001B42CE">
        <w:rPr>
          <w:i/>
          <w:iCs/>
        </w:rPr>
        <w:t xml:space="preserve">makes rights, liberties and/or obligations unduly dependent upon non reviewable decisions, or </w:t>
      </w:r>
    </w:p>
    <w:p w14:paraId="6FA67898" w14:textId="659B28F8" w:rsidR="00795996" w:rsidRPr="001B42CE" w:rsidRDefault="00521E20" w:rsidP="001B42CE">
      <w:pPr>
        <w:pStyle w:val="ListParagraph"/>
        <w:numPr>
          <w:ilvl w:val="0"/>
          <w:numId w:val="11"/>
        </w:numPr>
        <w:spacing w:after="247"/>
        <w:ind w:left="1134" w:hanging="708"/>
        <w:rPr>
          <w:i/>
          <w:iCs/>
        </w:rPr>
      </w:pPr>
      <w:r w:rsidRPr="001B42CE">
        <w:rPr>
          <w:i/>
          <w:iCs/>
        </w:rPr>
        <w:t xml:space="preserve">contains matters which in the opinion of the Committee should properly be dealt with in an Act of the Legislative Assembly. </w:t>
      </w:r>
    </w:p>
    <w:p w14:paraId="606D4A97" w14:textId="0B064E03" w:rsidR="00795996" w:rsidRDefault="00521E20" w:rsidP="00C25C34">
      <w:pPr>
        <w:keepNext/>
        <w:keepLines/>
        <w:spacing w:after="206" w:line="271" w:lineRule="auto"/>
        <w:ind w:left="5" w:hanging="11"/>
      </w:pPr>
      <w:r>
        <w:t xml:space="preserve">The position in relation to each term of reference is as follows. </w:t>
      </w:r>
    </w:p>
    <w:p w14:paraId="2662235D" w14:textId="65AEC5FB" w:rsidR="00653AEE" w:rsidRPr="00653AEE" w:rsidRDefault="00521E20" w:rsidP="004F0D7E">
      <w:pPr>
        <w:keepNext/>
        <w:keepLines/>
        <w:numPr>
          <w:ilvl w:val="0"/>
          <w:numId w:val="12"/>
        </w:numPr>
        <w:tabs>
          <w:tab w:val="left" w:pos="1134"/>
        </w:tabs>
      </w:pPr>
      <w:r>
        <w:rPr>
          <w:i/>
        </w:rPr>
        <w:t>is in accord with the general objects of the Act under which it is made</w:t>
      </w:r>
    </w:p>
    <w:p w14:paraId="5BD367EF" w14:textId="476B8C45" w:rsidR="00795996" w:rsidRDefault="001B42CE" w:rsidP="001B42CE">
      <w:pPr>
        <w:tabs>
          <w:tab w:val="left" w:pos="1134"/>
        </w:tabs>
        <w:ind w:left="1134" w:hanging="708"/>
      </w:pPr>
      <w:r>
        <w:tab/>
      </w:r>
      <w:r w:rsidR="00521E20">
        <w:t xml:space="preserve">As noted above, the </w:t>
      </w:r>
      <w:r w:rsidR="00441DF2">
        <w:t xml:space="preserve">determinations </w:t>
      </w:r>
      <w:r w:rsidR="00521E20">
        <w:t xml:space="preserve">are in accordance with the general objects of the Act.  </w:t>
      </w:r>
    </w:p>
    <w:p w14:paraId="584716F0" w14:textId="106C6C20" w:rsidR="00795996" w:rsidRDefault="00521E20" w:rsidP="004F0D7E">
      <w:pPr>
        <w:numPr>
          <w:ilvl w:val="0"/>
          <w:numId w:val="12"/>
        </w:numPr>
        <w:tabs>
          <w:tab w:val="left" w:pos="1134"/>
        </w:tabs>
        <w:spacing w:after="11" w:line="267" w:lineRule="auto"/>
        <w:ind w:left="1134" w:hanging="708"/>
      </w:pPr>
      <w:r>
        <w:rPr>
          <w:i/>
        </w:rPr>
        <w:t xml:space="preserve">unduly trespasses on rights previously established by law </w:t>
      </w:r>
    </w:p>
    <w:p w14:paraId="3A47CA3B" w14:textId="38875DC3" w:rsidR="00795996" w:rsidRDefault="001B42CE" w:rsidP="001B42CE">
      <w:pPr>
        <w:tabs>
          <w:tab w:val="left" w:pos="1134"/>
        </w:tabs>
        <w:ind w:left="1134" w:hanging="708"/>
      </w:pPr>
      <w:r>
        <w:tab/>
      </w:r>
      <w:r w:rsidR="00521E20">
        <w:t xml:space="preserve">The </w:t>
      </w:r>
      <w:r w:rsidR="00441DF2">
        <w:t xml:space="preserve">determinations </w:t>
      </w:r>
      <w:r w:rsidR="00521E20">
        <w:t xml:space="preserve">do not unduly trespass on rights previously established under law. </w:t>
      </w:r>
    </w:p>
    <w:p w14:paraId="6F26197D" w14:textId="7D725392" w:rsidR="00795996" w:rsidRDefault="00521E20" w:rsidP="004F0D7E">
      <w:pPr>
        <w:numPr>
          <w:ilvl w:val="0"/>
          <w:numId w:val="12"/>
        </w:numPr>
        <w:tabs>
          <w:tab w:val="left" w:pos="1134"/>
        </w:tabs>
        <w:spacing w:after="11" w:line="267" w:lineRule="auto"/>
        <w:ind w:left="1134" w:hanging="708"/>
      </w:pPr>
      <w:r>
        <w:rPr>
          <w:i/>
        </w:rPr>
        <w:t xml:space="preserve">makes rights, liberties and/or obligations unduly dependent upon non reviewable decisions </w:t>
      </w:r>
    </w:p>
    <w:p w14:paraId="23ACCB5F" w14:textId="015312A9" w:rsidR="00795996" w:rsidRDefault="001B42CE" w:rsidP="001B42CE">
      <w:pPr>
        <w:tabs>
          <w:tab w:val="left" w:pos="1134"/>
        </w:tabs>
        <w:ind w:left="1134" w:hanging="708"/>
      </w:pPr>
      <w:r>
        <w:tab/>
      </w:r>
      <w:r w:rsidR="00521E20">
        <w:t xml:space="preserve">The </w:t>
      </w:r>
      <w:r w:rsidR="00441DF2">
        <w:t xml:space="preserve">determinations </w:t>
      </w:r>
      <w:r w:rsidR="00521E20">
        <w:t>do not make rights, liberties and/or obligations unduly dependent upon non</w:t>
      </w:r>
      <w:r w:rsidR="00E97CE6">
        <w:t xml:space="preserve"> </w:t>
      </w:r>
      <w:r w:rsidR="00521E20">
        <w:t xml:space="preserve">reviewable decisions. </w:t>
      </w:r>
    </w:p>
    <w:p w14:paraId="3702B1D6" w14:textId="20F710CE" w:rsidR="00795996" w:rsidRDefault="00521E20" w:rsidP="004F0D7E">
      <w:pPr>
        <w:numPr>
          <w:ilvl w:val="0"/>
          <w:numId w:val="12"/>
        </w:numPr>
        <w:tabs>
          <w:tab w:val="left" w:pos="1134"/>
        </w:tabs>
        <w:spacing w:after="11" w:line="267" w:lineRule="auto"/>
        <w:ind w:left="1134" w:hanging="708"/>
      </w:pPr>
      <w:r>
        <w:rPr>
          <w:i/>
        </w:rPr>
        <w:t xml:space="preserve">contains matter which in the opinion of the Committee should properly be dealt with in an Act of the Legislative Assembly </w:t>
      </w:r>
    </w:p>
    <w:p w14:paraId="7D6D2CAA" w14:textId="14017AC3" w:rsidR="00795996" w:rsidRDefault="00CF0611" w:rsidP="004F0D7E">
      <w:pPr>
        <w:tabs>
          <w:tab w:val="left" w:pos="1134"/>
        </w:tabs>
        <w:ind w:left="1134" w:hanging="708"/>
      </w:pPr>
      <w:r>
        <w:tab/>
      </w:r>
      <w:r w:rsidR="00521E20">
        <w:t xml:space="preserve">The  subject matter </w:t>
      </w:r>
      <w:r w:rsidR="00441DF2">
        <w:t xml:space="preserve">of the determinations </w:t>
      </w:r>
      <w:r w:rsidR="00521E20">
        <w:t xml:space="preserve">is appropriate for disallowable instruments. </w:t>
      </w:r>
      <w:r>
        <w:br/>
      </w:r>
    </w:p>
    <w:p w14:paraId="6057725D" w14:textId="77777777" w:rsidR="00795996" w:rsidRDefault="00521E20" w:rsidP="00C25C34">
      <w:pPr>
        <w:pStyle w:val="Heading1"/>
        <w:ind w:left="426" w:hanging="426"/>
      </w:pPr>
      <w:bookmarkStart w:id="17" w:name="_Toc138754930"/>
      <w:r>
        <w:t>Conclusion</w:t>
      </w:r>
      <w:bookmarkEnd w:id="17"/>
      <w:r>
        <w:t xml:space="preserve"> </w:t>
      </w:r>
    </w:p>
    <w:p w14:paraId="2FEFCE24" w14:textId="0E65BEB1" w:rsidR="00795996" w:rsidRDefault="00521E20" w:rsidP="00C25C34">
      <w:pPr>
        <w:spacing w:after="206" w:line="259" w:lineRule="auto"/>
        <w:ind w:left="0" w:firstLine="0"/>
      </w:pPr>
      <w:r>
        <w:t xml:space="preserve">This </w:t>
      </w:r>
      <w:r w:rsidR="00441DF2">
        <w:t xml:space="preserve">RIS </w:t>
      </w:r>
      <w:r>
        <w:t xml:space="preserve">was prepared in accordance with Part 5.2 of the </w:t>
      </w:r>
      <w:r>
        <w:rPr>
          <w:i/>
        </w:rPr>
        <w:t>Legislation Act 2001</w:t>
      </w:r>
      <w:r>
        <w:t>, to consider the following Scheme parameters for the EEIS for the 202</w:t>
      </w:r>
      <w:r w:rsidR="00CF0611">
        <w:t>5</w:t>
      </w:r>
      <w:r>
        <w:t xml:space="preserve"> compliance period: </w:t>
      </w:r>
    </w:p>
    <w:p w14:paraId="1DC41991" w14:textId="77777777" w:rsidR="00795996" w:rsidRDefault="00521E20" w:rsidP="00C25C34">
      <w:pPr>
        <w:numPr>
          <w:ilvl w:val="0"/>
          <w:numId w:val="4"/>
        </w:numPr>
        <w:ind w:hanging="360"/>
      </w:pPr>
      <w:r>
        <w:t xml:space="preserve">Energy Savings Target at 14.6%  </w:t>
      </w:r>
    </w:p>
    <w:p w14:paraId="07158507" w14:textId="77777777" w:rsidR="00795996" w:rsidRDefault="00521E20">
      <w:pPr>
        <w:numPr>
          <w:ilvl w:val="0"/>
          <w:numId w:val="6"/>
        </w:numPr>
        <w:ind w:hanging="360"/>
      </w:pPr>
      <w:r>
        <w:t xml:space="preserve">Energy Savings Contribution at $27.43/MWh, and </w:t>
      </w:r>
    </w:p>
    <w:p w14:paraId="5F9D1D9B" w14:textId="77777777" w:rsidR="00795996" w:rsidRDefault="00521E20" w:rsidP="00C25C34">
      <w:pPr>
        <w:numPr>
          <w:ilvl w:val="0"/>
          <w:numId w:val="6"/>
        </w:numPr>
        <w:spacing w:after="206" w:line="271" w:lineRule="auto"/>
        <w:ind w:left="714" w:hanging="357"/>
      </w:pPr>
      <w:r>
        <w:t xml:space="preserve">Shortfall Penalty at $71.32/MWh. </w:t>
      </w:r>
    </w:p>
    <w:p w14:paraId="56BE1AC3" w14:textId="0F2ADB24" w:rsidR="00795996" w:rsidRDefault="00521E20" w:rsidP="00C25C34">
      <w:pPr>
        <w:spacing w:after="22" w:line="259" w:lineRule="auto"/>
        <w:ind w:left="0" w:firstLine="0"/>
      </w:pPr>
      <w:r>
        <w:t xml:space="preserve">These parameters are consistent with the objectives of the </w:t>
      </w:r>
      <w:r w:rsidRPr="00821A28">
        <w:rPr>
          <w:iCs/>
        </w:rPr>
        <w:t>Act</w:t>
      </w:r>
      <w:r>
        <w:t xml:space="preserve"> and translate into an appropriate level of Scheme ambition</w:t>
      </w:r>
      <w:r w:rsidR="00A63F45">
        <w:t>.</w:t>
      </w:r>
    </w:p>
    <w:sectPr w:rsidR="00795996">
      <w:headerReference w:type="even" r:id="rId10"/>
      <w:headerReference w:type="default" r:id="rId11"/>
      <w:footerReference w:type="even" r:id="rId12"/>
      <w:footerReference w:type="default" r:id="rId13"/>
      <w:headerReference w:type="first" r:id="rId14"/>
      <w:footerReference w:type="first" r:id="rId15"/>
      <w:pgSz w:w="11906" w:h="16838"/>
      <w:pgMar w:top="1440" w:right="1448" w:bottom="143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E726" w14:textId="77777777" w:rsidR="00E43BBF" w:rsidRDefault="00E43BBF">
      <w:pPr>
        <w:spacing w:after="0" w:line="240" w:lineRule="auto"/>
      </w:pPr>
      <w:r>
        <w:separator/>
      </w:r>
    </w:p>
  </w:endnote>
  <w:endnote w:type="continuationSeparator" w:id="0">
    <w:p w14:paraId="1280E3FC" w14:textId="77777777" w:rsidR="00E43BBF" w:rsidRDefault="00E4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6A8" w14:textId="77777777" w:rsidR="00955C70" w:rsidRDefault="0095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58B" w14:textId="3BABA7DA" w:rsidR="00955C70" w:rsidRPr="00D17CB7" w:rsidRDefault="00D17CB7" w:rsidP="00D17CB7">
    <w:pPr>
      <w:pStyle w:val="Footer"/>
      <w:jc w:val="center"/>
      <w:rPr>
        <w:rFonts w:ascii="Arial" w:hAnsi="Arial" w:cs="Arial"/>
        <w:sz w:val="14"/>
      </w:rPr>
    </w:pPr>
    <w:r w:rsidRPr="00D17CB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76B6" w14:textId="77777777" w:rsidR="00955C70" w:rsidRDefault="0095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A67E" w14:textId="77777777" w:rsidR="00E43BBF" w:rsidRDefault="00E43BBF">
      <w:pPr>
        <w:spacing w:after="0" w:line="263" w:lineRule="auto"/>
        <w:ind w:left="0" w:firstLine="0"/>
      </w:pPr>
      <w:r>
        <w:separator/>
      </w:r>
    </w:p>
  </w:footnote>
  <w:footnote w:type="continuationSeparator" w:id="0">
    <w:p w14:paraId="7CB3A712" w14:textId="77777777" w:rsidR="00E43BBF" w:rsidRDefault="00E43BBF">
      <w:pPr>
        <w:spacing w:after="0" w:line="263" w:lineRule="auto"/>
        <w:ind w:left="0" w:firstLine="0"/>
      </w:pPr>
      <w:r>
        <w:continuationSeparator/>
      </w:r>
    </w:p>
  </w:footnote>
  <w:footnote w:id="1">
    <w:p w14:paraId="6DC6D8B1" w14:textId="75BE8364" w:rsidR="00795996" w:rsidRDefault="00521E20">
      <w:pPr>
        <w:pStyle w:val="footnotedescription"/>
        <w:spacing w:line="263" w:lineRule="auto"/>
      </w:pPr>
      <w:r>
        <w:rPr>
          <w:rStyle w:val="footnotemark"/>
        </w:rPr>
        <w:footnoteRef/>
      </w:r>
      <w:r>
        <w:rPr>
          <w:color w:val="000000"/>
          <w:u w:val="none" w:color="000000"/>
        </w:rPr>
        <w:t xml:space="preserve"> Note that Object (d) is addressed through a separate disallowable instrument (</w:t>
      </w:r>
      <w:r>
        <w:rPr>
          <w:i/>
          <w:color w:val="000000"/>
          <w:u w:val="none" w:color="000000"/>
        </w:rPr>
        <w:t>Energy Efficiency (Cost of Living) Improvement (Priority Household Target) Determination 202</w:t>
      </w:r>
      <w:r w:rsidR="007E6694">
        <w:rPr>
          <w:i/>
          <w:color w:val="000000"/>
          <w:u w:val="none" w:color="000000"/>
        </w:rPr>
        <w:t>3</w:t>
      </w:r>
      <w:r>
        <w:rPr>
          <w:color w:val="000000"/>
          <w:u w:val="none" w:color="000000"/>
        </w:rPr>
        <w:t xml:space="preserve">. </w:t>
      </w:r>
    </w:p>
  </w:footnote>
  <w:footnote w:id="2">
    <w:p w14:paraId="0073EE19" w14:textId="22D12B7F" w:rsidR="00795996" w:rsidRDefault="00521E20">
      <w:pPr>
        <w:pStyle w:val="footnotedescription"/>
      </w:pPr>
      <w:r>
        <w:rPr>
          <w:rStyle w:val="footnotemark"/>
        </w:rPr>
        <w:footnoteRef/>
      </w:r>
      <w:r>
        <w:rPr>
          <w:color w:val="000000"/>
          <w:u w:val="none" w:color="000000"/>
        </w:rPr>
        <w:t xml:space="preserve"> Available a</w:t>
      </w:r>
      <w:hyperlink r:id="rId1">
        <w:r>
          <w:rPr>
            <w:color w:val="000000"/>
            <w:u w:val="none" w:color="000000"/>
          </w:rPr>
          <w:t xml:space="preserve">t </w:t>
        </w:r>
      </w:hyperlink>
      <w:hyperlink r:id="rId2" w:history="1">
        <w:r w:rsidR="007E6694">
          <w:rPr>
            <w:rStyle w:val="Hyperlink"/>
          </w:rPr>
          <w:t>ACT Climate Change Strategy to 2019-25</w:t>
        </w:r>
      </w:hyperlink>
    </w:p>
  </w:footnote>
  <w:footnote w:id="3">
    <w:p w14:paraId="49E2991F" w14:textId="09D418DE" w:rsidR="00D374BB" w:rsidRDefault="00D374BB">
      <w:pPr>
        <w:pStyle w:val="FootnoteText"/>
      </w:pPr>
      <w:r>
        <w:rPr>
          <w:rStyle w:val="FootnoteReference"/>
        </w:rPr>
        <w:footnoteRef/>
      </w:r>
      <w:r>
        <w:t xml:space="preserve"> Available at </w:t>
      </w:r>
      <w:hyperlink r:id="rId3" w:history="1">
        <w:r w:rsidRPr="00D374BB">
          <w:rPr>
            <w:rStyle w:val="Hyperlink"/>
          </w:rPr>
          <w:t>Review of the Energy Efficiency Improvement Scheme</w:t>
        </w:r>
      </w:hyperlink>
    </w:p>
  </w:footnote>
  <w:footnote w:id="4">
    <w:p w14:paraId="1B33C53C" w14:textId="5C7035E7" w:rsidR="00795996" w:rsidRDefault="00521E20">
      <w:pPr>
        <w:pStyle w:val="footnotedescription"/>
        <w:spacing w:line="249" w:lineRule="auto"/>
      </w:pPr>
      <w:r>
        <w:rPr>
          <w:rStyle w:val="footnotemark"/>
        </w:rPr>
        <w:footnoteRef/>
      </w:r>
      <w:r>
        <w:t xml:space="preserve"> </w:t>
      </w:r>
      <w:r>
        <w:rPr>
          <w:color w:val="000000"/>
          <w:u w:val="none" w:color="000000"/>
        </w:rPr>
        <w:t>ICRC, 202</w:t>
      </w:r>
      <w:r w:rsidR="00B628AC">
        <w:rPr>
          <w:color w:val="000000"/>
          <w:u w:val="none" w:color="000000"/>
        </w:rPr>
        <w:t>4</w:t>
      </w:r>
      <w:r>
        <w:rPr>
          <w:color w:val="000000"/>
          <w:u w:val="none" w:color="000000"/>
        </w:rPr>
        <w:t xml:space="preserve">. </w:t>
      </w:r>
      <w:r>
        <w:rPr>
          <w:i/>
          <w:color w:val="000000"/>
          <w:u w:val="none" w:color="000000"/>
        </w:rPr>
        <w:t xml:space="preserve">Final </w:t>
      </w:r>
      <w:r w:rsidR="00B628AC">
        <w:rPr>
          <w:i/>
          <w:color w:val="000000"/>
          <w:u w:val="none" w:color="000000"/>
        </w:rPr>
        <w:t>Report</w:t>
      </w:r>
      <w:r>
        <w:rPr>
          <w:i/>
          <w:color w:val="000000"/>
          <w:u w:val="none" w:color="000000"/>
        </w:rPr>
        <w:t xml:space="preserve">: Retail electricity price </w:t>
      </w:r>
      <w:r w:rsidR="00B628AC">
        <w:rPr>
          <w:i/>
          <w:color w:val="000000"/>
          <w:u w:val="none" w:color="000000"/>
        </w:rPr>
        <w:t>investigation 2024-27</w:t>
      </w:r>
      <w:r>
        <w:rPr>
          <w:i/>
          <w:color w:val="000000"/>
          <w:u w:val="none" w:color="000000"/>
        </w:rPr>
        <w:t>.</w:t>
      </w:r>
      <w:r>
        <w:rPr>
          <w:color w:val="000000"/>
          <w:u w:val="none" w:color="000000"/>
        </w:rPr>
        <w:t xml:space="preserve"> Available at </w:t>
      </w:r>
      <w:hyperlink r:id="rId4" w:history="1">
        <w:r w:rsidR="00B628AC" w:rsidRPr="00AE5398">
          <w:rPr>
            <w:rStyle w:val="Hyperlink"/>
          </w:rPr>
          <w:t>https://www.icrc.act.gov.au/__data/assets/pdf_file/0011/2457047/Final-Report-2024-27.pdf</w:t>
        </w:r>
      </w:hyperlink>
    </w:p>
  </w:footnote>
  <w:footnote w:id="5">
    <w:p w14:paraId="2C224FFC" w14:textId="77777777" w:rsidR="00795996" w:rsidRDefault="00521E20">
      <w:pPr>
        <w:pStyle w:val="footnotedescription"/>
        <w:spacing w:line="259" w:lineRule="auto"/>
      </w:pPr>
      <w:r>
        <w:rPr>
          <w:rStyle w:val="footnotemark"/>
        </w:rPr>
        <w:footnoteRef/>
      </w:r>
      <w:r>
        <w:rPr>
          <w:color w:val="000000"/>
          <w:u w:val="none" w:color="000000"/>
        </w:rPr>
        <w:t xml:space="preserve"> Source</w:t>
      </w:r>
      <w:hyperlink r:id="rId5">
        <w:r>
          <w:rPr>
            <w:color w:val="000000"/>
            <w:u w:val="none" w:color="000000"/>
          </w:rPr>
          <w:t xml:space="preserve">: </w:t>
        </w:r>
      </w:hyperlink>
      <w:hyperlink r:id="rId6">
        <w:r>
          <w:t>https://www.icrc.act.gov.au/energy/electricity</w:t>
        </w:r>
      </w:hyperlink>
      <w:hyperlink r:id="rId7">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6941" w14:textId="77777777" w:rsidR="00955C70" w:rsidRDefault="0095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AD74" w14:textId="77777777" w:rsidR="00955C70" w:rsidRDefault="0095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6A4D" w14:textId="77777777" w:rsidR="00955C70" w:rsidRDefault="0095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126"/>
    <w:multiLevelType w:val="multilevel"/>
    <w:tmpl w:val="4050B016"/>
    <w:lvl w:ilvl="0">
      <w:start w:val="1"/>
      <w:numFmt w:val="decimal"/>
      <w:pStyle w:val="Heading1"/>
      <w:lvlText w:val="%1."/>
      <w:lvlJc w:val="left"/>
      <w:pPr>
        <w:ind w:left="11"/>
      </w:pPr>
      <w:rPr>
        <w:rFonts w:ascii="Calibri" w:eastAsia="Calibri" w:hAnsi="Calibri" w:cs="Calibri"/>
        <w:b w:val="0"/>
        <w:i w:val="0"/>
        <w:strike w:val="0"/>
        <w:dstrike w:val="0"/>
        <w:color w:val="2F5496"/>
        <w:sz w:val="28"/>
        <w:szCs w:val="28"/>
        <w:u w:val="none" w:color="000000"/>
        <w:bdr w:val="none" w:sz="0" w:space="0" w:color="auto"/>
        <w:shd w:val="clear" w:color="auto" w:fill="auto"/>
        <w:vertAlign w:val="baseline"/>
      </w:rPr>
    </w:lvl>
    <w:lvl w:ilvl="1">
      <w:start w:val="1"/>
      <w:numFmt w:val="decimal"/>
      <w:pStyle w:val="Heading2"/>
      <w:lvlText w:val="%1.%2"/>
      <w:lvlJc w:val="left"/>
      <w:pPr>
        <w:ind w:left="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2">
      <w:start w:val="1"/>
      <w:numFmt w:val="lowerRoman"/>
      <w:lvlText w:val="%3"/>
      <w:lvlJc w:val="left"/>
      <w:pPr>
        <w:ind w:left="18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3">
      <w:start w:val="1"/>
      <w:numFmt w:val="decimal"/>
      <w:lvlText w:val="%4"/>
      <w:lvlJc w:val="left"/>
      <w:pPr>
        <w:ind w:left="253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4">
      <w:start w:val="1"/>
      <w:numFmt w:val="lowerLetter"/>
      <w:lvlText w:val="%5"/>
      <w:lvlJc w:val="left"/>
      <w:pPr>
        <w:ind w:left="325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5">
      <w:start w:val="1"/>
      <w:numFmt w:val="lowerRoman"/>
      <w:lvlText w:val="%6"/>
      <w:lvlJc w:val="left"/>
      <w:pPr>
        <w:ind w:left="397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6">
      <w:start w:val="1"/>
      <w:numFmt w:val="decimal"/>
      <w:lvlText w:val="%7"/>
      <w:lvlJc w:val="left"/>
      <w:pPr>
        <w:ind w:left="469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7">
      <w:start w:val="1"/>
      <w:numFmt w:val="lowerLetter"/>
      <w:lvlText w:val="%8"/>
      <w:lvlJc w:val="left"/>
      <w:pPr>
        <w:ind w:left="541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8">
      <w:start w:val="1"/>
      <w:numFmt w:val="lowerRoman"/>
      <w:lvlText w:val="%9"/>
      <w:lvlJc w:val="left"/>
      <w:pPr>
        <w:ind w:left="6131"/>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abstractNum>
  <w:abstractNum w:abstractNumId="1" w15:restartNumberingAfterBreak="0">
    <w:nsid w:val="15F3470A"/>
    <w:multiLevelType w:val="hybridMultilevel"/>
    <w:tmpl w:val="DFF0A8DE"/>
    <w:lvl w:ilvl="0" w:tplc="DAD6BD14">
      <w:start w:val="1"/>
      <w:numFmt w:val="lowerRoman"/>
      <w:lvlText w:val="(%1)"/>
      <w:lvlJc w:val="left"/>
      <w:pPr>
        <w:ind w:left="720" w:hanging="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0D0555"/>
    <w:multiLevelType w:val="hybridMultilevel"/>
    <w:tmpl w:val="5BF08242"/>
    <w:lvl w:ilvl="0" w:tplc="C784C5DC">
      <w:start w:val="1"/>
      <w:numFmt w:val="lowerLetter"/>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CCFF62">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36D100">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6EA7CC">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A4E7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86D338">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9A68F2">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EB0D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982EDA">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EB767D"/>
    <w:multiLevelType w:val="hybridMultilevel"/>
    <w:tmpl w:val="DFF0A8DE"/>
    <w:lvl w:ilvl="0" w:tplc="FFFFFFFF">
      <w:start w:val="1"/>
      <w:numFmt w:val="lowerRoman"/>
      <w:lvlText w:val="(%1)"/>
      <w:lvlJc w:val="left"/>
      <w:pPr>
        <w:ind w:left="720" w:hanging="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3223FF"/>
    <w:multiLevelType w:val="hybridMultilevel"/>
    <w:tmpl w:val="291A493C"/>
    <w:lvl w:ilvl="0" w:tplc="DAD6BD14">
      <w:start w:val="1"/>
      <w:numFmt w:val="lowerRoman"/>
      <w:lvlText w:val="(%1)"/>
      <w:lvlJc w:val="left"/>
      <w:pPr>
        <w:ind w:left="12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66A3466">
      <w:start w:val="1"/>
      <w:numFmt w:val="lowerLetter"/>
      <w:lvlText w:val="%2"/>
      <w:lvlJc w:val="left"/>
      <w:pPr>
        <w:ind w:left="16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AEA69D46">
      <w:start w:val="1"/>
      <w:numFmt w:val="lowerRoman"/>
      <w:lvlText w:val="%3"/>
      <w:lvlJc w:val="left"/>
      <w:pPr>
        <w:ind w:left="23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2FAC5256">
      <w:start w:val="1"/>
      <w:numFmt w:val="decimal"/>
      <w:lvlText w:val="%4"/>
      <w:lvlJc w:val="left"/>
      <w:pPr>
        <w:ind w:left="30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3AF8C78C">
      <w:start w:val="1"/>
      <w:numFmt w:val="lowerLetter"/>
      <w:lvlText w:val="%5"/>
      <w:lvlJc w:val="left"/>
      <w:pPr>
        <w:ind w:left="37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E99A7706">
      <w:start w:val="1"/>
      <w:numFmt w:val="lowerRoman"/>
      <w:lvlText w:val="%6"/>
      <w:lvlJc w:val="left"/>
      <w:pPr>
        <w:ind w:left="45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B23C5074">
      <w:start w:val="1"/>
      <w:numFmt w:val="decimal"/>
      <w:lvlText w:val="%7"/>
      <w:lvlJc w:val="left"/>
      <w:pPr>
        <w:ind w:left="52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F4D4FEAC">
      <w:start w:val="1"/>
      <w:numFmt w:val="lowerLetter"/>
      <w:lvlText w:val="%8"/>
      <w:lvlJc w:val="left"/>
      <w:pPr>
        <w:ind w:left="59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A4DE654C">
      <w:start w:val="1"/>
      <w:numFmt w:val="lowerRoman"/>
      <w:lvlText w:val="%9"/>
      <w:lvlJc w:val="left"/>
      <w:pPr>
        <w:ind w:left="66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6D58B3"/>
    <w:multiLevelType w:val="hybridMultilevel"/>
    <w:tmpl w:val="0B3E8D22"/>
    <w:lvl w:ilvl="0" w:tplc="D5D6EA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A23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0C2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E27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E7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640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278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6A8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24619A"/>
    <w:multiLevelType w:val="hybridMultilevel"/>
    <w:tmpl w:val="BC966012"/>
    <w:lvl w:ilvl="0" w:tplc="08D8C6C2">
      <w:start w:val="1"/>
      <w:numFmt w:val="lowerRoman"/>
      <w:lvlText w:val="%1."/>
      <w:lvlJc w:val="left"/>
      <w:pPr>
        <w:ind w:left="1437" w:hanging="880"/>
      </w:pPr>
      <w:rPr>
        <w:rFonts w:ascii="Calibri" w:eastAsia="Calibri" w:hAnsi="Calibri" w:cs="Calibri" w:hint="default"/>
      </w:rPr>
    </w:lvl>
    <w:lvl w:ilvl="1" w:tplc="0C090019" w:tentative="1">
      <w:start w:val="1"/>
      <w:numFmt w:val="lowerLetter"/>
      <w:lvlText w:val="%2."/>
      <w:lvlJc w:val="left"/>
      <w:pPr>
        <w:ind w:left="1637" w:hanging="360"/>
      </w:pPr>
    </w:lvl>
    <w:lvl w:ilvl="2" w:tplc="0C09001B" w:tentative="1">
      <w:start w:val="1"/>
      <w:numFmt w:val="lowerRoman"/>
      <w:lvlText w:val="%3."/>
      <w:lvlJc w:val="right"/>
      <w:pPr>
        <w:ind w:left="2357" w:hanging="180"/>
      </w:pPr>
    </w:lvl>
    <w:lvl w:ilvl="3" w:tplc="0C09000F" w:tentative="1">
      <w:start w:val="1"/>
      <w:numFmt w:val="decimal"/>
      <w:lvlText w:val="%4."/>
      <w:lvlJc w:val="left"/>
      <w:pPr>
        <w:ind w:left="3077" w:hanging="360"/>
      </w:pPr>
    </w:lvl>
    <w:lvl w:ilvl="4" w:tplc="0C090019" w:tentative="1">
      <w:start w:val="1"/>
      <w:numFmt w:val="lowerLetter"/>
      <w:lvlText w:val="%5."/>
      <w:lvlJc w:val="left"/>
      <w:pPr>
        <w:ind w:left="3797" w:hanging="360"/>
      </w:pPr>
    </w:lvl>
    <w:lvl w:ilvl="5" w:tplc="0C09001B" w:tentative="1">
      <w:start w:val="1"/>
      <w:numFmt w:val="lowerRoman"/>
      <w:lvlText w:val="%6."/>
      <w:lvlJc w:val="right"/>
      <w:pPr>
        <w:ind w:left="4517" w:hanging="180"/>
      </w:pPr>
    </w:lvl>
    <w:lvl w:ilvl="6" w:tplc="0C09000F" w:tentative="1">
      <w:start w:val="1"/>
      <w:numFmt w:val="decimal"/>
      <w:lvlText w:val="%7."/>
      <w:lvlJc w:val="left"/>
      <w:pPr>
        <w:ind w:left="5237" w:hanging="360"/>
      </w:pPr>
    </w:lvl>
    <w:lvl w:ilvl="7" w:tplc="0C090019" w:tentative="1">
      <w:start w:val="1"/>
      <w:numFmt w:val="lowerLetter"/>
      <w:lvlText w:val="%8."/>
      <w:lvlJc w:val="left"/>
      <w:pPr>
        <w:ind w:left="5957" w:hanging="360"/>
      </w:pPr>
    </w:lvl>
    <w:lvl w:ilvl="8" w:tplc="0C09001B" w:tentative="1">
      <w:start w:val="1"/>
      <w:numFmt w:val="lowerRoman"/>
      <w:lvlText w:val="%9."/>
      <w:lvlJc w:val="right"/>
      <w:pPr>
        <w:ind w:left="6677" w:hanging="180"/>
      </w:pPr>
    </w:lvl>
  </w:abstractNum>
  <w:abstractNum w:abstractNumId="7" w15:restartNumberingAfterBreak="0">
    <w:nsid w:val="6637237E"/>
    <w:multiLevelType w:val="hybridMultilevel"/>
    <w:tmpl w:val="8E5278A6"/>
    <w:lvl w:ilvl="0" w:tplc="EECC93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E8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CCD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86E8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2B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226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A42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213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07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E6A5C"/>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1117A78"/>
    <w:multiLevelType w:val="hybridMultilevel"/>
    <w:tmpl w:val="63983F0C"/>
    <w:lvl w:ilvl="0" w:tplc="42E250A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214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1CE1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286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048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C4A3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6BF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8F9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44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6A2295"/>
    <w:multiLevelType w:val="hybridMultilevel"/>
    <w:tmpl w:val="ED7C5230"/>
    <w:lvl w:ilvl="0" w:tplc="61B8537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0060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807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D4F4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209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281A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AB8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6D0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0F73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57686189">
    <w:abstractNumId w:val="9"/>
  </w:num>
  <w:num w:numId="2" w16cid:durableId="745762329">
    <w:abstractNumId w:val="2"/>
  </w:num>
  <w:num w:numId="3" w16cid:durableId="821697632">
    <w:abstractNumId w:val="10"/>
  </w:num>
  <w:num w:numId="4" w16cid:durableId="1169100891">
    <w:abstractNumId w:val="5"/>
  </w:num>
  <w:num w:numId="5" w16cid:durableId="230117770">
    <w:abstractNumId w:val="4"/>
  </w:num>
  <w:num w:numId="6" w16cid:durableId="1721053875">
    <w:abstractNumId w:val="7"/>
  </w:num>
  <w:num w:numId="7" w16cid:durableId="1273902784">
    <w:abstractNumId w:val="0"/>
  </w:num>
  <w:num w:numId="8" w16cid:durableId="756245527">
    <w:abstractNumId w:val="6"/>
  </w:num>
  <w:num w:numId="9" w16cid:durableId="121045078">
    <w:abstractNumId w:val="0"/>
  </w:num>
  <w:num w:numId="10" w16cid:durableId="1817452418">
    <w:abstractNumId w:val="8"/>
  </w:num>
  <w:num w:numId="11" w16cid:durableId="496774777">
    <w:abstractNumId w:val="1"/>
  </w:num>
  <w:num w:numId="12" w16cid:durableId="1741095806">
    <w:abstractNumId w:val="3"/>
  </w:num>
  <w:num w:numId="13" w16cid:durableId="465515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1625442">
    <w:abstractNumId w:val="0"/>
  </w:num>
  <w:num w:numId="15" w16cid:durableId="123223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96"/>
    <w:rsid w:val="000176B8"/>
    <w:rsid w:val="000A1D8E"/>
    <w:rsid w:val="00126F5B"/>
    <w:rsid w:val="001670CE"/>
    <w:rsid w:val="00183AC1"/>
    <w:rsid w:val="001B42CE"/>
    <w:rsid w:val="00214315"/>
    <w:rsid w:val="00236AF8"/>
    <w:rsid w:val="00241C1C"/>
    <w:rsid w:val="00243ADD"/>
    <w:rsid w:val="00297150"/>
    <w:rsid w:val="002B3E6D"/>
    <w:rsid w:val="002E58F6"/>
    <w:rsid w:val="002E7682"/>
    <w:rsid w:val="00343627"/>
    <w:rsid w:val="00345BA7"/>
    <w:rsid w:val="0037009F"/>
    <w:rsid w:val="003874D8"/>
    <w:rsid w:val="00395FC5"/>
    <w:rsid w:val="003A5D4C"/>
    <w:rsid w:val="003A71E0"/>
    <w:rsid w:val="003B18A9"/>
    <w:rsid w:val="003B1D32"/>
    <w:rsid w:val="003E0A45"/>
    <w:rsid w:val="004034D8"/>
    <w:rsid w:val="00441DF2"/>
    <w:rsid w:val="00454781"/>
    <w:rsid w:val="004552A1"/>
    <w:rsid w:val="004634A5"/>
    <w:rsid w:val="004A0220"/>
    <w:rsid w:val="004A1082"/>
    <w:rsid w:val="004D0567"/>
    <w:rsid w:val="004F0D7E"/>
    <w:rsid w:val="005201DE"/>
    <w:rsid w:val="00521E20"/>
    <w:rsid w:val="00560738"/>
    <w:rsid w:val="0056318D"/>
    <w:rsid w:val="005B2E26"/>
    <w:rsid w:val="005D5DC4"/>
    <w:rsid w:val="005E4E5B"/>
    <w:rsid w:val="00635185"/>
    <w:rsid w:val="00653AEE"/>
    <w:rsid w:val="00737B90"/>
    <w:rsid w:val="00755290"/>
    <w:rsid w:val="00763629"/>
    <w:rsid w:val="0077763F"/>
    <w:rsid w:val="00781143"/>
    <w:rsid w:val="00795996"/>
    <w:rsid w:val="007E6694"/>
    <w:rsid w:val="007F76E5"/>
    <w:rsid w:val="00821A28"/>
    <w:rsid w:val="00955C70"/>
    <w:rsid w:val="00964304"/>
    <w:rsid w:val="009B7514"/>
    <w:rsid w:val="00A12594"/>
    <w:rsid w:val="00A63CDC"/>
    <w:rsid w:val="00A63F45"/>
    <w:rsid w:val="00A7573A"/>
    <w:rsid w:val="00AC1D35"/>
    <w:rsid w:val="00AF74CD"/>
    <w:rsid w:val="00B06642"/>
    <w:rsid w:val="00B11B9F"/>
    <w:rsid w:val="00B151A3"/>
    <w:rsid w:val="00B205B0"/>
    <w:rsid w:val="00B33889"/>
    <w:rsid w:val="00B628AC"/>
    <w:rsid w:val="00B80D18"/>
    <w:rsid w:val="00B909F3"/>
    <w:rsid w:val="00BA1AF4"/>
    <w:rsid w:val="00BC23D3"/>
    <w:rsid w:val="00BC6DEF"/>
    <w:rsid w:val="00BF7195"/>
    <w:rsid w:val="00C25C34"/>
    <w:rsid w:val="00CB1B39"/>
    <w:rsid w:val="00CC41DE"/>
    <w:rsid w:val="00CF0611"/>
    <w:rsid w:val="00D17CB7"/>
    <w:rsid w:val="00D374BB"/>
    <w:rsid w:val="00D438B9"/>
    <w:rsid w:val="00D45828"/>
    <w:rsid w:val="00DC29CC"/>
    <w:rsid w:val="00DE087A"/>
    <w:rsid w:val="00DF4FC3"/>
    <w:rsid w:val="00E02A64"/>
    <w:rsid w:val="00E43BBF"/>
    <w:rsid w:val="00E64A76"/>
    <w:rsid w:val="00E72814"/>
    <w:rsid w:val="00E97CE6"/>
    <w:rsid w:val="00F14558"/>
    <w:rsid w:val="00F20104"/>
    <w:rsid w:val="00F26546"/>
    <w:rsid w:val="00F359B1"/>
    <w:rsid w:val="00F447F5"/>
    <w:rsid w:val="00F513D9"/>
    <w:rsid w:val="00F53035"/>
    <w:rsid w:val="00F56330"/>
    <w:rsid w:val="00F6371E"/>
    <w:rsid w:val="00FD74B5"/>
    <w:rsid w:val="00FE387A"/>
    <w:rsid w:val="00FE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6B8E"/>
  <w15:docId w15:val="{2CAABC7A-4AF4-4F35-8365-5C5016D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7"/>
      </w:numPr>
      <w:spacing w:after="0" w:line="267" w:lineRule="auto"/>
      <w:outlineLvl w:val="0"/>
    </w:pPr>
    <w:rPr>
      <w:rFonts w:ascii="Calibri" w:eastAsia="Calibri" w:hAnsi="Calibri" w:cs="Calibri"/>
      <w:color w:val="2F5496"/>
      <w:sz w:val="28"/>
    </w:rPr>
  </w:style>
  <w:style w:type="paragraph" w:styleId="Heading2">
    <w:name w:val="heading 2"/>
    <w:next w:val="Normal"/>
    <w:link w:val="Heading2Char"/>
    <w:uiPriority w:val="9"/>
    <w:unhideWhenUsed/>
    <w:qFormat/>
    <w:pPr>
      <w:keepNext/>
      <w:keepLines/>
      <w:numPr>
        <w:ilvl w:val="1"/>
        <w:numId w:val="7"/>
      </w:numPr>
      <w:spacing w:after="4"/>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Calibri" w:eastAsia="Calibri" w:hAnsi="Calibri" w:cs="Calibri"/>
      <w:color w:val="2F5496"/>
      <w:sz w:val="28"/>
    </w:rPr>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44BB"/>
      <w:sz w:val="16"/>
      <w:u w:val="single" w:color="0044BB"/>
    </w:rPr>
  </w:style>
  <w:style w:type="character" w:customStyle="1" w:styleId="footnotedescriptionChar">
    <w:name w:val="footnote description Char"/>
    <w:link w:val="footnotedescription"/>
    <w:rPr>
      <w:rFonts w:ascii="Arial" w:eastAsia="Arial" w:hAnsi="Arial" w:cs="Arial"/>
      <w:color w:val="0044BB"/>
      <w:sz w:val="16"/>
      <w:u w:val="single" w:color="0044BB"/>
    </w:rPr>
  </w:style>
  <w:style w:type="paragraph" w:styleId="TOC1">
    <w:name w:val="toc 1"/>
    <w:hidden/>
    <w:uiPriority w:val="39"/>
    <w:pPr>
      <w:spacing w:after="110" w:line="270" w:lineRule="auto"/>
      <w:ind w:left="25" w:right="15" w:hanging="10"/>
    </w:pPr>
    <w:rPr>
      <w:rFonts w:ascii="Calibri" w:eastAsia="Calibri" w:hAnsi="Calibri" w:cs="Calibri"/>
      <w:color w:val="000000"/>
      <w:sz w:val="24"/>
    </w:rPr>
  </w:style>
  <w:style w:type="paragraph" w:styleId="TOC2">
    <w:name w:val="toc 2"/>
    <w:hidden/>
    <w:uiPriority w:val="39"/>
    <w:pPr>
      <w:spacing w:after="110" w:line="270" w:lineRule="auto"/>
      <w:ind w:left="265" w:right="23" w:hanging="10"/>
    </w:pPr>
    <w:rPr>
      <w:rFonts w:ascii="Calibri" w:eastAsia="Calibri" w:hAnsi="Calibri" w:cs="Calibri"/>
      <w:color w:val="000000"/>
      <w:sz w:val="24"/>
    </w:rPr>
  </w:style>
  <w:style w:type="character" w:customStyle="1" w:styleId="footnotemark">
    <w:name w:val="footnote mark"/>
    <w:hidden/>
    <w:rPr>
      <w:rFonts w:ascii="Arial" w:eastAsia="Arial" w:hAnsi="Arial" w:cs="Arial"/>
      <w:color w:val="000000"/>
      <w:sz w:val="16"/>
      <w:vertAlign w:val="superscript"/>
    </w:rPr>
  </w:style>
  <w:style w:type="paragraph" w:styleId="Revision">
    <w:name w:val="Revision"/>
    <w:hidden/>
    <w:uiPriority w:val="99"/>
    <w:semiHidden/>
    <w:rsid w:val="005D5DC4"/>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B06642"/>
    <w:pPr>
      <w:ind w:left="720"/>
      <w:contextualSpacing/>
    </w:pPr>
  </w:style>
  <w:style w:type="character" w:styleId="CommentReference">
    <w:name w:val="annotation reference"/>
    <w:basedOn w:val="DefaultParagraphFont"/>
    <w:uiPriority w:val="99"/>
    <w:semiHidden/>
    <w:unhideWhenUsed/>
    <w:rsid w:val="003874D8"/>
    <w:rPr>
      <w:sz w:val="16"/>
      <w:szCs w:val="16"/>
    </w:rPr>
  </w:style>
  <w:style w:type="paragraph" w:styleId="CommentText">
    <w:name w:val="annotation text"/>
    <w:basedOn w:val="Normal"/>
    <w:link w:val="CommentTextChar"/>
    <w:uiPriority w:val="99"/>
    <w:unhideWhenUsed/>
    <w:rsid w:val="003874D8"/>
    <w:pPr>
      <w:spacing w:line="240" w:lineRule="auto"/>
    </w:pPr>
    <w:rPr>
      <w:sz w:val="20"/>
      <w:szCs w:val="20"/>
    </w:rPr>
  </w:style>
  <w:style w:type="character" w:customStyle="1" w:styleId="CommentTextChar">
    <w:name w:val="Comment Text Char"/>
    <w:basedOn w:val="DefaultParagraphFont"/>
    <w:link w:val="CommentText"/>
    <w:uiPriority w:val="99"/>
    <w:rsid w:val="003874D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874D8"/>
    <w:rPr>
      <w:b/>
      <w:bCs/>
    </w:rPr>
  </w:style>
  <w:style w:type="character" w:customStyle="1" w:styleId="CommentSubjectChar">
    <w:name w:val="Comment Subject Char"/>
    <w:basedOn w:val="CommentTextChar"/>
    <w:link w:val="CommentSubject"/>
    <w:uiPriority w:val="99"/>
    <w:semiHidden/>
    <w:rsid w:val="003874D8"/>
    <w:rPr>
      <w:rFonts w:ascii="Calibri" w:eastAsia="Calibri" w:hAnsi="Calibri" w:cs="Calibri"/>
      <w:b/>
      <w:bCs/>
      <w:color w:val="000000"/>
      <w:sz w:val="20"/>
      <w:szCs w:val="20"/>
    </w:rPr>
  </w:style>
  <w:style w:type="character" w:styleId="Hyperlink">
    <w:name w:val="Hyperlink"/>
    <w:basedOn w:val="DefaultParagraphFont"/>
    <w:uiPriority w:val="99"/>
    <w:unhideWhenUsed/>
    <w:rsid w:val="007E6694"/>
    <w:rPr>
      <w:color w:val="0563C1" w:themeColor="hyperlink"/>
      <w:u w:val="single"/>
    </w:rPr>
  </w:style>
  <w:style w:type="character" w:styleId="UnresolvedMention">
    <w:name w:val="Unresolved Mention"/>
    <w:basedOn w:val="DefaultParagraphFont"/>
    <w:uiPriority w:val="99"/>
    <w:semiHidden/>
    <w:unhideWhenUsed/>
    <w:rsid w:val="00B628AC"/>
    <w:rPr>
      <w:color w:val="605E5C"/>
      <w:shd w:val="clear" w:color="auto" w:fill="E1DFDD"/>
    </w:rPr>
  </w:style>
  <w:style w:type="character" w:styleId="FollowedHyperlink">
    <w:name w:val="FollowedHyperlink"/>
    <w:basedOn w:val="DefaultParagraphFont"/>
    <w:uiPriority w:val="99"/>
    <w:semiHidden/>
    <w:unhideWhenUsed/>
    <w:rsid w:val="0077763F"/>
    <w:rPr>
      <w:color w:val="954F72" w:themeColor="followedHyperlink"/>
      <w:u w:val="single"/>
    </w:rPr>
  </w:style>
  <w:style w:type="paragraph" w:styleId="FootnoteText">
    <w:name w:val="footnote text"/>
    <w:basedOn w:val="Normal"/>
    <w:link w:val="FootnoteTextChar"/>
    <w:uiPriority w:val="99"/>
    <w:semiHidden/>
    <w:unhideWhenUsed/>
    <w:rsid w:val="00D37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4B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374BB"/>
    <w:rPr>
      <w:vertAlign w:val="superscript"/>
    </w:rPr>
  </w:style>
  <w:style w:type="paragraph" w:styleId="Header">
    <w:name w:val="header"/>
    <w:basedOn w:val="Normal"/>
    <w:link w:val="HeaderChar"/>
    <w:uiPriority w:val="99"/>
    <w:unhideWhenUsed/>
    <w:rsid w:val="00A1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94"/>
    <w:rPr>
      <w:rFonts w:ascii="Calibri" w:eastAsia="Calibri" w:hAnsi="Calibri" w:cs="Calibri"/>
      <w:color w:val="000000"/>
      <w:sz w:val="24"/>
    </w:rPr>
  </w:style>
  <w:style w:type="paragraph" w:styleId="Footer">
    <w:name w:val="footer"/>
    <w:basedOn w:val="Normal"/>
    <w:link w:val="FooterChar"/>
    <w:uiPriority w:val="99"/>
    <w:unhideWhenUsed/>
    <w:rsid w:val="00A1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9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limatechoices.act.gov.au/__data/assets/pdf_file/0018/2518002/eeis-review-2024.pdf" TargetMode="External"/><Relationship Id="rId7" Type="http://schemas.openxmlformats.org/officeDocument/2006/relationships/hyperlink" Target="https://www.icrc.act.gov.au/energy/electricity" TargetMode="External"/><Relationship Id="rId2" Type="http://schemas.openxmlformats.org/officeDocument/2006/relationships/hyperlink" Target="https://www.climatechoices.act.gov.au/__data/assets/pdf_file/0003/1414641/ACT-Climate-Change-Strategy-2019-2025.pdf" TargetMode="External"/><Relationship Id="rId1" Type="http://schemas.openxmlformats.org/officeDocument/2006/relationships/hyperlink" Target="https://www.environment.act.gov.au/__data/assets/pdf_file/0003/1414641/ACT-Climate-Change-Strategy-2019-2025.pdf/_recache" TargetMode="External"/><Relationship Id="rId6" Type="http://schemas.openxmlformats.org/officeDocument/2006/relationships/hyperlink" Target="https://www.icrc.act.gov.au/energy/electricity" TargetMode="External"/><Relationship Id="rId5" Type="http://schemas.openxmlformats.org/officeDocument/2006/relationships/hyperlink" Target="https://www.icrc.act.gov.au/energy/electricity" TargetMode="External"/><Relationship Id="rId4" Type="http://schemas.openxmlformats.org/officeDocument/2006/relationships/hyperlink" Target="https://www.icrc.act.gov.au/__data/assets/pdf_file/0011/2457047/Final-Report-202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A45916266</value>
    </field>
    <field name="Objective-Title">
      <value order="0">Attachment L - EST, ESC and Shortfall Penalty - RIS</value>
    </field>
    <field name="Objective-Description">
      <value order="0"/>
    </field>
    <field name="Objective-CreationStamp">
      <value order="0">2024-03-19T03:16:54Z</value>
    </field>
    <field name="Objective-IsApproved">
      <value order="0">false</value>
    </field>
    <field name="Objective-IsPublished">
      <value order="0">true</value>
    </field>
    <field name="Objective-DatePublished">
      <value order="0">2024-07-19T01:55:08Z</value>
    </field>
    <field name="Objective-ModificationStamp">
      <value order="0">2024-07-19T01:55:08Z</value>
    </field>
    <field name="Objective-Owner">
      <value order="0">Mhairin Hilliker</value>
    </field>
    <field name="Objective-Path">
      <value order="0">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alue>
    </field>
    <field name="Objective-Parent">
      <value order="0">24/26037 Ministerial-Information Brief - Rattenbury - 2025 targets setting for the EEIS</value>
    </field>
    <field name="Objective-State">
      <value order="0">Published</value>
    </field>
    <field name="Objective-VersionId">
      <value order="0">vA59712187</value>
    </field>
    <field name="Objective-Version">
      <value order="0">4.0</value>
    </field>
    <field name="Objective-VersionNumber">
      <value order="0">15</value>
    </field>
    <field name="Objective-VersionComment">
      <value order="0"/>
    </field>
    <field name="Objective-FileNumber">
      <value order="0">1-2024/26037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3FA85159-60D8-40C6-A32E-F3A1F68D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2584</Words>
  <Characters>14056</Characters>
  <Application>Microsoft Office Word</Application>
  <DocSecurity>0</DocSecurity>
  <Lines>304</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Ereaut, Emma</dc:creator>
  <cp:keywords>2</cp:keywords>
  <cp:lastModifiedBy>PCODCS</cp:lastModifiedBy>
  <cp:revision>4</cp:revision>
  <dcterms:created xsi:type="dcterms:W3CDTF">2024-08-28T05:42:00Z</dcterms:created>
  <dcterms:modified xsi:type="dcterms:W3CDTF">2024-08-28T05:42:00Z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A45916266</vt:lpwstr>
  </property>
  <property fmtid="{D5CDD505-2E9C-101B-9397-08002B2CF9AE}" pid="4" name="Objective-Title">
    <vt:lpwstr>Attachment L - EST, ESC and Shortfall Penalty - RIS</vt:lpwstr>
  </property>
  <property fmtid="{D5CDD505-2E9C-101B-9397-08002B2CF9AE}" pid="5" name="Objective-Comment">
    <vt:lpwstr/>
  </property>
  <property fmtid="{D5CDD505-2E9C-101B-9397-08002B2CF9AE}" pid="6" name="Objective-CreationStamp">
    <vt:filetime>2024-03-19T03:16:54Z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2024-07-19T01:55:08Z</vt:filetime>
  </property>
  <property fmtid="{D5CDD505-2E9C-101B-9397-08002B2CF9AE}" pid="10" name="Objective-ModificationStamp">
    <vt:filetime>2024-07-19T01:55:08Z</vt:filetime>
  </property>
  <property fmtid="{D5CDD505-2E9C-101B-9397-08002B2CF9AE}" pid="11" name="Objective-Owner">
    <vt:lpwstr>Mhairin Hilliker</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t:lpwstr>
  </property>
  <property fmtid="{D5CDD505-2E9C-101B-9397-08002B2CF9AE}" pid="13" name="Objective-Parent">
    <vt:lpwstr>24/26037 Ministerial-Information Brief - Rattenbury - 2025 targets setting for the EEIS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1-2024/26037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vA59712187</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2024-05-09T05:50:42Z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d50bc27f-b717-4274-b0ee-eb6c3b37d5a0</vt:lpwstr>
  </property>
  <property fmtid="{D5CDD505-2E9C-101B-9397-08002B2CF9AE}" pid="40" name="MSIP_Label_69af8531-eb46-4968-8cb3-105d2f5ea87e_ContentBits">
    <vt:lpwstr>0</vt:lpwstr>
  </property>
  <property fmtid="{D5CDD505-2E9C-101B-9397-08002B2CF9AE}" pid="41" name="CHECKEDOUTFROMJMS">
    <vt:lpwstr/>
  </property>
  <property fmtid="{D5CDD505-2E9C-101B-9397-08002B2CF9AE}" pid="42" name="DMSID">
    <vt:lpwstr>13097325</vt:lpwstr>
  </property>
  <property fmtid="{D5CDD505-2E9C-101B-9397-08002B2CF9AE}" pid="43" name="JMSREQUIREDCHECKIN">
    <vt:lpwstr/>
  </property>
</Properties>
</file>