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E354" w14:textId="77777777" w:rsidR="00DC1ED9" w:rsidRDefault="00FB465A">
      <w:pPr>
        <w:spacing w:after="129" w:line="259" w:lineRule="auto"/>
        <w:ind w:left="75" w:firstLine="0"/>
        <w:jc w:val="center"/>
      </w:pPr>
      <w:r>
        <w:rPr>
          <w:noProof/>
        </w:rPr>
        <w:drawing>
          <wp:inline distT="0" distB="0" distL="0" distR="0" wp14:anchorId="49650503" wp14:editId="437E2E43">
            <wp:extent cx="2028825" cy="75247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9"/>
                    <a:stretch>
                      <a:fillRect/>
                    </a:stretch>
                  </pic:blipFill>
                  <pic:spPr>
                    <a:xfrm>
                      <a:off x="0" y="0"/>
                      <a:ext cx="2028825" cy="752475"/>
                    </a:xfrm>
                    <a:prstGeom prst="rect">
                      <a:avLst/>
                    </a:prstGeom>
                  </pic:spPr>
                </pic:pic>
              </a:graphicData>
            </a:graphic>
          </wp:inline>
        </w:drawing>
      </w:r>
      <w:r>
        <w:rPr>
          <w:b/>
          <w:sz w:val="32"/>
        </w:rPr>
        <w:t xml:space="preserve"> </w:t>
      </w:r>
    </w:p>
    <w:p w14:paraId="2E321955" w14:textId="77777777" w:rsidR="00DC1ED9" w:rsidRDefault="00FB465A">
      <w:pPr>
        <w:spacing w:after="227" w:line="259" w:lineRule="auto"/>
        <w:ind w:left="74" w:firstLine="0"/>
        <w:jc w:val="center"/>
      </w:pPr>
      <w:r>
        <w:rPr>
          <w:b/>
          <w:sz w:val="32"/>
        </w:rPr>
        <w:t xml:space="preserve"> </w:t>
      </w:r>
    </w:p>
    <w:p w14:paraId="5302A99E" w14:textId="77777777" w:rsidR="00DC1ED9" w:rsidRDefault="00FB465A">
      <w:pPr>
        <w:spacing w:after="230" w:line="259" w:lineRule="auto"/>
        <w:ind w:left="0" w:firstLine="0"/>
      </w:pPr>
      <w:r>
        <w:rPr>
          <w:sz w:val="32"/>
        </w:rPr>
        <w:t xml:space="preserve"> </w:t>
      </w:r>
    </w:p>
    <w:p w14:paraId="346D164C" w14:textId="3B3A49CE" w:rsidR="00E60A87" w:rsidRDefault="00E60A87" w:rsidP="00D85F72">
      <w:pPr>
        <w:spacing w:after="150" w:line="259" w:lineRule="auto"/>
        <w:ind w:left="142" w:firstLine="0"/>
        <w:jc w:val="center"/>
      </w:pPr>
      <w:r>
        <w:rPr>
          <w:b/>
          <w:sz w:val="32"/>
        </w:rPr>
        <w:t>Regulatory Impact Statement</w:t>
      </w:r>
    </w:p>
    <w:p w14:paraId="28320723" w14:textId="5B6D3868" w:rsidR="00DC1ED9" w:rsidRDefault="00FB465A">
      <w:pPr>
        <w:spacing w:after="189" w:line="259" w:lineRule="auto"/>
        <w:ind w:left="0" w:right="1" w:firstLine="0"/>
        <w:jc w:val="center"/>
      </w:pPr>
      <w:r>
        <w:rPr>
          <w:b/>
          <w:sz w:val="32"/>
        </w:rPr>
        <w:t xml:space="preserve">Energy Efficiency Improvement Scheme </w:t>
      </w:r>
    </w:p>
    <w:p w14:paraId="2248A368" w14:textId="2C72BE15" w:rsidR="00DC1ED9" w:rsidRDefault="00FB465A">
      <w:pPr>
        <w:spacing w:after="261" w:line="259" w:lineRule="auto"/>
        <w:ind w:left="163" w:firstLine="0"/>
      </w:pPr>
      <w:r>
        <w:rPr>
          <w:b/>
          <w:sz w:val="28"/>
        </w:rPr>
        <w:t>Setting the Priority Household Target for 202</w:t>
      </w:r>
      <w:r w:rsidR="0095509E">
        <w:rPr>
          <w:b/>
          <w:sz w:val="28"/>
        </w:rPr>
        <w:t>5</w:t>
      </w:r>
      <w:r>
        <w:rPr>
          <w:b/>
          <w:sz w:val="28"/>
        </w:rPr>
        <w:t xml:space="preserve"> by Disallowable Instrument: </w:t>
      </w:r>
    </w:p>
    <w:p w14:paraId="57B19084" w14:textId="77777777" w:rsidR="00DC1ED9" w:rsidRDefault="00FB465A">
      <w:pPr>
        <w:spacing w:after="28" w:line="259" w:lineRule="auto"/>
        <w:ind w:left="137"/>
      </w:pPr>
      <w:r>
        <w:rPr>
          <w:i/>
          <w:sz w:val="32"/>
        </w:rPr>
        <w:t xml:space="preserve">Energy Efficiency (Cost of Living) Improvement (Priority Household </w:t>
      </w:r>
    </w:p>
    <w:p w14:paraId="5201F995" w14:textId="14C076EA" w:rsidR="00DC1ED9" w:rsidRDefault="00FB465A">
      <w:pPr>
        <w:spacing w:after="230" w:line="259" w:lineRule="auto"/>
        <w:ind w:left="137"/>
        <w:rPr>
          <w:iCs/>
          <w:sz w:val="32"/>
        </w:rPr>
      </w:pPr>
      <w:r>
        <w:rPr>
          <w:i/>
          <w:sz w:val="32"/>
        </w:rPr>
        <w:t>Target) Determination 202</w:t>
      </w:r>
      <w:r w:rsidR="0095509E">
        <w:rPr>
          <w:i/>
          <w:sz w:val="32"/>
        </w:rPr>
        <w:t>4</w:t>
      </w:r>
      <w:r>
        <w:rPr>
          <w:i/>
          <w:sz w:val="32"/>
        </w:rPr>
        <w:t xml:space="preserve"> </w:t>
      </w:r>
    </w:p>
    <w:p w14:paraId="4068D3C7" w14:textId="720E2942" w:rsidR="006351B0" w:rsidRPr="006351B0" w:rsidRDefault="006351B0">
      <w:pPr>
        <w:spacing w:after="230" w:line="259" w:lineRule="auto"/>
        <w:ind w:left="137"/>
        <w:rPr>
          <w:iCs/>
        </w:rPr>
      </w:pPr>
      <w:r>
        <w:rPr>
          <w:iCs/>
          <w:sz w:val="32"/>
        </w:rPr>
        <w:t>DI2024-272</w:t>
      </w:r>
    </w:p>
    <w:p w14:paraId="52EE48E4" w14:textId="77777777" w:rsidR="00DC1ED9" w:rsidRDefault="00FB465A">
      <w:pPr>
        <w:spacing w:after="221" w:line="259" w:lineRule="auto"/>
        <w:ind w:left="137"/>
      </w:pPr>
      <w:r>
        <w:rPr>
          <w:b/>
        </w:rPr>
        <w:t xml:space="preserve">Prepared in accordance with Chapter 5 of the </w:t>
      </w:r>
      <w:r>
        <w:rPr>
          <w:b/>
          <w:i/>
        </w:rPr>
        <w:t>Legislation Act 2001</w:t>
      </w:r>
      <w:r>
        <w:rPr>
          <w:b/>
        </w:rPr>
        <w:t xml:space="preserve"> </w:t>
      </w:r>
    </w:p>
    <w:p w14:paraId="1A6F21A8" w14:textId="74D215BF" w:rsidR="00DC1ED9" w:rsidRDefault="00FB465A">
      <w:pPr>
        <w:spacing w:after="221" w:line="259" w:lineRule="auto"/>
        <w:ind w:left="137"/>
      </w:pPr>
      <w:r>
        <w:rPr>
          <w:b/>
        </w:rPr>
        <w:t>June 202</w:t>
      </w:r>
      <w:r w:rsidR="0095509E">
        <w:rPr>
          <w:b/>
        </w:rPr>
        <w:t>4</w:t>
      </w:r>
      <w:r>
        <w:rPr>
          <w:b/>
        </w:rPr>
        <w:t xml:space="preserve"> </w:t>
      </w:r>
    </w:p>
    <w:p w14:paraId="2257FCAF" w14:textId="77777777" w:rsidR="00AF38A8" w:rsidRDefault="00AF38A8">
      <w:pPr>
        <w:spacing w:after="160" w:line="259" w:lineRule="auto"/>
        <w:ind w:left="0" w:firstLine="0"/>
      </w:pPr>
      <w:r>
        <w:br w:type="page"/>
      </w:r>
    </w:p>
    <w:p w14:paraId="346AE0CE" w14:textId="27777A52" w:rsidR="00DC1ED9" w:rsidRDefault="00DC1ED9">
      <w:pPr>
        <w:spacing w:after="0" w:line="259" w:lineRule="auto"/>
        <w:ind w:left="0" w:firstLine="0"/>
      </w:pPr>
    </w:p>
    <w:sdt>
      <w:sdtPr>
        <w:id w:val="-1676413600"/>
        <w:docPartObj>
          <w:docPartGallery w:val="Table of Contents"/>
        </w:docPartObj>
      </w:sdtPr>
      <w:sdtEndPr/>
      <w:sdtContent>
        <w:p w14:paraId="033F1036" w14:textId="77777777" w:rsidR="00DC1ED9" w:rsidRDefault="00FB465A">
          <w:pPr>
            <w:spacing w:after="0" w:line="259" w:lineRule="auto"/>
            <w:ind w:left="0" w:firstLine="0"/>
          </w:pPr>
          <w:r>
            <w:rPr>
              <w:color w:val="2F5496"/>
              <w:sz w:val="32"/>
            </w:rPr>
            <w:t xml:space="preserve">Contents </w:t>
          </w:r>
        </w:p>
        <w:p w14:paraId="27084B23" w14:textId="33DCFFCE" w:rsidR="00B865B7" w:rsidRDefault="00FB465A">
          <w:pPr>
            <w:pStyle w:val="TOC1"/>
            <w:tabs>
              <w:tab w:val="left" w:pos="440"/>
              <w:tab w:val="right" w:leader="dot" w:pos="9012"/>
            </w:tabs>
            <w:rPr>
              <w:rFonts w:asciiTheme="minorHAnsi" w:eastAsiaTheme="minorEastAsia" w:hAnsiTheme="minorHAnsi" w:cstheme="minorBidi"/>
              <w:noProof/>
              <w:color w:val="auto"/>
              <w:kern w:val="2"/>
              <w:sz w:val="22"/>
              <w14:ligatures w14:val="standardContextual"/>
            </w:rPr>
          </w:pPr>
          <w:r>
            <w:fldChar w:fldCharType="begin"/>
          </w:r>
          <w:r>
            <w:instrText xml:space="preserve"> TOC \o "1-1" \h \z \u </w:instrText>
          </w:r>
          <w:r>
            <w:fldChar w:fldCharType="separate"/>
          </w:r>
          <w:hyperlink w:anchor="_Toc175754739" w:history="1">
            <w:r w:rsidR="00B865B7" w:rsidRPr="009A53DF">
              <w:rPr>
                <w:rStyle w:val="Hyperlink"/>
                <w:noProof/>
              </w:rPr>
              <w:t>1.</w:t>
            </w:r>
            <w:r w:rsidR="00B865B7">
              <w:rPr>
                <w:rFonts w:asciiTheme="minorHAnsi" w:eastAsiaTheme="minorEastAsia" w:hAnsiTheme="minorHAnsi" w:cstheme="minorBidi"/>
                <w:noProof/>
                <w:color w:val="auto"/>
                <w:kern w:val="2"/>
                <w:sz w:val="22"/>
                <w14:ligatures w14:val="standardContextual"/>
              </w:rPr>
              <w:tab/>
            </w:r>
            <w:r w:rsidR="00B865B7" w:rsidRPr="009A53DF">
              <w:rPr>
                <w:rStyle w:val="Hyperlink"/>
                <w:noProof/>
              </w:rPr>
              <w:t>Executive summary</w:t>
            </w:r>
            <w:r w:rsidR="00B865B7">
              <w:rPr>
                <w:noProof/>
                <w:webHidden/>
              </w:rPr>
              <w:tab/>
            </w:r>
            <w:r w:rsidR="00B865B7">
              <w:rPr>
                <w:noProof/>
                <w:webHidden/>
              </w:rPr>
              <w:fldChar w:fldCharType="begin"/>
            </w:r>
            <w:r w:rsidR="00B865B7">
              <w:rPr>
                <w:noProof/>
                <w:webHidden/>
              </w:rPr>
              <w:instrText xml:space="preserve"> PAGEREF _Toc175754739 \h </w:instrText>
            </w:r>
            <w:r w:rsidR="00B865B7">
              <w:rPr>
                <w:noProof/>
                <w:webHidden/>
              </w:rPr>
            </w:r>
            <w:r w:rsidR="00B865B7">
              <w:rPr>
                <w:noProof/>
                <w:webHidden/>
              </w:rPr>
              <w:fldChar w:fldCharType="separate"/>
            </w:r>
            <w:r w:rsidR="00E910A4">
              <w:rPr>
                <w:noProof/>
                <w:webHidden/>
              </w:rPr>
              <w:t>3</w:t>
            </w:r>
            <w:r w:rsidR="00B865B7">
              <w:rPr>
                <w:noProof/>
                <w:webHidden/>
              </w:rPr>
              <w:fldChar w:fldCharType="end"/>
            </w:r>
          </w:hyperlink>
        </w:p>
        <w:p w14:paraId="04374E31" w14:textId="3006A28D" w:rsidR="00B865B7" w:rsidRDefault="00FA4ED0">
          <w:pPr>
            <w:pStyle w:val="TOC1"/>
            <w:tabs>
              <w:tab w:val="left" w:pos="440"/>
              <w:tab w:val="right" w:leader="dot" w:pos="9012"/>
            </w:tabs>
            <w:rPr>
              <w:rFonts w:asciiTheme="minorHAnsi" w:eastAsiaTheme="minorEastAsia" w:hAnsiTheme="minorHAnsi" w:cstheme="minorBidi"/>
              <w:noProof/>
              <w:color w:val="auto"/>
              <w:kern w:val="2"/>
              <w:sz w:val="22"/>
              <w14:ligatures w14:val="standardContextual"/>
            </w:rPr>
          </w:pPr>
          <w:hyperlink w:anchor="_Toc175754740" w:history="1">
            <w:r w:rsidR="00B865B7" w:rsidRPr="009A53DF">
              <w:rPr>
                <w:rStyle w:val="Hyperlink"/>
                <w:noProof/>
              </w:rPr>
              <w:t>2.</w:t>
            </w:r>
            <w:r w:rsidR="00B865B7">
              <w:rPr>
                <w:rFonts w:asciiTheme="minorHAnsi" w:eastAsiaTheme="minorEastAsia" w:hAnsiTheme="minorHAnsi" w:cstheme="minorBidi"/>
                <w:noProof/>
                <w:color w:val="auto"/>
                <w:kern w:val="2"/>
                <w:sz w:val="22"/>
                <w14:ligatures w14:val="standardContextual"/>
              </w:rPr>
              <w:tab/>
            </w:r>
            <w:r w:rsidR="00B865B7" w:rsidRPr="009A53DF">
              <w:rPr>
                <w:rStyle w:val="Hyperlink"/>
                <w:noProof/>
              </w:rPr>
              <w:t>The authorising law</w:t>
            </w:r>
            <w:r w:rsidR="00B865B7">
              <w:rPr>
                <w:noProof/>
                <w:webHidden/>
              </w:rPr>
              <w:tab/>
            </w:r>
            <w:r w:rsidR="00B865B7">
              <w:rPr>
                <w:noProof/>
                <w:webHidden/>
              </w:rPr>
              <w:fldChar w:fldCharType="begin"/>
            </w:r>
            <w:r w:rsidR="00B865B7">
              <w:rPr>
                <w:noProof/>
                <w:webHidden/>
              </w:rPr>
              <w:instrText xml:space="preserve"> PAGEREF _Toc175754740 \h </w:instrText>
            </w:r>
            <w:r w:rsidR="00B865B7">
              <w:rPr>
                <w:noProof/>
                <w:webHidden/>
              </w:rPr>
            </w:r>
            <w:r w:rsidR="00B865B7">
              <w:rPr>
                <w:noProof/>
                <w:webHidden/>
              </w:rPr>
              <w:fldChar w:fldCharType="separate"/>
            </w:r>
            <w:r w:rsidR="00E910A4">
              <w:rPr>
                <w:noProof/>
                <w:webHidden/>
              </w:rPr>
              <w:t>3</w:t>
            </w:r>
            <w:r w:rsidR="00B865B7">
              <w:rPr>
                <w:noProof/>
                <w:webHidden/>
              </w:rPr>
              <w:fldChar w:fldCharType="end"/>
            </w:r>
          </w:hyperlink>
        </w:p>
        <w:p w14:paraId="58BF646C" w14:textId="4760CE47" w:rsidR="00B865B7" w:rsidRDefault="00FA4ED0">
          <w:pPr>
            <w:pStyle w:val="TOC1"/>
            <w:tabs>
              <w:tab w:val="left" w:pos="440"/>
              <w:tab w:val="right" w:leader="dot" w:pos="9012"/>
            </w:tabs>
            <w:rPr>
              <w:rFonts w:asciiTheme="minorHAnsi" w:eastAsiaTheme="minorEastAsia" w:hAnsiTheme="minorHAnsi" w:cstheme="minorBidi"/>
              <w:noProof/>
              <w:color w:val="auto"/>
              <w:kern w:val="2"/>
              <w:sz w:val="22"/>
              <w14:ligatures w14:val="standardContextual"/>
            </w:rPr>
          </w:pPr>
          <w:hyperlink w:anchor="_Toc175754741" w:history="1">
            <w:r w:rsidR="00B865B7" w:rsidRPr="009A53DF">
              <w:rPr>
                <w:rStyle w:val="Hyperlink"/>
                <w:noProof/>
              </w:rPr>
              <w:t>3.</w:t>
            </w:r>
            <w:r w:rsidR="00B865B7">
              <w:rPr>
                <w:rFonts w:asciiTheme="minorHAnsi" w:eastAsiaTheme="minorEastAsia" w:hAnsiTheme="minorHAnsi" w:cstheme="minorBidi"/>
                <w:noProof/>
                <w:color w:val="auto"/>
                <w:kern w:val="2"/>
                <w:sz w:val="22"/>
                <w14:ligatures w14:val="standardContextual"/>
              </w:rPr>
              <w:tab/>
            </w:r>
            <w:r w:rsidR="00B865B7" w:rsidRPr="009A53DF">
              <w:rPr>
                <w:rStyle w:val="Hyperlink"/>
                <w:noProof/>
              </w:rPr>
              <w:t>Policy objective of the disallowable instrument</w:t>
            </w:r>
            <w:r w:rsidR="00B865B7">
              <w:rPr>
                <w:noProof/>
                <w:webHidden/>
              </w:rPr>
              <w:tab/>
            </w:r>
            <w:r w:rsidR="00B865B7">
              <w:rPr>
                <w:noProof/>
                <w:webHidden/>
              </w:rPr>
              <w:fldChar w:fldCharType="begin"/>
            </w:r>
            <w:r w:rsidR="00B865B7">
              <w:rPr>
                <w:noProof/>
                <w:webHidden/>
              </w:rPr>
              <w:instrText xml:space="preserve"> PAGEREF _Toc175754741 \h </w:instrText>
            </w:r>
            <w:r w:rsidR="00B865B7">
              <w:rPr>
                <w:noProof/>
                <w:webHidden/>
              </w:rPr>
            </w:r>
            <w:r w:rsidR="00B865B7">
              <w:rPr>
                <w:noProof/>
                <w:webHidden/>
              </w:rPr>
              <w:fldChar w:fldCharType="separate"/>
            </w:r>
            <w:r w:rsidR="00E910A4">
              <w:rPr>
                <w:noProof/>
                <w:webHidden/>
              </w:rPr>
              <w:t>4</w:t>
            </w:r>
            <w:r w:rsidR="00B865B7">
              <w:rPr>
                <w:noProof/>
                <w:webHidden/>
              </w:rPr>
              <w:fldChar w:fldCharType="end"/>
            </w:r>
          </w:hyperlink>
        </w:p>
        <w:p w14:paraId="417C6D09" w14:textId="76D4C7B2" w:rsidR="00B865B7" w:rsidRDefault="00FA4ED0">
          <w:pPr>
            <w:pStyle w:val="TOC1"/>
            <w:tabs>
              <w:tab w:val="left" w:pos="440"/>
              <w:tab w:val="right" w:leader="dot" w:pos="9012"/>
            </w:tabs>
            <w:rPr>
              <w:rFonts w:asciiTheme="minorHAnsi" w:eastAsiaTheme="minorEastAsia" w:hAnsiTheme="minorHAnsi" w:cstheme="minorBidi"/>
              <w:noProof/>
              <w:color w:val="auto"/>
              <w:kern w:val="2"/>
              <w:sz w:val="22"/>
              <w14:ligatures w14:val="standardContextual"/>
            </w:rPr>
          </w:pPr>
          <w:hyperlink w:anchor="_Toc175754742" w:history="1">
            <w:r w:rsidR="00B865B7" w:rsidRPr="009A53DF">
              <w:rPr>
                <w:rStyle w:val="Hyperlink"/>
                <w:noProof/>
              </w:rPr>
              <w:t>4.</w:t>
            </w:r>
            <w:r w:rsidR="00B865B7">
              <w:rPr>
                <w:rFonts w:asciiTheme="minorHAnsi" w:eastAsiaTheme="minorEastAsia" w:hAnsiTheme="minorHAnsi" w:cstheme="minorBidi"/>
                <w:noProof/>
                <w:color w:val="auto"/>
                <w:kern w:val="2"/>
                <w:sz w:val="22"/>
                <w14:ligatures w14:val="standardContextual"/>
              </w:rPr>
              <w:tab/>
            </w:r>
            <w:r w:rsidR="00B865B7" w:rsidRPr="009A53DF">
              <w:rPr>
                <w:rStyle w:val="Hyperlink"/>
                <w:noProof/>
              </w:rPr>
              <w:t>Achieving the policy objectives</w:t>
            </w:r>
            <w:r w:rsidR="00B865B7">
              <w:rPr>
                <w:noProof/>
                <w:webHidden/>
              </w:rPr>
              <w:tab/>
            </w:r>
            <w:r w:rsidR="00B865B7">
              <w:rPr>
                <w:noProof/>
                <w:webHidden/>
              </w:rPr>
              <w:fldChar w:fldCharType="begin"/>
            </w:r>
            <w:r w:rsidR="00B865B7">
              <w:rPr>
                <w:noProof/>
                <w:webHidden/>
              </w:rPr>
              <w:instrText xml:space="preserve"> PAGEREF _Toc175754742 \h </w:instrText>
            </w:r>
            <w:r w:rsidR="00B865B7">
              <w:rPr>
                <w:noProof/>
                <w:webHidden/>
              </w:rPr>
            </w:r>
            <w:r w:rsidR="00B865B7">
              <w:rPr>
                <w:noProof/>
                <w:webHidden/>
              </w:rPr>
              <w:fldChar w:fldCharType="separate"/>
            </w:r>
            <w:r w:rsidR="00E910A4">
              <w:rPr>
                <w:noProof/>
                <w:webHidden/>
              </w:rPr>
              <w:t>4</w:t>
            </w:r>
            <w:r w:rsidR="00B865B7">
              <w:rPr>
                <w:noProof/>
                <w:webHidden/>
              </w:rPr>
              <w:fldChar w:fldCharType="end"/>
            </w:r>
          </w:hyperlink>
        </w:p>
        <w:p w14:paraId="5D6FB807" w14:textId="235420EE" w:rsidR="00B865B7" w:rsidRDefault="00FA4ED0">
          <w:pPr>
            <w:pStyle w:val="TOC1"/>
            <w:tabs>
              <w:tab w:val="left" w:pos="660"/>
              <w:tab w:val="right" w:leader="dot" w:pos="9012"/>
            </w:tabs>
            <w:rPr>
              <w:rFonts w:asciiTheme="minorHAnsi" w:eastAsiaTheme="minorEastAsia" w:hAnsiTheme="minorHAnsi" w:cstheme="minorBidi"/>
              <w:noProof/>
              <w:color w:val="auto"/>
              <w:kern w:val="2"/>
              <w:sz w:val="22"/>
              <w14:ligatures w14:val="standardContextual"/>
            </w:rPr>
          </w:pPr>
          <w:hyperlink w:anchor="_Toc175754743" w:history="1">
            <w:r w:rsidR="00B865B7" w:rsidRPr="009A53DF">
              <w:rPr>
                <w:rStyle w:val="Hyperlink"/>
                <w:noProof/>
              </w:rPr>
              <w:t>4.1</w:t>
            </w:r>
            <w:r w:rsidR="00B865B7">
              <w:rPr>
                <w:rFonts w:asciiTheme="minorHAnsi" w:eastAsiaTheme="minorEastAsia" w:hAnsiTheme="minorHAnsi" w:cstheme="minorBidi"/>
                <w:noProof/>
                <w:color w:val="auto"/>
                <w:kern w:val="2"/>
                <w:sz w:val="22"/>
                <w14:ligatures w14:val="standardContextual"/>
              </w:rPr>
              <w:tab/>
            </w:r>
            <w:r w:rsidR="00B865B7" w:rsidRPr="009A53DF">
              <w:rPr>
                <w:rStyle w:val="Hyperlink"/>
                <w:noProof/>
              </w:rPr>
              <w:t>Considering a level of ambition</w:t>
            </w:r>
            <w:r w:rsidR="00B865B7">
              <w:rPr>
                <w:noProof/>
                <w:webHidden/>
              </w:rPr>
              <w:tab/>
            </w:r>
            <w:r w:rsidR="00B865B7">
              <w:rPr>
                <w:noProof/>
                <w:webHidden/>
              </w:rPr>
              <w:fldChar w:fldCharType="begin"/>
            </w:r>
            <w:r w:rsidR="00B865B7">
              <w:rPr>
                <w:noProof/>
                <w:webHidden/>
              </w:rPr>
              <w:instrText xml:space="preserve"> PAGEREF _Toc175754743 \h </w:instrText>
            </w:r>
            <w:r w:rsidR="00B865B7">
              <w:rPr>
                <w:noProof/>
                <w:webHidden/>
              </w:rPr>
            </w:r>
            <w:r w:rsidR="00B865B7">
              <w:rPr>
                <w:noProof/>
                <w:webHidden/>
              </w:rPr>
              <w:fldChar w:fldCharType="separate"/>
            </w:r>
            <w:r w:rsidR="00E910A4">
              <w:rPr>
                <w:noProof/>
                <w:webHidden/>
              </w:rPr>
              <w:t>5</w:t>
            </w:r>
            <w:r w:rsidR="00B865B7">
              <w:rPr>
                <w:noProof/>
                <w:webHidden/>
              </w:rPr>
              <w:fldChar w:fldCharType="end"/>
            </w:r>
          </w:hyperlink>
        </w:p>
        <w:p w14:paraId="21F3C281" w14:textId="7D7F802E" w:rsidR="00B865B7" w:rsidRDefault="00FA4ED0">
          <w:pPr>
            <w:pStyle w:val="TOC1"/>
            <w:tabs>
              <w:tab w:val="left" w:pos="440"/>
              <w:tab w:val="right" w:leader="dot" w:pos="9012"/>
            </w:tabs>
            <w:rPr>
              <w:rFonts w:asciiTheme="minorHAnsi" w:eastAsiaTheme="minorEastAsia" w:hAnsiTheme="minorHAnsi" w:cstheme="minorBidi"/>
              <w:noProof/>
              <w:color w:val="auto"/>
              <w:kern w:val="2"/>
              <w:sz w:val="22"/>
              <w14:ligatures w14:val="standardContextual"/>
            </w:rPr>
          </w:pPr>
          <w:hyperlink w:anchor="_Toc175754744" w:history="1">
            <w:r w:rsidR="00B865B7" w:rsidRPr="009A53DF">
              <w:rPr>
                <w:rStyle w:val="Hyperlink"/>
                <w:noProof/>
              </w:rPr>
              <w:t>5.</w:t>
            </w:r>
            <w:r w:rsidR="00B865B7">
              <w:rPr>
                <w:rFonts w:asciiTheme="minorHAnsi" w:eastAsiaTheme="minorEastAsia" w:hAnsiTheme="minorHAnsi" w:cstheme="minorBidi"/>
                <w:noProof/>
                <w:color w:val="auto"/>
                <w:kern w:val="2"/>
                <w:sz w:val="22"/>
                <w14:ligatures w14:val="standardContextual"/>
              </w:rPr>
              <w:tab/>
            </w:r>
            <w:r w:rsidR="00B865B7" w:rsidRPr="009A53DF">
              <w:rPr>
                <w:rStyle w:val="Hyperlink"/>
                <w:noProof/>
              </w:rPr>
              <w:t>Consistency of the proposed law with the authorising law</w:t>
            </w:r>
            <w:r w:rsidR="00B865B7">
              <w:rPr>
                <w:noProof/>
                <w:webHidden/>
              </w:rPr>
              <w:tab/>
            </w:r>
            <w:r w:rsidR="00B865B7">
              <w:rPr>
                <w:noProof/>
                <w:webHidden/>
              </w:rPr>
              <w:fldChar w:fldCharType="begin"/>
            </w:r>
            <w:r w:rsidR="00B865B7">
              <w:rPr>
                <w:noProof/>
                <w:webHidden/>
              </w:rPr>
              <w:instrText xml:space="preserve"> PAGEREF _Toc175754744 \h </w:instrText>
            </w:r>
            <w:r w:rsidR="00B865B7">
              <w:rPr>
                <w:noProof/>
                <w:webHidden/>
              </w:rPr>
            </w:r>
            <w:r w:rsidR="00B865B7">
              <w:rPr>
                <w:noProof/>
                <w:webHidden/>
              </w:rPr>
              <w:fldChar w:fldCharType="separate"/>
            </w:r>
            <w:r w:rsidR="00E910A4">
              <w:rPr>
                <w:noProof/>
                <w:webHidden/>
              </w:rPr>
              <w:t>5</w:t>
            </w:r>
            <w:r w:rsidR="00B865B7">
              <w:rPr>
                <w:noProof/>
                <w:webHidden/>
              </w:rPr>
              <w:fldChar w:fldCharType="end"/>
            </w:r>
          </w:hyperlink>
        </w:p>
        <w:p w14:paraId="1F79A02A" w14:textId="4FD81820" w:rsidR="00B865B7" w:rsidRDefault="00FA4ED0">
          <w:pPr>
            <w:pStyle w:val="TOC1"/>
            <w:tabs>
              <w:tab w:val="left" w:pos="440"/>
              <w:tab w:val="right" w:leader="dot" w:pos="9012"/>
            </w:tabs>
            <w:rPr>
              <w:rFonts w:asciiTheme="minorHAnsi" w:eastAsiaTheme="minorEastAsia" w:hAnsiTheme="minorHAnsi" w:cstheme="minorBidi"/>
              <w:noProof/>
              <w:color w:val="auto"/>
              <w:kern w:val="2"/>
              <w:sz w:val="22"/>
              <w14:ligatures w14:val="standardContextual"/>
            </w:rPr>
          </w:pPr>
          <w:hyperlink w:anchor="_Toc175754745" w:history="1">
            <w:r w:rsidR="00B865B7" w:rsidRPr="009A53DF">
              <w:rPr>
                <w:rStyle w:val="Hyperlink"/>
                <w:noProof/>
              </w:rPr>
              <w:t>6.</w:t>
            </w:r>
            <w:r w:rsidR="00B865B7">
              <w:rPr>
                <w:rFonts w:asciiTheme="minorHAnsi" w:eastAsiaTheme="minorEastAsia" w:hAnsiTheme="minorHAnsi" w:cstheme="minorBidi"/>
                <w:noProof/>
                <w:color w:val="auto"/>
                <w:kern w:val="2"/>
                <w:sz w:val="22"/>
                <w14:ligatures w14:val="standardContextual"/>
              </w:rPr>
              <w:tab/>
            </w:r>
            <w:r w:rsidR="00B865B7" w:rsidRPr="009A53DF">
              <w:rPr>
                <w:rStyle w:val="Hyperlink"/>
                <w:noProof/>
              </w:rPr>
              <w:t>Inconsistency with the policy objectives of another territory law</w:t>
            </w:r>
            <w:r w:rsidR="00B865B7">
              <w:rPr>
                <w:noProof/>
                <w:webHidden/>
              </w:rPr>
              <w:tab/>
            </w:r>
            <w:r w:rsidR="00B865B7">
              <w:rPr>
                <w:noProof/>
                <w:webHidden/>
              </w:rPr>
              <w:fldChar w:fldCharType="begin"/>
            </w:r>
            <w:r w:rsidR="00B865B7">
              <w:rPr>
                <w:noProof/>
                <w:webHidden/>
              </w:rPr>
              <w:instrText xml:space="preserve"> PAGEREF _Toc175754745 \h </w:instrText>
            </w:r>
            <w:r w:rsidR="00B865B7">
              <w:rPr>
                <w:noProof/>
                <w:webHidden/>
              </w:rPr>
            </w:r>
            <w:r w:rsidR="00B865B7">
              <w:rPr>
                <w:noProof/>
                <w:webHidden/>
              </w:rPr>
              <w:fldChar w:fldCharType="separate"/>
            </w:r>
            <w:r w:rsidR="00E910A4">
              <w:rPr>
                <w:noProof/>
                <w:webHidden/>
              </w:rPr>
              <w:t>5</w:t>
            </w:r>
            <w:r w:rsidR="00B865B7">
              <w:rPr>
                <w:noProof/>
                <w:webHidden/>
              </w:rPr>
              <w:fldChar w:fldCharType="end"/>
            </w:r>
          </w:hyperlink>
        </w:p>
        <w:p w14:paraId="180221CF" w14:textId="2330BD36" w:rsidR="00B865B7" w:rsidRDefault="00FA4ED0">
          <w:pPr>
            <w:pStyle w:val="TOC1"/>
            <w:tabs>
              <w:tab w:val="left" w:pos="440"/>
              <w:tab w:val="right" w:leader="dot" w:pos="9012"/>
            </w:tabs>
            <w:rPr>
              <w:rFonts w:asciiTheme="minorHAnsi" w:eastAsiaTheme="minorEastAsia" w:hAnsiTheme="minorHAnsi" w:cstheme="minorBidi"/>
              <w:noProof/>
              <w:color w:val="auto"/>
              <w:kern w:val="2"/>
              <w:sz w:val="22"/>
              <w14:ligatures w14:val="standardContextual"/>
            </w:rPr>
          </w:pPr>
          <w:hyperlink w:anchor="_Toc175754746" w:history="1">
            <w:r w:rsidR="00B865B7" w:rsidRPr="009A53DF">
              <w:rPr>
                <w:rStyle w:val="Hyperlink"/>
                <w:noProof/>
              </w:rPr>
              <w:t>7.</w:t>
            </w:r>
            <w:r w:rsidR="00B865B7">
              <w:rPr>
                <w:rFonts w:asciiTheme="minorHAnsi" w:eastAsiaTheme="minorEastAsia" w:hAnsiTheme="minorHAnsi" w:cstheme="minorBidi"/>
                <w:noProof/>
                <w:color w:val="auto"/>
                <w:kern w:val="2"/>
                <w:sz w:val="22"/>
                <w14:ligatures w14:val="standardContextual"/>
              </w:rPr>
              <w:tab/>
            </w:r>
            <w:r w:rsidR="00B865B7" w:rsidRPr="009A53DF">
              <w:rPr>
                <w:rStyle w:val="Hyperlink"/>
                <w:noProof/>
              </w:rPr>
              <w:t>Reasonable alternatives to the proposed law</w:t>
            </w:r>
            <w:r w:rsidR="00B865B7">
              <w:rPr>
                <w:noProof/>
                <w:webHidden/>
              </w:rPr>
              <w:tab/>
            </w:r>
            <w:r w:rsidR="00B865B7">
              <w:rPr>
                <w:noProof/>
                <w:webHidden/>
              </w:rPr>
              <w:fldChar w:fldCharType="begin"/>
            </w:r>
            <w:r w:rsidR="00B865B7">
              <w:rPr>
                <w:noProof/>
                <w:webHidden/>
              </w:rPr>
              <w:instrText xml:space="preserve"> PAGEREF _Toc175754746 \h </w:instrText>
            </w:r>
            <w:r w:rsidR="00B865B7">
              <w:rPr>
                <w:noProof/>
                <w:webHidden/>
              </w:rPr>
            </w:r>
            <w:r w:rsidR="00B865B7">
              <w:rPr>
                <w:noProof/>
                <w:webHidden/>
              </w:rPr>
              <w:fldChar w:fldCharType="separate"/>
            </w:r>
            <w:r w:rsidR="00E910A4">
              <w:rPr>
                <w:noProof/>
                <w:webHidden/>
              </w:rPr>
              <w:t>6</w:t>
            </w:r>
            <w:r w:rsidR="00B865B7">
              <w:rPr>
                <w:noProof/>
                <w:webHidden/>
              </w:rPr>
              <w:fldChar w:fldCharType="end"/>
            </w:r>
          </w:hyperlink>
        </w:p>
        <w:p w14:paraId="24D7BEAB" w14:textId="48FF81C9" w:rsidR="00B865B7" w:rsidRDefault="00FA4ED0">
          <w:pPr>
            <w:pStyle w:val="TOC1"/>
            <w:tabs>
              <w:tab w:val="left" w:pos="440"/>
              <w:tab w:val="right" w:leader="dot" w:pos="9012"/>
            </w:tabs>
            <w:rPr>
              <w:rFonts w:asciiTheme="minorHAnsi" w:eastAsiaTheme="minorEastAsia" w:hAnsiTheme="minorHAnsi" w:cstheme="minorBidi"/>
              <w:noProof/>
              <w:color w:val="auto"/>
              <w:kern w:val="2"/>
              <w:sz w:val="22"/>
              <w14:ligatures w14:val="standardContextual"/>
            </w:rPr>
          </w:pPr>
          <w:hyperlink w:anchor="_Toc175754747" w:history="1">
            <w:r w:rsidR="00B865B7" w:rsidRPr="009A53DF">
              <w:rPr>
                <w:rStyle w:val="Hyperlink"/>
                <w:noProof/>
              </w:rPr>
              <w:t>8.</w:t>
            </w:r>
            <w:r w:rsidR="00B865B7">
              <w:rPr>
                <w:rFonts w:asciiTheme="minorHAnsi" w:eastAsiaTheme="minorEastAsia" w:hAnsiTheme="minorHAnsi" w:cstheme="minorBidi"/>
                <w:noProof/>
                <w:color w:val="auto"/>
                <w:kern w:val="2"/>
                <w:sz w:val="22"/>
                <w14:ligatures w14:val="standardContextual"/>
              </w:rPr>
              <w:tab/>
            </w:r>
            <w:r w:rsidR="00B865B7" w:rsidRPr="009A53DF">
              <w:rPr>
                <w:rStyle w:val="Hyperlink"/>
                <w:noProof/>
              </w:rPr>
              <w:t>Brief assessment of the benefits and costs of the proposed law</w:t>
            </w:r>
            <w:r w:rsidR="00B865B7">
              <w:rPr>
                <w:noProof/>
                <w:webHidden/>
              </w:rPr>
              <w:tab/>
            </w:r>
            <w:r w:rsidR="00B865B7">
              <w:rPr>
                <w:noProof/>
                <w:webHidden/>
              </w:rPr>
              <w:fldChar w:fldCharType="begin"/>
            </w:r>
            <w:r w:rsidR="00B865B7">
              <w:rPr>
                <w:noProof/>
                <w:webHidden/>
              </w:rPr>
              <w:instrText xml:space="preserve"> PAGEREF _Toc175754747 \h </w:instrText>
            </w:r>
            <w:r w:rsidR="00B865B7">
              <w:rPr>
                <w:noProof/>
                <w:webHidden/>
              </w:rPr>
            </w:r>
            <w:r w:rsidR="00B865B7">
              <w:rPr>
                <w:noProof/>
                <w:webHidden/>
              </w:rPr>
              <w:fldChar w:fldCharType="separate"/>
            </w:r>
            <w:r w:rsidR="00E910A4">
              <w:rPr>
                <w:noProof/>
                <w:webHidden/>
              </w:rPr>
              <w:t>6</w:t>
            </w:r>
            <w:r w:rsidR="00B865B7">
              <w:rPr>
                <w:noProof/>
                <w:webHidden/>
              </w:rPr>
              <w:fldChar w:fldCharType="end"/>
            </w:r>
          </w:hyperlink>
        </w:p>
        <w:p w14:paraId="03BA7001" w14:textId="011D5364" w:rsidR="00B865B7" w:rsidRDefault="00FA4ED0">
          <w:pPr>
            <w:pStyle w:val="TOC1"/>
            <w:tabs>
              <w:tab w:val="left" w:pos="440"/>
              <w:tab w:val="right" w:leader="dot" w:pos="9012"/>
            </w:tabs>
            <w:rPr>
              <w:rFonts w:asciiTheme="minorHAnsi" w:eastAsiaTheme="minorEastAsia" w:hAnsiTheme="minorHAnsi" w:cstheme="minorBidi"/>
              <w:noProof/>
              <w:color w:val="auto"/>
              <w:kern w:val="2"/>
              <w:sz w:val="22"/>
              <w14:ligatures w14:val="standardContextual"/>
            </w:rPr>
          </w:pPr>
          <w:hyperlink w:anchor="_Toc175754748" w:history="1">
            <w:r w:rsidR="00B865B7" w:rsidRPr="009A53DF">
              <w:rPr>
                <w:rStyle w:val="Hyperlink"/>
                <w:noProof/>
              </w:rPr>
              <w:t>9.</w:t>
            </w:r>
            <w:r w:rsidR="00B865B7">
              <w:rPr>
                <w:rFonts w:asciiTheme="minorHAnsi" w:eastAsiaTheme="minorEastAsia" w:hAnsiTheme="minorHAnsi" w:cstheme="minorBidi"/>
                <w:noProof/>
                <w:color w:val="auto"/>
                <w:kern w:val="2"/>
                <w:sz w:val="22"/>
                <w14:ligatures w14:val="standardContextual"/>
              </w:rPr>
              <w:tab/>
            </w:r>
            <w:r w:rsidR="00B865B7" w:rsidRPr="009A53DF">
              <w:rPr>
                <w:rStyle w:val="Hyperlink"/>
                <w:noProof/>
              </w:rPr>
              <w:t>Human rights</w:t>
            </w:r>
            <w:r w:rsidR="00B865B7">
              <w:rPr>
                <w:noProof/>
                <w:webHidden/>
              </w:rPr>
              <w:tab/>
            </w:r>
            <w:r w:rsidR="00B865B7">
              <w:rPr>
                <w:noProof/>
                <w:webHidden/>
              </w:rPr>
              <w:fldChar w:fldCharType="begin"/>
            </w:r>
            <w:r w:rsidR="00B865B7">
              <w:rPr>
                <w:noProof/>
                <w:webHidden/>
              </w:rPr>
              <w:instrText xml:space="preserve"> PAGEREF _Toc175754748 \h </w:instrText>
            </w:r>
            <w:r w:rsidR="00B865B7">
              <w:rPr>
                <w:noProof/>
                <w:webHidden/>
              </w:rPr>
            </w:r>
            <w:r w:rsidR="00B865B7">
              <w:rPr>
                <w:noProof/>
                <w:webHidden/>
              </w:rPr>
              <w:fldChar w:fldCharType="separate"/>
            </w:r>
            <w:r w:rsidR="00E910A4">
              <w:rPr>
                <w:noProof/>
                <w:webHidden/>
              </w:rPr>
              <w:t>6</w:t>
            </w:r>
            <w:r w:rsidR="00B865B7">
              <w:rPr>
                <w:noProof/>
                <w:webHidden/>
              </w:rPr>
              <w:fldChar w:fldCharType="end"/>
            </w:r>
          </w:hyperlink>
        </w:p>
        <w:p w14:paraId="22678D96" w14:textId="1B2E71E5" w:rsidR="00B865B7" w:rsidRDefault="00FA4ED0">
          <w:pPr>
            <w:pStyle w:val="TOC1"/>
            <w:tabs>
              <w:tab w:val="left" w:pos="660"/>
              <w:tab w:val="right" w:leader="dot" w:pos="9012"/>
            </w:tabs>
            <w:rPr>
              <w:rFonts w:asciiTheme="minorHAnsi" w:eastAsiaTheme="minorEastAsia" w:hAnsiTheme="minorHAnsi" w:cstheme="minorBidi"/>
              <w:noProof/>
              <w:color w:val="auto"/>
              <w:kern w:val="2"/>
              <w:sz w:val="22"/>
              <w14:ligatures w14:val="standardContextual"/>
            </w:rPr>
          </w:pPr>
          <w:hyperlink w:anchor="_Toc175754749" w:history="1">
            <w:r w:rsidR="00B865B7" w:rsidRPr="009A53DF">
              <w:rPr>
                <w:rStyle w:val="Hyperlink"/>
                <w:noProof/>
              </w:rPr>
              <w:t>10.</w:t>
            </w:r>
            <w:r w:rsidR="00B865B7">
              <w:rPr>
                <w:rFonts w:asciiTheme="minorHAnsi" w:eastAsiaTheme="minorEastAsia" w:hAnsiTheme="minorHAnsi" w:cstheme="minorBidi"/>
                <w:noProof/>
                <w:color w:val="auto"/>
                <w:kern w:val="2"/>
                <w:sz w:val="22"/>
                <w14:ligatures w14:val="standardContextual"/>
              </w:rPr>
              <w:tab/>
            </w:r>
            <w:r w:rsidR="00B865B7" w:rsidRPr="009A53DF">
              <w:rPr>
                <w:rStyle w:val="Hyperlink"/>
                <w:noProof/>
              </w:rPr>
              <w:t>Assessment of the consistency of the proposed law with Scrutiny of Bills Committee principles</w:t>
            </w:r>
            <w:r w:rsidR="00B865B7">
              <w:rPr>
                <w:noProof/>
                <w:webHidden/>
              </w:rPr>
              <w:tab/>
            </w:r>
            <w:r w:rsidR="00B865B7">
              <w:rPr>
                <w:noProof/>
                <w:webHidden/>
              </w:rPr>
              <w:fldChar w:fldCharType="begin"/>
            </w:r>
            <w:r w:rsidR="00B865B7">
              <w:rPr>
                <w:noProof/>
                <w:webHidden/>
              </w:rPr>
              <w:instrText xml:space="preserve"> PAGEREF _Toc175754749 \h </w:instrText>
            </w:r>
            <w:r w:rsidR="00B865B7">
              <w:rPr>
                <w:noProof/>
                <w:webHidden/>
              </w:rPr>
            </w:r>
            <w:r w:rsidR="00B865B7">
              <w:rPr>
                <w:noProof/>
                <w:webHidden/>
              </w:rPr>
              <w:fldChar w:fldCharType="separate"/>
            </w:r>
            <w:r w:rsidR="00E910A4">
              <w:rPr>
                <w:noProof/>
                <w:webHidden/>
              </w:rPr>
              <w:t>6</w:t>
            </w:r>
            <w:r w:rsidR="00B865B7">
              <w:rPr>
                <w:noProof/>
                <w:webHidden/>
              </w:rPr>
              <w:fldChar w:fldCharType="end"/>
            </w:r>
          </w:hyperlink>
        </w:p>
        <w:p w14:paraId="79AF884F" w14:textId="4A993829" w:rsidR="00B865B7" w:rsidRDefault="00FA4ED0">
          <w:pPr>
            <w:pStyle w:val="TOC1"/>
            <w:tabs>
              <w:tab w:val="left" w:pos="660"/>
              <w:tab w:val="right" w:leader="dot" w:pos="9012"/>
            </w:tabs>
            <w:rPr>
              <w:rFonts w:asciiTheme="minorHAnsi" w:eastAsiaTheme="minorEastAsia" w:hAnsiTheme="minorHAnsi" w:cstheme="minorBidi"/>
              <w:noProof/>
              <w:color w:val="auto"/>
              <w:kern w:val="2"/>
              <w:sz w:val="22"/>
              <w14:ligatures w14:val="standardContextual"/>
            </w:rPr>
          </w:pPr>
          <w:hyperlink w:anchor="_Toc175754750" w:history="1">
            <w:r w:rsidR="00B865B7" w:rsidRPr="009A53DF">
              <w:rPr>
                <w:rStyle w:val="Hyperlink"/>
                <w:noProof/>
              </w:rPr>
              <w:t>11.</w:t>
            </w:r>
            <w:r w:rsidR="00B865B7">
              <w:rPr>
                <w:rFonts w:asciiTheme="minorHAnsi" w:eastAsiaTheme="minorEastAsia" w:hAnsiTheme="minorHAnsi" w:cstheme="minorBidi"/>
                <w:noProof/>
                <w:color w:val="auto"/>
                <w:kern w:val="2"/>
                <w:sz w:val="22"/>
                <w14:ligatures w14:val="standardContextual"/>
              </w:rPr>
              <w:tab/>
            </w:r>
            <w:r w:rsidR="00B865B7" w:rsidRPr="009A53DF">
              <w:rPr>
                <w:rStyle w:val="Hyperlink"/>
                <w:noProof/>
              </w:rPr>
              <w:t>Conclusion</w:t>
            </w:r>
            <w:r w:rsidR="00B865B7">
              <w:rPr>
                <w:noProof/>
                <w:webHidden/>
              </w:rPr>
              <w:tab/>
            </w:r>
            <w:r w:rsidR="00B865B7">
              <w:rPr>
                <w:noProof/>
                <w:webHidden/>
              </w:rPr>
              <w:fldChar w:fldCharType="begin"/>
            </w:r>
            <w:r w:rsidR="00B865B7">
              <w:rPr>
                <w:noProof/>
                <w:webHidden/>
              </w:rPr>
              <w:instrText xml:space="preserve"> PAGEREF _Toc175754750 \h </w:instrText>
            </w:r>
            <w:r w:rsidR="00B865B7">
              <w:rPr>
                <w:noProof/>
                <w:webHidden/>
              </w:rPr>
            </w:r>
            <w:r w:rsidR="00B865B7">
              <w:rPr>
                <w:noProof/>
                <w:webHidden/>
              </w:rPr>
              <w:fldChar w:fldCharType="separate"/>
            </w:r>
            <w:r w:rsidR="00E910A4">
              <w:rPr>
                <w:noProof/>
                <w:webHidden/>
              </w:rPr>
              <w:t>7</w:t>
            </w:r>
            <w:r w:rsidR="00B865B7">
              <w:rPr>
                <w:noProof/>
                <w:webHidden/>
              </w:rPr>
              <w:fldChar w:fldCharType="end"/>
            </w:r>
          </w:hyperlink>
        </w:p>
        <w:p w14:paraId="730E4453" w14:textId="5E0D3037" w:rsidR="00DC1ED9" w:rsidRDefault="00FB465A">
          <w:r>
            <w:fldChar w:fldCharType="end"/>
          </w:r>
        </w:p>
      </w:sdtContent>
    </w:sdt>
    <w:p w14:paraId="05601C7E" w14:textId="77777777" w:rsidR="00DC1ED9" w:rsidRDefault="00FB465A">
      <w:pPr>
        <w:spacing w:after="153" w:line="358" w:lineRule="auto"/>
        <w:ind w:left="0" w:right="7" w:firstLine="0"/>
        <w:jc w:val="both"/>
      </w:pPr>
      <w:r>
        <w:t xml:space="preserve"> </w:t>
      </w:r>
    </w:p>
    <w:p w14:paraId="5331B675" w14:textId="77777777" w:rsidR="00DC1ED9" w:rsidRDefault="00FB465A">
      <w:pPr>
        <w:spacing w:after="0" w:line="259" w:lineRule="auto"/>
        <w:ind w:left="0" w:firstLine="0"/>
      </w:pPr>
      <w:r>
        <w:t xml:space="preserve"> </w:t>
      </w:r>
      <w:r>
        <w:tab/>
      </w:r>
      <w:r>
        <w:rPr>
          <w:color w:val="2F5496"/>
          <w:sz w:val="28"/>
        </w:rPr>
        <w:t xml:space="preserve"> </w:t>
      </w:r>
      <w:r>
        <w:br w:type="page"/>
      </w:r>
    </w:p>
    <w:p w14:paraId="3531988C" w14:textId="77777777" w:rsidR="00DC1ED9" w:rsidRDefault="00FB465A" w:rsidP="001E1557">
      <w:pPr>
        <w:pStyle w:val="Heading1"/>
        <w:ind w:left="426" w:hanging="426"/>
      </w:pPr>
      <w:bookmarkStart w:id="0" w:name="_Toc175754739"/>
      <w:r>
        <w:lastRenderedPageBreak/>
        <w:t>Executive summary</w:t>
      </w:r>
      <w:bookmarkEnd w:id="0"/>
      <w:r>
        <w:t xml:space="preserve"> </w:t>
      </w:r>
    </w:p>
    <w:p w14:paraId="4AB5F7DE" w14:textId="3C3BB6E5" w:rsidR="00DC1ED9" w:rsidRDefault="00FB465A" w:rsidP="001E1557">
      <w:pPr>
        <w:spacing w:after="206" w:line="271" w:lineRule="auto"/>
        <w:ind w:left="-6" w:hanging="11"/>
      </w:pPr>
      <w:r>
        <w:t xml:space="preserve">The </w:t>
      </w:r>
      <w:r>
        <w:rPr>
          <w:i/>
        </w:rPr>
        <w:t xml:space="preserve">Energy Efficiency (Cost of Living) Improvement Act 2012 </w:t>
      </w:r>
      <w:r>
        <w:t xml:space="preserve">(the Act) establishes the </w:t>
      </w:r>
      <w:r w:rsidR="00CE5B78">
        <w:t xml:space="preserve">Australian Capital Territory’s (ACT’s) </w:t>
      </w:r>
      <w:r>
        <w:t xml:space="preserve">Energy Efficiency Improvement Scheme (EEIS/the ’Scheme’), which aims to encourage the efficient use of energy; reduce greenhouse gas emissions associated with energy use in the Territory; reduce household and small-to-medium sized business energy use and costs; and increase opportunities for priority households to reduce energy use and costs. The EEIS establishes a Territory-wide </w:t>
      </w:r>
      <w:r w:rsidR="001B3272">
        <w:t>e</w:t>
      </w:r>
      <w:r>
        <w:t xml:space="preserve">nergy </w:t>
      </w:r>
      <w:r w:rsidR="001B3272">
        <w:t>s</w:t>
      </w:r>
      <w:r>
        <w:t xml:space="preserve">avings </w:t>
      </w:r>
      <w:r w:rsidR="001B3272">
        <w:t>t</w:t>
      </w:r>
      <w:r>
        <w:t>arget (EST)</w:t>
      </w:r>
      <w:r w:rsidR="00AF38A8">
        <w:t>,</w:t>
      </w:r>
      <w:r>
        <w:t xml:space="preserve"> defined as a proportion of a retailer’s total electricity sales in the ACT. </w:t>
      </w:r>
    </w:p>
    <w:p w14:paraId="41F2E4A7" w14:textId="51F5B6F8" w:rsidR="00DC1ED9" w:rsidRDefault="00FB465A" w:rsidP="001E1557">
      <w:pPr>
        <w:spacing w:after="206" w:line="271" w:lineRule="auto"/>
        <w:ind w:left="-6" w:hanging="11"/>
      </w:pPr>
      <w:r>
        <w:t>The Act requires electricity retailers to achieve energy savings by delivering eligible activities to households and small-to-medium businesses. Eligible activities are determined by the Minister and include insulation, draught seal</w:t>
      </w:r>
      <w:r w:rsidR="00CE5B78">
        <w:t>ing</w:t>
      </w:r>
      <w:r>
        <w:t>, efficient space heating and cooling systems, water heaters and other items that reduce energy bills and provide energy savings while maintaining quality of life.</w:t>
      </w:r>
      <w:r w:rsidR="00CE5B78">
        <w:t xml:space="preserve"> EEIS</w:t>
      </w:r>
      <w:r>
        <w:t xml:space="preserve"> ‘</w:t>
      </w:r>
      <w:r w:rsidR="00000706">
        <w:t>t</w:t>
      </w:r>
      <w:r>
        <w:t xml:space="preserve">ier 1’ retailers must deliver energy savings activities or acquire energy savings factors (ESFs) from Approved Energy Savings Providers (AESPs), </w:t>
      </w:r>
      <w:r w:rsidR="00CE5B78">
        <w:t>while</w:t>
      </w:r>
      <w:r>
        <w:t xml:space="preserve"> ‘</w:t>
      </w:r>
      <w:r w:rsidR="00000706">
        <w:t>t</w:t>
      </w:r>
      <w:r>
        <w:t xml:space="preserve">ier 2’ retailers can deliver eligible activities, acquire ESFs from AESPs, or opt to pay an </w:t>
      </w:r>
      <w:r w:rsidR="001B3272">
        <w:t>e</w:t>
      </w:r>
      <w:r>
        <w:t xml:space="preserve">nergy </w:t>
      </w:r>
      <w:r w:rsidR="001B3272">
        <w:t>s</w:t>
      </w:r>
      <w:r>
        <w:t xml:space="preserve">avings </w:t>
      </w:r>
      <w:r w:rsidR="001B3272">
        <w:t>c</w:t>
      </w:r>
      <w:r>
        <w:t>ontribution (ESC).</w:t>
      </w:r>
      <w:r w:rsidR="00CE5B78">
        <w:t xml:space="preserve"> Any retailer that fails to meet its obligations under the Scheme within a given compliance period is required to pay a ‘shortfall penalty’. </w:t>
      </w:r>
    </w:p>
    <w:p w14:paraId="1E3AAED1" w14:textId="6B6BB50F" w:rsidR="00DC1ED9" w:rsidRDefault="001E261F" w:rsidP="001E1557">
      <w:pPr>
        <w:spacing w:after="206" w:line="271" w:lineRule="auto"/>
        <w:ind w:left="-6" w:hanging="11"/>
      </w:pPr>
      <w:r>
        <w:t xml:space="preserve">This regulatory impact statement (RIS) relates to the </w:t>
      </w:r>
      <w:r w:rsidRPr="007D6DEC">
        <w:rPr>
          <w:i/>
          <w:iCs/>
        </w:rPr>
        <w:t>Energy Efficiency (Cost of Living) Improvement (Priority Household Target) Determination 2024</w:t>
      </w:r>
      <w:r>
        <w:rPr>
          <w:i/>
          <w:iCs/>
        </w:rPr>
        <w:t xml:space="preserve"> </w:t>
      </w:r>
      <w:r>
        <w:t xml:space="preserve">(the determination). </w:t>
      </w:r>
      <w:r w:rsidR="00FB465A">
        <w:t xml:space="preserve">The </w:t>
      </w:r>
      <w:r w:rsidR="001B3272">
        <w:t>p</w:t>
      </w:r>
      <w:r w:rsidR="00FB465A">
        <w:t xml:space="preserve">riority </w:t>
      </w:r>
      <w:r w:rsidR="001B3272">
        <w:t>h</w:t>
      </w:r>
      <w:r w:rsidR="00FB465A">
        <w:t xml:space="preserve">ousehold </w:t>
      </w:r>
      <w:r w:rsidR="001B3272">
        <w:t>t</w:t>
      </w:r>
      <w:r w:rsidR="00FB465A">
        <w:t xml:space="preserve">arget (PHT) ensures that at least a specified proportion of energy savings achieved under the Scheme are delivered in Canberra’s lower income households, defined as households in which at least one resident holds an eligible concession or is experiencing financial hardship, or as those that classify as a priority dwelling as defined in the legislation. These households are most affected by energy price rises, but least able to invest in efficient items and thus reduce their energy demand.  </w:t>
      </w:r>
    </w:p>
    <w:p w14:paraId="6346D140" w14:textId="0EF84C57" w:rsidR="00DC1ED9" w:rsidRDefault="00FB465A" w:rsidP="0033558B">
      <w:pPr>
        <w:spacing w:after="360" w:line="271" w:lineRule="auto"/>
        <w:ind w:left="-6" w:hanging="11"/>
      </w:pPr>
      <w:r>
        <w:t xml:space="preserve">This </w:t>
      </w:r>
      <w:r w:rsidR="001E261F">
        <w:t>RIS</w:t>
      </w:r>
      <w:r>
        <w:t xml:space="preserve"> was prepared in accordance with Part 5.2 of the </w:t>
      </w:r>
      <w:r>
        <w:rPr>
          <w:i/>
        </w:rPr>
        <w:t xml:space="preserve">Legislation Act 2001. </w:t>
      </w:r>
      <w:r>
        <w:t xml:space="preserve">It outlines the costs and benefits associated with </w:t>
      </w:r>
      <w:r w:rsidR="00E60A87">
        <w:t xml:space="preserve">the Minister determining </w:t>
      </w:r>
      <w:r>
        <w:t>the PHT at 40</w:t>
      </w:r>
      <w:r w:rsidR="001B3272">
        <w:t> </w:t>
      </w:r>
      <w:r>
        <w:t>per cent for 202</w:t>
      </w:r>
      <w:r w:rsidR="0095509E">
        <w:t>5</w:t>
      </w:r>
      <w:r>
        <w:rPr>
          <w:i/>
        </w:rPr>
        <w:t>.</w:t>
      </w:r>
    </w:p>
    <w:p w14:paraId="2ED682BB" w14:textId="77777777" w:rsidR="00DC1ED9" w:rsidRDefault="00FB465A" w:rsidP="001E1557">
      <w:pPr>
        <w:pStyle w:val="Heading1"/>
        <w:ind w:left="426" w:hanging="426"/>
      </w:pPr>
      <w:bookmarkStart w:id="1" w:name="_Toc175754740"/>
      <w:r>
        <w:t>The authorising law</w:t>
      </w:r>
      <w:bookmarkEnd w:id="1"/>
      <w:r>
        <w:t xml:space="preserve"> </w:t>
      </w:r>
    </w:p>
    <w:p w14:paraId="76620AC9" w14:textId="1FFB3C1B" w:rsidR="00DC1ED9" w:rsidRDefault="00CE5B78" w:rsidP="001E1557">
      <w:pPr>
        <w:spacing w:after="206" w:line="271" w:lineRule="auto"/>
        <w:ind w:left="-6" w:hanging="11"/>
      </w:pPr>
      <w:r>
        <w:t xml:space="preserve">The EEIS is the ACT’s market-based Energy Efficiency Obligation (EEO) scheme established under the Act. </w:t>
      </w:r>
      <w:r w:rsidR="00FB465A">
        <w:t>The Act</w:t>
      </w:r>
      <w:r w:rsidR="0033558B">
        <w:t xml:space="preserve"> </w:t>
      </w:r>
      <w:r w:rsidR="00FB465A">
        <w:t xml:space="preserve">was passed by the Legislative Assembly on 3 May 2012 and the Scheme is currently legislated to run until 31 December 2030. Under the Act, </w:t>
      </w:r>
      <w:r w:rsidR="0033558B">
        <w:t>an energy savings target</w:t>
      </w:r>
      <w:r w:rsidR="006C36B7">
        <w:t xml:space="preserve"> </w:t>
      </w:r>
      <w:r w:rsidR="0033558B">
        <w:t>(</w:t>
      </w:r>
      <w:r w:rsidR="00FB465A">
        <w:t>EST</w:t>
      </w:r>
      <w:r w:rsidR="0033558B">
        <w:t>) is established, which</w:t>
      </w:r>
      <w:r w:rsidR="00FB465A">
        <w:t xml:space="preserve"> determines the total energy savings to be achieved by individual retailers in a compliance period, expressed as a percentage of their total electricity sales in the ACT. A </w:t>
      </w:r>
      <w:r w:rsidR="001B3272">
        <w:t>r</w:t>
      </w:r>
      <w:r w:rsidR="00FB465A">
        <w:t xml:space="preserve">etailer’s </w:t>
      </w:r>
      <w:r w:rsidR="001B3272">
        <w:t>e</w:t>
      </w:r>
      <w:r w:rsidR="00FB465A">
        <w:t xml:space="preserve">nergy </w:t>
      </w:r>
      <w:r w:rsidR="001B3272">
        <w:t>s</w:t>
      </w:r>
      <w:r w:rsidR="00FB465A">
        <w:t xml:space="preserve">avings </w:t>
      </w:r>
      <w:r w:rsidR="001B3272">
        <w:t>o</w:t>
      </w:r>
      <w:r w:rsidR="00FB465A">
        <w:t xml:space="preserve">bligation (RESO) for a compliance period is calculated as follows: EST (%) x </w:t>
      </w:r>
      <w:r w:rsidR="001B3272">
        <w:t>e</w:t>
      </w:r>
      <w:r w:rsidR="00FB465A">
        <w:t xml:space="preserve">lectricity </w:t>
      </w:r>
      <w:r w:rsidR="001B3272">
        <w:t>s</w:t>
      </w:r>
      <w:r w:rsidR="00FB465A">
        <w:t xml:space="preserve">ales (in megawatt hours or MWh).  </w:t>
      </w:r>
    </w:p>
    <w:p w14:paraId="27993D5B" w14:textId="79CE4C45" w:rsidR="00DC1ED9" w:rsidRDefault="00FB465A" w:rsidP="001E1557">
      <w:pPr>
        <w:spacing w:after="206" w:line="271" w:lineRule="auto"/>
        <w:ind w:left="-6" w:hanging="11"/>
      </w:pPr>
      <w:r>
        <w:t>Section 8 of the Act</w:t>
      </w:r>
      <w:r w:rsidR="00EC6CC8">
        <w:t xml:space="preserve"> requires that the Minister for Water, Energy and Emissions Reduction</w:t>
      </w:r>
      <w:r>
        <w:t xml:space="preserve"> </w:t>
      </w:r>
      <w:r w:rsidR="00846930">
        <w:t xml:space="preserve">set the target (the PHT) of total energy savings </w:t>
      </w:r>
      <w:r w:rsidR="00000706">
        <w:t>t</w:t>
      </w:r>
      <w:r>
        <w:t xml:space="preserve">ier 1 </w:t>
      </w:r>
      <w:r w:rsidR="00846930">
        <w:t xml:space="preserve">NERL </w:t>
      </w:r>
      <w:r>
        <w:t xml:space="preserve">retailers </w:t>
      </w:r>
      <w:r w:rsidR="00846930">
        <w:t xml:space="preserve">must </w:t>
      </w:r>
      <w:r>
        <w:t xml:space="preserve">achieve in priority </w:t>
      </w:r>
      <w:r>
        <w:lastRenderedPageBreak/>
        <w:t>households</w:t>
      </w:r>
      <w:r>
        <w:rPr>
          <w:i/>
        </w:rPr>
        <w:t xml:space="preserve">. </w:t>
      </w:r>
      <w:r>
        <w:t xml:space="preserve">The PHT is expressed as a percentage of the RESO. The PHT is </w:t>
      </w:r>
      <w:r w:rsidR="00E60A87">
        <w:t xml:space="preserve">determined </w:t>
      </w:r>
      <w:r>
        <w:t>by disallowable instrument</w:t>
      </w:r>
      <w:r w:rsidR="0033558B">
        <w:t>s</w:t>
      </w:r>
      <w:r>
        <w:t xml:space="preserve"> for each compliance period, defined as a calendar year.</w:t>
      </w:r>
    </w:p>
    <w:p w14:paraId="3CD383A8" w14:textId="175964F8" w:rsidR="00DC1ED9" w:rsidRDefault="00FB465A" w:rsidP="001E1557">
      <w:pPr>
        <w:spacing w:after="360" w:line="271" w:lineRule="auto"/>
        <w:ind w:left="-6" w:hanging="11"/>
      </w:pPr>
      <w:r>
        <w:t xml:space="preserve">The PHT must be determined by the Minister no later than six months before the commencement of the relevant compliance period if it increases; or no later than three months before the commencement of the compliance period if there is no increase. </w:t>
      </w:r>
    </w:p>
    <w:p w14:paraId="196E9555" w14:textId="77777777" w:rsidR="00DC1ED9" w:rsidRDefault="00FB465A" w:rsidP="001E1557">
      <w:pPr>
        <w:pStyle w:val="Heading1"/>
        <w:ind w:left="426" w:hanging="426"/>
      </w:pPr>
      <w:bookmarkStart w:id="2" w:name="_Toc175754741"/>
      <w:r>
        <w:t>Policy objective of the disallowable instrument</w:t>
      </w:r>
      <w:bookmarkEnd w:id="2"/>
      <w:r>
        <w:t xml:space="preserve"> </w:t>
      </w:r>
    </w:p>
    <w:p w14:paraId="4263946D" w14:textId="448E0578" w:rsidR="00DC1ED9" w:rsidRDefault="00FB465A" w:rsidP="001E1557">
      <w:pPr>
        <w:spacing w:after="206" w:line="271" w:lineRule="auto"/>
        <w:ind w:left="-6" w:hanging="11"/>
      </w:pPr>
      <w:r>
        <w:t xml:space="preserve">Changes in the cost of living </w:t>
      </w:r>
      <w:r w:rsidR="00DA3E8D">
        <w:t xml:space="preserve">are </w:t>
      </w:r>
      <w:r>
        <w:t>felt most acutely by Canberra’s low-income households who spend a greater proportion of their income on essential goods and services</w:t>
      </w:r>
      <w:r w:rsidR="00D85F72">
        <w:rPr>
          <w:rStyle w:val="FootnoteReference"/>
        </w:rPr>
        <w:footnoteReference w:id="1"/>
      </w:r>
      <w:r>
        <w:t>. For example, households living with low incomes or experiencing disadvantage pay disproportionately more of their income on energy than the average household</w:t>
      </w:r>
      <w:r>
        <w:rPr>
          <w:vertAlign w:val="superscript"/>
        </w:rPr>
        <w:footnoteReference w:id="2"/>
      </w:r>
      <w:r>
        <w:t>. The problem is often exacerbated for lower income energy consumers because they are most likely to be living in housing that has poor energy efficiency and do not have access to the benefits of energy efficiency upgrades</w:t>
      </w:r>
      <w:r>
        <w:rPr>
          <w:vertAlign w:val="superscript"/>
        </w:rPr>
        <w:t>4</w:t>
      </w:r>
      <w:r>
        <w:t xml:space="preserve">.   </w:t>
      </w:r>
    </w:p>
    <w:p w14:paraId="0141FC6F" w14:textId="4CEC1FF0" w:rsidR="00DC1ED9" w:rsidRDefault="00FB465A" w:rsidP="001E1557">
      <w:pPr>
        <w:spacing w:after="206" w:line="271" w:lineRule="auto"/>
        <w:ind w:left="-6" w:hanging="11"/>
      </w:pPr>
      <w:r>
        <w:t>The PHT is designed to address this problem by offering greater opportunity for priority households to secure energy and cost savings</w:t>
      </w:r>
      <w:r w:rsidR="0033558B">
        <w:t xml:space="preserve"> to help improve the distributional equity of the EEIS</w:t>
      </w:r>
      <w:r>
        <w:t xml:space="preserve">. In the absence of a PHT, retailers would </w:t>
      </w:r>
      <w:r w:rsidR="0033558B">
        <w:t xml:space="preserve">likely </w:t>
      </w:r>
      <w:r>
        <w:t>seek out least cost opportunities to meet their energy savings obligations. This would favour households that are able to make greater co-contributions and would reduce participation among priority households.</w:t>
      </w:r>
    </w:p>
    <w:p w14:paraId="53BC2095" w14:textId="0EB4199F" w:rsidR="00DC1ED9" w:rsidRDefault="00FB465A" w:rsidP="001E1557">
      <w:pPr>
        <w:spacing w:after="360" w:line="271" w:lineRule="auto"/>
        <w:ind w:left="-6" w:hanging="11"/>
      </w:pPr>
      <w:r>
        <w:t xml:space="preserve">The policy objective of the </w:t>
      </w:r>
      <w:r w:rsidR="001E261F">
        <w:t>determination</w:t>
      </w:r>
      <w:r>
        <w:t xml:space="preserve"> is to achieve </w:t>
      </w:r>
      <w:r w:rsidR="001E261F">
        <w:t>o</w:t>
      </w:r>
      <w:r>
        <w:t xml:space="preserve">bject (d) of the Act as established in section 6: to “increase opportunities for priority households to reduce energy use and cost”. The PHT also delivers on key objectives of the </w:t>
      </w:r>
      <w:r>
        <w:rPr>
          <w:i/>
        </w:rPr>
        <w:t>ACT Climate Strategy 2019– 2025</w:t>
      </w:r>
      <w:r>
        <w:rPr>
          <w:vertAlign w:val="superscript"/>
        </w:rPr>
        <w:footnoteReference w:id="3"/>
      </w:r>
      <w:r>
        <w:rPr>
          <w:i/>
        </w:rPr>
        <w:t xml:space="preserve"> </w:t>
      </w:r>
      <w:r>
        <w:t xml:space="preserve">including: achieving net zero emissions in the ACT by 2045 at the latest; building resilience to climate change impacts; and supporting a just transition to net zero emissions. It aligns with the current </w:t>
      </w:r>
      <w:r>
        <w:rPr>
          <w:i/>
        </w:rPr>
        <w:t>10th Legislative Assembly Parliamentary and Governing Agreement</w:t>
      </w:r>
      <w:r>
        <w:rPr>
          <w:vertAlign w:val="superscript"/>
        </w:rPr>
        <w:footnoteReference w:id="4"/>
      </w:r>
      <w:r>
        <w:t xml:space="preserve">, the first action under which is to </w:t>
      </w:r>
      <w:r w:rsidR="00CE5B78">
        <w:t>“</w:t>
      </w:r>
      <w:r>
        <w:t>phase out fossil-fuel-gas in the ACT by 2045 at the latest, support energy grid stability and support vulnerable households</w:t>
      </w:r>
      <w:r w:rsidR="00CE5B78">
        <w:t>”</w:t>
      </w:r>
      <w:r>
        <w:t xml:space="preserve">. </w:t>
      </w:r>
    </w:p>
    <w:p w14:paraId="733ADDA0" w14:textId="16CEC2EC" w:rsidR="00DC1ED9" w:rsidRDefault="00FB465A" w:rsidP="001E1557">
      <w:pPr>
        <w:pStyle w:val="Heading1"/>
        <w:ind w:left="426" w:hanging="426"/>
      </w:pPr>
      <w:bookmarkStart w:id="3" w:name="_Toc175754742"/>
      <w:r>
        <w:t>Achieving the policy objective</w:t>
      </w:r>
      <w:r w:rsidR="0033558B">
        <w:t>s</w:t>
      </w:r>
      <w:bookmarkEnd w:id="3"/>
    </w:p>
    <w:p w14:paraId="2ECB7C2E" w14:textId="39DE46F0" w:rsidR="00DC1ED9" w:rsidRPr="007D6DEC" w:rsidRDefault="00FB465A" w:rsidP="007D6DEC">
      <w:pPr>
        <w:spacing w:after="206" w:line="271" w:lineRule="auto"/>
        <w:ind w:left="-6" w:hanging="11"/>
        <w:rPr>
          <w:highlight w:val="yellow"/>
        </w:rPr>
      </w:pPr>
      <w:r>
        <w:t>There is good evidence that</w:t>
      </w:r>
      <w:r w:rsidR="003603B9">
        <w:t xml:space="preserve"> the</w:t>
      </w:r>
      <w:r>
        <w:t xml:space="preserve"> EEIS activities deliver significant </w:t>
      </w:r>
      <w:r w:rsidR="003603B9">
        <w:t xml:space="preserve">energy and bill </w:t>
      </w:r>
      <w:r>
        <w:t xml:space="preserve">savings to participating households, which to date have included a proportion of priority households. </w:t>
      </w:r>
    </w:p>
    <w:p w14:paraId="37850A96" w14:textId="22217611" w:rsidR="00DC1ED9" w:rsidRDefault="00FB465A" w:rsidP="001E1557">
      <w:pPr>
        <w:spacing w:after="360" w:line="271" w:lineRule="auto"/>
        <w:ind w:left="-6" w:hanging="11"/>
      </w:pPr>
      <w:r w:rsidRPr="006378E4">
        <w:lastRenderedPageBreak/>
        <w:t xml:space="preserve">The PHT has been consistently met by the </w:t>
      </w:r>
      <w:r w:rsidR="00000706" w:rsidRPr="006378E4">
        <w:t>t</w:t>
      </w:r>
      <w:r w:rsidRPr="006378E4">
        <w:t>ier 1 retailer over the lifetime of the Scheme, at times through support of surplus savings achieved in previous years.</w:t>
      </w:r>
      <w:r>
        <w:t xml:space="preserve"> </w:t>
      </w:r>
      <w:r w:rsidR="00590F14">
        <w:t>Consultation with the tier 1 retailer indicated that it would be possible to continue to meet a 40% PHT if the definition was expanded to include rental properties. The Priority Household Definition will be expanded through a separate determination to include a sub-set of affordable rental properties and consumers on retailer payment plans.</w:t>
      </w:r>
    </w:p>
    <w:p w14:paraId="05F3E94C" w14:textId="7F1994AB" w:rsidR="00DC1ED9" w:rsidRDefault="00B41AC7" w:rsidP="007D6DEC">
      <w:pPr>
        <w:pStyle w:val="Heading1"/>
        <w:numPr>
          <w:ilvl w:val="0"/>
          <w:numId w:val="0"/>
        </w:numPr>
      </w:pPr>
      <w:bookmarkStart w:id="4" w:name="_Toc175754743"/>
      <w:r>
        <w:t>4.1</w:t>
      </w:r>
      <w:r>
        <w:tab/>
      </w:r>
      <w:r w:rsidR="00FB465A">
        <w:t>Considering a level of ambition</w:t>
      </w:r>
      <w:bookmarkEnd w:id="4"/>
      <w:r w:rsidR="003603B9">
        <w:t xml:space="preserve"> </w:t>
      </w:r>
    </w:p>
    <w:p w14:paraId="7949C30D" w14:textId="37107401" w:rsidR="00DC1ED9" w:rsidRDefault="0033558B" w:rsidP="001E1557">
      <w:pPr>
        <w:spacing w:after="206" w:line="271" w:lineRule="auto"/>
        <w:ind w:left="-6" w:hanging="11"/>
      </w:pPr>
      <w:r>
        <w:t>T</w:t>
      </w:r>
      <w:r w:rsidR="00FB465A">
        <w:t>his section</w:t>
      </w:r>
      <w:r>
        <w:t xml:space="preserve"> describes the reasoning for</w:t>
      </w:r>
      <w:r w:rsidR="00FB465A">
        <w:t xml:space="preserve"> maintaining the current PHT of 40% for the 202</w:t>
      </w:r>
      <w:r w:rsidR="0095509E">
        <w:t>5</w:t>
      </w:r>
      <w:r w:rsidR="00FB465A">
        <w:t xml:space="preserve"> compliance period</w:t>
      </w:r>
      <w:r>
        <w:t xml:space="preserve"> based off strategic alignment with the ACT Government’s objective of supporting vulnerable households in the energy transition and from analysis by the ACT Government contractor, Common Capital. </w:t>
      </w:r>
    </w:p>
    <w:p w14:paraId="106D1AC3" w14:textId="38F593E9" w:rsidR="00DC1ED9" w:rsidRPr="009846E0" w:rsidRDefault="00FB465A" w:rsidP="001E1557">
      <w:pPr>
        <w:spacing w:after="206" w:line="271" w:lineRule="auto"/>
        <w:ind w:left="-6" w:hanging="11"/>
      </w:pPr>
      <w:r>
        <w:t xml:space="preserve">Common Capital’s analysis suggests the current PHT setting of 40% represents an appropriate level of ambition given constraints in delivering activities to priority households in the ACT. The PHT setting generally has an impact on the overall cost of EEIS delivery </w:t>
      </w:r>
      <w:r w:rsidR="006D6907">
        <w:t>due to higher costs for</w:t>
      </w:r>
      <w:r>
        <w:t xml:space="preserve"> implement</w:t>
      </w:r>
      <w:r w:rsidR="006D6907">
        <w:t>ing</w:t>
      </w:r>
      <w:r>
        <w:t xml:space="preserve"> energy savings activities in priority households. </w:t>
      </w:r>
      <w:r w:rsidR="006D6907">
        <w:t>T</w:t>
      </w:r>
      <w:r w:rsidRPr="006378E4">
        <w:t xml:space="preserve">he EEIS functions alongside a suite of ACT Government programs </w:t>
      </w:r>
      <w:r w:rsidR="006D6907">
        <w:t>such as the</w:t>
      </w:r>
      <w:r w:rsidRPr="006378E4">
        <w:t xml:space="preserve"> Home Energy Support Program that support energy efficiency in priority households</w:t>
      </w:r>
      <w:r w:rsidR="006378E4" w:rsidRPr="006378E4">
        <w:t xml:space="preserve"> </w:t>
      </w:r>
      <w:r w:rsidR="006D6907">
        <w:t>and help make the</w:t>
      </w:r>
      <w:r w:rsidRPr="006378E4">
        <w:t xml:space="preserve"> 40% PHT</w:t>
      </w:r>
      <w:r w:rsidR="006378E4" w:rsidRPr="007D6DEC">
        <w:t xml:space="preserve"> possible</w:t>
      </w:r>
      <w:r w:rsidRPr="006378E4">
        <w:t xml:space="preserve"> without increasing </w:t>
      </w:r>
      <w:r w:rsidR="006D6907">
        <w:t>costs</w:t>
      </w:r>
      <w:r w:rsidRPr="006378E4">
        <w:t xml:space="preserve"> to consumers.</w:t>
      </w:r>
      <w:r>
        <w:t xml:space="preserve"> </w:t>
      </w:r>
      <w:r w:rsidR="006378E4">
        <w:t xml:space="preserve">The </w:t>
      </w:r>
      <w:r w:rsidR="009846E0">
        <w:t>intention</w:t>
      </w:r>
      <w:r w:rsidR="006D6907">
        <w:t xml:space="preserve"> was for the EEIS scheme settings</w:t>
      </w:r>
      <w:r w:rsidR="006378E4">
        <w:t xml:space="preserve"> to remain stable for the </w:t>
      </w:r>
      <w:r w:rsidR="006378E4" w:rsidRPr="009846E0">
        <w:t>2023,</w:t>
      </w:r>
      <w:r w:rsidR="009A3919">
        <w:t xml:space="preserve"> </w:t>
      </w:r>
      <w:r w:rsidR="006378E4" w:rsidRPr="009846E0">
        <w:t xml:space="preserve">2024 and 2025 </w:t>
      </w:r>
      <w:r w:rsidR="009846E0" w:rsidRPr="009846E0">
        <w:t>compliance</w:t>
      </w:r>
      <w:r w:rsidR="006378E4" w:rsidRPr="009846E0">
        <w:t xml:space="preserve"> years</w:t>
      </w:r>
      <w:r w:rsidR="009846E0" w:rsidRPr="009846E0">
        <w:t>.</w:t>
      </w:r>
      <w:r w:rsidR="006378E4" w:rsidRPr="009846E0">
        <w:t xml:space="preserve"> </w:t>
      </w:r>
    </w:p>
    <w:p w14:paraId="6970EC20" w14:textId="305B4BAF" w:rsidR="00DC1ED9" w:rsidRDefault="00FB465A" w:rsidP="001D0A56">
      <w:pPr>
        <w:spacing w:after="206" w:line="271" w:lineRule="auto"/>
        <w:ind w:left="-6" w:hanging="11"/>
      </w:pPr>
      <w:r w:rsidRPr="009846E0">
        <w:t xml:space="preserve">Alternative options </w:t>
      </w:r>
      <w:r w:rsidR="001D0A56">
        <w:t>are</w:t>
      </w:r>
      <w:r w:rsidRPr="009846E0">
        <w:t xml:space="preserve"> to either increase or reduce the PHT for 202</w:t>
      </w:r>
      <w:r w:rsidR="0095509E" w:rsidRPr="009846E0">
        <w:t>5</w:t>
      </w:r>
      <w:r w:rsidRPr="009846E0">
        <w:t xml:space="preserve">. However, Common Capital’s analysis found an increased PHT would raise the cost of the Scheme to consumers and would be challenging to deliver given the limited number of households in the ACT who </w:t>
      </w:r>
      <w:r w:rsidR="001D0A56">
        <w:t>could participate in the EEIS and meet</w:t>
      </w:r>
      <w:r w:rsidRPr="009846E0">
        <w:t xml:space="preserve"> the legislated definition of a priority household. </w:t>
      </w:r>
      <w:r w:rsidR="001D0A56">
        <w:t>A</w:t>
      </w:r>
      <w:r w:rsidRPr="009846E0">
        <w:t xml:space="preserve"> reduction in the PHT would reduce the distributional equity of the Scheme and run counter to the strong policy direction provided by recent increases in the target.</w:t>
      </w:r>
      <w:r>
        <w:t xml:space="preserve"> </w:t>
      </w:r>
    </w:p>
    <w:p w14:paraId="11CC31C9" w14:textId="77777777" w:rsidR="00645CB1" w:rsidRDefault="00645CB1" w:rsidP="001D0A56">
      <w:pPr>
        <w:pStyle w:val="Heading1"/>
        <w:spacing w:line="266" w:lineRule="auto"/>
        <w:ind w:left="425" w:hanging="425"/>
      </w:pPr>
      <w:bookmarkStart w:id="5" w:name="_Hlk170214871"/>
      <w:bookmarkStart w:id="6" w:name="_Toc175754744"/>
      <w:r w:rsidRPr="00645CB1">
        <w:t>Consistency of the proposed law with the authorising law</w:t>
      </w:r>
      <w:bookmarkEnd w:id="5"/>
      <w:bookmarkEnd w:id="6"/>
    </w:p>
    <w:p w14:paraId="6A8D76FC" w14:textId="6A85997A" w:rsidR="00645CB1" w:rsidRDefault="00645CB1" w:rsidP="00645CB1">
      <w:bookmarkStart w:id="7" w:name="_Hlk170214890"/>
      <w:r>
        <w:t xml:space="preserve">As mentioned above, the determination is consistent with the object of the Act to increase opportunities for priority households to reduce energy use and cost. </w:t>
      </w:r>
    </w:p>
    <w:p w14:paraId="53B6B156" w14:textId="1E499778" w:rsidR="00645CB1" w:rsidRDefault="00645CB1" w:rsidP="00645CB1">
      <w:bookmarkStart w:id="8" w:name="_Hlk170214988"/>
      <w:bookmarkEnd w:id="7"/>
      <w:r>
        <w:t>The Act requires the Minister to set a PHT at least three months before the start of the compliance period to which the PHT relates. The requirement is for the PHT to be established six months before the start of the compliance period if the PHT is to be increased. Compliance periods are calendar years.</w:t>
      </w:r>
    </w:p>
    <w:p w14:paraId="4CC7344A" w14:textId="0BD5D468" w:rsidR="00645CB1" w:rsidRPr="007D6DEC" w:rsidRDefault="00645CB1" w:rsidP="007D6DEC">
      <w:pPr>
        <w:spacing w:after="360"/>
      </w:pPr>
      <w:bookmarkStart w:id="9" w:name="_Hlk170215090"/>
      <w:bookmarkEnd w:id="8"/>
      <w:r>
        <w:t>As the proposal is to retain, rather than increase the PHT, the Act requires the PHT to be set at least three months before the beginning of 2025.</w:t>
      </w:r>
    </w:p>
    <w:p w14:paraId="5D97FA5E" w14:textId="77777777" w:rsidR="00645CB1" w:rsidRPr="00A273AB" w:rsidRDefault="00645CB1" w:rsidP="00B35D51">
      <w:pPr>
        <w:pStyle w:val="Heading1"/>
        <w:spacing w:line="266" w:lineRule="auto"/>
        <w:ind w:left="425" w:hanging="425"/>
        <w:rPr>
          <w:rFonts w:cstheme="minorHAnsi"/>
          <w:szCs w:val="24"/>
        </w:rPr>
      </w:pPr>
      <w:bookmarkStart w:id="10" w:name="_Hlk170214640"/>
      <w:bookmarkStart w:id="11" w:name="_Toc175754745"/>
      <w:bookmarkEnd w:id="9"/>
      <w:r w:rsidRPr="00645CB1">
        <w:t>Inconsistency with the policy objectives of another territory law</w:t>
      </w:r>
      <w:bookmarkEnd w:id="10"/>
      <w:bookmarkEnd w:id="11"/>
    </w:p>
    <w:p w14:paraId="7953604D" w14:textId="66F4A2C6" w:rsidR="00645CB1" w:rsidRPr="00A273AB" w:rsidRDefault="00645CB1" w:rsidP="0069661B">
      <w:pPr>
        <w:spacing w:after="360"/>
      </w:pPr>
      <w:r w:rsidRPr="00A273AB">
        <w:t xml:space="preserve">The </w:t>
      </w:r>
      <w:r>
        <w:t xml:space="preserve">determination </w:t>
      </w:r>
      <w:r w:rsidRPr="00A273AB">
        <w:t>is not inconsistent with the policy objectives of any other Territory law.</w:t>
      </w:r>
    </w:p>
    <w:p w14:paraId="78082E10" w14:textId="77777777" w:rsidR="00645CB1" w:rsidRDefault="00645CB1" w:rsidP="00B35D51">
      <w:pPr>
        <w:pStyle w:val="Heading1"/>
        <w:spacing w:line="266" w:lineRule="auto"/>
        <w:ind w:left="425" w:hanging="425"/>
      </w:pPr>
      <w:bookmarkStart w:id="12" w:name="_Toc175754746"/>
      <w:bookmarkStart w:id="13" w:name="_Hlk170216722"/>
      <w:r w:rsidRPr="00645CB1">
        <w:lastRenderedPageBreak/>
        <w:t>Reasonable alternatives to the proposed law</w:t>
      </w:r>
      <w:bookmarkEnd w:id="12"/>
    </w:p>
    <w:bookmarkEnd w:id="13"/>
    <w:p w14:paraId="3BF7AA18" w14:textId="6E127087" w:rsidR="00355F05" w:rsidRDefault="00645CB1" w:rsidP="00B35D51">
      <w:pPr>
        <w:spacing w:after="360" w:line="271" w:lineRule="auto"/>
        <w:ind w:left="11" w:hanging="11"/>
      </w:pPr>
      <w:r>
        <w:t xml:space="preserve">Section 8 of the Act is explicit in its requirement for a PHT to be determined by the Minister and provides for no alternative. Alternatives </w:t>
      </w:r>
      <w:r w:rsidR="00355F05">
        <w:t>to the determination are therefore restricted to either maintaining, increasing, or decreasing the PHT.</w:t>
      </w:r>
    </w:p>
    <w:p w14:paraId="6479A53B" w14:textId="77777777" w:rsidR="00B35D51" w:rsidRDefault="00355F05" w:rsidP="00B35D51">
      <w:pPr>
        <w:pStyle w:val="Heading1"/>
        <w:spacing w:line="266" w:lineRule="auto"/>
        <w:ind w:left="425" w:hanging="425"/>
        <w:rPr>
          <w:rFonts w:cstheme="minorHAnsi"/>
          <w:color w:val="000000"/>
          <w:sz w:val="24"/>
          <w:szCs w:val="24"/>
        </w:rPr>
      </w:pPr>
      <w:bookmarkStart w:id="14" w:name="_Hlk170217018"/>
      <w:bookmarkStart w:id="15" w:name="_Toc175754747"/>
      <w:r>
        <w:t>B</w:t>
      </w:r>
      <w:r w:rsidR="00645CB1" w:rsidRPr="00645CB1">
        <w:t>rief assessment of the benefits and costs of the proposed law</w:t>
      </w:r>
      <w:bookmarkEnd w:id="14"/>
      <w:bookmarkEnd w:id="15"/>
    </w:p>
    <w:p w14:paraId="4266C092" w14:textId="4784E000" w:rsidR="00451B37" w:rsidRPr="00B35D51" w:rsidRDefault="00451B37" w:rsidP="00B35D51">
      <w:pPr>
        <w:spacing w:after="360" w:line="271" w:lineRule="auto"/>
        <w:ind w:left="11" w:hanging="11"/>
      </w:pPr>
      <w:r w:rsidRPr="00B35D51">
        <w:t xml:space="preserve">The Common Capital report modelled benefits and costs for the scheme, outlined in the table below. </w:t>
      </w:r>
      <w:r w:rsidR="001202C3" w:rsidRPr="00B35D51">
        <w:t>The determination ensures that priority households benefit from the scheme, as</w:t>
      </w:r>
      <w:r w:rsidR="00B35D51">
        <w:t xml:space="preserve"> in</w:t>
      </w:r>
      <w:r w:rsidR="001202C3" w:rsidRPr="00B35D51">
        <w:t xml:space="preserve"> the absence of the target priority households would be underrepresented in delivery while still facing the costs of the scheme. The table below outlines the benefits and costs of the EEIS, which are calibrated </w:t>
      </w:r>
      <w:r w:rsidR="00B35D51" w:rsidRPr="00B35D51">
        <w:t>based on</w:t>
      </w:r>
      <w:r w:rsidR="001202C3" w:rsidRPr="00B35D51">
        <w:t xml:space="preserve"> a 40% priority household target.</w:t>
      </w:r>
    </w:p>
    <w:tbl>
      <w:tblPr>
        <w:tblStyle w:val="TableGrid"/>
        <w:tblW w:w="9606" w:type="dxa"/>
        <w:tblLayout w:type="fixed"/>
        <w:tblLook w:val="0000" w:firstRow="0" w:lastRow="0" w:firstColumn="0" w:lastColumn="0" w:noHBand="0" w:noVBand="0"/>
      </w:tblPr>
      <w:tblGrid>
        <w:gridCol w:w="6487"/>
        <w:gridCol w:w="3119"/>
      </w:tblGrid>
      <w:tr w:rsidR="00451B37" w14:paraId="02883492" w14:textId="77777777" w:rsidTr="00B35D51">
        <w:trPr>
          <w:trHeight w:val="279"/>
        </w:trPr>
        <w:tc>
          <w:tcPr>
            <w:tcW w:w="6487" w:type="dxa"/>
            <w:tcBorders>
              <w:top w:val="nil"/>
              <w:left w:val="nil"/>
            </w:tcBorders>
          </w:tcPr>
          <w:p w14:paraId="7AF6860A" w14:textId="1F9C8EEC" w:rsidR="00451B37" w:rsidRDefault="00451B37">
            <w:pPr>
              <w:pStyle w:val="Default"/>
              <w:rPr>
                <w:sz w:val="23"/>
                <w:szCs w:val="23"/>
              </w:rPr>
            </w:pPr>
          </w:p>
        </w:tc>
        <w:tc>
          <w:tcPr>
            <w:tcW w:w="3119" w:type="dxa"/>
          </w:tcPr>
          <w:p w14:paraId="0BDDF815" w14:textId="13E3E654" w:rsidR="00451B37" w:rsidRDefault="00451B37">
            <w:pPr>
              <w:pStyle w:val="Default"/>
              <w:rPr>
                <w:sz w:val="23"/>
                <w:szCs w:val="23"/>
              </w:rPr>
            </w:pPr>
            <w:r>
              <w:rPr>
                <w:b/>
                <w:bCs/>
                <w:sz w:val="23"/>
                <w:szCs w:val="23"/>
              </w:rPr>
              <w:t xml:space="preserve">Benefits and Costs of EEIS </w:t>
            </w:r>
          </w:p>
        </w:tc>
      </w:tr>
      <w:tr w:rsidR="00451B37" w14:paraId="745AE753" w14:textId="77777777" w:rsidTr="00B35D51">
        <w:trPr>
          <w:trHeight w:val="272"/>
        </w:trPr>
        <w:tc>
          <w:tcPr>
            <w:tcW w:w="6487" w:type="dxa"/>
          </w:tcPr>
          <w:p w14:paraId="01E17A66" w14:textId="77777777" w:rsidR="00451B37" w:rsidRDefault="00451B37">
            <w:pPr>
              <w:pStyle w:val="Default"/>
              <w:rPr>
                <w:sz w:val="23"/>
                <w:szCs w:val="23"/>
              </w:rPr>
            </w:pPr>
            <w:r>
              <w:rPr>
                <w:b/>
                <w:bCs/>
                <w:sz w:val="23"/>
                <w:szCs w:val="23"/>
              </w:rPr>
              <w:t xml:space="preserve">Lifetime energy savings from the scheme, 2013-2030 </w:t>
            </w:r>
          </w:p>
        </w:tc>
        <w:tc>
          <w:tcPr>
            <w:tcW w:w="3119" w:type="dxa"/>
          </w:tcPr>
          <w:p w14:paraId="20477F21" w14:textId="00E5F47D" w:rsidR="00451B37" w:rsidRDefault="00451B37">
            <w:pPr>
              <w:pStyle w:val="Default"/>
              <w:rPr>
                <w:sz w:val="21"/>
                <w:szCs w:val="21"/>
              </w:rPr>
            </w:pPr>
            <w:r>
              <w:rPr>
                <w:sz w:val="21"/>
                <w:szCs w:val="21"/>
              </w:rPr>
              <w:t>3953 GWH</w:t>
            </w:r>
          </w:p>
        </w:tc>
      </w:tr>
      <w:tr w:rsidR="00451B37" w14:paraId="556EE201" w14:textId="77777777" w:rsidTr="00B35D51">
        <w:trPr>
          <w:trHeight w:val="279"/>
        </w:trPr>
        <w:tc>
          <w:tcPr>
            <w:tcW w:w="6487" w:type="dxa"/>
          </w:tcPr>
          <w:p w14:paraId="5E695FD9" w14:textId="77777777" w:rsidR="00451B37" w:rsidRDefault="00451B37">
            <w:pPr>
              <w:pStyle w:val="Default"/>
              <w:rPr>
                <w:sz w:val="23"/>
                <w:szCs w:val="23"/>
              </w:rPr>
            </w:pPr>
            <w:r>
              <w:rPr>
                <w:b/>
                <w:bCs/>
                <w:sz w:val="23"/>
                <w:szCs w:val="23"/>
              </w:rPr>
              <w:t xml:space="preserve">Lifetime emission reductions from the scheme, 2013-2030 </w:t>
            </w:r>
          </w:p>
        </w:tc>
        <w:tc>
          <w:tcPr>
            <w:tcW w:w="3119" w:type="dxa"/>
          </w:tcPr>
          <w:p w14:paraId="41C5526F" w14:textId="2CA1DA28" w:rsidR="00451B37" w:rsidRDefault="00451B37">
            <w:pPr>
              <w:pStyle w:val="Default"/>
              <w:rPr>
                <w:sz w:val="21"/>
                <w:szCs w:val="21"/>
              </w:rPr>
            </w:pPr>
            <w:r>
              <w:rPr>
                <w:sz w:val="21"/>
                <w:szCs w:val="21"/>
              </w:rPr>
              <w:t xml:space="preserve">819 </w:t>
            </w:r>
            <w:r>
              <w:rPr>
                <w:i/>
                <w:iCs/>
                <w:sz w:val="21"/>
                <w:szCs w:val="21"/>
              </w:rPr>
              <w:t>kt CO2-e</w:t>
            </w:r>
          </w:p>
        </w:tc>
      </w:tr>
      <w:tr w:rsidR="00451B37" w14:paraId="1331606B" w14:textId="77777777" w:rsidTr="00B35D51">
        <w:trPr>
          <w:trHeight w:val="272"/>
        </w:trPr>
        <w:tc>
          <w:tcPr>
            <w:tcW w:w="6487" w:type="dxa"/>
          </w:tcPr>
          <w:p w14:paraId="19E1304F" w14:textId="77777777" w:rsidR="00451B37" w:rsidRDefault="00451B37">
            <w:pPr>
              <w:pStyle w:val="Default"/>
              <w:rPr>
                <w:sz w:val="23"/>
                <w:szCs w:val="23"/>
              </w:rPr>
            </w:pPr>
            <w:r>
              <w:rPr>
                <w:b/>
                <w:bCs/>
                <w:sz w:val="23"/>
                <w:szCs w:val="23"/>
              </w:rPr>
              <w:t xml:space="preserve">Lifetime bill savings from the scheme, 2013-2030 </w:t>
            </w:r>
          </w:p>
        </w:tc>
        <w:tc>
          <w:tcPr>
            <w:tcW w:w="3119" w:type="dxa"/>
          </w:tcPr>
          <w:p w14:paraId="09D7CA6F" w14:textId="5DB3E4F5" w:rsidR="00451B37" w:rsidRDefault="00451B37">
            <w:pPr>
              <w:pStyle w:val="Default"/>
              <w:rPr>
                <w:sz w:val="21"/>
                <w:szCs w:val="21"/>
              </w:rPr>
            </w:pPr>
            <w:r>
              <w:rPr>
                <w:sz w:val="21"/>
                <w:szCs w:val="21"/>
              </w:rPr>
              <w:t>$662 million</w:t>
            </w:r>
          </w:p>
        </w:tc>
      </w:tr>
      <w:tr w:rsidR="00451B37" w14:paraId="1EDC5A76" w14:textId="77777777" w:rsidTr="00B35D51">
        <w:trPr>
          <w:trHeight w:val="112"/>
        </w:trPr>
        <w:tc>
          <w:tcPr>
            <w:tcW w:w="6487" w:type="dxa"/>
          </w:tcPr>
          <w:p w14:paraId="684CAEC7" w14:textId="77777777" w:rsidR="00451B37" w:rsidRDefault="00451B37">
            <w:pPr>
              <w:pStyle w:val="Default"/>
              <w:rPr>
                <w:sz w:val="23"/>
                <w:szCs w:val="23"/>
              </w:rPr>
            </w:pPr>
            <w:r>
              <w:rPr>
                <w:b/>
                <w:bCs/>
                <w:sz w:val="23"/>
                <w:szCs w:val="23"/>
              </w:rPr>
              <w:t xml:space="preserve">Pass through cost </w:t>
            </w:r>
          </w:p>
        </w:tc>
        <w:tc>
          <w:tcPr>
            <w:tcW w:w="3119" w:type="dxa"/>
          </w:tcPr>
          <w:p w14:paraId="6E81E337" w14:textId="1937BE9C" w:rsidR="00451B37" w:rsidRDefault="00451B37">
            <w:pPr>
              <w:pStyle w:val="Default"/>
              <w:rPr>
                <w:sz w:val="21"/>
                <w:szCs w:val="21"/>
              </w:rPr>
            </w:pPr>
            <w:r>
              <w:rPr>
                <w:sz w:val="21"/>
                <w:szCs w:val="21"/>
              </w:rPr>
              <w:t>$4.00 /MWh</w:t>
            </w:r>
          </w:p>
        </w:tc>
      </w:tr>
      <w:tr w:rsidR="00451B37" w14:paraId="5C42DB6A" w14:textId="77777777" w:rsidTr="00B35D51">
        <w:trPr>
          <w:trHeight w:val="112"/>
        </w:trPr>
        <w:tc>
          <w:tcPr>
            <w:tcW w:w="6487" w:type="dxa"/>
          </w:tcPr>
          <w:p w14:paraId="068722CF" w14:textId="77777777" w:rsidR="00451B37" w:rsidRDefault="00451B37">
            <w:pPr>
              <w:pStyle w:val="Default"/>
              <w:rPr>
                <w:sz w:val="23"/>
                <w:szCs w:val="23"/>
              </w:rPr>
            </w:pPr>
            <w:r>
              <w:rPr>
                <w:b/>
                <w:bCs/>
                <w:sz w:val="23"/>
                <w:szCs w:val="23"/>
              </w:rPr>
              <w:t xml:space="preserve">Average annual bill increase </w:t>
            </w:r>
          </w:p>
        </w:tc>
        <w:tc>
          <w:tcPr>
            <w:tcW w:w="3119" w:type="dxa"/>
          </w:tcPr>
          <w:p w14:paraId="5FC5D874" w14:textId="77777777" w:rsidR="00451B37" w:rsidRDefault="00451B37">
            <w:pPr>
              <w:pStyle w:val="Default"/>
              <w:rPr>
                <w:sz w:val="21"/>
                <w:szCs w:val="21"/>
              </w:rPr>
            </w:pPr>
            <w:r>
              <w:rPr>
                <w:sz w:val="21"/>
                <w:szCs w:val="21"/>
              </w:rPr>
              <w:t xml:space="preserve">$25.48 </w:t>
            </w:r>
          </w:p>
        </w:tc>
      </w:tr>
      <w:tr w:rsidR="00451B37" w14:paraId="3E785A4D" w14:textId="77777777" w:rsidTr="00B35D51">
        <w:trPr>
          <w:trHeight w:val="285"/>
        </w:trPr>
        <w:tc>
          <w:tcPr>
            <w:tcW w:w="6487" w:type="dxa"/>
          </w:tcPr>
          <w:p w14:paraId="0BE862A7" w14:textId="77777777" w:rsidR="00451B37" w:rsidRDefault="00451B37">
            <w:pPr>
              <w:pStyle w:val="Default"/>
              <w:rPr>
                <w:sz w:val="23"/>
                <w:szCs w:val="23"/>
              </w:rPr>
            </w:pPr>
            <w:r>
              <w:rPr>
                <w:b/>
                <w:bCs/>
                <w:sz w:val="23"/>
                <w:szCs w:val="23"/>
              </w:rPr>
              <w:t xml:space="preserve">Net present value of public investment </w:t>
            </w:r>
          </w:p>
        </w:tc>
        <w:tc>
          <w:tcPr>
            <w:tcW w:w="3119" w:type="dxa"/>
          </w:tcPr>
          <w:p w14:paraId="54A4AB66" w14:textId="4A34A536" w:rsidR="00451B37" w:rsidRDefault="00451B37">
            <w:pPr>
              <w:pStyle w:val="Default"/>
              <w:rPr>
                <w:sz w:val="21"/>
                <w:szCs w:val="21"/>
              </w:rPr>
            </w:pPr>
            <w:r>
              <w:rPr>
                <w:sz w:val="21"/>
                <w:szCs w:val="21"/>
              </w:rPr>
              <w:t>$80 million</w:t>
            </w:r>
          </w:p>
        </w:tc>
      </w:tr>
    </w:tbl>
    <w:p w14:paraId="492B76D7" w14:textId="20D910D0" w:rsidR="00645CB1" w:rsidRDefault="00645CB1" w:rsidP="0069661B">
      <w:pPr>
        <w:pStyle w:val="Heading1"/>
        <w:numPr>
          <w:ilvl w:val="0"/>
          <w:numId w:val="0"/>
        </w:numPr>
        <w:spacing w:after="360"/>
      </w:pPr>
    </w:p>
    <w:p w14:paraId="4FFCDB83" w14:textId="00E76C1E" w:rsidR="00DC1ED9" w:rsidRDefault="00FB465A" w:rsidP="00B35D51">
      <w:pPr>
        <w:pStyle w:val="Heading1"/>
        <w:spacing w:line="266" w:lineRule="auto"/>
        <w:ind w:left="425" w:hanging="425"/>
      </w:pPr>
      <w:bookmarkStart w:id="16" w:name="_Toc175754748"/>
      <w:r>
        <w:t>Human rights</w:t>
      </w:r>
      <w:bookmarkEnd w:id="16"/>
      <w:r>
        <w:t xml:space="preserve"> </w:t>
      </w:r>
    </w:p>
    <w:p w14:paraId="327E0A94" w14:textId="77777777" w:rsidR="00DC1ED9" w:rsidRDefault="00FB465A" w:rsidP="001E1557">
      <w:pPr>
        <w:spacing w:after="360" w:line="271" w:lineRule="auto"/>
        <w:ind w:left="-6" w:hanging="11"/>
      </w:pPr>
      <w:r>
        <w:t xml:space="preserve">The determination does not engage any human right set out in the </w:t>
      </w:r>
      <w:r>
        <w:rPr>
          <w:i/>
        </w:rPr>
        <w:t>Human Rights Act 2004</w:t>
      </w:r>
      <w:r>
        <w:t xml:space="preserve">.    </w:t>
      </w:r>
    </w:p>
    <w:p w14:paraId="531CC706" w14:textId="005901BB" w:rsidR="00DC1ED9" w:rsidRDefault="00FB465A" w:rsidP="00B35D51">
      <w:pPr>
        <w:pStyle w:val="Heading1"/>
        <w:spacing w:line="266" w:lineRule="auto"/>
        <w:ind w:left="425" w:hanging="425"/>
      </w:pPr>
      <w:bookmarkStart w:id="17" w:name="_Toc175754749"/>
      <w:r>
        <w:t>Assessment of the consistency of the proposed law with Scrutiny of Bills Committee principles</w:t>
      </w:r>
      <w:bookmarkEnd w:id="17"/>
      <w:r>
        <w:t xml:space="preserve"> </w:t>
      </w:r>
    </w:p>
    <w:p w14:paraId="120C0028" w14:textId="77777777" w:rsidR="00DC1ED9" w:rsidRDefault="00FB465A" w:rsidP="001E1557">
      <w:pPr>
        <w:spacing w:after="206" w:line="271" w:lineRule="auto"/>
        <w:ind w:left="-6" w:hanging="11"/>
      </w:pPr>
      <w:r>
        <w:t xml:space="preserve">The terms of reference of the Standing Committee on Justice and Community Safety (Legislative Scrutiny Role) require it to consider whether (among other things): </w:t>
      </w:r>
    </w:p>
    <w:p w14:paraId="716EC33D" w14:textId="77777777" w:rsidR="00DC1ED9" w:rsidRDefault="00FB465A" w:rsidP="001E1557">
      <w:pPr>
        <w:spacing w:after="206" w:line="271" w:lineRule="auto"/>
        <w:ind w:left="561" w:hanging="357"/>
      </w:pPr>
      <w:r>
        <w:t>(a)</w:t>
      </w:r>
      <w:r>
        <w:rPr>
          <w:rFonts w:ascii="Arial" w:eastAsia="Arial" w:hAnsi="Arial" w:cs="Arial"/>
        </w:rPr>
        <w:t xml:space="preserve"> </w:t>
      </w:r>
      <w:r>
        <w:t xml:space="preserve">any instrument of a legislative nature made under an Act which is subject to disallowance and/or disapproval by the Assembly (including a regulation, rule or bylaw): </w:t>
      </w:r>
    </w:p>
    <w:p w14:paraId="228A3056" w14:textId="4FD9832F" w:rsidR="00FB465A" w:rsidRPr="00D85F72" w:rsidRDefault="00FB465A" w:rsidP="00C673FD">
      <w:pPr>
        <w:numPr>
          <w:ilvl w:val="0"/>
          <w:numId w:val="6"/>
        </w:numPr>
        <w:spacing w:after="11" w:line="267" w:lineRule="auto"/>
        <w:ind w:left="1134" w:hanging="708"/>
        <w:rPr>
          <w:i/>
        </w:rPr>
      </w:pPr>
      <w:r w:rsidRPr="00D85F72">
        <w:rPr>
          <w:i/>
        </w:rPr>
        <w:t xml:space="preserve">is in accord with the general objects of the Act under which it is made,  </w:t>
      </w:r>
    </w:p>
    <w:p w14:paraId="64DE9ED6" w14:textId="045525C3" w:rsidR="00FB465A" w:rsidRPr="00D85F72" w:rsidRDefault="00FB465A" w:rsidP="00C673FD">
      <w:pPr>
        <w:numPr>
          <w:ilvl w:val="0"/>
          <w:numId w:val="6"/>
        </w:numPr>
        <w:spacing w:after="11" w:line="267" w:lineRule="auto"/>
        <w:ind w:left="1134" w:hanging="708"/>
        <w:rPr>
          <w:i/>
        </w:rPr>
      </w:pPr>
      <w:r w:rsidRPr="00D85F72">
        <w:rPr>
          <w:i/>
        </w:rPr>
        <w:t xml:space="preserve">unduly trespasses on rights previously established by law,  </w:t>
      </w:r>
    </w:p>
    <w:p w14:paraId="4144EAA7" w14:textId="01CF83DA" w:rsidR="00DC1ED9" w:rsidRPr="00D85F72" w:rsidRDefault="00FB465A" w:rsidP="00C673FD">
      <w:pPr>
        <w:numPr>
          <w:ilvl w:val="0"/>
          <w:numId w:val="6"/>
        </w:numPr>
        <w:spacing w:after="11" w:line="267" w:lineRule="auto"/>
        <w:ind w:left="1134" w:hanging="708"/>
        <w:rPr>
          <w:i/>
        </w:rPr>
      </w:pPr>
      <w:r w:rsidRPr="00D85F72">
        <w:rPr>
          <w:i/>
        </w:rPr>
        <w:t xml:space="preserve">makes rights, liberties and/or obligations unduly dependent upon non reviewable decisions, or </w:t>
      </w:r>
    </w:p>
    <w:p w14:paraId="0BEAED4D" w14:textId="15BE9882" w:rsidR="00DC1ED9" w:rsidRPr="00D85F72" w:rsidRDefault="00FB465A" w:rsidP="00C673FD">
      <w:pPr>
        <w:numPr>
          <w:ilvl w:val="0"/>
          <w:numId w:val="6"/>
        </w:numPr>
        <w:spacing w:after="206" w:line="266" w:lineRule="auto"/>
        <w:ind w:left="1134" w:hanging="708"/>
        <w:rPr>
          <w:i/>
        </w:rPr>
      </w:pPr>
      <w:r w:rsidRPr="00D85F72">
        <w:rPr>
          <w:i/>
        </w:rPr>
        <w:t xml:space="preserve">contains matters which in the opinion of the Committee should properly be dealt with in an Act of the Legislative Assembly. </w:t>
      </w:r>
    </w:p>
    <w:p w14:paraId="4E9E5446" w14:textId="77777777" w:rsidR="00DC1ED9" w:rsidRDefault="00FB465A" w:rsidP="001E1557">
      <w:pPr>
        <w:spacing w:after="206" w:line="271" w:lineRule="auto"/>
        <w:ind w:left="-6" w:hanging="11"/>
      </w:pPr>
      <w:r>
        <w:t xml:space="preserve">The position in relation to each term of reference is as follows. </w:t>
      </w:r>
    </w:p>
    <w:p w14:paraId="2B13EF34" w14:textId="77777777" w:rsidR="00DC1ED9" w:rsidRDefault="00FB465A" w:rsidP="00C673FD">
      <w:pPr>
        <w:numPr>
          <w:ilvl w:val="0"/>
          <w:numId w:val="2"/>
        </w:numPr>
        <w:tabs>
          <w:tab w:val="left" w:pos="1134"/>
        </w:tabs>
        <w:spacing w:after="11" w:line="267" w:lineRule="auto"/>
        <w:ind w:left="1134" w:hanging="708"/>
      </w:pPr>
      <w:r>
        <w:rPr>
          <w:i/>
        </w:rPr>
        <w:lastRenderedPageBreak/>
        <w:t xml:space="preserve">is in accord with the general objects of the Act under which it is made </w:t>
      </w:r>
    </w:p>
    <w:p w14:paraId="36CC5557" w14:textId="2BB8D315" w:rsidR="00DC1ED9" w:rsidRDefault="00FB465A" w:rsidP="00F52062">
      <w:pPr>
        <w:tabs>
          <w:tab w:val="left" w:pos="1134"/>
        </w:tabs>
        <w:spacing w:after="11" w:line="267" w:lineRule="auto"/>
        <w:ind w:left="1134" w:firstLine="0"/>
      </w:pPr>
      <w:r>
        <w:t xml:space="preserve">As noted above, the </w:t>
      </w:r>
      <w:r w:rsidR="00B41AC7">
        <w:t>determination</w:t>
      </w:r>
      <w:r>
        <w:t xml:space="preserve"> is in accordance with the general objects of the Act.  </w:t>
      </w:r>
    </w:p>
    <w:p w14:paraId="57F2ADF7" w14:textId="77777777" w:rsidR="00DC1ED9" w:rsidRDefault="00FB465A" w:rsidP="00C673FD">
      <w:pPr>
        <w:numPr>
          <w:ilvl w:val="0"/>
          <w:numId w:val="2"/>
        </w:numPr>
        <w:tabs>
          <w:tab w:val="left" w:pos="1134"/>
        </w:tabs>
        <w:spacing w:after="11" w:line="267" w:lineRule="auto"/>
        <w:ind w:left="1134" w:hanging="708"/>
      </w:pPr>
      <w:r>
        <w:rPr>
          <w:i/>
        </w:rPr>
        <w:t xml:space="preserve">unduly trespasses on rights previously established by law </w:t>
      </w:r>
    </w:p>
    <w:p w14:paraId="1408C1E3" w14:textId="25E73543" w:rsidR="00DC1ED9" w:rsidRDefault="00FB465A" w:rsidP="00F52062">
      <w:pPr>
        <w:tabs>
          <w:tab w:val="left" w:pos="1134"/>
        </w:tabs>
        <w:spacing w:after="11" w:line="267" w:lineRule="auto"/>
        <w:ind w:left="1134" w:firstLine="0"/>
      </w:pPr>
      <w:r>
        <w:t xml:space="preserve">The </w:t>
      </w:r>
      <w:r w:rsidR="00B41AC7">
        <w:t>determination</w:t>
      </w:r>
      <w:r>
        <w:t xml:space="preserve"> does not unduly trespass on rights previously established under law. </w:t>
      </w:r>
    </w:p>
    <w:p w14:paraId="6CFFF4DC" w14:textId="11E2E88A" w:rsidR="0085508F" w:rsidRDefault="00FB465A" w:rsidP="00C673FD">
      <w:pPr>
        <w:numPr>
          <w:ilvl w:val="0"/>
          <w:numId w:val="2"/>
        </w:numPr>
        <w:tabs>
          <w:tab w:val="left" w:pos="1134"/>
        </w:tabs>
        <w:spacing w:after="11" w:line="267" w:lineRule="auto"/>
        <w:ind w:left="1134" w:hanging="708"/>
      </w:pPr>
      <w:r w:rsidRPr="0085508F">
        <w:rPr>
          <w:i/>
        </w:rPr>
        <w:t xml:space="preserve">makes rights, liberties and/or obligations unduly dependent upon non reviewable decisions </w:t>
      </w:r>
      <w:r w:rsidR="0085508F">
        <w:br/>
      </w:r>
      <w:r>
        <w:t xml:space="preserve">The </w:t>
      </w:r>
      <w:r w:rsidR="00B41AC7">
        <w:t>determination</w:t>
      </w:r>
      <w:r>
        <w:t xml:space="preserve"> does not make rights, liberties and/or obligations unduly dependent upon non reviewable decisions. </w:t>
      </w:r>
    </w:p>
    <w:p w14:paraId="3105229D" w14:textId="761C831D" w:rsidR="00DC1ED9" w:rsidRDefault="00FB465A" w:rsidP="00F52062">
      <w:pPr>
        <w:numPr>
          <w:ilvl w:val="0"/>
          <w:numId w:val="2"/>
        </w:numPr>
        <w:tabs>
          <w:tab w:val="left" w:pos="1134"/>
        </w:tabs>
        <w:spacing w:after="11" w:line="267" w:lineRule="auto"/>
        <w:ind w:left="1134" w:hanging="708"/>
      </w:pPr>
      <w:r w:rsidRPr="0085508F">
        <w:rPr>
          <w:i/>
        </w:rPr>
        <w:t>contains matter</w:t>
      </w:r>
      <w:r w:rsidR="00505CC3">
        <w:rPr>
          <w:i/>
        </w:rPr>
        <w:t>s</w:t>
      </w:r>
      <w:r w:rsidRPr="0085508F">
        <w:rPr>
          <w:i/>
        </w:rPr>
        <w:t xml:space="preserve"> which in the opinion of the Committee should properly be dealt with in an Act of the Legislative Assembly </w:t>
      </w:r>
    </w:p>
    <w:p w14:paraId="2D0DA90B" w14:textId="32487F09" w:rsidR="00DC1ED9" w:rsidRDefault="00FB465A" w:rsidP="00F52062">
      <w:pPr>
        <w:tabs>
          <w:tab w:val="left" w:pos="1134"/>
        </w:tabs>
        <w:spacing w:after="11" w:line="267" w:lineRule="auto"/>
        <w:ind w:left="1134" w:firstLine="0"/>
      </w:pPr>
      <w:r>
        <w:t xml:space="preserve">The subject matter </w:t>
      </w:r>
      <w:r w:rsidR="00B41AC7">
        <w:t xml:space="preserve">of the determination </w:t>
      </w:r>
      <w:r>
        <w:t xml:space="preserve">is appropriate for a disallowable instrument. </w:t>
      </w:r>
    </w:p>
    <w:p w14:paraId="2782BD2F" w14:textId="77777777" w:rsidR="00F52062" w:rsidRDefault="00F52062" w:rsidP="00F52062">
      <w:pPr>
        <w:tabs>
          <w:tab w:val="left" w:pos="1134"/>
        </w:tabs>
        <w:spacing w:after="11" w:line="267" w:lineRule="auto"/>
        <w:ind w:left="1134" w:firstLine="0"/>
      </w:pPr>
    </w:p>
    <w:p w14:paraId="001AD3D5" w14:textId="77777777" w:rsidR="00DC1ED9" w:rsidRDefault="00FB465A" w:rsidP="001E1557">
      <w:pPr>
        <w:pStyle w:val="Heading1"/>
        <w:ind w:left="426" w:hanging="426"/>
      </w:pPr>
      <w:bookmarkStart w:id="18" w:name="_Toc175754750"/>
      <w:r>
        <w:t>Conclusion</w:t>
      </w:r>
      <w:bookmarkEnd w:id="18"/>
      <w:r>
        <w:t xml:space="preserve"> </w:t>
      </w:r>
    </w:p>
    <w:p w14:paraId="671E51B7" w14:textId="334151C4" w:rsidR="00DC1ED9" w:rsidRDefault="00FB465A" w:rsidP="001E1557">
      <w:pPr>
        <w:spacing w:after="206" w:line="259" w:lineRule="auto"/>
        <w:ind w:left="0" w:firstLine="0"/>
      </w:pPr>
      <w:r>
        <w:t xml:space="preserve">This </w:t>
      </w:r>
      <w:r w:rsidR="00B41AC7">
        <w:t>RIS</w:t>
      </w:r>
      <w:r>
        <w:t xml:space="preserve"> was prepared in accordance with Part 5.2 of the </w:t>
      </w:r>
      <w:r>
        <w:rPr>
          <w:i/>
        </w:rPr>
        <w:t>Legislation Act 2001</w:t>
      </w:r>
      <w:r>
        <w:t xml:space="preserve">. </w:t>
      </w:r>
    </w:p>
    <w:p w14:paraId="1131D424" w14:textId="2992CC31" w:rsidR="00DC1ED9" w:rsidRDefault="00FB465A" w:rsidP="001E1557">
      <w:pPr>
        <w:spacing w:after="206" w:line="271" w:lineRule="auto"/>
        <w:ind w:left="-6" w:hanging="11"/>
      </w:pPr>
      <w:r>
        <w:t xml:space="preserve">This RIS has presented information to support </w:t>
      </w:r>
      <w:r w:rsidR="00FE32BA">
        <w:t>determining</w:t>
      </w:r>
      <w:r w:rsidR="00E60A87">
        <w:t xml:space="preserve"> </w:t>
      </w:r>
      <w:r>
        <w:t>the EEIS Priority Household Target at 40 per cent for the 202</w:t>
      </w:r>
      <w:r w:rsidR="0095509E">
        <w:t>5</w:t>
      </w:r>
      <w:r>
        <w:t xml:space="preserve"> compliance period. </w:t>
      </w:r>
    </w:p>
    <w:p w14:paraId="17E50E5F" w14:textId="69390D78" w:rsidR="00DC1ED9" w:rsidRDefault="00FB465A" w:rsidP="001E1557">
      <w:pPr>
        <w:ind w:left="-5"/>
      </w:pPr>
      <w:r>
        <w:t xml:space="preserve">This </w:t>
      </w:r>
      <w:r w:rsidR="00E60A87">
        <w:t xml:space="preserve">determination </w:t>
      </w:r>
      <w:r>
        <w:t xml:space="preserve">is consistent with the objects of the </w:t>
      </w:r>
      <w:r w:rsidR="009A1E5F" w:rsidRPr="00D85F72">
        <w:rPr>
          <w:iCs/>
        </w:rPr>
        <w:t>Act</w:t>
      </w:r>
      <w:r>
        <w:t xml:space="preserve"> and will create a pathway for continued support to priority households without placing a greater financial burden on energy consumers. </w:t>
      </w:r>
    </w:p>
    <w:sectPr w:rsidR="00DC1ED9">
      <w:headerReference w:type="even" r:id="rId10"/>
      <w:headerReference w:type="default" r:id="rId11"/>
      <w:footerReference w:type="even" r:id="rId12"/>
      <w:footerReference w:type="default" r:id="rId13"/>
      <w:headerReference w:type="first" r:id="rId14"/>
      <w:footerReference w:type="first" r:id="rId15"/>
      <w:pgSz w:w="11906" w:h="16838"/>
      <w:pgMar w:top="1440" w:right="1444" w:bottom="143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816B" w14:textId="77777777" w:rsidR="00DD28E5" w:rsidRDefault="00DD28E5">
      <w:pPr>
        <w:spacing w:after="0" w:line="240" w:lineRule="auto"/>
      </w:pPr>
      <w:r>
        <w:separator/>
      </w:r>
    </w:p>
  </w:endnote>
  <w:endnote w:type="continuationSeparator" w:id="0">
    <w:p w14:paraId="5E4A4B07" w14:textId="77777777" w:rsidR="00DD28E5" w:rsidRDefault="00DD2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9503" w14:textId="77777777" w:rsidR="00B865B7" w:rsidRDefault="00B86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5427" w14:textId="48DAC4BF" w:rsidR="00B865B7" w:rsidRPr="00FA4ED0" w:rsidRDefault="00FA4ED0" w:rsidP="00FA4ED0">
    <w:pPr>
      <w:pStyle w:val="Footer"/>
      <w:jc w:val="center"/>
      <w:rPr>
        <w:rFonts w:ascii="Arial" w:hAnsi="Arial" w:cs="Arial"/>
        <w:sz w:val="14"/>
      </w:rPr>
    </w:pPr>
    <w:r w:rsidRPr="00FA4ED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46E5" w14:textId="77777777" w:rsidR="00B865B7" w:rsidRDefault="00B86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0B568" w14:textId="77777777" w:rsidR="00DD28E5" w:rsidRDefault="00DD28E5">
      <w:pPr>
        <w:spacing w:after="0" w:line="259" w:lineRule="auto"/>
        <w:ind w:left="0" w:firstLine="0"/>
      </w:pPr>
      <w:r>
        <w:separator/>
      </w:r>
    </w:p>
  </w:footnote>
  <w:footnote w:type="continuationSeparator" w:id="0">
    <w:p w14:paraId="2D544304" w14:textId="77777777" w:rsidR="00DD28E5" w:rsidRDefault="00DD28E5">
      <w:pPr>
        <w:spacing w:after="0" w:line="259" w:lineRule="auto"/>
        <w:ind w:left="0" w:firstLine="0"/>
      </w:pPr>
      <w:r>
        <w:continuationSeparator/>
      </w:r>
    </w:p>
  </w:footnote>
  <w:footnote w:id="1">
    <w:p w14:paraId="17749534" w14:textId="1017B5DE" w:rsidR="00D85F72" w:rsidRPr="00D85F72" w:rsidRDefault="00D85F72">
      <w:pPr>
        <w:pStyle w:val="FootnoteText"/>
      </w:pPr>
      <w:r>
        <w:rPr>
          <w:rStyle w:val="FootnoteReference"/>
        </w:rPr>
        <w:footnoteRef/>
      </w:r>
      <w:r>
        <w:t xml:space="preserve"> ACTCOSS (2022) Poverty and inequality in the ACT, available at </w:t>
      </w:r>
      <w:r w:rsidRPr="00D85F72">
        <w:t>https://www.actcoss.org.au/sites/default/files/public/publications/2022-factsheet-Poverty-and-inequality-in-the-ACT_0.pdf</w:t>
      </w:r>
    </w:p>
  </w:footnote>
  <w:footnote w:id="2">
    <w:p w14:paraId="4C3DA8D7" w14:textId="78A8C363" w:rsidR="00DC1ED9" w:rsidRPr="00D85F72" w:rsidRDefault="00FB465A">
      <w:pPr>
        <w:pStyle w:val="footnotedescription"/>
        <w:spacing w:after="7" w:line="250" w:lineRule="auto"/>
      </w:pPr>
      <w:r w:rsidRPr="00D85F72">
        <w:rPr>
          <w:rStyle w:val="footnotemark"/>
        </w:rPr>
        <w:footnoteRef/>
      </w:r>
      <w:r w:rsidRPr="00D85F72">
        <w:t xml:space="preserve"> </w:t>
      </w:r>
      <w:r w:rsidRPr="00D85F72">
        <w:rPr>
          <w:color w:val="000000"/>
          <w:u w:val="none" w:color="000000"/>
        </w:rPr>
        <w:t xml:space="preserve">ACTCOSS (2019) Energy affordability and hardship in the ACT, available </w:t>
      </w:r>
      <w:r w:rsidR="00D85F72" w:rsidRPr="00D85F72">
        <w:rPr>
          <w:color w:val="000000"/>
          <w:u w:val="none" w:color="000000"/>
        </w:rPr>
        <w:t xml:space="preserve">at </w:t>
      </w:r>
      <w:r w:rsidR="00D85F72" w:rsidRPr="00D85F72">
        <w:t>https://www.actcoss.org.au/sites/default/files/public/publications/2019-factsheet-energy-hardship-in-the-act.pdf</w:t>
      </w:r>
      <w:r w:rsidRPr="00D85F72">
        <w:rPr>
          <w:color w:val="000000"/>
          <w:u w:val="none" w:color="000000"/>
        </w:rPr>
        <w:t>a</w:t>
      </w:r>
      <w:hyperlink r:id="rId1">
        <w:r w:rsidRPr="00D85F72">
          <w:rPr>
            <w:color w:val="000000"/>
            <w:u w:val="none" w:color="000000"/>
          </w:rPr>
          <w:t xml:space="preserve">t </w:t>
        </w:r>
      </w:hyperlink>
      <w:r w:rsidR="00D85F72" w:rsidRPr="00D85F72" w:rsidDel="00D85F72">
        <w:t xml:space="preserve"> </w:t>
      </w:r>
    </w:p>
  </w:footnote>
  <w:footnote w:id="3">
    <w:p w14:paraId="15D036FC" w14:textId="09DEE63E" w:rsidR="00DC1ED9" w:rsidRPr="00D85F72" w:rsidRDefault="00FB465A">
      <w:pPr>
        <w:pStyle w:val="footnotedescription"/>
        <w:spacing w:after="0" w:line="253" w:lineRule="auto"/>
      </w:pPr>
      <w:r w:rsidRPr="00D85F72">
        <w:rPr>
          <w:rStyle w:val="footnotemark"/>
        </w:rPr>
        <w:footnoteRef/>
      </w:r>
      <w:r w:rsidRPr="00D85F72">
        <w:rPr>
          <w:color w:val="000000"/>
          <w:u w:val="none" w:color="000000"/>
        </w:rPr>
        <w:t xml:space="preserve"> Source</w:t>
      </w:r>
      <w:hyperlink r:id="rId2">
        <w:r w:rsidRPr="00D85F72">
          <w:rPr>
            <w:color w:val="000000"/>
            <w:u w:val="none" w:color="000000"/>
          </w:rPr>
          <w:t xml:space="preserve">: </w:t>
        </w:r>
      </w:hyperlink>
      <w:r w:rsidR="00000706" w:rsidRPr="00D85F72">
        <w:t xml:space="preserve"> https://www.environment.act.gov.au/__data/assets/pdf_file/0003/1414641/ACT-Climate-Change-Strategy-2019-2025.pdf</w:t>
      </w:r>
    </w:p>
  </w:footnote>
  <w:footnote w:id="4">
    <w:p w14:paraId="6FDA1758" w14:textId="0D1C7226" w:rsidR="00DC1ED9" w:rsidRDefault="00FB465A">
      <w:pPr>
        <w:pStyle w:val="footnotedescription"/>
        <w:spacing w:after="25" w:line="242" w:lineRule="auto"/>
      </w:pPr>
      <w:r w:rsidRPr="00D85F72">
        <w:rPr>
          <w:rStyle w:val="footnotemark"/>
        </w:rPr>
        <w:footnoteRef/>
      </w:r>
      <w:r w:rsidRPr="00D85F72">
        <w:rPr>
          <w:color w:val="000000"/>
          <w:u w:val="none" w:color="000000"/>
        </w:rPr>
        <w:t xml:space="preserve"> Source</w:t>
      </w:r>
      <w:hyperlink r:id="rId3">
        <w:r w:rsidRPr="00D85F72">
          <w:rPr>
            <w:color w:val="000000"/>
            <w:u w:val="none" w:color="000000"/>
          </w:rPr>
          <w:t xml:space="preserve">: </w:t>
        </w:r>
      </w:hyperlink>
      <w:r w:rsidR="00D85F72" w:rsidRPr="00D85F72">
        <w:rPr>
          <w:color w:val="000000"/>
          <w:u w:val="none" w:color="000000"/>
        </w:rPr>
        <w:t>https://www.cmtedd.act.gov.au/__data/assets/pdf_file/0003/1654077/Parliamentary-Agreement-for-the-10th-Legislative-Assembly.pdf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ABEE" w14:textId="77777777" w:rsidR="00B865B7" w:rsidRDefault="00B86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7F0C" w14:textId="77777777" w:rsidR="00B865B7" w:rsidRDefault="00B865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DB61" w14:textId="77777777" w:rsidR="00B865B7" w:rsidRDefault="00B86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024A"/>
    <w:multiLevelType w:val="hybridMultilevel"/>
    <w:tmpl w:val="1D2EEC8C"/>
    <w:lvl w:ilvl="0" w:tplc="657E007C">
      <w:start w:val="1"/>
      <w:numFmt w:val="decimal"/>
      <w:pStyle w:val="Heading1"/>
      <w:lvlText w:val="%1."/>
      <w:lvlJc w:val="left"/>
      <w:pPr>
        <w:ind w:left="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1" w:tplc="0158D6F0">
      <w:start w:val="1"/>
      <w:numFmt w:val="lowerLetter"/>
      <w:lvlText w:val="%2"/>
      <w:lvlJc w:val="left"/>
      <w:pPr>
        <w:ind w:left="144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2" w:tplc="3CB68BD2">
      <w:start w:val="1"/>
      <w:numFmt w:val="lowerRoman"/>
      <w:lvlText w:val="%3"/>
      <w:lvlJc w:val="left"/>
      <w:pPr>
        <w:ind w:left="216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3" w:tplc="85A234C6">
      <w:start w:val="1"/>
      <w:numFmt w:val="decimal"/>
      <w:lvlText w:val="%4"/>
      <w:lvlJc w:val="left"/>
      <w:pPr>
        <w:ind w:left="288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4" w:tplc="F0D0F762">
      <w:start w:val="1"/>
      <w:numFmt w:val="lowerLetter"/>
      <w:lvlText w:val="%5"/>
      <w:lvlJc w:val="left"/>
      <w:pPr>
        <w:ind w:left="360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5" w:tplc="3266FF94">
      <w:start w:val="1"/>
      <w:numFmt w:val="lowerRoman"/>
      <w:lvlText w:val="%6"/>
      <w:lvlJc w:val="left"/>
      <w:pPr>
        <w:ind w:left="432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6" w:tplc="6D14FCA6">
      <w:start w:val="1"/>
      <w:numFmt w:val="decimal"/>
      <w:lvlText w:val="%7"/>
      <w:lvlJc w:val="left"/>
      <w:pPr>
        <w:ind w:left="504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7" w:tplc="024C864C">
      <w:start w:val="1"/>
      <w:numFmt w:val="lowerLetter"/>
      <w:lvlText w:val="%8"/>
      <w:lvlJc w:val="left"/>
      <w:pPr>
        <w:ind w:left="576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8" w:tplc="A65EF386">
      <w:start w:val="1"/>
      <w:numFmt w:val="lowerRoman"/>
      <w:lvlText w:val="%9"/>
      <w:lvlJc w:val="left"/>
      <w:pPr>
        <w:ind w:left="648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abstractNum>
  <w:abstractNum w:abstractNumId="1" w15:restartNumberingAfterBreak="0">
    <w:nsid w:val="22857A56"/>
    <w:multiLevelType w:val="hybridMultilevel"/>
    <w:tmpl w:val="437C5172"/>
    <w:lvl w:ilvl="0" w:tplc="F32CA8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6B12FD1"/>
    <w:multiLevelType w:val="hybridMultilevel"/>
    <w:tmpl w:val="3EF22270"/>
    <w:lvl w:ilvl="0" w:tplc="9356E4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7C9C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C620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D4CD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0E9A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AC35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EA43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C8CE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DEDB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A04BD6"/>
    <w:multiLevelType w:val="hybridMultilevel"/>
    <w:tmpl w:val="1166C8A6"/>
    <w:lvl w:ilvl="0" w:tplc="09B4AB44">
      <w:start w:val="1"/>
      <w:numFmt w:val="lowerRoman"/>
      <w:lvlText w:val="(%1)"/>
      <w:lvlJc w:val="left"/>
      <w:pPr>
        <w:ind w:left="126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EE585396">
      <w:start w:val="1"/>
      <w:numFmt w:val="lowerLetter"/>
      <w:lvlText w:val="%2"/>
      <w:lvlJc w:val="left"/>
      <w:pPr>
        <w:ind w:left="163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37F08200">
      <w:start w:val="1"/>
      <w:numFmt w:val="lowerRoman"/>
      <w:lvlText w:val="%3"/>
      <w:lvlJc w:val="left"/>
      <w:pPr>
        <w:ind w:left="235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C60E993E">
      <w:start w:val="1"/>
      <w:numFmt w:val="decimal"/>
      <w:lvlText w:val="%4"/>
      <w:lvlJc w:val="left"/>
      <w:pPr>
        <w:ind w:left="307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80604D6C">
      <w:start w:val="1"/>
      <w:numFmt w:val="lowerLetter"/>
      <w:lvlText w:val="%5"/>
      <w:lvlJc w:val="left"/>
      <w:pPr>
        <w:ind w:left="379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7F8EE480">
      <w:start w:val="1"/>
      <w:numFmt w:val="lowerRoman"/>
      <w:lvlText w:val="%6"/>
      <w:lvlJc w:val="left"/>
      <w:pPr>
        <w:ind w:left="451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7E0C04C8">
      <w:start w:val="1"/>
      <w:numFmt w:val="decimal"/>
      <w:lvlText w:val="%7"/>
      <w:lvlJc w:val="left"/>
      <w:pPr>
        <w:ind w:left="523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C032EA76">
      <w:start w:val="1"/>
      <w:numFmt w:val="lowerLetter"/>
      <w:lvlText w:val="%8"/>
      <w:lvlJc w:val="left"/>
      <w:pPr>
        <w:ind w:left="595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35E05C70">
      <w:start w:val="1"/>
      <w:numFmt w:val="lowerRoman"/>
      <w:lvlText w:val="%9"/>
      <w:lvlJc w:val="left"/>
      <w:pPr>
        <w:ind w:left="667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915B51"/>
    <w:multiLevelType w:val="hybridMultilevel"/>
    <w:tmpl w:val="2606105E"/>
    <w:lvl w:ilvl="0" w:tplc="12AEF2CC">
      <w:start w:val="1"/>
      <w:numFmt w:val="lowerRoman"/>
      <w:lvlText w:val="%1."/>
      <w:lvlJc w:val="left"/>
      <w:pPr>
        <w:ind w:left="1445" w:hanging="888"/>
      </w:pPr>
      <w:rPr>
        <w:rFonts w:hint="default"/>
      </w:rPr>
    </w:lvl>
    <w:lvl w:ilvl="1" w:tplc="0C090019" w:tentative="1">
      <w:start w:val="1"/>
      <w:numFmt w:val="lowerLetter"/>
      <w:lvlText w:val="%2."/>
      <w:lvlJc w:val="left"/>
      <w:pPr>
        <w:ind w:left="1637" w:hanging="360"/>
      </w:pPr>
    </w:lvl>
    <w:lvl w:ilvl="2" w:tplc="0C09001B" w:tentative="1">
      <w:start w:val="1"/>
      <w:numFmt w:val="lowerRoman"/>
      <w:lvlText w:val="%3."/>
      <w:lvlJc w:val="right"/>
      <w:pPr>
        <w:ind w:left="2357" w:hanging="180"/>
      </w:pPr>
    </w:lvl>
    <w:lvl w:ilvl="3" w:tplc="0C09000F" w:tentative="1">
      <w:start w:val="1"/>
      <w:numFmt w:val="decimal"/>
      <w:lvlText w:val="%4."/>
      <w:lvlJc w:val="left"/>
      <w:pPr>
        <w:ind w:left="3077" w:hanging="360"/>
      </w:pPr>
    </w:lvl>
    <w:lvl w:ilvl="4" w:tplc="0C090019" w:tentative="1">
      <w:start w:val="1"/>
      <w:numFmt w:val="lowerLetter"/>
      <w:lvlText w:val="%5."/>
      <w:lvlJc w:val="left"/>
      <w:pPr>
        <w:ind w:left="3797" w:hanging="360"/>
      </w:pPr>
    </w:lvl>
    <w:lvl w:ilvl="5" w:tplc="0C09001B" w:tentative="1">
      <w:start w:val="1"/>
      <w:numFmt w:val="lowerRoman"/>
      <w:lvlText w:val="%6."/>
      <w:lvlJc w:val="right"/>
      <w:pPr>
        <w:ind w:left="4517" w:hanging="180"/>
      </w:pPr>
    </w:lvl>
    <w:lvl w:ilvl="6" w:tplc="0C09000F" w:tentative="1">
      <w:start w:val="1"/>
      <w:numFmt w:val="decimal"/>
      <w:lvlText w:val="%7."/>
      <w:lvlJc w:val="left"/>
      <w:pPr>
        <w:ind w:left="5237" w:hanging="360"/>
      </w:pPr>
    </w:lvl>
    <w:lvl w:ilvl="7" w:tplc="0C090019" w:tentative="1">
      <w:start w:val="1"/>
      <w:numFmt w:val="lowerLetter"/>
      <w:lvlText w:val="%8."/>
      <w:lvlJc w:val="left"/>
      <w:pPr>
        <w:ind w:left="5957" w:hanging="360"/>
      </w:pPr>
    </w:lvl>
    <w:lvl w:ilvl="8" w:tplc="0C09001B" w:tentative="1">
      <w:start w:val="1"/>
      <w:numFmt w:val="lowerRoman"/>
      <w:lvlText w:val="%9."/>
      <w:lvlJc w:val="right"/>
      <w:pPr>
        <w:ind w:left="6677" w:hanging="180"/>
      </w:pPr>
    </w:lvl>
  </w:abstractNum>
  <w:abstractNum w:abstractNumId="5" w15:restartNumberingAfterBreak="0">
    <w:nsid w:val="66180568"/>
    <w:multiLevelType w:val="multilevel"/>
    <w:tmpl w:val="213A1AF0"/>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CD44134"/>
    <w:multiLevelType w:val="hybridMultilevel"/>
    <w:tmpl w:val="DA48A2C0"/>
    <w:lvl w:ilvl="0" w:tplc="DAD6BD14">
      <w:start w:val="1"/>
      <w:numFmt w:val="lowerRoman"/>
      <w:lvlText w:val="(%1)"/>
      <w:lvlJc w:val="left"/>
      <w:pPr>
        <w:ind w:left="126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63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35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07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79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51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23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95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67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C662288"/>
    <w:multiLevelType w:val="hybridMultilevel"/>
    <w:tmpl w:val="0174358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35581617">
    <w:abstractNumId w:val="2"/>
  </w:num>
  <w:num w:numId="2" w16cid:durableId="888104714">
    <w:abstractNumId w:val="3"/>
  </w:num>
  <w:num w:numId="3" w16cid:durableId="1953129206">
    <w:abstractNumId w:val="0"/>
  </w:num>
  <w:num w:numId="4" w16cid:durableId="1140348412">
    <w:abstractNumId w:val="7"/>
  </w:num>
  <w:num w:numId="5" w16cid:durableId="801537956">
    <w:abstractNumId w:val="4"/>
  </w:num>
  <w:num w:numId="6" w16cid:durableId="833186402">
    <w:abstractNumId w:val="6"/>
  </w:num>
  <w:num w:numId="7" w16cid:durableId="1796021703">
    <w:abstractNumId w:val="5"/>
  </w:num>
  <w:num w:numId="8" w16cid:durableId="1657031357">
    <w:abstractNumId w:val="1"/>
  </w:num>
  <w:num w:numId="9" w16cid:durableId="28645460">
    <w:abstractNumId w:val="0"/>
  </w:num>
  <w:num w:numId="10" w16cid:durableId="1922832674">
    <w:abstractNumId w:val="0"/>
  </w:num>
  <w:num w:numId="11" w16cid:durableId="1962804431">
    <w:abstractNumId w:val="0"/>
  </w:num>
  <w:num w:numId="12" w16cid:durableId="477000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ED9"/>
    <w:rsid w:val="00000706"/>
    <w:rsid w:val="000304AE"/>
    <w:rsid w:val="000F0778"/>
    <w:rsid w:val="000F4CB3"/>
    <w:rsid w:val="001202C3"/>
    <w:rsid w:val="001618E5"/>
    <w:rsid w:val="00173C7F"/>
    <w:rsid w:val="0019230F"/>
    <w:rsid w:val="001A143C"/>
    <w:rsid w:val="001B3272"/>
    <w:rsid w:val="001C21A1"/>
    <w:rsid w:val="001D0A56"/>
    <w:rsid w:val="001E1557"/>
    <w:rsid w:val="001E261F"/>
    <w:rsid w:val="001E65DF"/>
    <w:rsid w:val="00217D51"/>
    <w:rsid w:val="00262B7A"/>
    <w:rsid w:val="00281FF4"/>
    <w:rsid w:val="002A0E51"/>
    <w:rsid w:val="00323326"/>
    <w:rsid w:val="00334B6C"/>
    <w:rsid w:val="0033558B"/>
    <w:rsid w:val="00355F05"/>
    <w:rsid w:val="003603B9"/>
    <w:rsid w:val="003A2BF5"/>
    <w:rsid w:val="003E1624"/>
    <w:rsid w:val="00451B37"/>
    <w:rsid w:val="004A6E79"/>
    <w:rsid w:val="00505CC3"/>
    <w:rsid w:val="00530BD6"/>
    <w:rsid w:val="00590F14"/>
    <w:rsid w:val="005C4266"/>
    <w:rsid w:val="005F28C5"/>
    <w:rsid w:val="006351B0"/>
    <w:rsid w:val="006378E4"/>
    <w:rsid w:val="00637A19"/>
    <w:rsid w:val="00645CB1"/>
    <w:rsid w:val="006668BF"/>
    <w:rsid w:val="0069661B"/>
    <w:rsid w:val="006B59C9"/>
    <w:rsid w:val="006C36B7"/>
    <w:rsid w:val="006D6907"/>
    <w:rsid w:val="006F71F4"/>
    <w:rsid w:val="00716901"/>
    <w:rsid w:val="00797A4F"/>
    <w:rsid w:val="007D6DEC"/>
    <w:rsid w:val="00846930"/>
    <w:rsid w:val="0085508F"/>
    <w:rsid w:val="008D3291"/>
    <w:rsid w:val="00911BA3"/>
    <w:rsid w:val="0095509E"/>
    <w:rsid w:val="009720D9"/>
    <w:rsid w:val="009846E0"/>
    <w:rsid w:val="009A1E5F"/>
    <w:rsid w:val="009A3919"/>
    <w:rsid w:val="00A0766F"/>
    <w:rsid w:val="00A07FC0"/>
    <w:rsid w:val="00A41A7E"/>
    <w:rsid w:val="00AF38A8"/>
    <w:rsid w:val="00B27C54"/>
    <w:rsid w:val="00B35D51"/>
    <w:rsid w:val="00B41AC7"/>
    <w:rsid w:val="00B6430F"/>
    <w:rsid w:val="00B865B7"/>
    <w:rsid w:val="00B94B3E"/>
    <w:rsid w:val="00BF0931"/>
    <w:rsid w:val="00C64C2D"/>
    <w:rsid w:val="00C673FD"/>
    <w:rsid w:val="00CE5B78"/>
    <w:rsid w:val="00D06C72"/>
    <w:rsid w:val="00D8342B"/>
    <w:rsid w:val="00D85B77"/>
    <w:rsid w:val="00D85F72"/>
    <w:rsid w:val="00DA3E8D"/>
    <w:rsid w:val="00DC1ED9"/>
    <w:rsid w:val="00DC2892"/>
    <w:rsid w:val="00DD28E5"/>
    <w:rsid w:val="00E60A87"/>
    <w:rsid w:val="00E910A4"/>
    <w:rsid w:val="00E91334"/>
    <w:rsid w:val="00EC6CC8"/>
    <w:rsid w:val="00F52062"/>
    <w:rsid w:val="00FA4ED0"/>
    <w:rsid w:val="00FB465A"/>
    <w:rsid w:val="00FE32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611FD"/>
  <w15:docId w15:val="{17CEB1BE-2126-44D2-AB8C-6B257C48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F05"/>
    <w:pPr>
      <w:spacing w:after="204" w:line="27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numPr>
        <w:numId w:val="3"/>
      </w:numPr>
      <w:spacing w:after="0" w:line="267" w:lineRule="auto"/>
      <w:outlineLvl w:val="0"/>
    </w:pPr>
    <w:rPr>
      <w:rFonts w:ascii="Calibri" w:eastAsia="Calibri" w:hAnsi="Calibri" w:cs="Calibri"/>
      <w:color w:val="2F5496"/>
      <w:sz w:val="28"/>
    </w:rPr>
  </w:style>
  <w:style w:type="paragraph" w:styleId="Heading2">
    <w:name w:val="heading 2"/>
    <w:next w:val="Normal"/>
    <w:link w:val="Heading2Char"/>
    <w:uiPriority w:val="9"/>
    <w:unhideWhenUsed/>
    <w:qFormat/>
    <w:rsid w:val="001E1557"/>
    <w:pPr>
      <w:keepNext/>
      <w:keepLines/>
      <w:numPr>
        <w:ilvl w:val="1"/>
        <w:numId w:val="7"/>
      </w:numPr>
      <w:spacing w:after="4"/>
      <w:outlineLvl w:val="1"/>
    </w:pPr>
    <w:rPr>
      <w:rFonts w:ascii="Calibri" w:eastAsia="Calibri" w:hAnsi="Calibri" w:cs="Calibri"/>
      <w:color w:val="2F549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F5496"/>
      <w:sz w:val="28"/>
    </w:rPr>
  </w:style>
  <w:style w:type="paragraph" w:customStyle="1" w:styleId="footnotedescription">
    <w:name w:val="footnote description"/>
    <w:next w:val="Normal"/>
    <w:link w:val="footnotedescriptionChar"/>
    <w:hidden/>
    <w:pPr>
      <w:spacing w:after="2" w:line="256" w:lineRule="auto"/>
    </w:pPr>
    <w:rPr>
      <w:rFonts w:ascii="Arial" w:eastAsia="Arial" w:hAnsi="Arial" w:cs="Arial"/>
      <w:color w:val="0044BB"/>
      <w:sz w:val="16"/>
      <w:u w:val="single" w:color="0044BB"/>
    </w:rPr>
  </w:style>
  <w:style w:type="character" w:customStyle="1" w:styleId="footnotedescriptionChar">
    <w:name w:val="footnote description Char"/>
    <w:link w:val="footnotedescription"/>
    <w:rPr>
      <w:rFonts w:ascii="Arial" w:eastAsia="Arial" w:hAnsi="Arial" w:cs="Arial"/>
      <w:color w:val="0044BB"/>
      <w:sz w:val="16"/>
      <w:u w:val="single" w:color="0044BB"/>
    </w:rPr>
  </w:style>
  <w:style w:type="paragraph" w:styleId="TOC1">
    <w:name w:val="toc 1"/>
    <w:hidden/>
    <w:uiPriority w:val="39"/>
    <w:pPr>
      <w:spacing w:after="110" w:line="270" w:lineRule="auto"/>
      <w:ind w:left="25" w:right="22" w:hanging="10"/>
    </w:pPr>
    <w:rPr>
      <w:rFonts w:ascii="Calibri" w:eastAsia="Calibri" w:hAnsi="Calibri" w:cs="Calibri"/>
      <w:color w:val="000000"/>
      <w:sz w:val="24"/>
    </w:rPr>
  </w:style>
  <w:style w:type="character" w:customStyle="1" w:styleId="footnotemark">
    <w:name w:val="footnote mark"/>
    <w:hidden/>
    <w:rPr>
      <w:rFonts w:ascii="Arial" w:eastAsia="Arial" w:hAnsi="Arial" w:cs="Arial"/>
      <w:color w:val="000000"/>
      <w:sz w:val="20"/>
      <w:vertAlign w:val="superscript"/>
    </w:rPr>
  </w:style>
  <w:style w:type="paragraph" w:styleId="Revision">
    <w:name w:val="Revision"/>
    <w:hidden/>
    <w:uiPriority w:val="99"/>
    <w:semiHidden/>
    <w:rsid w:val="0019230F"/>
    <w:pPr>
      <w:spacing w:after="0" w:line="240" w:lineRule="auto"/>
    </w:pPr>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DA3E8D"/>
    <w:rPr>
      <w:sz w:val="16"/>
      <w:szCs w:val="16"/>
    </w:rPr>
  </w:style>
  <w:style w:type="paragraph" w:styleId="CommentText">
    <w:name w:val="annotation text"/>
    <w:basedOn w:val="Normal"/>
    <w:link w:val="CommentTextChar"/>
    <w:uiPriority w:val="99"/>
    <w:unhideWhenUsed/>
    <w:rsid w:val="00DA3E8D"/>
    <w:pPr>
      <w:spacing w:line="240" w:lineRule="auto"/>
    </w:pPr>
    <w:rPr>
      <w:sz w:val="20"/>
      <w:szCs w:val="20"/>
    </w:rPr>
  </w:style>
  <w:style w:type="character" w:customStyle="1" w:styleId="CommentTextChar">
    <w:name w:val="Comment Text Char"/>
    <w:basedOn w:val="DefaultParagraphFont"/>
    <w:link w:val="CommentText"/>
    <w:uiPriority w:val="99"/>
    <w:rsid w:val="00DA3E8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A3E8D"/>
    <w:rPr>
      <w:b/>
      <w:bCs/>
    </w:rPr>
  </w:style>
  <w:style w:type="character" w:customStyle="1" w:styleId="CommentSubjectChar">
    <w:name w:val="Comment Subject Char"/>
    <w:basedOn w:val="CommentTextChar"/>
    <w:link w:val="CommentSubject"/>
    <w:uiPriority w:val="99"/>
    <w:semiHidden/>
    <w:rsid w:val="00DA3E8D"/>
    <w:rPr>
      <w:rFonts w:ascii="Calibri" w:eastAsia="Calibri" w:hAnsi="Calibri" w:cs="Calibri"/>
      <w:b/>
      <w:bCs/>
      <w:color w:val="000000"/>
      <w:sz w:val="20"/>
      <w:szCs w:val="20"/>
    </w:rPr>
  </w:style>
  <w:style w:type="character" w:styleId="Hyperlink">
    <w:name w:val="Hyperlink"/>
    <w:basedOn w:val="DefaultParagraphFont"/>
    <w:uiPriority w:val="99"/>
    <w:unhideWhenUsed/>
    <w:rsid w:val="00000706"/>
    <w:rPr>
      <w:color w:val="0000FF"/>
      <w:u w:val="single"/>
    </w:rPr>
  </w:style>
  <w:style w:type="character" w:styleId="FollowedHyperlink">
    <w:name w:val="FollowedHyperlink"/>
    <w:basedOn w:val="DefaultParagraphFont"/>
    <w:uiPriority w:val="99"/>
    <w:semiHidden/>
    <w:unhideWhenUsed/>
    <w:rsid w:val="001618E5"/>
    <w:rPr>
      <w:color w:val="954F72" w:themeColor="followedHyperlink"/>
      <w:u w:val="single"/>
    </w:rPr>
  </w:style>
  <w:style w:type="paragraph" w:styleId="FootnoteText">
    <w:name w:val="footnote text"/>
    <w:basedOn w:val="Normal"/>
    <w:link w:val="FootnoteTextChar"/>
    <w:uiPriority w:val="99"/>
    <w:semiHidden/>
    <w:unhideWhenUsed/>
    <w:rsid w:val="00D85F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F72"/>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D85F72"/>
    <w:rPr>
      <w:vertAlign w:val="superscript"/>
    </w:rPr>
  </w:style>
  <w:style w:type="paragraph" w:styleId="ListParagraph">
    <w:name w:val="List Paragraph"/>
    <w:aliases w:val="List Paragraph1,Recommendation,List Paragraph11"/>
    <w:basedOn w:val="Normal"/>
    <w:link w:val="ListParagraphChar"/>
    <w:uiPriority w:val="34"/>
    <w:qFormat/>
    <w:rsid w:val="00D85F72"/>
    <w:pPr>
      <w:ind w:left="720"/>
      <w:contextualSpacing/>
    </w:pPr>
  </w:style>
  <w:style w:type="character" w:customStyle="1" w:styleId="Heading2Char">
    <w:name w:val="Heading 2 Char"/>
    <w:basedOn w:val="DefaultParagraphFont"/>
    <w:link w:val="Heading2"/>
    <w:uiPriority w:val="9"/>
    <w:rsid w:val="001E1557"/>
    <w:rPr>
      <w:rFonts w:ascii="Calibri" w:eastAsia="Calibri" w:hAnsi="Calibri" w:cs="Calibri"/>
      <w:color w:val="2F5496"/>
      <w:sz w:val="26"/>
    </w:rPr>
  </w:style>
  <w:style w:type="character" w:customStyle="1" w:styleId="ListParagraphChar">
    <w:name w:val="List Paragraph Char"/>
    <w:aliases w:val="List Paragraph1 Char,Recommendation Char,List Paragraph11 Char"/>
    <w:basedOn w:val="DefaultParagraphFont"/>
    <w:link w:val="ListParagraph"/>
    <w:uiPriority w:val="34"/>
    <w:locked/>
    <w:rsid w:val="00645CB1"/>
    <w:rPr>
      <w:rFonts w:ascii="Calibri" w:eastAsia="Calibri" w:hAnsi="Calibri" w:cs="Calibri"/>
      <w:color w:val="000000"/>
      <w:sz w:val="24"/>
    </w:rPr>
  </w:style>
  <w:style w:type="character" w:styleId="UnresolvedMention">
    <w:name w:val="Unresolved Mention"/>
    <w:basedOn w:val="DefaultParagraphFont"/>
    <w:uiPriority w:val="99"/>
    <w:semiHidden/>
    <w:unhideWhenUsed/>
    <w:rsid w:val="00355F05"/>
    <w:rPr>
      <w:color w:val="605E5C"/>
      <w:shd w:val="clear" w:color="auto" w:fill="E1DFDD"/>
    </w:rPr>
  </w:style>
  <w:style w:type="paragraph" w:customStyle="1" w:styleId="Default">
    <w:name w:val="Default"/>
    <w:rsid w:val="00451B37"/>
    <w:pPr>
      <w:autoSpaceDE w:val="0"/>
      <w:autoSpaceDN w:val="0"/>
      <w:adjustRightInd w:val="0"/>
      <w:spacing w:after="0" w:line="240" w:lineRule="auto"/>
    </w:pPr>
    <w:rPr>
      <w:rFonts w:ascii="Segoe UI" w:hAnsi="Segoe UI" w:cs="Segoe UI"/>
      <w:color w:val="000000"/>
      <w:sz w:val="24"/>
      <w:szCs w:val="24"/>
    </w:rPr>
  </w:style>
  <w:style w:type="table" w:styleId="TableGrid">
    <w:name w:val="Table Grid"/>
    <w:basedOn w:val="TableNormal"/>
    <w:uiPriority w:val="39"/>
    <w:rsid w:val="00B35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6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5B7"/>
    <w:rPr>
      <w:rFonts w:ascii="Calibri" w:eastAsia="Calibri" w:hAnsi="Calibri" w:cs="Calibri"/>
      <w:color w:val="000000"/>
      <w:sz w:val="24"/>
    </w:rPr>
  </w:style>
  <w:style w:type="paragraph" w:styleId="Footer">
    <w:name w:val="footer"/>
    <w:basedOn w:val="Normal"/>
    <w:link w:val="FooterChar"/>
    <w:uiPriority w:val="99"/>
    <w:unhideWhenUsed/>
    <w:rsid w:val="00B86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5B7"/>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354749">
      <w:bodyDiv w:val="1"/>
      <w:marLeft w:val="0"/>
      <w:marRight w:val="0"/>
      <w:marTop w:val="0"/>
      <w:marBottom w:val="0"/>
      <w:divBdr>
        <w:top w:val="none" w:sz="0" w:space="0" w:color="auto"/>
        <w:left w:val="none" w:sz="0" w:space="0" w:color="auto"/>
        <w:bottom w:val="none" w:sz="0" w:space="0" w:color="auto"/>
        <w:right w:val="none" w:sz="0" w:space="0" w:color="auto"/>
      </w:divBdr>
      <w:divsChild>
        <w:div w:id="292449963">
          <w:marLeft w:val="0"/>
          <w:marRight w:val="0"/>
          <w:marTop w:val="0"/>
          <w:marBottom w:val="0"/>
          <w:divBdr>
            <w:top w:val="none" w:sz="0" w:space="0" w:color="auto"/>
            <w:left w:val="none" w:sz="0" w:space="0" w:color="auto"/>
            <w:bottom w:val="none" w:sz="0" w:space="0" w:color="auto"/>
            <w:right w:val="none" w:sz="0" w:space="0" w:color="auto"/>
          </w:divBdr>
        </w:div>
        <w:div w:id="1204706286">
          <w:marLeft w:val="0"/>
          <w:marRight w:val="0"/>
          <w:marTop w:val="0"/>
          <w:marBottom w:val="0"/>
          <w:divBdr>
            <w:top w:val="none" w:sz="0" w:space="0" w:color="auto"/>
            <w:left w:val="none" w:sz="0" w:space="0" w:color="auto"/>
            <w:bottom w:val="none" w:sz="0" w:space="0" w:color="auto"/>
            <w:right w:val="none" w:sz="0" w:space="0" w:color="auto"/>
          </w:divBdr>
        </w:div>
        <w:div w:id="1520507708">
          <w:marLeft w:val="0"/>
          <w:marRight w:val="0"/>
          <w:marTop w:val="0"/>
          <w:marBottom w:val="0"/>
          <w:divBdr>
            <w:top w:val="none" w:sz="0" w:space="0" w:color="auto"/>
            <w:left w:val="none" w:sz="0" w:space="0" w:color="auto"/>
            <w:bottom w:val="none" w:sz="0" w:space="0" w:color="auto"/>
            <w:right w:val="none" w:sz="0" w:space="0" w:color="auto"/>
          </w:divBdr>
        </w:div>
        <w:div w:id="1596328892">
          <w:marLeft w:val="0"/>
          <w:marRight w:val="0"/>
          <w:marTop w:val="0"/>
          <w:marBottom w:val="0"/>
          <w:divBdr>
            <w:top w:val="none" w:sz="0" w:space="0" w:color="auto"/>
            <w:left w:val="none" w:sz="0" w:space="0" w:color="auto"/>
            <w:bottom w:val="none" w:sz="0" w:space="0" w:color="auto"/>
            <w:right w:val="none" w:sz="0" w:space="0" w:color="auto"/>
          </w:divBdr>
        </w:div>
        <w:div w:id="913466218">
          <w:marLeft w:val="0"/>
          <w:marRight w:val="0"/>
          <w:marTop w:val="0"/>
          <w:marBottom w:val="0"/>
          <w:divBdr>
            <w:top w:val="none" w:sz="0" w:space="0" w:color="auto"/>
            <w:left w:val="none" w:sz="0" w:space="0" w:color="auto"/>
            <w:bottom w:val="none" w:sz="0" w:space="0" w:color="auto"/>
            <w:right w:val="none" w:sz="0" w:space="0" w:color="auto"/>
          </w:divBdr>
        </w:div>
        <w:div w:id="1841115926">
          <w:marLeft w:val="0"/>
          <w:marRight w:val="0"/>
          <w:marTop w:val="0"/>
          <w:marBottom w:val="0"/>
          <w:divBdr>
            <w:top w:val="none" w:sz="0" w:space="0" w:color="auto"/>
            <w:left w:val="none" w:sz="0" w:space="0" w:color="auto"/>
            <w:bottom w:val="none" w:sz="0" w:space="0" w:color="auto"/>
            <w:right w:val="none" w:sz="0" w:space="0" w:color="auto"/>
          </w:divBdr>
        </w:div>
        <w:div w:id="1575360102">
          <w:marLeft w:val="0"/>
          <w:marRight w:val="0"/>
          <w:marTop w:val="0"/>
          <w:marBottom w:val="0"/>
          <w:divBdr>
            <w:top w:val="none" w:sz="0" w:space="0" w:color="auto"/>
            <w:left w:val="none" w:sz="0" w:space="0" w:color="auto"/>
            <w:bottom w:val="none" w:sz="0" w:space="0" w:color="auto"/>
            <w:right w:val="none" w:sz="0" w:space="0" w:color="auto"/>
          </w:divBdr>
        </w:div>
        <w:div w:id="1328245551">
          <w:marLeft w:val="0"/>
          <w:marRight w:val="0"/>
          <w:marTop w:val="0"/>
          <w:marBottom w:val="0"/>
          <w:divBdr>
            <w:top w:val="none" w:sz="0" w:space="0" w:color="auto"/>
            <w:left w:val="none" w:sz="0" w:space="0" w:color="auto"/>
            <w:bottom w:val="none" w:sz="0" w:space="0" w:color="auto"/>
            <w:right w:val="none" w:sz="0" w:space="0" w:color="auto"/>
          </w:divBdr>
        </w:div>
        <w:div w:id="105656185">
          <w:marLeft w:val="0"/>
          <w:marRight w:val="0"/>
          <w:marTop w:val="0"/>
          <w:marBottom w:val="0"/>
          <w:divBdr>
            <w:top w:val="none" w:sz="0" w:space="0" w:color="auto"/>
            <w:left w:val="none" w:sz="0" w:space="0" w:color="auto"/>
            <w:bottom w:val="none" w:sz="0" w:space="0" w:color="auto"/>
            <w:right w:val="none" w:sz="0" w:space="0" w:color="auto"/>
          </w:divBdr>
        </w:div>
        <w:div w:id="1463234644">
          <w:marLeft w:val="0"/>
          <w:marRight w:val="0"/>
          <w:marTop w:val="0"/>
          <w:marBottom w:val="0"/>
          <w:divBdr>
            <w:top w:val="none" w:sz="0" w:space="0" w:color="auto"/>
            <w:left w:val="none" w:sz="0" w:space="0" w:color="auto"/>
            <w:bottom w:val="none" w:sz="0" w:space="0" w:color="auto"/>
            <w:right w:val="none" w:sz="0" w:space="0" w:color="auto"/>
          </w:divBdr>
        </w:div>
        <w:div w:id="604117518">
          <w:marLeft w:val="0"/>
          <w:marRight w:val="0"/>
          <w:marTop w:val="0"/>
          <w:marBottom w:val="0"/>
          <w:divBdr>
            <w:top w:val="none" w:sz="0" w:space="0" w:color="auto"/>
            <w:left w:val="none" w:sz="0" w:space="0" w:color="auto"/>
            <w:bottom w:val="none" w:sz="0" w:space="0" w:color="auto"/>
            <w:right w:val="none" w:sz="0" w:space="0" w:color="auto"/>
          </w:divBdr>
        </w:div>
        <w:div w:id="561646547">
          <w:marLeft w:val="0"/>
          <w:marRight w:val="0"/>
          <w:marTop w:val="0"/>
          <w:marBottom w:val="0"/>
          <w:divBdr>
            <w:top w:val="none" w:sz="0" w:space="0" w:color="auto"/>
            <w:left w:val="none" w:sz="0" w:space="0" w:color="auto"/>
            <w:bottom w:val="none" w:sz="0" w:space="0" w:color="auto"/>
            <w:right w:val="none" w:sz="0" w:space="0" w:color="auto"/>
          </w:divBdr>
        </w:div>
        <w:div w:id="883909052">
          <w:marLeft w:val="0"/>
          <w:marRight w:val="0"/>
          <w:marTop w:val="0"/>
          <w:marBottom w:val="0"/>
          <w:divBdr>
            <w:top w:val="none" w:sz="0" w:space="0" w:color="auto"/>
            <w:left w:val="none" w:sz="0" w:space="0" w:color="auto"/>
            <w:bottom w:val="none" w:sz="0" w:space="0" w:color="auto"/>
            <w:right w:val="none" w:sz="0" w:space="0" w:color="auto"/>
          </w:divBdr>
        </w:div>
        <w:div w:id="515315169">
          <w:marLeft w:val="0"/>
          <w:marRight w:val="0"/>
          <w:marTop w:val="0"/>
          <w:marBottom w:val="0"/>
          <w:divBdr>
            <w:top w:val="none" w:sz="0" w:space="0" w:color="auto"/>
            <w:left w:val="none" w:sz="0" w:space="0" w:color="auto"/>
            <w:bottom w:val="none" w:sz="0" w:space="0" w:color="auto"/>
            <w:right w:val="none" w:sz="0" w:space="0" w:color="auto"/>
          </w:divBdr>
        </w:div>
        <w:div w:id="1913081949">
          <w:marLeft w:val="0"/>
          <w:marRight w:val="0"/>
          <w:marTop w:val="0"/>
          <w:marBottom w:val="0"/>
          <w:divBdr>
            <w:top w:val="none" w:sz="0" w:space="0" w:color="auto"/>
            <w:left w:val="none" w:sz="0" w:space="0" w:color="auto"/>
            <w:bottom w:val="none" w:sz="0" w:space="0" w:color="auto"/>
            <w:right w:val="none" w:sz="0" w:space="0" w:color="auto"/>
          </w:divBdr>
        </w:div>
        <w:div w:id="828404829">
          <w:marLeft w:val="0"/>
          <w:marRight w:val="0"/>
          <w:marTop w:val="0"/>
          <w:marBottom w:val="0"/>
          <w:divBdr>
            <w:top w:val="none" w:sz="0" w:space="0" w:color="auto"/>
            <w:left w:val="none" w:sz="0" w:space="0" w:color="auto"/>
            <w:bottom w:val="none" w:sz="0" w:space="0" w:color="auto"/>
            <w:right w:val="none" w:sz="0" w:space="0" w:color="auto"/>
          </w:divBdr>
        </w:div>
        <w:div w:id="1271939599">
          <w:marLeft w:val="0"/>
          <w:marRight w:val="0"/>
          <w:marTop w:val="0"/>
          <w:marBottom w:val="0"/>
          <w:divBdr>
            <w:top w:val="none" w:sz="0" w:space="0" w:color="auto"/>
            <w:left w:val="none" w:sz="0" w:space="0" w:color="auto"/>
            <w:bottom w:val="none" w:sz="0" w:space="0" w:color="auto"/>
            <w:right w:val="none" w:sz="0" w:space="0" w:color="auto"/>
          </w:divBdr>
        </w:div>
        <w:div w:id="1553037640">
          <w:marLeft w:val="0"/>
          <w:marRight w:val="0"/>
          <w:marTop w:val="0"/>
          <w:marBottom w:val="0"/>
          <w:divBdr>
            <w:top w:val="none" w:sz="0" w:space="0" w:color="auto"/>
            <w:left w:val="none" w:sz="0" w:space="0" w:color="auto"/>
            <w:bottom w:val="none" w:sz="0" w:space="0" w:color="auto"/>
            <w:right w:val="none" w:sz="0" w:space="0" w:color="auto"/>
          </w:divBdr>
        </w:div>
        <w:div w:id="2033409862">
          <w:marLeft w:val="0"/>
          <w:marRight w:val="0"/>
          <w:marTop w:val="0"/>
          <w:marBottom w:val="0"/>
          <w:divBdr>
            <w:top w:val="none" w:sz="0" w:space="0" w:color="auto"/>
            <w:left w:val="none" w:sz="0" w:space="0" w:color="auto"/>
            <w:bottom w:val="none" w:sz="0" w:space="0" w:color="auto"/>
            <w:right w:val="none" w:sz="0" w:space="0" w:color="auto"/>
          </w:divBdr>
        </w:div>
        <w:div w:id="635256365">
          <w:marLeft w:val="0"/>
          <w:marRight w:val="0"/>
          <w:marTop w:val="0"/>
          <w:marBottom w:val="0"/>
          <w:divBdr>
            <w:top w:val="none" w:sz="0" w:space="0" w:color="auto"/>
            <w:left w:val="none" w:sz="0" w:space="0" w:color="auto"/>
            <w:bottom w:val="none" w:sz="0" w:space="0" w:color="auto"/>
            <w:right w:val="none" w:sz="0" w:space="0" w:color="auto"/>
          </w:divBdr>
        </w:div>
        <w:div w:id="1616399412">
          <w:marLeft w:val="0"/>
          <w:marRight w:val="0"/>
          <w:marTop w:val="0"/>
          <w:marBottom w:val="0"/>
          <w:divBdr>
            <w:top w:val="none" w:sz="0" w:space="0" w:color="auto"/>
            <w:left w:val="none" w:sz="0" w:space="0" w:color="auto"/>
            <w:bottom w:val="none" w:sz="0" w:space="0" w:color="auto"/>
            <w:right w:val="none" w:sz="0" w:space="0" w:color="auto"/>
          </w:divBdr>
        </w:div>
        <w:div w:id="147789217">
          <w:marLeft w:val="0"/>
          <w:marRight w:val="0"/>
          <w:marTop w:val="0"/>
          <w:marBottom w:val="0"/>
          <w:divBdr>
            <w:top w:val="none" w:sz="0" w:space="0" w:color="auto"/>
            <w:left w:val="none" w:sz="0" w:space="0" w:color="auto"/>
            <w:bottom w:val="none" w:sz="0" w:space="0" w:color="auto"/>
            <w:right w:val="none" w:sz="0" w:space="0" w:color="auto"/>
          </w:divBdr>
        </w:div>
        <w:div w:id="1044906212">
          <w:marLeft w:val="0"/>
          <w:marRight w:val="0"/>
          <w:marTop w:val="0"/>
          <w:marBottom w:val="0"/>
          <w:divBdr>
            <w:top w:val="none" w:sz="0" w:space="0" w:color="auto"/>
            <w:left w:val="none" w:sz="0" w:space="0" w:color="auto"/>
            <w:bottom w:val="none" w:sz="0" w:space="0" w:color="auto"/>
            <w:right w:val="none" w:sz="0" w:space="0" w:color="auto"/>
          </w:divBdr>
        </w:div>
        <w:div w:id="816528418">
          <w:marLeft w:val="0"/>
          <w:marRight w:val="0"/>
          <w:marTop w:val="0"/>
          <w:marBottom w:val="0"/>
          <w:divBdr>
            <w:top w:val="none" w:sz="0" w:space="0" w:color="auto"/>
            <w:left w:val="none" w:sz="0" w:space="0" w:color="auto"/>
            <w:bottom w:val="none" w:sz="0" w:space="0" w:color="auto"/>
            <w:right w:val="none" w:sz="0" w:space="0" w:color="auto"/>
          </w:divBdr>
        </w:div>
        <w:div w:id="2140217147">
          <w:marLeft w:val="0"/>
          <w:marRight w:val="0"/>
          <w:marTop w:val="0"/>
          <w:marBottom w:val="0"/>
          <w:divBdr>
            <w:top w:val="none" w:sz="0" w:space="0" w:color="auto"/>
            <w:left w:val="none" w:sz="0" w:space="0" w:color="auto"/>
            <w:bottom w:val="none" w:sz="0" w:space="0" w:color="auto"/>
            <w:right w:val="none" w:sz="0" w:space="0" w:color="auto"/>
          </w:divBdr>
        </w:div>
        <w:div w:id="544290192">
          <w:marLeft w:val="0"/>
          <w:marRight w:val="0"/>
          <w:marTop w:val="0"/>
          <w:marBottom w:val="0"/>
          <w:divBdr>
            <w:top w:val="none" w:sz="0" w:space="0" w:color="auto"/>
            <w:left w:val="none" w:sz="0" w:space="0" w:color="auto"/>
            <w:bottom w:val="none" w:sz="0" w:space="0" w:color="auto"/>
            <w:right w:val="none" w:sz="0" w:space="0" w:color="auto"/>
          </w:divBdr>
        </w:div>
        <w:div w:id="1906986074">
          <w:marLeft w:val="0"/>
          <w:marRight w:val="0"/>
          <w:marTop w:val="0"/>
          <w:marBottom w:val="0"/>
          <w:divBdr>
            <w:top w:val="none" w:sz="0" w:space="0" w:color="auto"/>
            <w:left w:val="none" w:sz="0" w:space="0" w:color="auto"/>
            <w:bottom w:val="none" w:sz="0" w:space="0" w:color="auto"/>
            <w:right w:val="none" w:sz="0" w:space="0" w:color="auto"/>
          </w:divBdr>
        </w:div>
        <w:div w:id="670180598">
          <w:marLeft w:val="0"/>
          <w:marRight w:val="0"/>
          <w:marTop w:val="0"/>
          <w:marBottom w:val="0"/>
          <w:divBdr>
            <w:top w:val="none" w:sz="0" w:space="0" w:color="auto"/>
            <w:left w:val="none" w:sz="0" w:space="0" w:color="auto"/>
            <w:bottom w:val="none" w:sz="0" w:space="0" w:color="auto"/>
            <w:right w:val="none" w:sz="0" w:space="0" w:color="auto"/>
          </w:divBdr>
        </w:div>
        <w:div w:id="292096594">
          <w:marLeft w:val="0"/>
          <w:marRight w:val="0"/>
          <w:marTop w:val="0"/>
          <w:marBottom w:val="0"/>
          <w:divBdr>
            <w:top w:val="none" w:sz="0" w:space="0" w:color="auto"/>
            <w:left w:val="none" w:sz="0" w:space="0" w:color="auto"/>
            <w:bottom w:val="none" w:sz="0" w:space="0" w:color="auto"/>
            <w:right w:val="none" w:sz="0" w:space="0" w:color="auto"/>
          </w:divBdr>
        </w:div>
        <w:div w:id="2111121974">
          <w:marLeft w:val="0"/>
          <w:marRight w:val="0"/>
          <w:marTop w:val="0"/>
          <w:marBottom w:val="0"/>
          <w:divBdr>
            <w:top w:val="none" w:sz="0" w:space="0" w:color="auto"/>
            <w:left w:val="none" w:sz="0" w:space="0" w:color="auto"/>
            <w:bottom w:val="none" w:sz="0" w:space="0" w:color="auto"/>
            <w:right w:val="none" w:sz="0" w:space="0" w:color="auto"/>
          </w:divBdr>
        </w:div>
        <w:div w:id="2030328330">
          <w:marLeft w:val="0"/>
          <w:marRight w:val="0"/>
          <w:marTop w:val="0"/>
          <w:marBottom w:val="0"/>
          <w:divBdr>
            <w:top w:val="none" w:sz="0" w:space="0" w:color="auto"/>
            <w:left w:val="none" w:sz="0" w:space="0" w:color="auto"/>
            <w:bottom w:val="none" w:sz="0" w:space="0" w:color="auto"/>
            <w:right w:val="none" w:sz="0" w:space="0" w:color="auto"/>
          </w:divBdr>
        </w:div>
        <w:div w:id="1219828093">
          <w:marLeft w:val="0"/>
          <w:marRight w:val="0"/>
          <w:marTop w:val="0"/>
          <w:marBottom w:val="0"/>
          <w:divBdr>
            <w:top w:val="none" w:sz="0" w:space="0" w:color="auto"/>
            <w:left w:val="none" w:sz="0" w:space="0" w:color="auto"/>
            <w:bottom w:val="none" w:sz="0" w:space="0" w:color="auto"/>
            <w:right w:val="none" w:sz="0" w:space="0" w:color="auto"/>
          </w:divBdr>
        </w:div>
        <w:div w:id="1298223701">
          <w:marLeft w:val="0"/>
          <w:marRight w:val="0"/>
          <w:marTop w:val="0"/>
          <w:marBottom w:val="0"/>
          <w:divBdr>
            <w:top w:val="none" w:sz="0" w:space="0" w:color="auto"/>
            <w:left w:val="none" w:sz="0" w:space="0" w:color="auto"/>
            <w:bottom w:val="none" w:sz="0" w:space="0" w:color="auto"/>
            <w:right w:val="none" w:sz="0" w:space="0" w:color="auto"/>
          </w:divBdr>
        </w:div>
        <w:div w:id="483205921">
          <w:marLeft w:val="0"/>
          <w:marRight w:val="0"/>
          <w:marTop w:val="0"/>
          <w:marBottom w:val="0"/>
          <w:divBdr>
            <w:top w:val="none" w:sz="0" w:space="0" w:color="auto"/>
            <w:left w:val="none" w:sz="0" w:space="0" w:color="auto"/>
            <w:bottom w:val="none" w:sz="0" w:space="0" w:color="auto"/>
            <w:right w:val="none" w:sz="0" w:space="0" w:color="auto"/>
          </w:divBdr>
        </w:div>
        <w:div w:id="975986997">
          <w:marLeft w:val="0"/>
          <w:marRight w:val="0"/>
          <w:marTop w:val="0"/>
          <w:marBottom w:val="0"/>
          <w:divBdr>
            <w:top w:val="none" w:sz="0" w:space="0" w:color="auto"/>
            <w:left w:val="none" w:sz="0" w:space="0" w:color="auto"/>
            <w:bottom w:val="none" w:sz="0" w:space="0" w:color="auto"/>
            <w:right w:val="none" w:sz="0" w:space="0" w:color="auto"/>
          </w:divBdr>
        </w:div>
        <w:div w:id="1525552855">
          <w:marLeft w:val="0"/>
          <w:marRight w:val="0"/>
          <w:marTop w:val="0"/>
          <w:marBottom w:val="0"/>
          <w:divBdr>
            <w:top w:val="none" w:sz="0" w:space="0" w:color="auto"/>
            <w:left w:val="none" w:sz="0" w:space="0" w:color="auto"/>
            <w:bottom w:val="none" w:sz="0" w:space="0" w:color="auto"/>
            <w:right w:val="none" w:sz="0" w:space="0" w:color="auto"/>
          </w:divBdr>
        </w:div>
        <w:div w:id="1047871602">
          <w:marLeft w:val="0"/>
          <w:marRight w:val="0"/>
          <w:marTop w:val="0"/>
          <w:marBottom w:val="0"/>
          <w:divBdr>
            <w:top w:val="none" w:sz="0" w:space="0" w:color="auto"/>
            <w:left w:val="none" w:sz="0" w:space="0" w:color="auto"/>
            <w:bottom w:val="none" w:sz="0" w:space="0" w:color="auto"/>
            <w:right w:val="none" w:sz="0" w:space="0" w:color="auto"/>
          </w:divBdr>
        </w:div>
        <w:div w:id="1676107465">
          <w:marLeft w:val="0"/>
          <w:marRight w:val="0"/>
          <w:marTop w:val="0"/>
          <w:marBottom w:val="0"/>
          <w:divBdr>
            <w:top w:val="none" w:sz="0" w:space="0" w:color="auto"/>
            <w:left w:val="none" w:sz="0" w:space="0" w:color="auto"/>
            <w:bottom w:val="none" w:sz="0" w:space="0" w:color="auto"/>
            <w:right w:val="none" w:sz="0" w:space="0" w:color="auto"/>
          </w:divBdr>
        </w:div>
        <w:div w:id="1487893404">
          <w:marLeft w:val="0"/>
          <w:marRight w:val="0"/>
          <w:marTop w:val="0"/>
          <w:marBottom w:val="0"/>
          <w:divBdr>
            <w:top w:val="none" w:sz="0" w:space="0" w:color="auto"/>
            <w:left w:val="none" w:sz="0" w:space="0" w:color="auto"/>
            <w:bottom w:val="none" w:sz="0" w:space="0" w:color="auto"/>
            <w:right w:val="none" w:sz="0" w:space="0" w:color="auto"/>
          </w:divBdr>
        </w:div>
        <w:div w:id="1097558944">
          <w:marLeft w:val="0"/>
          <w:marRight w:val="0"/>
          <w:marTop w:val="0"/>
          <w:marBottom w:val="0"/>
          <w:divBdr>
            <w:top w:val="none" w:sz="0" w:space="0" w:color="auto"/>
            <w:left w:val="none" w:sz="0" w:space="0" w:color="auto"/>
            <w:bottom w:val="none" w:sz="0" w:space="0" w:color="auto"/>
            <w:right w:val="none" w:sz="0" w:space="0" w:color="auto"/>
          </w:divBdr>
        </w:div>
        <w:div w:id="2061243445">
          <w:marLeft w:val="0"/>
          <w:marRight w:val="0"/>
          <w:marTop w:val="0"/>
          <w:marBottom w:val="0"/>
          <w:divBdr>
            <w:top w:val="none" w:sz="0" w:space="0" w:color="auto"/>
            <w:left w:val="none" w:sz="0" w:space="0" w:color="auto"/>
            <w:bottom w:val="none" w:sz="0" w:space="0" w:color="auto"/>
            <w:right w:val="none" w:sz="0" w:space="0" w:color="auto"/>
          </w:divBdr>
        </w:div>
        <w:div w:id="983893936">
          <w:marLeft w:val="0"/>
          <w:marRight w:val="0"/>
          <w:marTop w:val="0"/>
          <w:marBottom w:val="0"/>
          <w:divBdr>
            <w:top w:val="none" w:sz="0" w:space="0" w:color="auto"/>
            <w:left w:val="none" w:sz="0" w:space="0" w:color="auto"/>
            <w:bottom w:val="none" w:sz="0" w:space="0" w:color="auto"/>
            <w:right w:val="none" w:sz="0" w:space="0" w:color="auto"/>
          </w:divBdr>
        </w:div>
        <w:div w:id="1788352914">
          <w:marLeft w:val="0"/>
          <w:marRight w:val="0"/>
          <w:marTop w:val="0"/>
          <w:marBottom w:val="0"/>
          <w:divBdr>
            <w:top w:val="none" w:sz="0" w:space="0" w:color="auto"/>
            <w:left w:val="none" w:sz="0" w:space="0" w:color="auto"/>
            <w:bottom w:val="none" w:sz="0" w:space="0" w:color="auto"/>
            <w:right w:val="none" w:sz="0" w:space="0" w:color="auto"/>
          </w:divBdr>
        </w:div>
        <w:div w:id="203059177">
          <w:marLeft w:val="0"/>
          <w:marRight w:val="0"/>
          <w:marTop w:val="0"/>
          <w:marBottom w:val="0"/>
          <w:divBdr>
            <w:top w:val="none" w:sz="0" w:space="0" w:color="auto"/>
            <w:left w:val="none" w:sz="0" w:space="0" w:color="auto"/>
            <w:bottom w:val="none" w:sz="0" w:space="0" w:color="auto"/>
            <w:right w:val="none" w:sz="0" w:space="0" w:color="auto"/>
          </w:divBdr>
        </w:div>
        <w:div w:id="2025594037">
          <w:marLeft w:val="0"/>
          <w:marRight w:val="0"/>
          <w:marTop w:val="0"/>
          <w:marBottom w:val="0"/>
          <w:divBdr>
            <w:top w:val="none" w:sz="0" w:space="0" w:color="auto"/>
            <w:left w:val="none" w:sz="0" w:space="0" w:color="auto"/>
            <w:bottom w:val="none" w:sz="0" w:space="0" w:color="auto"/>
            <w:right w:val="none" w:sz="0" w:space="0" w:color="auto"/>
          </w:divBdr>
        </w:div>
        <w:div w:id="1717655206">
          <w:marLeft w:val="0"/>
          <w:marRight w:val="0"/>
          <w:marTop w:val="0"/>
          <w:marBottom w:val="0"/>
          <w:divBdr>
            <w:top w:val="none" w:sz="0" w:space="0" w:color="auto"/>
            <w:left w:val="none" w:sz="0" w:space="0" w:color="auto"/>
            <w:bottom w:val="none" w:sz="0" w:space="0" w:color="auto"/>
            <w:right w:val="none" w:sz="0" w:space="0" w:color="auto"/>
          </w:divBdr>
        </w:div>
        <w:div w:id="872496869">
          <w:marLeft w:val="0"/>
          <w:marRight w:val="0"/>
          <w:marTop w:val="0"/>
          <w:marBottom w:val="0"/>
          <w:divBdr>
            <w:top w:val="none" w:sz="0" w:space="0" w:color="auto"/>
            <w:left w:val="none" w:sz="0" w:space="0" w:color="auto"/>
            <w:bottom w:val="none" w:sz="0" w:space="0" w:color="auto"/>
            <w:right w:val="none" w:sz="0" w:space="0" w:color="auto"/>
          </w:divBdr>
        </w:div>
        <w:div w:id="1646423015">
          <w:marLeft w:val="0"/>
          <w:marRight w:val="0"/>
          <w:marTop w:val="0"/>
          <w:marBottom w:val="0"/>
          <w:divBdr>
            <w:top w:val="none" w:sz="0" w:space="0" w:color="auto"/>
            <w:left w:val="none" w:sz="0" w:space="0" w:color="auto"/>
            <w:bottom w:val="none" w:sz="0" w:space="0" w:color="auto"/>
            <w:right w:val="none" w:sz="0" w:space="0" w:color="auto"/>
          </w:divBdr>
        </w:div>
        <w:div w:id="720832899">
          <w:marLeft w:val="0"/>
          <w:marRight w:val="0"/>
          <w:marTop w:val="0"/>
          <w:marBottom w:val="0"/>
          <w:divBdr>
            <w:top w:val="none" w:sz="0" w:space="0" w:color="auto"/>
            <w:left w:val="none" w:sz="0" w:space="0" w:color="auto"/>
            <w:bottom w:val="none" w:sz="0" w:space="0" w:color="auto"/>
            <w:right w:val="none" w:sz="0" w:space="0" w:color="auto"/>
          </w:divBdr>
        </w:div>
        <w:div w:id="1702244781">
          <w:marLeft w:val="0"/>
          <w:marRight w:val="0"/>
          <w:marTop w:val="0"/>
          <w:marBottom w:val="0"/>
          <w:divBdr>
            <w:top w:val="none" w:sz="0" w:space="0" w:color="auto"/>
            <w:left w:val="none" w:sz="0" w:space="0" w:color="auto"/>
            <w:bottom w:val="none" w:sz="0" w:space="0" w:color="auto"/>
            <w:right w:val="none" w:sz="0" w:space="0" w:color="auto"/>
          </w:divBdr>
        </w:div>
        <w:div w:id="1169760373">
          <w:marLeft w:val="0"/>
          <w:marRight w:val="0"/>
          <w:marTop w:val="0"/>
          <w:marBottom w:val="0"/>
          <w:divBdr>
            <w:top w:val="none" w:sz="0" w:space="0" w:color="auto"/>
            <w:left w:val="none" w:sz="0" w:space="0" w:color="auto"/>
            <w:bottom w:val="none" w:sz="0" w:space="0" w:color="auto"/>
            <w:right w:val="none" w:sz="0" w:space="0" w:color="auto"/>
          </w:divBdr>
        </w:div>
        <w:div w:id="693379935">
          <w:marLeft w:val="0"/>
          <w:marRight w:val="0"/>
          <w:marTop w:val="0"/>
          <w:marBottom w:val="0"/>
          <w:divBdr>
            <w:top w:val="none" w:sz="0" w:space="0" w:color="auto"/>
            <w:left w:val="none" w:sz="0" w:space="0" w:color="auto"/>
            <w:bottom w:val="none" w:sz="0" w:space="0" w:color="auto"/>
            <w:right w:val="none" w:sz="0" w:space="0" w:color="auto"/>
          </w:divBdr>
        </w:div>
        <w:div w:id="240678528">
          <w:marLeft w:val="0"/>
          <w:marRight w:val="0"/>
          <w:marTop w:val="0"/>
          <w:marBottom w:val="0"/>
          <w:divBdr>
            <w:top w:val="none" w:sz="0" w:space="0" w:color="auto"/>
            <w:left w:val="none" w:sz="0" w:space="0" w:color="auto"/>
            <w:bottom w:val="none" w:sz="0" w:space="0" w:color="auto"/>
            <w:right w:val="none" w:sz="0" w:space="0" w:color="auto"/>
          </w:divBdr>
        </w:div>
        <w:div w:id="1099327342">
          <w:marLeft w:val="0"/>
          <w:marRight w:val="0"/>
          <w:marTop w:val="0"/>
          <w:marBottom w:val="0"/>
          <w:divBdr>
            <w:top w:val="none" w:sz="0" w:space="0" w:color="auto"/>
            <w:left w:val="none" w:sz="0" w:space="0" w:color="auto"/>
            <w:bottom w:val="none" w:sz="0" w:space="0" w:color="auto"/>
            <w:right w:val="none" w:sz="0" w:space="0" w:color="auto"/>
          </w:divBdr>
        </w:div>
        <w:div w:id="287515572">
          <w:marLeft w:val="0"/>
          <w:marRight w:val="0"/>
          <w:marTop w:val="0"/>
          <w:marBottom w:val="0"/>
          <w:divBdr>
            <w:top w:val="none" w:sz="0" w:space="0" w:color="auto"/>
            <w:left w:val="none" w:sz="0" w:space="0" w:color="auto"/>
            <w:bottom w:val="none" w:sz="0" w:space="0" w:color="auto"/>
            <w:right w:val="none" w:sz="0" w:space="0" w:color="auto"/>
          </w:divBdr>
        </w:div>
        <w:div w:id="1189760896">
          <w:marLeft w:val="0"/>
          <w:marRight w:val="0"/>
          <w:marTop w:val="0"/>
          <w:marBottom w:val="0"/>
          <w:divBdr>
            <w:top w:val="none" w:sz="0" w:space="0" w:color="auto"/>
            <w:left w:val="none" w:sz="0" w:space="0" w:color="auto"/>
            <w:bottom w:val="none" w:sz="0" w:space="0" w:color="auto"/>
            <w:right w:val="none" w:sz="0" w:space="0" w:color="auto"/>
          </w:divBdr>
        </w:div>
        <w:div w:id="2097288171">
          <w:marLeft w:val="0"/>
          <w:marRight w:val="0"/>
          <w:marTop w:val="0"/>
          <w:marBottom w:val="0"/>
          <w:divBdr>
            <w:top w:val="none" w:sz="0" w:space="0" w:color="auto"/>
            <w:left w:val="none" w:sz="0" w:space="0" w:color="auto"/>
            <w:bottom w:val="none" w:sz="0" w:space="0" w:color="auto"/>
            <w:right w:val="none" w:sz="0" w:space="0" w:color="auto"/>
          </w:divBdr>
        </w:div>
        <w:div w:id="819035470">
          <w:marLeft w:val="0"/>
          <w:marRight w:val="0"/>
          <w:marTop w:val="0"/>
          <w:marBottom w:val="0"/>
          <w:divBdr>
            <w:top w:val="none" w:sz="0" w:space="0" w:color="auto"/>
            <w:left w:val="none" w:sz="0" w:space="0" w:color="auto"/>
            <w:bottom w:val="none" w:sz="0" w:space="0" w:color="auto"/>
            <w:right w:val="none" w:sz="0" w:space="0" w:color="auto"/>
          </w:divBdr>
        </w:div>
        <w:div w:id="1056513678">
          <w:marLeft w:val="0"/>
          <w:marRight w:val="0"/>
          <w:marTop w:val="0"/>
          <w:marBottom w:val="0"/>
          <w:divBdr>
            <w:top w:val="none" w:sz="0" w:space="0" w:color="auto"/>
            <w:left w:val="none" w:sz="0" w:space="0" w:color="auto"/>
            <w:bottom w:val="none" w:sz="0" w:space="0" w:color="auto"/>
            <w:right w:val="none" w:sz="0" w:space="0" w:color="auto"/>
          </w:divBdr>
        </w:div>
        <w:div w:id="986399070">
          <w:marLeft w:val="0"/>
          <w:marRight w:val="0"/>
          <w:marTop w:val="0"/>
          <w:marBottom w:val="0"/>
          <w:divBdr>
            <w:top w:val="none" w:sz="0" w:space="0" w:color="auto"/>
            <w:left w:val="none" w:sz="0" w:space="0" w:color="auto"/>
            <w:bottom w:val="none" w:sz="0" w:space="0" w:color="auto"/>
            <w:right w:val="none" w:sz="0" w:space="0" w:color="auto"/>
          </w:divBdr>
        </w:div>
        <w:div w:id="1530684620">
          <w:marLeft w:val="0"/>
          <w:marRight w:val="0"/>
          <w:marTop w:val="0"/>
          <w:marBottom w:val="0"/>
          <w:divBdr>
            <w:top w:val="none" w:sz="0" w:space="0" w:color="auto"/>
            <w:left w:val="none" w:sz="0" w:space="0" w:color="auto"/>
            <w:bottom w:val="none" w:sz="0" w:space="0" w:color="auto"/>
            <w:right w:val="none" w:sz="0" w:space="0" w:color="auto"/>
          </w:divBdr>
        </w:div>
        <w:div w:id="405148465">
          <w:marLeft w:val="0"/>
          <w:marRight w:val="0"/>
          <w:marTop w:val="0"/>
          <w:marBottom w:val="0"/>
          <w:divBdr>
            <w:top w:val="none" w:sz="0" w:space="0" w:color="auto"/>
            <w:left w:val="none" w:sz="0" w:space="0" w:color="auto"/>
            <w:bottom w:val="none" w:sz="0" w:space="0" w:color="auto"/>
            <w:right w:val="none" w:sz="0" w:space="0" w:color="auto"/>
          </w:divBdr>
        </w:div>
        <w:div w:id="1256746181">
          <w:marLeft w:val="0"/>
          <w:marRight w:val="0"/>
          <w:marTop w:val="0"/>
          <w:marBottom w:val="0"/>
          <w:divBdr>
            <w:top w:val="none" w:sz="0" w:space="0" w:color="auto"/>
            <w:left w:val="none" w:sz="0" w:space="0" w:color="auto"/>
            <w:bottom w:val="none" w:sz="0" w:space="0" w:color="auto"/>
            <w:right w:val="none" w:sz="0" w:space="0" w:color="auto"/>
          </w:divBdr>
        </w:div>
        <w:div w:id="1677149277">
          <w:marLeft w:val="0"/>
          <w:marRight w:val="0"/>
          <w:marTop w:val="0"/>
          <w:marBottom w:val="0"/>
          <w:divBdr>
            <w:top w:val="none" w:sz="0" w:space="0" w:color="auto"/>
            <w:left w:val="none" w:sz="0" w:space="0" w:color="auto"/>
            <w:bottom w:val="none" w:sz="0" w:space="0" w:color="auto"/>
            <w:right w:val="none" w:sz="0" w:space="0" w:color="auto"/>
          </w:divBdr>
        </w:div>
        <w:div w:id="761754350">
          <w:marLeft w:val="0"/>
          <w:marRight w:val="0"/>
          <w:marTop w:val="0"/>
          <w:marBottom w:val="0"/>
          <w:divBdr>
            <w:top w:val="none" w:sz="0" w:space="0" w:color="auto"/>
            <w:left w:val="none" w:sz="0" w:space="0" w:color="auto"/>
            <w:bottom w:val="none" w:sz="0" w:space="0" w:color="auto"/>
            <w:right w:val="none" w:sz="0" w:space="0" w:color="auto"/>
          </w:divBdr>
        </w:div>
        <w:div w:id="899635699">
          <w:marLeft w:val="0"/>
          <w:marRight w:val="0"/>
          <w:marTop w:val="0"/>
          <w:marBottom w:val="0"/>
          <w:divBdr>
            <w:top w:val="none" w:sz="0" w:space="0" w:color="auto"/>
            <w:left w:val="none" w:sz="0" w:space="0" w:color="auto"/>
            <w:bottom w:val="none" w:sz="0" w:space="0" w:color="auto"/>
            <w:right w:val="none" w:sz="0" w:space="0" w:color="auto"/>
          </w:divBdr>
        </w:div>
        <w:div w:id="1602565460">
          <w:marLeft w:val="0"/>
          <w:marRight w:val="0"/>
          <w:marTop w:val="0"/>
          <w:marBottom w:val="0"/>
          <w:divBdr>
            <w:top w:val="none" w:sz="0" w:space="0" w:color="auto"/>
            <w:left w:val="none" w:sz="0" w:space="0" w:color="auto"/>
            <w:bottom w:val="none" w:sz="0" w:space="0" w:color="auto"/>
            <w:right w:val="none" w:sz="0" w:space="0" w:color="auto"/>
          </w:divBdr>
        </w:div>
        <w:div w:id="1630669386">
          <w:marLeft w:val="0"/>
          <w:marRight w:val="0"/>
          <w:marTop w:val="0"/>
          <w:marBottom w:val="0"/>
          <w:divBdr>
            <w:top w:val="none" w:sz="0" w:space="0" w:color="auto"/>
            <w:left w:val="none" w:sz="0" w:space="0" w:color="auto"/>
            <w:bottom w:val="none" w:sz="0" w:space="0" w:color="auto"/>
            <w:right w:val="none" w:sz="0" w:space="0" w:color="auto"/>
          </w:divBdr>
        </w:div>
        <w:div w:id="858667590">
          <w:marLeft w:val="0"/>
          <w:marRight w:val="0"/>
          <w:marTop w:val="0"/>
          <w:marBottom w:val="0"/>
          <w:divBdr>
            <w:top w:val="none" w:sz="0" w:space="0" w:color="auto"/>
            <w:left w:val="none" w:sz="0" w:space="0" w:color="auto"/>
            <w:bottom w:val="none" w:sz="0" w:space="0" w:color="auto"/>
            <w:right w:val="none" w:sz="0" w:space="0" w:color="auto"/>
          </w:divBdr>
        </w:div>
        <w:div w:id="642580602">
          <w:marLeft w:val="0"/>
          <w:marRight w:val="0"/>
          <w:marTop w:val="0"/>
          <w:marBottom w:val="0"/>
          <w:divBdr>
            <w:top w:val="none" w:sz="0" w:space="0" w:color="auto"/>
            <w:left w:val="none" w:sz="0" w:space="0" w:color="auto"/>
            <w:bottom w:val="none" w:sz="0" w:space="0" w:color="auto"/>
            <w:right w:val="none" w:sz="0" w:space="0" w:color="auto"/>
          </w:divBdr>
        </w:div>
        <w:div w:id="1472551570">
          <w:marLeft w:val="0"/>
          <w:marRight w:val="0"/>
          <w:marTop w:val="0"/>
          <w:marBottom w:val="0"/>
          <w:divBdr>
            <w:top w:val="none" w:sz="0" w:space="0" w:color="auto"/>
            <w:left w:val="none" w:sz="0" w:space="0" w:color="auto"/>
            <w:bottom w:val="none" w:sz="0" w:space="0" w:color="auto"/>
            <w:right w:val="none" w:sz="0" w:space="0" w:color="auto"/>
          </w:divBdr>
        </w:div>
        <w:div w:id="806313706">
          <w:marLeft w:val="0"/>
          <w:marRight w:val="0"/>
          <w:marTop w:val="0"/>
          <w:marBottom w:val="0"/>
          <w:divBdr>
            <w:top w:val="none" w:sz="0" w:space="0" w:color="auto"/>
            <w:left w:val="none" w:sz="0" w:space="0" w:color="auto"/>
            <w:bottom w:val="none" w:sz="0" w:space="0" w:color="auto"/>
            <w:right w:val="none" w:sz="0" w:space="0" w:color="auto"/>
          </w:divBdr>
        </w:div>
        <w:div w:id="1404183292">
          <w:marLeft w:val="0"/>
          <w:marRight w:val="0"/>
          <w:marTop w:val="0"/>
          <w:marBottom w:val="0"/>
          <w:divBdr>
            <w:top w:val="none" w:sz="0" w:space="0" w:color="auto"/>
            <w:left w:val="none" w:sz="0" w:space="0" w:color="auto"/>
            <w:bottom w:val="none" w:sz="0" w:space="0" w:color="auto"/>
            <w:right w:val="none" w:sz="0" w:space="0" w:color="auto"/>
          </w:divBdr>
        </w:div>
        <w:div w:id="994064221">
          <w:marLeft w:val="0"/>
          <w:marRight w:val="0"/>
          <w:marTop w:val="0"/>
          <w:marBottom w:val="0"/>
          <w:divBdr>
            <w:top w:val="none" w:sz="0" w:space="0" w:color="auto"/>
            <w:left w:val="none" w:sz="0" w:space="0" w:color="auto"/>
            <w:bottom w:val="none" w:sz="0" w:space="0" w:color="auto"/>
            <w:right w:val="none" w:sz="0" w:space="0" w:color="auto"/>
          </w:divBdr>
        </w:div>
        <w:div w:id="367802907">
          <w:marLeft w:val="0"/>
          <w:marRight w:val="0"/>
          <w:marTop w:val="0"/>
          <w:marBottom w:val="0"/>
          <w:divBdr>
            <w:top w:val="none" w:sz="0" w:space="0" w:color="auto"/>
            <w:left w:val="none" w:sz="0" w:space="0" w:color="auto"/>
            <w:bottom w:val="none" w:sz="0" w:space="0" w:color="auto"/>
            <w:right w:val="none" w:sz="0" w:space="0" w:color="auto"/>
          </w:divBdr>
        </w:div>
        <w:div w:id="960379550">
          <w:marLeft w:val="0"/>
          <w:marRight w:val="0"/>
          <w:marTop w:val="0"/>
          <w:marBottom w:val="0"/>
          <w:divBdr>
            <w:top w:val="none" w:sz="0" w:space="0" w:color="auto"/>
            <w:left w:val="none" w:sz="0" w:space="0" w:color="auto"/>
            <w:bottom w:val="none" w:sz="0" w:space="0" w:color="auto"/>
            <w:right w:val="none" w:sz="0" w:space="0" w:color="auto"/>
          </w:divBdr>
        </w:div>
        <w:div w:id="1693535462">
          <w:marLeft w:val="0"/>
          <w:marRight w:val="0"/>
          <w:marTop w:val="0"/>
          <w:marBottom w:val="0"/>
          <w:divBdr>
            <w:top w:val="none" w:sz="0" w:space="0" w:color="auto"/>
            <w:left w:val="none" w:sz="0" w:space="0" w:color="auto"/>
            <w:bottom w:val="none" w:sz="0" w:space="0" w:color="auto"/>
            <w:right w:val="none" w:sz="0" w:space="0" w:color="auto"/>
          </w:divBdr>
        </w:div>
        <w:div w:id="586694872">
          <w:marLeft w:val="0"/>
          <w:marRight w:val="0"/>
          <w:marTop w:val="0"/>
          <w:marBottom w:val="0"/>
          <w:divBdr>
            <w:top w:val="none" w:sz="0" w:space="0" w:color="auto"/>
            <w:left w:val="none" w:sz="0" w:space="0" w:color="auto"/>
            <w:bottom w:val="none" w:sz="0" w:space="0" w:color="auto"/>
            <w:right w:val="none" w:sz="0" w:space="0" w:color="auto"/>
          </w:divBdr>
        </w:div>
        <w:div w:id="699086045">
          <w:marLeft w:val="0"/>
          <w:marRight w:val="0"/>
          <w:marTop w:val="0"/>
          <w:marBottom w:val="0"/>
          <w:divBdr>
            <w:top w:val="none" w:sz="0" w:space="0" w:color="auto"/>
            <w:left w:val="none" w:sz="0" w:space="0" w:color="auto"/>
            <w:bottom w:val="none" w:sz="0" w:space="0" w:color="auto"/>
            <w:right w:val="none" w:sz="0" w:space="0" w:color="auto"/>
          </w:divBdr>
        </w:div>
        <w:div w:id="666517362">
          <w:marLeft w:val="0"/>
          <w:marRight w:val="0"/>
          <w:marTop w:val="0"/>
          <w:marBottom w:val="0"/>
          <w:divBdr>
            <w:top w:val="none" w:sz="0" w:space="0" w:color="auto"/>
            <w:left w:val="none" w:sz="0" w:space="0" w:color="auto"/>
            <w:bottom w:val="none" w:sz="0" w:space="0" w:color="auto"/>
            <w:right w:val="none" w:sz="0" w:space="0" w:color="auto"/>
          </w:divBdr>
        </w:div>
        <w:div w:id="39211847">
          <w:marLeft w:val="0"/>
          <w:marRight w:val="0"/>
          <w:marTop w:val="0"/>
          <w:marBottom w:val="0"/>
          <w:divBdr>
            <w:top w:val="none" w:sz="0" w:space="0" w:color="auto"/>
            <w:left w:val="none" w:sz="0" w:space="0" w:color="auto"/>
            <w:bottom w:val="none" w:sz="0" w:space="0" w:color="auto"/>
            <w:right w:val="none" w:sz="0" w:space="0" w:color="auto"/>
          </w:divBdr>
        </w:div>
        <w:div w:id="1636716488">
          <w:marLeft w:val="0"/>
          <w:marRight w:val="0"/>
          <w:marTop w:val="0"/>
          <w:marBottom w:val="0"/>
          <w:divBdr>
            <w:top w:val="none" w:sz="0" w:space="0" w:color="auto"/>
            <w:left w:val="none" w:sz="0" w:space="0" w:color="auto"/>
            <w:bottom w:val="none" w:sz="0" w:space="0" w:color="auto"/>
            <w:right w:val="none" w:sz="0" w:space="0" w:color="auto"/>
          </w:divBdr>
        </w:div>
        <w:div w:id="1462648917">
          <w:marLeft w:val="0"/>
          <w:marRight w:val="0"/>
          <w:marTop w:val="0"/>
          <w:marBottom w:val="0"/>
          <w:divBdr>
            <w:top w:val="none" w:sz="0" w:space="0" w:color="auto"/>
            <w:left w:val="none" w:sz="0" w:space="0" w:color="auto"/>
            <w:bottom w:val="none" w:sz="0" w:space="0" w:color="auto"/>
            <w:right w:val="none" w:sz="0" w:space="0" w:color="auto"/>
          </w:divBdr>
        </w:div>
        <w:div w:id="417752400">
          <w:marLeft w:val="0"/>
          <w:marRight w:val="0"/>
          <w:marTop w:val="0"/>
          <w:marBottom w:val="0"/>
          <w:divBdr>
            <w:top w:val="none" w:sz="0" w:space="0" w:color="auto"/>
            <w:left w:val="none" w:sz="0" w:space="0" w:color="auto"/>
            <w:bottom w:val="none" w:sz="0" w:space="0" w:color="auto"/>
            <w:right w:val="none" w:sz="0" w:space="0" w:color="auto"/>
          </w:divBdr>
        </w:div>
        <w:div w:id="1702435918">
          <w:marLeft w:val="0"/>
          <w:marRight w:val="0"/>
          <w:marTop w:val="0"/>
          <w:marBottom w:val="0"/>
          <w:divBdr>
            <w:top w:val="none" w:sz="0" w:space="0" w:color="auto"/>
            <w:left w:val="none" w:sz="0" w:space="0" w:color="auto"/>
            <w:bottom w:val="none" w:sz="0" w:space="0" w:color="auto"/>
            <w:right w:val="none" w:sz="0" w:space="0" w:color="auto"/>
          </w:divBdr>
        </w:div>
        <w:div w:id="1957176629">
          <w:marLeft w:val="0"/>
          <w:marRight w:val="0"/>
          <w:marTop w:val="0"/>
          <w:marBottom w:val="0"/>
          <w:divBdr>
            <w:top w:val="none" w:sz="0" w:space="0" w:color="auto"/>
            <w:left w:val="none" w:sz="0" w:space="0" w:color="auto"/>
            <w:bottom w:val="none" w:sz="0" w:space="0" w:color="auto"/>
            <w:right w:val="none" w:sz="0" w:space="0" w:color="auto"/>
          </w:divBdr>
        </w:div>
        <w:div w:id="1708682299">
          <w:marLeft w:val="0"/>
          <w:marRight w:val="0"/>
          <w:marTop w:val="0"/>
          <w:marBottom w:val="0"/>
          <w:divBdr>
            <w:top w:val="none" w:sz="0" w:space="0" w:color="auto"/>
            <w:left w:val="none" w:sz="0" w:space="0" w:color="auto"/>
            <w:bottom w:val="none" w:sz="0" w:space="0" w:color="auto"/>
            <w:right w:val="none" w:sz="0" w:space="0" w:color="auto"/>
          </w:divBdr>
        </w:div>
        <w:div w:id="1091511776">
          <w:marLeft w:val="0"/>
          <w:marRight w:val="0"/>
          <w:marTop w:val="0"/>
          <w:marBottom w:val="0"/>
          <w:divBdr>
            <w:top w:val="none" w:sz="0" w:space="0" w:color="auto"/>
            <w:left w:val="none" w:sz="0" w:space="0" w:color="auto"/>
            <w:bottom w:val="none" w:sz="0" w:space="0" w:color="auto"/>
            <w:right w:val="none" w:sz="0" w:space="0" w:color="auto"/>
          </w:divBdr>
        </w:div>
        <w:div w:id="280653267">
          <w:marLeft w:val="0"/>
          <w:marRight w:val="0"/>
          <w:marTop w:val="0"/>
          <w:marBottom w:val="0"/>
          <w:divBdr>
            <w:top w:val="none" w:sz="0" w:space="0" w:color="auto"/>
            <w:left w:val="none" w:sz="0" w:space="0" w:color="auto"/>
            <w:bottom w:val="none" w:sz="0" w:space="0" w:color="auto"/>
            <w:right w:val="none" w:sz="0" w:space="0" w:color="auto"/>
          </w:divBdr>
        </w:div>
        <w:div w:id="1783110715">
          <w:marLeft w:val="0"/>
          <w:marRight w:val="0"/>
          <w:marTop w:val="0"/>
          <w:marBottom w:val="0"/>
          <w:divBdr>
            <w:top w:val="none" w:sz="0" w:space="0" w:color="auto"/>
            <w:left w:val="none" w:sz="0" w:space="0" w:color="auto"/>
            <w:bottom w:val="none" w:sz="0" w:space="0" w:color="auto"/>
            <w:right w:val="none" w:sz="0" w:space="0" w:color="auto"/>
          </w:divBdr>
        </w:div>
        <w:div w:id="25715518">
          <w:marLeft w:val="0"/>
          <w:marRight w:val="0"/>
          <w:marTop w:val="0"/>
          <w:marBottom w:val="0"/>
          <w:divBdr>
            <w:top w:val="none" w:sz="0" w:space="0" w:color="auto"/>
            <w:left w:val="none" w:sz="0" w:space="0" w:color="auto"/>
            <w:bottom w:val="none" w:sz="0" w:space="0" w:color="auto"/>
            <w:right w:val="none" w:sz="0" w:space="0" w:color="auto"/>
          </w:divBdr>
        </w:div>
        <w:div w:id="1472595668">
          <w:marLeft w:val="0"/>
          <w:marRight w:val="0"/>
          <w:marTop w:val="0"/>
          <w:marBottom w:val="0"/>
          <w:divBdr>
            <w:top w:val="none" w:sz="0" w:space="0" w:color="auto"/>
            <w:left w:val="none" w:sz="0" w:space="0" w:color="auto"/>
            <w:bottom w:val="none" w:sz="0" w:space="0" w:color="auto"/>
            <w:right w:val="none" w:sz="0" w:space="0" w:color="auto"/>
          </w:divBdr>
        </w:div>
        <w:div w:id="2140875564">
          <w:marLeft w:val="0"/>
          <w:marRight w:val="0"/>
          <w:marTop w:val="0"/>
          <w:marBottom w:val="0"/>
          <w:divBdr>
            <w:top w:val="none" w:sz="0" w:space="0" w:color="auto"/>
            <w:left w:val="none" w:sz="0" w:space="0" w:color="auto"/>
            <w:bottom w:val="none" w:sz="0" w:space="0" w:color="auto"/>
            <w:right w:val="none" w:sz="0" w:space="0" w:color="auto"/>
          </w:divBdr>
        </w:div>
        <w:div w:id="1029720640">
          <w:marLeft w:val="0"/>
          <w:marRight w:val="0"/>
          <w:marTop w:val="0"/>
          <w:marBottom w:val="0"/>
          <w:divBdr>
            <w:top w:val="none" w:sz="0" w:space="0" w:color="auto"/>
            <w:left w:val="none" w:sz="0" w:space="0" w:color="auto"/>
            <w:bottom w:val="none" w:sz="0" w:space="0" w:color="auto"/>
            <w:right w:val="none" w:sz="0" w:space="0" w:color="auto"/>
          </w:divBdr>
        </w:div>
        <w:div w:id="220137496">
          <w:marLeft w:val="0"/>
          <w:marRight w:val="0"/>
          <w:marTop w:val="0"/>
          <w:marBottom w:val="0"/>
          <w:divBdr>
            <w:top w:val="none" w:sz="0" w:space="0" w:color="auto"/>
            <w:left w:val="none" w:sz="0" w:space="0" w:color="auto"/>
            <w:bottom w:val="none" w:sz="0" w:space="0" w:color="auto"/>
            <w:right w:val="none" w:sz="0" w:space="0" w:color="auto"/>
          </w:divBdr>
        </w:div>
        <w:div w:id="2019501519">
          <w:marLeft w:val="0"/>
          <w:marRight w:val="0"/>
          <w:marTop w:val="0"/>
          <w:marBottom w:val="0"/>
          <w:divBdr>
            <w:top w:val="none" w:sz="0" w:space="0" w:color="auto"/>
            <w:left w:val="none" w:sz="0" w:space="0" w:color="auto"/>
            <w:bottom w:val="none" w:sz="0" w:space="0" w:color="auto"/>
            <w:right w:val="none" w:sz="0" w:space="0" w:color="auto"/>
          </w:divBdr>
        </w:div>
        <w:div w:id="58942789">
          <w:marLeft w:val="0"/>
          <w:marRight w:val="0"/>
          <w:marTop w:val="0"/>
          <w:marBottom w:val="0"/>
          <w:divBdr>
            <w:top w:val="none" w:sz="0" w:space="0" w:color="auto"/>
            <w:left w:val="none" w:sz="0" w:space="0" w:color="auto"/>
            <w:bottom w:val="none" w:sz="0" w:space="0" w:color="auto"/>
            <w:right w:val="none" w:sz="0" w:space="0" w:color="auto"/>
          </w:divBdr>
        </w:div>
        <w:div w:id="682629342">
          <w:marLeft w:val="0"/>
          <w:marRight w:val="0"/>
          <w:marTop w:val="0"/>
          <w:marBottom w:val="0"/>
          <w:divBdr>
            <w:top w:val="none" w:sz="0" w:space="0" w:color="auto"/>
            <w:left w:val="none" w:sz="0" w:space="0" w:color="auto"/>
            <w:bottom w:val="none" w:sz="0" w:space="0" w:color="auto"/>
            <w:right w:val="none" w:sz="0" w:space="0" w:color="auto"/>
          </w:divBdr>
        </w:div>
        <w:div w:id="467861935">
          <w:marLeft w:val="0"/>
          <w:marRight w:val="0"/>
          <w:marTop w:val="0"/>
          <w:marBottom w:val="0"/>
          <w:divBdr>
            <w:top w:val="none" w:sz="0" w:space="0" w:color="auto"/>
            <w:left w:val="none" w:sz="0" w:space="0" w:color="auto"/>
            <w:bottom w:val="none" w:sz="0" w:space="0" w:color="auto"/>
            <w:right w:val="none" w:sz="0" w:space="0" w:color="auto"/>
          </w:divBdr>
        </w:div>
        <w:div w:id="821896989">
          <w:marLeft w:val="0"/>
          <w:marRight w:val="0"/>
          <w:marTop w:val="0"/>
          <w:marBottom w:val="0"/>
          <w:divBdr>
            <w:top w:val="none" w:sz="0" w:space="0" w:color="auto"/>
            <w:left w:val="none" w:sz="0" w:space="0" w:color="auto"/>
            <w:bottom w:val="none" w:sz="0" w:space="0" w:color="auto"/>
            <w:right w:val="none" w:sz="0" w:space="0" w:color="auto"/>
          </w:divBdr>
        </w:div>
        <w:div w:id="476918905">
          <w:marLeft w:val="0"/>
          <w:marRight w:val="0"/>
          <w:marTop w:val="0"/>
          <w:marBottom w:val="0"/>
          <w:divBdr>
            <w:top w:val="none" w:sz="0" w:space="0" w:color="auto"/>
            <w:left w:val="none" w:sz="0" w:space="0" w:color="auto"/>
            <w:bottom w:val="none" w:sz="0" w:space="0" w:color="auto"/>
            <w:right w:val="none" w:sz="0" w:space="0" w:color="auto"/>
          </w:divBdr>
        </w:div>
        <w:div w:id="322979044">
          <w:marLeft w:val="0"/>
          <w:marRight w:val="0"/>
          <w:marTop w:val="0"/>
          <w:marBottom w:val="0"/>
          <w:divBdr>
            <w:top w:val="none" w:sz="0" w:space="0" w:color="auto"/>
            <w:left w:val="none" w:sz="0" w:space="0" w:color="auto"/>
            <w:bottom w:val="none" w:sz="0" w:space="0" w:color="auto"/>
            <w:right w:val="none" w:sz="0" w:space="0" w:color="auto"/>
          </w:divBdr>
        </w:div>
        <w:div w:id="2033265521">
          <w:marLeft w:val="0"/>
          <w:marRight w:val="0"/>
          <w:marTop w:val="0"/>
          <w:marBottom w:val="0"/>
          <w:divBdr>
            <w:top w:val="none" w:sz="0" w:space="0" w:color="auto"/>
            <w:left w:val="none" w:sz="0" w:space="0" w:color="auto"/>
            <w:bottom w:val="none" w:sz="0" w:space="0" w:color="auto"/>
            <w:right w:val="none" w:sz="0" w:space="0" w:color="auto"/>
          </w:divBdr>
        </w:div>
        <w:div w:id="349842406">
          <w:marLeft w:val="0"/>
          <w:marRight w:val="0"/>
          <w:marTop w:val="0"/>
          <w:marBottom w:val="0"/>
          <w:divBdr>
            <w:top w:val="none" w:sz="0" w:space="0" w:color="auto"/>
            <w:left w:val="none" w:sz="0" w:space="0" w:color="auto"/>
            <w:bottom w:val="none" w:sz="0" w:space="0" w:color="auto"/>
            <w:right w:val="none" w:sz="0" w:space="0" w:color="auto"/>
          </w:divBdr>
        </w:div>
        <w:div w:id="451631581">
          <w:marLeft w:val="0"/>
          <w:marRight w:val="0"/>
          <w:marTop w:val="0"/>
          <w:marBottom w:val="0"/>
          <w:divBdr>
            <w:top w:val="none" w:sz="0" w:space="0" w:color="auto"/>
            <w:left w:val="none" w:sz="0" w:space="0" w:color="auto"/>
            <w:bottom w:val="none" w:sz="0" w:space="0" w:color="auto"/>
            <w:right w:val="none" w:sz="0" w:space="0" w:color="auto"/>
          </w:divBdr>
        </w:div>
        <w:div w:id="66148335">
          <w:marLeft w:val="0"/>
          <w:marRight w:val="0"/>
          <w:marTop w:val="0"/>
          <w:marBottom w:val="0"/>
          <w:divBdr>
            <w:top w:val="none" w:sz="0" w:space="0" w:color="auto"/>
            <w:left w:val="none" w:sz="0" w:space="0" w:color="auto"/>
            <w:bottom w:val="none" w:sz="0" w:space="0" w:color="auto"/>
            <w:right w:val="none" w:sz="0" w:space="0" w:color="auto"/>
          </w:divBdr>
        </w:div>
        <w:div w:id="348021810">
          <w:marLeft w:val="0"/>
          <w:marRight w:val="0"/>
          <w:marTop w:val="0"/>
          <w:marBottom w:val="0"/>
          <w:divBdr>
            <w:top w:val="none" w:sz="0" w:space="0" w:color="auto"/>
            <w:left w:val="none" w:sz="0" w:space="0" w:color="auto"/>
            <w:bottom w:val="none" w:sz="0" w:space="0" w:color="auto"/>
            <w:right w:val="none" w:sz="0" w:space="0" w:color="auto"/>
          </w:divBdr>
        </w:div>
        <w:div w:id="1693409373">
          <w:marLeft w:val="0"/>
          <w:marRight w:val="0"/>
          <w:marTop w:val="0"/>
          <w:marBottom w:val="0"/>
          <w:divBdr>
            <w:top w:val="none" w:sz="0" w:space="0" w:color="auto"/>
            <w:left w:val="none" w:sz="0" w:space="0" w:color="auto"/>
            <w:bottom w:val="none" w:sz="0" w:space="0" w:color="auto"/>
            <w:right w:val="none" w:sz="0" w:space="0" w:color="auto"/>
          </w:divBdr>
        </w:div>
        <w:div w:id="1799638004">
          <w:marLeft w:val="0"/>
          <w:marRight w:val="0"/>
          <w:marTop w:val="0"/>
          <w:marBottom w:val="0"/>
          <w:divBdr>
            <w:top w:val="none" w:sz="0" w:space="0" w:color="auto"/>
            <w:left w:val="none" w:sz="0" w:space="0" w:color="auto"/>
            <w:bottom w:val="none" w:sz="0" w:space="0" w:color="auto"/>
            <w:right w:val="none" w:sz="0" w:space="0" w:color="auto"/>
          </w:divBdr>
        </w:div>
        <w:div w:id="1635327299">
          <w:marLeft w:val="0"/>
          <w:marRight w:val="0"/>
          <w:marTop w:val="0"/>
          <w:marBottom w:val="0"/>
          <w:divBdr>
            <w:top w:val="none" w:sz="0" w:space="0" w:color="auto"/>
            <w:left w:val="none" w:sz="0" w:space="0" w:color="auto"/>
            <w:bottom w:val="none" w:sz="0" w:space="0" w:color="auto"/>
            <w:right w:val="none" w:sz="0" w:space="0" w:color="auto"/>
          </w:divBdr>
        </w:div>
        <w:div w:id="376583788">
          <w:marLeft w:val="0"/>
          <w:marRight w:val="0"/>
          <w:marTop w:val="0"/>
          <w:marBottom w:val="0"/>
          <w:divBdr>
            <w:top w:val="none" w:sz="0" w:space="0" w:color="auto"/>
            <w:left w:val="none" w:sz="0" w:space="0" w:color="auto"/>
            <w:bottom w:val="none" w:sz="0" w:space="0" w:color="auto"/>
            <w:right w:val="none" w:sz="0" w:space="0" w:color="auto"/>
          </w:divBdr>
        </w:div>
        <w:div w:id="1978758129">
          <w:marLeft w:val="0"/>
          <w:marRight w:val="0"/>
          <w:marTop w:val="0"/>
          <w:marBottom w:val="0"/>
          <w:divBdr>
            <w:top w:val="none" w:sz="0" w:space="0" w:color="auto"/>
            <w:left w:val="none" w:sz="0" w:space="0" w:color="auto"/>
            <w:bottom w:val="none" w:sz="0" w:space="0" w:color="auto"/>
            <w:right w:val="none" w:sz="0" w:space="0" w:color="auto"/>
          </w:divBdr>
        </w:div>
        <w:div w:id="256208992">
          <w:marLeft w:val="0"/>
          <w:marRight w:val="0"/>
          <w:marTop w:val="0"/>
          <w:marBottom w:val="0"/>
          <w:divBdr>
            <w:top w:val="none" w:sz="0" w:space="0" w:color="auto"/>
            <w:left w:val="none" w:sz="0" w:space="0" w:color="auto"/>
            <w:bottom w:val="none" w:sz="0" w:space="0" w:color="auto"/>
            <w:right w:val="none" w:sz="0" w:space="0" w:color="auto"/>
          </w:divBdr>
        </w:div>
        <w:div w:id="8602390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cmtedd.act.gov.au/__data/assets/pdf_file/0003/1654077/Parliamentary-Agreement-for-the-10th-Legislative-Assembly.pdf" TargetMode="External"/><Relationship Id="rId2" Type="http://schemas.openxmlformats.org/officeDocument/2006/relationships/hyperlink" Target="https://www.environment.act.gov.au/__data/assets/pdf_file/0003/1414641/ACT-Climate-Change-Strategy-2019-2025.pdf/_recache" TargetMode="External"/><Relationship Id="rId1" Type="http://schemas.openxmlformats.org/officeDocument/2006/relationships/hyperlink" Target="https://www.actcoss.org.au/sites/default/files/public/publications/2019-factsheet-energy-hardship-in-the-a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A45916267</value>
    </field>
    <field name="Objective-Title">
      <value order="0">Attachment M - Priority Household Target - RIS</value>
    </field>
    <field name="Objective-Description">
      <value order="0"/>
    </field>
    <field name="Objective-CreationStamp">
      <value order="0">2024-03-19T03:16:55Z</value>
    </field>
    <field name="Objective-IsApproved">
      <value order="0">false</value>
    </field>
    <field name="Objective-IsPublished">
      <value order="0">true</value>
    </field>
    <field name="Objective-DatePublished">
      <value order="0">2024-07-19T01:55:01Z</value>
    </field>
    <field name="Objective-ModificationStamp">
      <value order="0">2024-07-19T01:55:01Z</value>
    </field>
    <field name="Objective-Owner">
      <value order="0">Mhairin Hilliker</value>
    </field>
    <field name="Objective-Path">
      <value order="0">Whole of ACT Government:EPSDD - Environment Planning and Sustainable Development Directorate:07. Ministerial, Cabinet and Government Relations:06. Ministerials:2024 - Ministerials Briefs and Correspondence:Climate Change, Energy &amp; Water:24/26037 Ministerial-Information Brief - Rattenbury - 2025 targets setting for the EEIS</value>
    </field>
    <field name="Objective-Parent">
      <value order="0">24/26037 Ministerial-Information Brief - Rattenbury - 2025 targets setting for the EEIS</value>
    </field>
    <field name="Objective-State">
      <value order="0">Published</value>
    </field>
    <field name="Objective-VersionId">
      <value order="0">vA59714153</value>
    </field>
    <field name="Objective-Version">
      <value order="0">4.0</value>
    </field>
    <field name="Objective-VersionNumber">
      <value order="0">12</value>
    </field>
    <field name="Objective-VersionComment">
      <value order="0"/>
    </field>
    <field name="Objective-FileNumber">
      <value order="0">1-2024/26037</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31C10FA2-0089-4440-8C7D-C9591D227B1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1980</Words>
  <Characters>10632</Characters>
  <Application>Microsoft Office Word</Application>
  <DocSecurity>0</DocSecurity>
  <Lines>195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Ereaut, Emma</dc:creator>
  <cp:keywords>2</cp:keywords>
  <cp:lastModifiedBy>PCODCS</cp:lastModifiedBy>
  <cp:revision>4</cp:revision>
  <dcterms:created xsi:type="dcterms:W3CDTF">2024-08-28T06:27:00Z</dcterms:created>
  <dcterms:modified xsi:type="dcterms:W3CDTF">2024-08-28T06:27:00Z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A45916267</vt:lpwstr>
  </property>
  <property fmtid="{D5CDD505-2E9C-101B-9397-08002B2CF9AE}" pid="4" name="Objective-Title">
    <vt:lpwstr>Attachment M - Priority Household Target - RIS</vt:lpwstr>
  </property>
  <property fmtid="{D5CDD505-2E9C-101B-9397-08002B2CF9AE}" pid="5" name="Objective-Comment">
    <vt:lpwstr/>
  </property>
  <property fmtid="{D5CDD505-2E9C-101B-9397-08002B2CF9AE}" pid="6" name="Objective-CreationStamp">
    <vt:filetime>2024-03-19T03:16:55Z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2024-07-19T01:55:01Z</vt:filetime>
  </property>
  <property fmtid="{D5CDD505-2E9C-101B-9397-08002B2CF9AE}" pid="10" name="Objective-ModificationStamp">
    <vt:filetime>2024-07-19T01:55:01Z</vt:filetime>
  </property>
  <property fmtid="{D5CDD505-2E9C-101B-9397-08002B2CF9AE}" pid="11" name="Objective-Owner">
    <vt:lpwstr>Mhairin Hilliker</vt:lpwstr>
  </property>
  <property fmtid="{D5CDD505-2E9C-101B-9397-08002B2CF9AE}" pid="12" name="Objective-Path">
    <vt:lpwstr>Whole of ACT Government:EPSDD - Environment Planning and Sustainable Development Directorate:07. Ministerial, Cabinet and Government Relations:06. Ministerials:2024 - Ministerials Briefs and Correspondence:Climate Change, Energy &amp; Water:24/26037 Ministerial-Information Brief - Rattenbury - 2025 targets setting for the EEIS:</vt:lpwstr>
  </property>
  <property fmtid="{D5CDD505-2E9C-101B-9397-08002B2CF9AE}" pid="13" name="Objective-Parent">
    <vt:lpwstr>24/26037 Ministerial-Information Brief - Rattenbury - 2025 targets setting for the EEIS</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1-2024/26037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vA59714153</vt:lpwstr>
  </property>
  <property fmtid="{D5CDD505-2E9C-101B-9397-08002B2CF9AE}" pid="34" name="MSIP_Label_69af8531-eb46-4968-8cb3-105d2f5ea87e_Enabled">
    <vt:lpwstr>true</vt:lpwstr>
  </property>
  <property fmtid="{D5CDD505-2E9C-101B-9397-08002B2CF9AE}" pid="35" name="MSIP_Label_69af8531-eb46-4968-8cb3-105d2f5ea87e_SetDate">
    <vt:lpwstr>2024-05-14T00:13:26Z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002d7e6a-c598-4c55-baf7-049832f40184</vt:lpwstr>
  </property>
  <property fmtid="{D5CDD505-2E9C-101B-9397-08002B2CF9AE}" pid="40" name="MSIP_Label_69af8531-eb46-4968-8cb3-105d2f5ea87e_ContentBits">
    <vt:lpwstr>0</vt:lpwstr>
  </property>
  <property fmtid="{D5CDD505-2E9C-101B-9397-08002B2CF9AE}" pid="41" name="CHECKEDOUTFROMJMS">
    <vt:lpwstr/>
  </property>
  <property fmtid="{D5CDD505-2E9C-101B-9397-08002B2CF9AE}" pid="42" name="DMSID">
    <vt:lpwstr>13097879</vt:lpwstr>
  </property>
  <property fmtid="{D5CDD505-2E9C-101B-9397-08002B2CF9AE}" pid="43" name="JMSREQUIREDCHECKIN">
    <vt:lpwstr/>
  </property>
</Properties>
</file>