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0222D" w14:textId="2CF50CFE" w:rsidR="00795996" w:rsidRDefault="00521E20">
      <w:pPr>
        <w:spacing w:after="129" w:line="259" w:lineRule="auto"/>
        <w:ind w:left="80" w:firstLine="0"/>
        <w:jc w:val="center"/>
      </w:pPr>
      <w:r>
        <w:rPr>
          <w:b/>
          <w:sz w:val="32"/>
        </w:rPr>
        <w:t xml:space="preserve"> </w:t>
      </w:r>
    </w:p>
    <w:p w14:paraId="54EBE081" w14:textId="77777777" w:rsidR="00795996" w:rsidRDefault="00521E20">
      <w:pPr>
        <w:spacing w:after="227" w:line="259" w:lineRule="auto"/>
        <w:ind w:left="78" w:firstLine="0"/>
        <w:jc w:val="center"/>
      </w:pPr>
      <w:r>
        <w:rPr>
          <w:b/>
          <w:sz w:val="32"/>
        </w:rPr>
        <w:t xml:space="preserve"> </w:t>
      </w:r>
    </w:p>
    <w:p w14:paraId="78108BA1" w14:textId="77777777" w:rsidR="00795996" w:rsidRDefault="00521E20">
      <w:pPr>
        <w:spacing w:after="230" w:line="259" w:lineRule="auto"/>
        <w:ind w:left="0" w:firstLine="0"/>
      </w:pPr>
      <w:r>
        <w:rPr>
          <w:sz w:val="32"/>
        </w:rPr>
        <w:t xml:space="preserve"> </w:t>
      </w:r>
    </w:p>
    <w:p w14:paraId="2864BA7C" w14:textId="3A043569" w:rsidR="004634A5" w:rsidRDefault="004634A5" w:rsidP="00005765">
      <w:pPr>
        <w:spacing w:after="153" w:line="259" w:lineRule="auto"/>
        <w:ind w:left="0" w:firstLine="0"/>
        <w:jc w:val="center"/>
      </w:pPr>
      <w:r>
        <w:rPr>
          <w:b/>
          <w:sz w:val="32"/>
        </w:rPr>
        <w:t>Regulatory Impact Statement</w:t>
      </w:r>
    </w:p>
    <w:p w14:paraId="2DC9865E" w14:textId="42E8F84B" w:rsidR="00795996" w:rsidRDefault="00521E20" w:rsidP="00005765">
      <w:pPr>
        <w:spacing w:after="189" w:line="259" w:lineRule="auto"/>
        <w:ind w:left="0" w:firstLine="0"/>
        <w:jc w:val="center"/>
      </w:pPr>
      <w:r>
        <w:rPr>
          <w:b/>
          <w:sz w:val="32"/>
        </w:rPr>
        <w:t>Energy Efficiency Improvement Scheme</w:t>
      </w:r>
    </w:p>
    <w:p w14:paraId="273486C3" w14:textId="2ABA29F9" w:rsidR="00795996" w:rsidRDefault="00521E20" w:rsidP="00005765">
      <w:pPr>
        <w:spacing w:after="261" w:line="259" w:lineRule="auto"/>
        <w:ind w:left="0" w:firstLine="0"/>
        <w:jc w:val="center"/>
      </w:pPr>
      <w:r>
        <w:rPr>
          <w:b/>
          <w:sz w:val="28"/>
        </w:rPr>
        <w:t xml:space="preserve">Setting Key Scheme Parameters for </w:t>
      </w:r>
      <w:r w:rsidR="002B00A8">
        <w:rPr>
          <w:b/>
          <w:sz w:val="28"/>
        </w:rPr>
        <w:t>202</w:t>
      </w:r>
      <w:r w:rsidR="00C90921">
        <w:rPr>
          <w:b/>
          <w:sz w:val="28"/>
        </w:rPr>
        <w:t>7</w:t>
      </w:r>
      <w:r w:rsidR="00AF1730">
        <w:rPr>
          <w:b/>
          <w:sz w:val="28"/>
        </w:rPr>
        <w:t xml:space="preserve"> </w:t>
      </w:r>
      <w:r>
        <w:rPr>
          <w:b/>
          <w:sz w:val="28"/>
        </w:rPr>
        <w:t>by Disallowable Instruments:</w:t>
      </w:r>
    </w:p>
    <w:p w14:paraId="2522ACAD" w14:textId="43E99FF9" w:rsidR="00795996" w:rsidRPr="00A7573A" w:rsidRDefault="00521E20">
      <w:pPr>
        <w:spacing w:after="214" w:line="268" w:lineRule="auto"/>
        <w:ind w:left="-5"/>
        <w:rPr>
          <w:iCs/>
        </w:rPr>
      </w:pPr>
      <w:r>
        <w:rPr>
          <w:i/>
          <w:sz w:val="32"/>
        </w:rPr>
        <w:t>Energy Efficiency (Cost of Living) Improvement (Energy Savings Target) Determination 202</w:t>
      </w:r>
      <w:r w:rsidR="00C90921">
        <w:rPr>
          <w:i/>
          <w:sz w:val="32"/>
        </w:rPr>
        <w:t>6</w:t>
      </w:r>
      <w:r>
        <w:rPr>
          <w:i/>
          <w:sz w:val="32"/>
        </w:rPr>
        <w:t xml:space="preserve"> </w:t>
      </w:r>
      <w:r w:rsidR="00A7573A">
        <w:rPr>
          <w:iCs/>
          <w:sz w:val="32"/>
        </w:rPr>
        <w:t>DI202</w:t>
      </w:r>
      <w:r w:rsidR="00C57FF9">
        <w:rPr>
          <w:iCs/>
          <w:sz w:val="32"/>
        </w:rPr>
        <w:t>6-</w:t>
      </w:r>
      <w:r w:rsidR="00BA7221">
        <w:rPr>
          <w:iCs/>
          <w:sz w:val="32"/>
        </w:rPr>
        <w:t>208</w:t>
      </w:r>
    </w:p>
    <w:p w14:paraId="4ABFDAAF" w14:textId="15D433AD" w:rsidR="00795996" w:rsidRPr="00A7573A" w:rsidRDefault="00521E20" w:rsidP="00005765">
      <w:pPr>
        <w:spacing w:after="214" w:line="269" w:lineRule="auto"/>
        <w:ind w:left="-6" w:hanging="11"/>
        <w:rPr>
          <w:iCs/>
        </w:rPr>
      </w:pPr>
      <w:r>
        <w:rPr>
          <w:i/>
          <w:sz w:val="32"/>
        </w:rPr>
        <w:t>Energy Efficiency (Cost of Living) Improvement (Energy Savings Contribution) Determination 202</w:t>
      </w:r>
      <w:r w:rsidR="00C90921">
        <w:rPr>
          <w:i/>
          <w:sz w:val="32"/>
        </w:rPr>
        <w:t>6</w:t>
      </w:r>
      <w:r>
        <w:rPr>
          <w:i/>
          <w:sz w:val="32"/>
        </w:rPr>
        <w:t xml:space="preserve"> </w:t>
      </w:r>
      <w:r w:rsidR="00A7573A">
        <w:rPr>
          <w:iCs/>
          <w:sz w:val="32"/>
        </w:rPr>
        <w:t>DI202</w:t>
      </w:r>
      <w:r w:rsidR="00C57FF9">
        <w:rPr>
          <w:iCs/>
          <w:sz w:val="32"/>
        </w:rPr>
        <w:t>6-</w:t>
      </w:r>
      <w:r w:rsidR="00BA7221">
        <w:rPr>
          <w:iCs/>
          <w:sz w:val="32"/>
        </w:rPr>
        <w:t>211</w:t>
      </w:r>
    </w:p>
    <w:p w14:paraId="3D3548DC" w14:textId="52188907" w:rsidR="00795996" w:rsidRPr="00B909F3" w:rsidRDefault="00521E20">
      <w:pPr>
        <w:spacing w:after="214" w:line="268" w:lineRule="auto"/>
        <w:ind w:left="-5"/>
        <w:rPr>
          <w:iCs/>
        </w:rPr>
      </w:pPr>
      <w:r>
        <w:rPr>
          <w:i/>
          <w:sz w:val="32"/>
        </w:rPr>
        <w:t>Energy Efficiency (Cost of Living) Improvement (</w:t>
      </w:r>
      <w:r w:rsidR="005D5DC4">
        <w:rPr>
          <w:i/>
          <w:sz w:val="32"/>
        </w:rPr>
        <w:t xml:space="preserve">Penalties for </w:t>
      </w:r>
      <w:r w:rsidR="00C57FF9">
        <w:rPr>
          <w:i/>
          <w:sz w:val="32"/>
        </w:rPr>
        <w:t>N</w:t>
      </w:r>
      <w:r w:rsidR="005D5DC4">
        <w:rPr>
          <w:i/>
          <w:sz w:val="32"/>
        </w:rPr>
        <w:t>oncompliance</w:t>
      </w:r>
      <w:r>
        <w:rPr>
          <w:i/>
          <w:sz w:val="32"/>
        </w:rPr>
        <w:t>) Determination 202</w:t>
      </w:r>
      <w:r w:rsidR="00C90921">
        <w:rPr>
          <w:i/>
          <w:sz w:val="32"/>
        </w:rPr>
        <w:t>6</w:t>
      </w:r>
      <w:r>
        <w:rPr>
          <w:i/>
          <w:sz w:val="32"/>
        </w:rPr>
        <w:t xml:space="preserve"> </w:t>
      </w:r>
      <w:r w:rsidR="00B909F3">
        <w:rPr>
          <w:iCs/>
          <w:sz w:val="32"/>
        </w:rPr>
        <w:t>DI202</w:t>
      </w:r>
      <w:r w:rsidR="00C57FF9">
        <w:rPr>
          <w:iCs/>
          <w:sz w:val="32"/>
        </w:rPr>
        <w:t>6-</w:t>
      </w:r>
      <w:r w:rsidR="00BA7221">
        <w:rPr>
          <w:iCs/>
          <w:sz w:val="32"/>
        </w:rPr>
        <w:t>210</w:t>
      </w:r>
    </w:p>
    <w:p w14:paraId="259D9022" w14:textId="77777777" w:rsidR="004634A5" w:rsidRDefault="004634A5">
      <w:pPr>
        <w:spacing w:after="221" w:line="259" w:lineRule="auto"/>
        <w:ind w:left="-5"/>
        <w:rPr>
          <w:b/>
        </w:rPr>
      </w:pPr>
    </w:p>
    <w:p w14:paraId="0C55643B" w14:textId="77777777" w:rsidR="004634A5" w:rsidRDefault="004634A5">
      <w:pPr>
        <w:spacing w:after="221" w:line="259" w:lineRule="auto"/>
        <w:ind w:left="-5"/>
        <w:rPr>
          <w:b/>
        </w:rPr>
      </w:pPr>
    </w:p>
    <w:p w14:paraId="65A45612" w14:textId="6C7CD71D" w:rsidR="00795996" w:rsidRDefault="00521E20">
      <w:pPr>
        <w:spacing w:after="221" w:line="259" w:lineRule="auto"/>
        <w:ind w:left="-5"/>
      </w:pPr>
      <w:r>
        <w:rPr>
          <w:b/>
        </w:rPr>
        <w:t xml:space="preserve">Prepared in accordance with Chapter 5 of the </w:t>
      </w:r>
      <w:r>
        <w:rPr>
          <w:b/>
          <w:i/>
        </w:rPr>
        <w:t>Legislation Act 2001</w:t>
      </w:r>
      <w:r>
        <w:rPr>
          <w:b/>
        </w:rPr>
        <w:t xml:space="preserve"> </w:t>
      </w:r>
    </w:p>
    <w:p w14:paraId="6C86CFFF" w14:textId="0A40C294" w:rsidR="00795996" w:rsidRDefault="002E707C">
      <w:pPr>
        <w:spacing w:after="221" w:line="259" w:lineRule="auto"/>
        <w:ind w:left="-5"/>
      </w:pPr>
      <w:r>
        <w:rPr>
          <w:b/>
        </w:rPr>
        <w:t xml:space="preserve">September </w:t>
      </w:r>
      <w:r w:rsidR="002B00A8">
        <w:rPr>
          <w:b/>
        </w:rPr>
        <w:t>202</w:t>
      </w:r>
      <w:r w:rsidR="00C90921">
        <w:rPr>
          <w:b/>
        </w:rPr>
        <w:t>6</w:t>
      </w:r>
      <w:r w:rsidR="002B00A8">
        <w:rPr>
          <w:b/>
        </w:rPr>
        <w:t xml:space="preserve"> </w:t>
      </w:r>
    </w:p>
    <w:p w14:paraId="0AE65337" w14:textId="39EBECB9" w:rsidR="004552A1" w:rsidRDefault="004552A1">
      <w:pPr>
        <w:spacing w:after="0" w:line="259" w:lineRule="auto"/>
        <w:ind w:left="0" w:firstLine="0"/>
      </w:pPr>
    </w:p>
    <w:p w14:paraId="32C0F546" w14:textId="77777777" w:rsidR="004552A1" w:rsidRDefault="004552A1">
      <w:pPr>
        <w:spacing w:after="160" w:line="259" w:lineRule="auto"/>
        <w:ind w:left="0" w:firstLine="0"/>
      </w:pPr>
      <w:r>
        <w:br w:type="page"/>
      </w:r>
    </w:p>
    <w:p w14:paraId="13F476FD" w14:textId="77777777" w:rsidR="00795996" w:rsidRDefault="00795996">
      <w:pPr>
        <w:spacing w:after="0" w:line="259" w:lineRule="auto"/>
        <w:ind w:left="0" w:firstLine="0"/>
      </w:pPr>
    </w:p>
    <w:sdt>
      <w:sdtPr>
        <w:id w:val="1982719080"/>
        <w:docPartObj>
          <w:docPartGallery w:val="Table of Contents"/>
        </w:docPartObj>
      </w:sdtPr>
      <w:sdtEndPr/>
      <w:sdtContent>
        <w:p w14:paraId="411315E9" w14:textId="77777777" w:rsidR="00795996" w:rsidRDefault="00521E20">
          <w:pPr>
            <w:spacing w:after="0" w:line="259" w:lineRule="auto"/>
            <w:ind w:left="0" w:firstLine="0"/>
          </w:pPr>
          <w:r>
            <w:rPr>
              <w:color w:val="2F5496"/>
              <w:sz w:val="32"/>
            </w:rPr>
            <w:t xml:space="preserve">Contents </w:t>
          </w:r>
        </w:p>
        <w:p w14:paraId="1ABCE852" w14:textId="3D7870F8" w:rsidR="005932D0" w:rsidRDefault="00521E20">
          <w:pPr>
            <w:pStyle w:val="TOC1"/>
            <w:tabs>
              <w:tab w:val="left" w:pos="480"/>
              <w:tab w:val="right" w:leader="dot" w:pos="9008"/>
            </w:tabs>
            <w:rPr>
              <w:rFonts w:asciiTheme="minorHAnsi" w:eastAsiaTheme="minorEastAsia" w:hAnsiTheme="minorHAnsi" w:cstheme="minorBidi"/>
              <w:noProof/>
              <w:color w:val="auto"/>
              <w:kern w:val="2"/>
              <w:szCs w:val="24"/>
              <w14:ligatures w14:val="standardContextual"/>
            </w:rPr>
          </w:pPr>
          <w:r>
            <w:fldChar w:fldCharType="begin"/>
          </w:r>
          <w:r>
            <w:instrText xml:space="preserve"> TOC \o "1-2" \h \z \u </w:instrText>
          </w:r>
          <w:r>
            <w:fldChar w:fldCharType="separate"/>
          </w:r>
          <w:hyperlink w:anchor="_Toc241576503" w:history="1">
            <w:r w:rsidR="005932D0" w:rsidRPr="008774AE">
              <w:rPr>
                <w:rStyle w:val="Hyperlink"/>
                <w:noProof/>
              </w:rPr>
              <w:t>1.</w:t>
            </w:r>
            <w:r w:rsidR="005932D0">
              <w:rPr>
                <w:rFonts w:asciiTheme="minorHAnsi" w:eastAsiaTheme="minorEastAsia" w:hAnsiTheme="minorHAnsi" w:cstheme="minorBidi"/>
                <w:noProof/>
                <w:color w:val="auto"/>
                <w:kern w:val="2"/>
                <w:szCs w:val="24"/>
                <w14:ligatures w14:val="standardContextual"/>
              </w:rPr>
              <w:tab/>
            </w:r>
            <w:r w:rsidR="005932D0" w:rsidRPr="008774AE">
              <w:rPr>
                <w:rStyle w:val="Hyperlink"/>
                <w:noProof/>
              </w:rPr>
              <w:t>Executive summary</w:t>
            </w:r>
            <w:r w:rsidR="005932D0">
              <w:rPr>
                <w:noProof/>
                <w:webHidden/>
              </w:rPr>
              <w:tab/>
            </w:r>
            <w:r w:rsidR="005932D0">
              <w:rPr>
                <w:noProof/>
                <w:webHidden/>
              </w:rPr>
              <w:fldChar w:fldCharType="begin"/>
            </w:r>
            <w:r w:rsidR="005932D0">
              <w:rPr>
                <w:noProof/>
                <w:webHidden/>
              </w:rPr>
              <w:instrText xml:space="preserve"> PAGEREF _Toc241576503 \h </w:instrText>
            </w:r>
            <w:r w:rsidR="005932D0">
              <w:rPr>
                <w:noProof/>
                <w:webHidden/>
              </w:rPr>
            </w:r>
            <w:r w:rsidR="005932D0">
              <w:rPr>
                <w:noProof/>
                <w:webHidden/>
              </w:rPr>
              <w:fldChar w:fldCharType="separate"/>
            </w:r>
            <w:r w:rsidR="00706626">
              <w:rPr>
                <w:noProof/>
                <w:webHidden/>
              </w:rPr>
              <w:t>3</w:t>
            </w:r>
            <w:r w:rsidR="005932D0">
              <w:rPr>
                <w:noProof/>
                <w:webHidden/>
              </w:rPr>
              <w:fldChar w:fldCharType="end"/>
            </w:r>
          </w:hyperlink>
        </w:p>
        <w:p w14:paraId="5C295719" w14:textId="5FE2236F" w:rsidR="005932D0" w:rsidRDefault="005932D0">
          <w:pPr>
            <w:pStyle w:val="TOC1"/>
            <w:tabs>
              <w:tab w:val="left" w:pos="480"/>
              <w:tab w:val="right" w:leader="dot" w:pos="9008"/>
            </w:tabs>
            <w:rPr>
              <w:rFonts w:asciiTheme="minorHAnsi" w:eastAsiaTheme="minorEastAsia" w:hAnsiTheme="minorHAnsi" w:cstheme="minorBidi"/>
              <w:noProof/>
              <w:color w:val="auto"/>
              <w:kern w:val="2"/>
              <w:szCs w:val="24"/>
              <w14:ligatures w14:val="standardContextual"/>
            </w:rPr>
          </w:pPr>
          <w:hyperlink w:anchor="_Toc241576504" w:history="1">
            <w:r w:rsidRPr="008774AE">
              <w:rPr>
                <w:rStyle w:val="Hyperlink"/>
                <w:noProof/>
              </w:rPr>
              <w:t>2.</w:t>
            </w:r>
            <w:r>
              <w:rPr>
                <w:rFonts w:asciiTheme="minorHAnsi" w:eastAsiaTheme="minorEastAsia" w:hAnsiTheme="minorHAnsi" w:cstheme="minorBidi"/>
                <w:noProof/>
                <w:color w:val="auto"/>
                <w:kern w:val="2"/>
                <w:szCs w:val="24"/>
                <w14:ligatures w14:val="standardContextual"/>
              </w:rPr>
              <w:tab/>
            </w:r>
            <w:r w:rsidRPr="008774AE">
              <w:rPr>
                <w:rStyle w:val="Hyperlink"/>
                <w:noProof/>
              </w:rPr>
              <w:t>The authorising law</w:t>
            </w:r>
            <w:r>
              <w:rPr>
                <w:noProof/>
                <w:webHidden/>
              </w:rPr>
              <w:tab/>
            </w:r>
            <w:r>
              <w:rPr>
                <w:noProof/>
                <w:webHidden/>
              </w:rPr>
              <w:fldChar w:fldCharType="begin"/>
            </w:r>
            <w:r>
              <w:rPr>
                <w:noProof/>
                <w:webHidden/>
              </w:rPr>
              <w:instrText xml:space="preserve"> PAGEREF _Toc241576504 \h </w:instrText>
            </w:r>
            <w:r>
              <w:rPr>
                <w:noProof/>
                <w:webHidden/>
              </w:rPr>
            </w:r>
            <w:r>
              <w:rPr>
                <w:noProof/>
                <w:webHidden/>
              </w:rPr>
              <w:fldChar w:fldCharType="separate"/>
            </w:r>
            <w:r w:rsidR="00706626">
              <w:rPr>
                <w:noProof/>
                <w:webHidden/>
              </w:rPr>
              <w:t>3</w:t>
            </w:r>
            <w:r>
              <w:rPr>
                <w:noProof/>
                <w:webHidden/>
              </w:rPr>
              <w:fldChar w:fldCharType="end"/>
            </w:r>
          </w:hyperlink>
        </w:p>
        <w:p w14:paraId="38FF3499" w14:textId="31F3FD22" w:rsidR="005932D0" w:rsidRDefault="005932D0">
          <w:pPr>
            <w:pStyle w:val="TOC1"/>
            <w:tabs>
              <w:tab w:val="left" w:pos="480"/>
              <w:tab w:val="right" w:leader="dot" w:pos="9008"/>
            </w:tabs>
            <w:rPr>
              <w:rFonts w:asciiTheme="minorHAnsi" w:eastAsiaTheme="minorEastAsia" w:hAnsiTheme="minorHAnsi" w:cstheme="minorBidi"/>
              <w:noProof/>
              <w:color w:val="auto"/>
              <w:kern w:val="2"/>
              <w:szCs w:val="24"/>
              <w14:ligatures w14:val="standardContextual"/>
            </w:rPr>
          </w:pPr>
          <w:hyperlink w:anchor="_Toc241576505" w:history="1">
            <w:r w:rsidRPr="008774AE">
              <w:rPr>
                <w:rStyle w:val="Hyperlink"/>
                <w:noProof/>
              </w:rPr>
              <w:t>3.</w:t>
            </w:r>
            <w:r>
              <w:rPr>
                <w:rFonts w:asciiTheme="minorHAnsi" w:eastAsiaTheme="minorEastAsia" w:hAnsiTheme="minorHAnsi" w:cstheme="minorBidi"/>
                <w:noProof/>
                <w:color w:val="auto"/>
                <w:kern w:val="2"/>
                <w:szCs w:val="24"/>
                <w14:ligatures w14:val="standardContextual"/>
              </w:rPr>
              <w:tab/>
            </w:r>
            <w:r w:rsidRPr="008774AE">
              <w:rPr>
                <w:rStyle w:val="Hyperlink"/>
                <w:noProof/>
              </w:rPr>
              <w:t>Policy objectives of the disallowable instruments</w:t>
            </w:r>
            <w:r>
              <w:rPr>
                <w:noProof/>
                <w:webHidden/>
              </w:rPr>
              <w:tab/>
            </w:r>
            <w:r>
              <w:rPr>
                <w:noProof/>
                <w:webHidden/>
              </w:rPr>
              <w:fldChar w:fldCharType="begin"/>
            </w:r>
            <w:r>
              <w:rPr>
                <w:noProof/>
                <w:webHidden/>
              </w:rPr>
              <w:instrText xml:space="preserve"> PAGEREF _Toc241576505 \h </w:instrText>
            </w:r>
            <w:r>
              <w:rPr>
                <w:noProof/>
                <w:webHidden/>
              </w:rPr>
            </w:r>
            <w:r>
              <w:rPr>
                <w:noProof/>
                <w:webHidden/>
              </w:rPr>
              <w:fldChar w:fldCharType="separate"/>
            </w:r>
            <w:r w:rsidR="00706626">
              <w:rPr>
                <w:noProof/>
                <w:webHidden/>
              </w:rPr>
              <w:t>4</w:t>
            </w:r>
            <w:r>
              <w:rPr>
                <w:noProof/>
                <w:webHidden/>
              </w:rPr>
              <w:fldChar w:fldCharType="end"/>
            </w:r>
          </w:hyperlink>
        </w:p>
        <w:p w14:paraId="3191953E" w14:textId="368113C1" w:rsidR="005932D0" w:rsidRDefault="005932D0">
          <w:pPr>
            <w:pStyle w:val="TOC1"/>
            <w:tabs>
              <w:tab w:val="left" w:pos="480"/>
              <w:tab w:val="right" w:leader="dot" w:pos="9008"/>
            </w:tabs>
            <w:rPr>
              <w:rFonts w:asciiTheme="minorHAnsi" w:eastAsiaTheme="minorEastAsia" w:hAnsiTheme="minorHAnsi" w:cstheme="minorBidi"/>
              <w:noProof/>
              <w:color w:val="auto"/>
              <w:kern w:val="2"/>
              <w:szCs w:val="24"/>
              <w14:ligatures w14:val="standardContextual"/>
            </w:rPr>
          </w:pPr>
          <w:hyperlink w:anchor="_Toc241576506" w:history="1">
            <w:r w:rsidRPr="008774AE">
              <w:rPr>
                <w:rStyle w:val="Hyperlink"/>
                <w:noProof/>
              </w:rPr>
              <w:t>4.</w:t>
            </w:r>
            <w:r>
              <w:rPr>
                <w:rFonts w:asciiTheme="minorHAnsi" w:eastAsiaTheme="minorEastAsia" w:hAnsiTheme="minorHAnsi" w:cstheme="minorBidi"/>
                <w:noProof/>
                <w:color w:val="auto"/>
                <w:kern w:val="2"/>
                <w:szCs w:val="24"/>
                <w14:ligatures w14:val="standardContextual"/>
              </w:rPr>
              <w:tab/>
            </w:r>
            <w:r w:rsidRPr="008774AE">
              <w:rPr>
                <w:rStyle w:val="Hyperlink"/>
                <w:noProof/>
              </w:rPr>
              <w:t>Target setting context</w:t>
            </w:r>
            <w:r>
              <w:rPr>
                <w:noProof/>
                <w:webHidden/>
              </w:rPr>
              <w:tab/>
            </w:r>
            <w:r>
              <w:rPr>
                <w:noProof/>
                <w:webHidden/>
              </w:rPr>
              <w:fldChar w:fldCharType="begin"/>
            </w:r>
            <w:r>
              <w:rPr>
                <w:noProof/>
                <w:webHidden/>
              </w:rPr>
              <w:instrText xml:space="preserve"> PAGEREF _Toc241576506 \h </w:instrText>
            </w:r>
            <w:r>
              <w:rPr>
                <w:noProof/>
                <w:webHidden/>
              </w:rPr>
            </w:r>
            <w:r>
              <w:rPr>
                <w:noProof/>
                <w:webHidden/>
              </w:rPr>
              <w:fldChar w:fldCharType="separate"/>
            </w:r>
            <w:r w:rsidR="00706626">
              <w:rPr>
                <w:noProof/>
                <w:webHidden/>
              </w:rPr>
              <w:t>4</w:t>
            </w:r>
            <w:r>
              <w:rPr>
                <w:noProof/>
                <w:webHidden/>
              </w:rPr>
              <w:fldChar w:fldCharType="end"/>
            </w:r>
          </w:hyperlink>
        </w:p>
        <w:p w14:paraId="39174630" w14:textId="6CF880F8" w:rsidR="005932D0" w:rsidRDefault="005932D0">
          <w:pPr>
            <w:pStyle w:val="TOC1"/>
            <w:tabs>
              <w:tab w:val="left" w:pos="480"/>
              <w:tab w:val="right" w:leader="dot" w:pos="9008"/>
            </w:tabs>
            <w:rPr>
              <w:rFonts w:asciiTheme="minorHAnsi" w:eastAsiaTheme="minorEastAsia" w:hAnsiTheme="minorHAnsi" w:cstheme="minorBidi"/>
              <w:noProof/>
              <w:color w:val="auto"/>
              <w:kern w:val="2"/>
              <w:szCs w:val="24"/>
              <w14:ligatures w14:val="standardContextual"/>
            </w:rPr>
          </w:pPr>
          <w:hyperlink w:anchor="_Toc241576507" w:history="1">
            <w:r w:rsidRPr="008774AE">
              <w:rPr>
                <w:rStyle w:val="Hyperlink"/>
                <w:noProof/>
              </w:rPr>
              <w:t>5.</w:t>
            </w:r>
            <w:r>
              <w:rPr>
                <w:rFonts w:asciiTheme="minorHAnsi" w:eastAsiaTheme="minorEastAsia" w:hAnsiTheme="minorHAnsi" w:cstheme="minorBidi"/>
                <w:noProof/>
                <w:color w:val="auto"/>
                <w:kern w:val="2"/>
                <w:szCs w:val="24"/>
                <w14:ligatures w14:val="standardContextual"/>
              </w:rPr>
              <w:tab/>
            </w:r>
            <w:r w:rsidRPr="008774AE">
              <w:rPr>
                <w:rStyle w:val="Hyperlink"/>
                <w:noProof/>
              </w:rPr>
              <w:t>Achieving the EEIS policy objectives</w:t>
            </w:r>
            <w:r>
              <w:rPr>
                <w:noProof/>
                <w:webHidden/>
              </w:rPr>
              <w:tab/>
            </w:r>
            <w:r>
              <w:rPr>
                <w:noProof/>
                <w:webHidden/>
              </w:rPr>
              <w:fldChar w:fldCharType="begin"/>
            </w:r>
            <w:r>
              <w:rPr>
                <w:noProof/>
                <w:webHidden/>
              </w:rPr>
              <w:instrText xml:space="preserve"> PAGEREF _Toc241576507 \h </w:instrText>
            </w:r>
            <w:r>
              <w:rPr>
                <w:noProof/>
                <w:webHidden/>
              </w:rPr>
            </w:r>
            <w:r>
              <w:rPr>
                <w:noProof/>
                <w:webHidden/>
              </w:rPr>
              <w:fldChar w:fldCharType="separate"/>
            </w:r>
            <w:r w:rsidR="00706626">
              <w:rPr>
                <w:noProof/>
                <w:webHidden/>
              </w:rPr>
              <w:t>5</w:t>
            </w:r>
            <w:r>
              <w:rPr>
                <w:noProof/>
                <w:webHidden/>
              </w:rPr>
              <w:fldChar w:fldCharType="end"/>
            </w:r>
          </w:hyperlink>
        </w:p>
        <w:p w14:paraId="4CEC7109" w14:textId="72E24619" w:rsidR="005932D0" w:rsidRDefault="005932D0">
          <w:pPr>
            <w:pStyle w:val="TOC2"/>
            <w:tabs>
              <w:tab w:val="left" w:pos="960"/>
              <w:tab w:val="right" w:leader="dot" w:pos="9008"/>
            </w:tabs>
            <w:rPr>
              <w:rFonts w:asciiTheme="minorHAnsi" w:eastAsiaTheme="minorEastAsia" w:hAnsiTheme="minorHAnsi" w:cstheme="minorBidi"/>
              <w:noProof/>
              <w:color w:val="auto"/>
              <w:kern w:val="2"/>
              <w:szCs w:val="24"/>
              <w14:ligatures w14:val="standardContextual"/>
            </w:rPr>
          </w:pPr>
          <w:hyperlink w:anchor="_Toc241576508" w:history="1">
            <w:r w:rsidRPr="008774AE">
              <w:rPr>
                <w:rStyle w:val="Hyperlink"/>
                <w:noProof/>
              </w:rPr>
              <w:t>5.1</w:t>
            </w:r>
            <w:r>
              <w:rPr>
                <w:rFonts w:asciiTheme="minorHAnsi" w:eastAsiaTheme="minorEastAsia" w:hAnsiTheme="minorHAnsi" w:cstheme="minorBidi"/>
                <w:noProof/>
                <w:color w:val="auto"/>
                <w:kern w:val="2"/>
                <w:szCs w:val="24"/>
                <w14:ligatures w14:val="standardContextual"/>
              </w:rPr>
              <w:tab/>
            </w:r>
            <w:r w:rsidRPr="008774AE">
              <w:rPr>
                <w:rStyle w:val="Hyperlink"/>
                <w:noProof/>
              </w:rPr>
              <w:t>Setting the Energy Savings Target</w:t>
            </w:r>
            <w:r>
              <w:rPr>
                <w:noProof/>
                <w:webHidden/>
              </w:rPr>
              <w:tab/>
            </w:r>
            <w:r>
              <w:rPr>
                <w:noProof/>
                <w:webHidden/>
              </w:rPr>
              <w:fldChar w:fldCharType="begin"/>
            </w:r>
            <w:r>
              <w:rPr>
                <w:noProof/>
                <w:webHidden/>
              </w:rPr>
              <w:instrText xml:space="preserve"> PAGEREF _Toc241576508 \h </w:instrText>
            </w:r>
            <w:r>
              <w:rPr>
                <w:noProof/>
                <w:webHidden/>
              </w:rPr>
            </w:r>
            <w:r>
              <w:rPr>
                <w:noProof/>
                <w:webHidden/>
              </w:rPr>
              <w:fldChar w:fldCharType="separate"/>
            </w:r>
            <w:r w:rsidR="00706626">
              <w:rPr>
                <w:noProof/>
                <w:webHidden/>
              </w:rPr>
              <w:t>6</w:t>
            </w:r>
            <w:r>
              <w:rPr>
                <w:noProof/>
                <w:webHidden/>
              </w:rPr>
              <w:fldChar w:fldCharType="end"/>
            </w:r>
          </w:hyperlink>
        </w:p>
        <w:p w14:paraId="25B938B1" w14:textId="6482A1DC" w:rsidR="005932D0" w:rsidRDefault="005932D0">
          <w:pPr>
            <w:pStyle w:val="TOC2"/>
            <w:tabs>
              <w:tab w:val="left" w:pos="960"/>
              <w:tab w:val="right" w:leader="dot" w:pos="9008"/>
            </w:tabs>
            <w:rPr>
              <w:rFonts w:asciiTheme="minorHAnsi" w:eastAsiaTheme="minorEastAsia" w:hAnsiTheme="minorHAnsi" w:cstheme="minorBidi"/>
              <w:noProof/>
              <w:color w:val="auto"/>
              <w:kern w:val="2"/>
              <w:szCs w:val="24"/>
              <w14:ligatures w14:val="standardContextual"/>
            </w:rPr>
          </w:pPr>
          <w:hyperlink w:anchor="_Toc241576509" w:history="1">
            <w:r w:rsidRPr="008774AE">
              <w:rPr>
                <w:rStyle w:val="Hyperlink"/>
                <w:noProof/>
              </w:rPr>
              <w:t>5.2</w:t>
            </w:r>
            <w:r>
              <w:rPr>
                <w:rFonts w:asciiTheme="minorHAnsi" w:eastAsiaTheme="minorEastAsia" w:hAnsiTheme="minorHAnsi" w:cstheme="minorBidi"/>
                <w:noProof/>
                <w:color w:val="auto"/>
                <w:kern w:val="2"/>
                <w:szCs w:val="24"/>
                <w14:ligatures w14:val="standardContextual"/>
              </w:rPr>
              <w:tab/>
            </w:r>
            <w:r w:rsidRPr="008774AE">
              <w:rPr>
                <w:rStyle w:val="Hyperlink"/>
                <w:noProof/>
              </w:rPr>
              <w:t>Setting the Energy Savings Contribution</w:t>
            </w:r>
            <w:r>
              <w:rPr>
                <w:noProof/>
                <w:webHidden/>
              </w:rPr>
              <w:tab/>
            </w:r>
            <w:r>
              <w:rPr>
                <w:noProof/>
                <w:webHidden/>
              </w:rPr>
              <w:fldChar w:fldCharType="begin"/>
            </w:r>
            <w:r>
              <w:rPr>
                <w:noProof/>
                <w:webHidden/>
              </w:rPr>
              <w:instrText xml:space="preserve"> PAGEREF _Toc241576509 \h </w:instrText>
            </w:r>
            <w:r>
              <w:rPr>
                <w:noProof/>
                <w:webHidden/>
              </w:rPr>
            </w:r>
            <w:r>
              <w:rPr>
                <w:noProof/>
                <w:webHidden/>
              </w:rPr>
              <w:fldChar w:fldCharType="separate"/>
            </w:r>
            <w:r w:rsidR="00706626">
              <w:rPr>
                <w:noProof/>
                <w:webHidden/>
              </w:rPr>
              <w:t>7</w:t>
            </w:r>
            <w:r>
              <w:rPr>
                <w:noProof/>
                <w:webHidden/>
              </w:rPr>
              <w:fldChar w:fldCharType="end"/>
            </w:r>
          </w:hyperlink>
        </w:p>
        <w:p w14:paraId="4DC0B0A5" w14:textId="42E35945" w:rsidR="005932D0" w:rsidRDefault="005932D0">
          <w:pPr>
            <w:pStyle w:val="TOC2"/>
            <w:tabs>
              <w:tab w:val="left" w:pos="960"/>
              <w:tab w:val="right" w:leader="dot" w:pos="9008"/>
            </w:tabs>
            <w:rPr>
              <w:rFonts w:asciiTheme="minorHAnsi" w:eastAsiaTheme="minorEastAsia" w:hAnsiTheme="minorHAnsi" w:cstheme="minorBidi"/>
              <w:noProof/>
              <w:color w:val="auto"/>
              <w:kern w:val="2"/>
              <w:szCs w:val="24"/>
              <w14:ligatures w14:val="standardContextual"/>
            </w:rPr>
          </w:pPr>
          <w:hyperlink w:anchor="_Toc241576510" w:history="1">
            <w:r w:rsidRPr="008774AE">
              <w:rPr>
                <w:rStyle w:val="Hyperlink"/>
                <w:noProof/>
              </w:rPr>
              <w:t>5.3</w:t>
            </w:r>
            <w:r>
              <w:rPr>
                <w:rFonts w:asciiTheme="minorHAnsi" w:eastAsiaTheme="minorEastAsia" w:hAnsiTheme="minorHAnsi" w:cstheme="minorBidi"/>
                <w:noProof/>
                <w:color w:val="auto"/>
                <w:kern w:val="2"/>
                <w:szCs w:val="24"/>
                <w14:ligatures w14:val="standardContextual"/>
              </w:rPr>
              <w:tab/>
            </w:r>
            <w:r w:rsidRPr="008774AE">
              <w:rPr>
                <w:rStyle w:val="Hyperlink"/>
                <w:noProof/>
              </w:rPr>
              <w:t>Setting Penalties for Noncompliance</w:t>
            </w:r>
            <w:r>
              <w:rPr>
                <w:noProof/>
                <w:webHidden/>
              </w:rPr>
              <w:tab/>
            </w:r>
            <w:r>
              <w:rPr>
                <w:noProof/>
                <w:webHidden/>
              </w:rPr>
              <w:fldChar w:fldCharType="begin"/>
            </w:r>
            <w:r>
              <w:rPr>
                <w:noProof/>
                <w:webHidden/>
              </w:rPr>
              <w:instrText xml:space="preserve"> PAGEREF _Toc241576510 \h </w:instrText>
            </w:r>
            <w:r>
              <w:rPr>
                <w:noProof/>
                <w:webHidden/>
              </w:rPr>
            </w:r>
            <w:r>
              <w:rPr>
                <w:noProof/>
                <w:webHidden/>
              </w:rPr>
              <w:fldChar w:fldCharType="separate"/>
            </w:r>
            <w:r w:rsidR="00706626">
              <w:rPr>
                <w:noProof/>
                <w:webHidden/>
              </w:rPr>
              <w:t>7</w:t>
            </w:r>
            <w:r>
              <w:rPr>
                <w:noProof/>
                <w:webHidden/>
              </w:rPr>
              <w:fldChar w:fldCharType="end"/>
            </w:r>
          </w:hyperlink>
        </w:p>
        <w:p w14:paraId="74459BAE" w14:textId="27C9BFC5" w:rsidR="005932D0" w:rsidRDefault="005932D0">
          <w:pPr>
            <w:pStyle w:val="TOC2"/>
            <w:tabs>
              <w:tab w:val="left" w:pos="960"/>
              <w:tab w:val="right" w:leader="dot" w:pos="9008"/>
            </w:tabs>
            <w:rPr>
              <w:rFonts w:asciiTheme="minorHAnsi" w:eastAsiaTheme="minorEastAsia" w:hAnsiTheme="minorHAnsi" w:cstheme="minorBidi"/>
              <w:noProof/>
              <w:color w:val="auto"/>
              <w:kern w:val="2"/>
              <w:szCs w:val="24"/>
              <w14:ligatures w14:val="standardContextual"/>
            </w:rPr>
          </w:pPr>
          <w:hyperlink w:anchor="_Toc241576511" w:history="1">
            <w:r w:rsidRPr="008774AE">
              <w:rPr>
                <w:rStyle w:val="Hyperlink"/>
                <w:noProof/>
              </w:rPr>
              <w:t>5.4</w:t>
            </w:r>
            <w:r>
              <w:rPr>
                <w:rFonts w:asciiTheme="minorHAnsi" w:eastAsiaTheme="minorEastAsia" w:hAnsiTheme="minorHAnsi" w:cstheme="minorBidi"/>
                <w:noProof/>
                <w:color w:val="auto"/>
                <w:kern w:val="2"/>
                <w:szCs w:val="24"/>
                <w14:ligatures w14:val="standardContextual"/>
              </w:rPr>
              <w:tab/>
            </w:r>
            <w:r w:rsidRPr="008774AE">
              <w:rPr>
                <w:rStyle w:val="Hyperlink"/>
                <w:noProof/>
              </w:rPr>
              <w:t>Summary of proposed key Scheme parameters</w:t>
            </w:r>
            <w:r>
              <w:rPr>
                <w:noProof/>
                <w:webHidden/>
              </w:rPr>
              <w:tab/>
            </w:r>
            <w:r>
              <w:rPr>
                <w:noProof/>
                <w:webHidden/>
              </w:rPr>
              <w:fldChar w:fldCharType="begin"/>
            </w:r>
            <w:r>
              <w:rPr>
                <w:noProof/>
                <w:webHidden/>
              </w:rPr>
              <w:instrText xml:space="preserve"> PAGEREF _Toc241576511 \h </w:instrText>
            </w:r>
            <w:r>
              <w:rPr>
                <w:noProof/>
                <w:webHidden/>
              </w:rPr>
            </w:r>
            <w:r>
              <w:rPr>
                <w:noProof/>
                <w:webHidden/>
              </w:rPr>
              <w:fldChar w:fldCharType="separate"/>
            </w:r>
            <w:r w:rsidR="00706626">
              <w:rPr>
                <w:noProof/>
                <w:webHidden/>
              </w:rPr>
              <w:t>8</w:t>
            </w:r>
            <w:r>
              <w:rPr>
                <w:noProof/>
                <w:webHidden/>
              </w:rPr>
              <w:fldChar w:fldCharType="end"/>
            </w:r>
          </w:hyperlink>
        </w:p>
        <w:p w14:paraId="2D725813" w14:textId="6FBDB2B9" w:rsidR="005932D0" w:rsidRDefault="005932D0">
          <w:pPr>
            <w:pStyle w:val="TOC1"/>
            <w:tabs>
              <w:tab w:val="left" w:pos="480"/>
              <w:tab w:val="right" w:leader="dot" w:pos="9008"/>
            </w:tabs>
            <w:rPr>
              <w:rFonts w:asciiTheme="minorHAnsi" w:eastAsiaTheme="minorEastAsia" w:hAnsiTheme="minorHAnsi" w:cstheme="minorBidi"/>
              <w:noProof/>
              <w:color w:val="auto"/>
              <w:kern w:val="2"/>
              <w:szCs w:val="24"/>
              <w14:ligatures w14:val="standardContextual"/>
            </w:rPr>
          </w:pPr>
          <w:hyperlink w:anchor="_Toc241576512" w:history="1">
            <w:r w:rsidRPr="008774AE">
              <w:rPr>
                <w:rStyle w:val="Hyperlink"/>
                <w:noProof/>
              </w:rPr>
              <w:t>6.</w:t>
            </w:r>
            <w:r>
              <w:rPr>
                <w:rFonts w:asciiTheme="minorHAnsi" w:eastAsiaTheme="minorEastAsia" w:hAnsiTheme="minorHAnsi" w:cstheme="minorBidi"/>
                <w:noProof/>
                <w:color w:val="auto"/>
                <w:kern w:val="2"/>
                <w:szCs w:val="24"/>
                <w14:ligatures w14:val="standardContextual"/>
              </w:rPr>
              <w:tab/>
            </w:r>
            <w:r w:rsidRPr="008774AE">
              <w:rPr>
                <w:rStyle w:val="Hyperlink"/>
                <w:noProof/>
              </w:rPr>
              <w:t>Strategy for further implementation, review and consultation</w:t>
            </w:r>
            <w:r>
              <w:rPr>
                <w:noProof/>
                <w:webHidden/>
              </w:rPr>
              <w:tab/>
            </w:r>
            <w:r>
              <w:rPr>
                <w:noProof/>
                <w:webHidden/>
              </w:rPr>
              <w:fldChar w:fldCharType="begin"/>
            </w:r>
            <w:r>
              <w:rPr>
                <w:noProof/>
                <w:webHidden/>
              </w:rPr>
              <w:instrText xml:space="preserve"> PAGEREF _Toc241576512 \h </w:instrText>
            </w:r>
            <w:r>
              <w:rPr>
                <w:noProof/>
                <w:webHidden/>
              </w:rPr>
            </w:r>
            <w:r>
              <w:rPr>
                <w:noProof/>
                <w:webHidden/>
              </w:rPr>
              <w:fldChar w:fldCharType="separate"/>
            </w:r>
            <w:r w:rsidR="00706626">
              <w:rPr>
                <w:noProof/>
                <w:webHidden/>
              </w:rPr>
              <w:t>8</w:t>
            </w:r>
            <w:r>
              <w:rPr>
                <w:noProof/>
                <w:webHidden/>
              </w:rPr>
              <w:fldChar w:fldCharType="end"/>
            </w:r>
          </w:hyperlink>
        </w:p>
        <w:p w14:paraId="16A9A01B" w14:textId="1A3D0175" w:rsidR="005932D0" w:rsidRDefault="005932D0">
          <w:pPr>
            <w:pStyle w:val="TOC1"/>
            <w:tabs>
              <w:tab w:val="left" w:pos="480"/>
              <w:tab w:val="right" w:leader="dot" w:pos="9008"/>
            </w:tabs>
            <w:rPr>
              <w:rFonts w:asciiTheme="minorHAnsi" w:eastAsiaTheme="minorEastAsia" w:hAnsiTheme="minorHAnsi" w:cstheme="minorBidi"/>
              <w:noProof/>
              <w:color w:val="auto"/>
              <w:kern w:val="2"/>
              <w:szCs w:val="24"/>
              <w14:ligatures w14:val="standardContextual"/>
            </w:rPr>
          </w:pPr>
          <w:hyperlink w:anchor="_Toc241576513" w:history="1">
            <w:r w:rsidRPr="008774AE">
              <w:rPr>
                <w:rStyle w:val="Hyperlink"/>
                <w:noProof/>
              </w:rPr>
              <w:t>7.</w:t>
            </w:r>
            <w:r>
              <w:rPr>
                <w:rFonts w:asciiTheme="minorHAnsi" w:eastAsiaTheme="minorEastAsia" w:hAnsiTheme="minorHAnsi" w:cstheme="minorBidi"/>
                <w:noProof/>
                <w:color w:val="auto"/>
                <w:kern w:val="2"/>
                <w:szCs w:val="24"/>
                <w14:ligatures w14:val="standardContextual"/>
              </w:rPr>
              <w:tab/>
            </w:r>
            <w:r w:rsidRPr="008774AE">
              <w:rPr>
                <w:rStyle w:val="Hyperlink"/>
                <w:noProof/>
              </w:rPr>
              <w:t>Consistency of the proposed law with the authorising law</w:t>
            </w:r>
            <w:r>
              <w:rPr>
                <w:noProof/>
                <w:webHidden/>
              </w:rPr>
              <w:tab/>
            </w:r>
            <w:r>
              <w:rPr>
                <w:noProof/>
                <w:webHidden/>
              </w:rPr>
              <w:fldChar w:fldCharType="begin"/>
            </w:r>
            <w:r>
              <w:rPr>
                <w:noProof/>
                <w:webHidden/>
              </w:rPr>
              <w:instrText xml:space="preserve"> PAGEREF _Toc241576513 \h </w:instrText>
            </w:r>
            <w:r>
              <w:rPr>
                <w:noProof/>
                <w:webHidden/>
              </w:rPr>
            </w:r>
            <w:r>
              <w:rPr>
                <w:noProof/>
                <w:webHidden/>
              </w:rPr>
              <w:fldChar w:fldCharType="separate"/>
            </w:r>
            <w:r w:rsidR="00706626">
              <w:rPr>
                <w:noProof/>
                <w:webHidden/>
              </w:rPr>
              <w:t>8</w:t>
            </w:r>
            <w:r>
              <w:rPr>
                <w:noProof/>
                <w:webHidden/>
              </w:rPr>
              <w:fldChar w:fldCharType="end"/>
            </w:r>
          </w:hyperlink>
        </w:p>
        <w:p w14:paraId="046FDF10" w14:textId="57C02241" w:rsidR="005932D0" w:rsidRDefault="005932D0">
          <w:pPr>
            <w:pStyle w:val="TOC1"/>
            <w:tabs>
              <w:tab w:val="left" w:pos="480"/>
              <w:tab w:val="right" w:leader="dot" w:pos="9008"/>
            </w:tabs>
            <w:rPr>
              <w:rFonts w:asciiTheme="minorHAnsi" w:eastAsiaTheme="minorEastAsia" w:hAnsiTheme="minorHAnsi" w:cstheme="minorBidi"/>
              <w:noProof/>
              <w:color w:val="auto"/>
              <w:kern w:val="2"/>
              <w:szCs w:val="24"/>
              <w14:ligatures w14:val="standardContextual"/>
            </w:rPr>
          </w:pPr>
          <w:hyperlink w:anchor="_Toc241576514" w:history="1">
            <w:r w:rsidRPr="008774AE">
              <w:rPr>
                <w:rStyle w:val="Hyperlink"/>
                <w:noProof/>
              </w:rPr>
              <w:t>8.</w:t>
            </w:r>
            <w:r>
              <w:rPr>
                <w:rFonts w:asciiTheme="minorHAnsi" w:eastAsiaTheme="minorEastAsia" w:hAnsiTheme="minorHAnsi" w:cstheme="minorBidi"/>
                <w:noProof/>
                <w:color w:val="auto"/>
                <w:kern w:val="2"/>
                <w:szCs w:val="24"/>
                <w14:ligatures w14:val="standardContextual"/>
              </w:rPr>
              <w:tab/>
            </w:r>
            <w:r w:rsidRPr="008774AE">
              <w:rPr>
                <w:rStyle w:val="Hyperlink"/>
                <w:noProof/>
              </w:rPr>
              <w:t>Inconsistency with the policy objectives of another territory law</w:t>
            </w:r>
            <w:r>
              <w:rPr>
                <w:noProof/>
                <w:webHidden/>
              </w:rPr>
              <w:tab/>
            </w:r>
            <w:r>
              <w:rPr>
                <w:noProof/>
                <w:webHidden/>
              </w:rPr>
              <w:fldChar w:fldCharType="begin"/>
            </w:r>
            <w:r>
              <w:rPr>
                <w:noProof/>
                <w:webHidden/>
              </w:rPr>
              <w:instrText xml:space="preserve"> PAGEREF _Toc241576514 \h </w:instrText>
            </w:r>
            <w:r>
              <w:rPr>
                <w:noProof/>
                <w:webHidden/>
              </w:rPr>
            </w:r>
            <w:r>
              <w:rPr>
                <w:noProof/>
                <w:webHidden/>
              </w:rPr>
              <w:fldChar w:fldCharType="separate"/>
            </w:r>
            <w:r w:rsidR="00706626">
              <w:rPr>
                <w:noProof/>
                <w:webHidden/>
              </w:rPr>
              <w:t>8</w:t>
            </w:r>
            <w:r>
              <w:rPr>
                <w:noProof/>
                <w:webHidden/>
              </w:rPr>
              <w:fldChar w:fldCharType="end"/>
            </w:r>
          </w:hyperlink>
        </w:p>
        <w:p w14:paraId="52CD2594" w14:textId="6D12F9E2" w:rsidR="005932D0" w:rsidRDefault="005932D0">
          <w:pPr>
            <w:pStyle w:val="TOC1"/>
            <w:tabs>
              <w:tab w:val="left" w:pos="480"/>
              <w:tab w:val="right" w:leader="dot" w:pos="9008"/>
            </w:tabs>
            <w:rPr>
              <w:rFonts w:asciiTheme="minorHAnsi" w:eastAsiaTheme="minorEastAsia" w:hAnsiTheme="minorHAnsi" w:cstheme="minorBidi"/>
              <w:noProof/>
              <w:color w:val="auto"/>
              <w:kern w:val="2"/>
              <w:szCs w:val="24"/>
              <w14:ligatures w14:val="standardContextual"/>
            </w:rPr>
          </w:pPr>
          <w:hyperlink w:anchor="_Toc241576515" w:history="1">
            <w:r w:rsidRPr="008774AE">
              <w:rPr>
                <w:rStyle w:val="Hyperlink"/>
                <w:noProof/>
              </w:rPr>
              <w:t>9.</w:t>
            </w:r>
            <w:r>
              <w:rPr>
                <w:rFonts w:asciiTheme="minorHAnsi" w:eastAsiaTheme="minorEastAsia" w:hAnsiTheme="minorHAnsi" w:cstheme="minorBidi"/>
                <w:noProof/>
                <w:color w:val="auto"/>
                <w:kern w:val="2"/>
                <w:szCs w:val="24"/>
                <w14:ligatures w14:val="standardContextual"/>
              </w:rPr>
              <w:tab/>
            </w:r>
            <w:r w:rsidRPr="008774AE">
              <w:rPr>
                <w:rStyle w:val="Hyperlink"/>
                <w:noProof/>
              </w:rPr>
              <w:t>Reasonable alternatives to the proposed law</w:t>
            </w:r>
            <w:r>
              <w:rPr>
                <w:noProof/>
                <w:webHidden/>
              </w:rPr>
              <w:tab/>
            </w:r>
            <w:r>
              <w:rPr>
                <w:noProof/>
                <w:webHidden/>
              </w:rPr>
              <w:fldChar w:fldCharType="begin"/>
            </w:r>
            <w:r>
              <w:rPr>
                <w:noProof/>
                <w:webHidden/>
              </w:rPr>
              <w:instrText xml:space="preserve"> PAGEREF _Toc241576515 \h </w:instrText>
            </w:r>
            <w:r>
              <w:rPr>
                <w:noProof/>
                <w:webHidden/>
              </w:rPr>
            </w:r>
            <w:r>
              <w:rPr>
                <w:noProof/>
                <w:webHidden/>
              </w:rPr>
              <w:fldChar w:fldCharType="separate"/>
            </w:r>
            <w:r w:rsidR="00706626">
              <w:rPr>
                <w:noProof/>
                <w:webHidden/>
              </w:rPr>
              <w:t>8</w:t>
            </w:r>
            <w:r>
              <w:rPr>
                <w:noProof/>
                <w:webHidden/>
              </w:rPr>
              <w:fldChar w:fldCharType="end"/>
            </w:r>
          </w:hyperlink>
        </w:p>
        <w:p w14:paraId="23278485" w14:textId="5AD0EB70" w:rsidR="005932D0" w:rsidRDefault="005932D0" w:rsidP="00706626">
          <w:pPr>
            <w:pStyle w:val="TOC1"/>
            <w:tabs>
              <w:tab w:val="left" w:pos="488"/>
              <w:tab w:val="right" w:leader="dot" w:pos="9008"/>
            </w:tabs>
            <w:spacing w:line="271" w:lineRule="auto"/>
            <w:ind w:left="28" w:right="17" w:hanging="11"/>
            <w:rPr>
              <w:rFonts w:asciiTheme="minorHAnsi" w:eastAsiaTheme="minorEastAsia" w:hAnsiTheme="minorHAnsi" w:cstheme="minorBidi"/>
              <w:noProof/>
              <w:color w:val="auto"/>
              <w:kern w:val="2"/>
              <w:szCs w:val="24"/>
              <w14:ligatures w14:val="standardContextual"/>
            </w:rPr>
          </w:pPr>
          <w:hyperlink w:anchor="_Toc241576516" w:history="1">
            <w:r w:rsidRPr="008774AE">
              <w:rPr>
                <w:rStyle w:val="Hyperlink"/>
                <w:noProof/>
              </w:rPr>
              <w:t>10.</w:t>
            </w:r>
            <w:r>
              <w:rPr>
                <w:rFonts w:asciiTheme="minorHAnsi" w:eastAsiaTheme="minorEastAsia" w:hAnsiTheme="minorHAnsi" w:cstheme="minorBidi"/>
                <w:noProof/>
                <w:color w:val="auto"/>
                <w:kern w:val="2"/>
                <w:szCs w:val="24"/>
                <w14:ligatures w14:val="standardContextual"/>
              </w:rPr>
              <w:tab/>
            </w:r>
            <w:r w:rsidRPr="008774AE">
              <w:rPr>
                <w:rStyle w:val="Hyperlink"/>
                <w:noProof/>
              </w:rPr>
              <w:t>Brief assessment of the benefits and costs of the proposed law</w:t>
            </w:r>
            <w:r>
              <w:rPr>
                <w:noProof/>
                <w:webHidden/>
              </w:rPr>
              <w:tab/>
            </w:r>
            <w:r>
              <w:rPr>
                <w:noProof/>
                <w:webHidden/>
              </w:rPr>
              <w:fldChar w:fldCharType="begin"/>
            </w:r>
            <w:r>
              <w:rPr>
                <w:noProof/>
                <w:webHidden/>
              </w:rPr>
              <w:instrText xml:space="preserve"> PAGEREF _Toc241576516 \h </w:instrText>
            </w:r>
            <w:r>
              <w:rPr>
                <w:noProof/>
                <w:webHidden/>
              </w:rPr>
            </w:r>
            <w:r>
              <w:rPr>
                <w:noProof/>
                <w:webHidden/>
              </w:rPr>
              <w:fldChar w:fldCharType="separate"/>
            </w:r>
            <w:r w:rsidR="00706626">
              <w:rPr>
                <w:noProof/>
                <w:webHidden/>
              </w:rPr>
              <w:t>9</w:t>
            </w:r>
            <w:r>
              <w:rPr>
                <w:noProof/>
                <w:webHidden/>
              </w:rPr>
              <w:fldChar w:fldCharType="end"/>
            </w:r>
          </w:hyperlink>
        </w:p>
        <w:p w14:paraId="3E13AF6B" w14:textId="3B530B66" w:rsidR="005932D0" w:rsidRDefault="005932D0" w:rsidP="00706626">
          <w:pPr>
            <w:pStyle w:val="TOC1"/>
            <w:tabs>
              <w:tab w:val="left" w:pos="488"/>
              <w:tab w:val="right" w:leader="dot" w:pos="9008"/>
            </w:tabs>
            <w:spacing w:line="271" w:lineRule="auto"/>
            <w:ind w:left="28" w:right="17" w:hanging="11"/>
            <w:rPr>
              <w:rFonts w:asciiTheme="minorHAnsi" w:eastAsiaTheme="minorEastAsia" w:hAnsiTheme="minorHAnsi" w:cstheme="minorBidi"/>
              <w:noProof/>
              <w:color w:val="auto"/>
              <w:kern w:val="2"/>
              <w:szCs w:val="24"/>
              <w14:ligatures w14:val="standardContextual"/>
            </w:rPr>
          </w:pPr>
          <w:hyperlink w:anchor="_Toc241576517" w:history="1">
            <w:r w:rsidRPr="008774AE">
              <w:rPr>
                <w:rStyle w:val="Hyperlink"/>
                <w:noProof/>
              </w:rPr>
              <w:t>11.</w:t>
            </w:r>
            <w:r>
              <w:rPr>
                <w:rFonts w:asciiTheme="minorHAnsi" w:eastAsiaTheme="minorEastAsia" w:hAnsiTheme="minorHAnsi" w:cstheme="minorBidi"/>
                <w:noProof/>
                <w:color w:val="auto"/>
                <w:kern w:val="2"/>
                <w:szCs w:val="24"/>
                <w14:ligatures w14:val="standardContextual"/>
              </w:rPr>
              <w:tab/>
            </w:r>
            <w:r w:rsidRPr="008774AE">
              <w:rPr>
                <w:rStyle w:val="Hyperlink"/>
                <w:noProof/>
              </w:rPr>
              <w:t>Human rights</w:t>
            </w:r>
            <w:r>
              <w:rPr>
                <w:noProof/>
                <w:webHidden/>
              </w:rPr>
              <w:tab/>
            </w:r>
            <w:r>
              <w:rPr>
                <w:noProof/>
                <w:webHidden/>
              </w:rPr>
              <w:fldChar w:fldCharType="begin"/>
            </w:r>
            <w:r>
              <w:rPr>
                <w:noProof/>
                <w:webHidden/>
              </w:rPr>
              <w:instrText xml:space="preserve"> PAGEREF _Toc241576517 \h </w:instrText>
            </w:r>
            <w:r>
              <w:rPr>
                <w:noProof/>
                <w:webHidden/>
              </w:rPr>
            </w:r>
            <w:r>
              <w:rPr>
                <w:noProof/>
                <w:webHidden/>
              </w:rPr>
              <w:fldChar w:fldCharType="separate"/>
            </w:r>
            <w:r w:rsidR="00706626">
              <w:rPr>
                <w:noProof/>
                <w:webHidden/>
              </w:rPr>
              <w:t>9</w:t>
            </w:r>
            <w:r>
              <w:rPr>
                <w:noProof/>
                <w:webHidden/>
              </w:rPr>
              <w:fldChar w:fldCharType="end"/>
            </w:r>
          </w:hyperlink>
        </w:p>
        <w:p w14:paraId="143D7231" w14:textId="363CA89A" w:rsidR="005932D0" w:rsidRDefault="005932D0" w:rsidP="00005765">
          <w:pPr>
            <w:pStyle w:val="TOC1"/>
            <w:tabs>
              <w:tab w:val="left" w:pos="720"/>
              <w:tab w:val="right" w:leader="dot" w:pos="9008"/>
            </w:tabs>
            <w:spacing w:line="271" w:lineRule="auto"/>
            <w:ind w:left="522" w:right="17" w:hanging="505"/>
            <w:rPr>
              <w:rFonts w:asciiTheme="minorHAnsi" w:eastAsiaTheme="minorEastAsia" w:hAnsiTheme="minorHAnsi" w:cstheme="minorBidi"/>
              <w:noProof/>
              <w:color w:val="auto"/>
              <w:kern w:val="2"/>
              <w:szCs w:val="24"/>
              <w14:ligatures w14:val="standardContextual"/>
            </w:rPr>
          </w:pPr>
          <w:hyperlink w:anchor="_Toc241576518" w:history="1">
            <w:r w:rsidRPr="008774AE">
              <w:rPr>
                <w:rStyle w:val="Hyperlink"/>
                <w:noProof/>
              </w:rPr>
              <w:t>12.</w:t>
            </w:r>
            <w:r>
              <w:rPr>
                <w:rFonts w:asciiTheme="minorHAnsi" w:eastAsiaTheme="minorEastAsia" w:hAnsiTheme="minorHAnsi" w:cstheme="minorBidi"/>
                <w:noProof/>
                <w:color w:val="auto"/>
                <w:kern w:val="2"/>
                <w:szCs w:val="24"/>
                <w14:ligatures w14:val="standardContextual"/>
              </w:rPr>
              <w:tab/>
            </w:r>
            <w:r w:rsidRPr="008774AE">
              <w:rPr>
                <w:rStyle w:val="Hyperlink"/>
                <w:noProof/>
              </w:rPr>
              <w:t>Assessment of the consistency of the proposed law with the Standing Committee on Legal Affairs (Legislative Scrutiny Role)</w:t>
            </w:r>
            <w:r>
              <w:rPr>
                <w:noProof/>
                <w:webHidden/>
              </w:rPr>
              <w:tab/>
            </w:r>
            <w:r>
              <w:rPr>
                <w:noProof/>
                <w:webHidden/>
              </w:rPr>
              <w:fldChar w:fldCharType="begin"/>
            </w:r>
            <w:r>
              <w:rPr>
                <w:noProof/>
                <w:webHidden/>
              </w:rPr>
              <w:instrText xml:space="preserve"> PAGEREF _Toc241576518 \h </w:instrText>
            </w:r>
            <w:r>
              <w:rPr>
                <w:noProof/>
                <w:webHidden/>
              </w:rPr>
            </w:r>
            <w:r>
              <w:rPr>
                <w:noProof/>
                <w:webHidden/>
              </w:rPr>
              <w:fldChar w:fldCharType="separate"/>
            </w:r>
            <w:r w:rsidR="00706626">
              <w:rPr>
                <w:noProof/>
                <w:webHidden/>
              </w:rPr>
              <w:t>10</w:t>
            </w:r>
            <w:r>
              <w:rPr>
                <w:noProof/>
                <w:webHidden/>
              </w:rPr>
              <w:fldChar w:fldCharType="end"/>
            </w:r>
          </w:hyperlink>
        </w:p>
        <w:p w14:paraId="14527EDF" w14:textId="0110FD14" w:rsidR="005932D0" w:rsidRDefault="005932D0" w:rsidP="00706626">
          <w:pPr>
            <w:pStyle w:val="TOC1"/>
            <w:tabs>
              <w:tab w:val="left" w:pos="488"/>
              <w:tab w:val="right" w:leader="dot" w:pos="9008"/>
            </w:tabs>
            <w:spacing w:line="271" w:lineRule="auto"/>
            <w:ind w:left="28" w:right="17" w:hanging="11"/>
            <w:rPr>
              <w:rFonts w:asciiTheme="minorHAnsi" w:eastAsiaTheme="minorEastAsia" w:hAnsiTheme="minorHAnsi" w:cstheme="minorBidi"/>
              <w:noProof/>
              <w:color w:val="auto"/>
              <w:kern w:val="2"/>
              <w:szCs w:val="24"/>
              <w14:ligatures w14:val="standardContextual"/>
            </w:rPr>
          </w:pPr>
          <w:hyperlink w:anchor="_Toc241576519" w:history="1">
            <w:r w:rsidRPr="008774AE">
              <w:rPr>
                <w:rStyle w:val="Hyperlink"/>
                <w:noProof/>
              </w:rPr>
              <w:t>13.</w:t>
            </w:r>
            <w:r>
              <w:rPr>
                <w:rFonts w:asciiTheme="minorHAnsi" w:eastAsiaTheme="minorEastAsia" w:hAnsiTheme="minorHAnsi" w:cstheme="minorBidi"/>
                <w:noProof/>
                <w:color w:val="auto"/>
                <w:kern w:val="2"/>
                <w:szCs w:val="24"/>
                <w14:ligatures w14:val="standardContextual"/>
              </w:rPr>
              <w:tab/>
            </w:r>
            <w:r w:rsidRPr="008774AE">
              <w:rPr>
                <w:rStyle w:val="Hyperlink"/>
                <w:noProof/>
              </w:rPr>
              <w:t>Conclusion</w:t>
            </w:r>
            <w:r>
              <w:rPr>
                <w:noProof/>
                <w:webHidden/>
              </w:rPr>
              <w:tab/>
            </w:r>
            <w:r>
              <w:rPr>
                <w:noProof/>
                <w:webHidden/>
              </w:rPr>
              <w:fldChar w:fldCharType="begin"/>
            </w:r>
            <w:r>
              <w:rPr>
                <w:noProof/>
                <w:webHidden/>
              </w:rPr>
              <w:instrText xml:space="preserve"> PAGEREF _Toc241576519 \h </w:instrText>
            </w:r>
            <w:r>
              <w:rPr>
                <w:noProof/>
                <w:webHidden/>
              </w:rPr>
            </w:r>
            <w:r>
              <w:rPr>
                <w:noProof/>
                <w:webHidden/>
              </w:rPr>
              <w:fldChar w:fldCharType="separate"/>
            </w:r>
            <w:r w:rsidR="00706626">
              <w:rPr>
                <w:noProof/>
                <w:webHidden/>
              </w:rPr>
              <w:t>10</w:t>
            </w:r>
            <w:r>
              <w:rPr>
                <w:noProof/>
                <w:webHidden/>
              </w:rPr>
              <w:fldChar w:fldCharType="end"/>
            </w:r>
          </w:hyperlink>
        </w:p>
        <w:p w14:paraId="0177701D" w14:textId="3BD9E5E9" w:rsidR="00795996" w:rsidRDefault="00521E20">
          <w:r>
            <w:fldChar w:fldCharType="end"/>
          </w:r>
        </w:p>
      </w:sdtContent>
    </w:sdt>
    <w:p w14:paraId="26119D03" w14:textId="77777777" w:rsidR="005D5DC4" w:rsidRDefault="005D5DC4">
      <w:pPr>
        <w:spacing w:after="160" w:line="259" w:lineRule="auto"/>
        <w:ind w:left="0" w:firstLine="0"/>
      </w:pPr>
      <w:r>
        <w:br w:type="page"/>
      </w:r>
    </w:p>
    <w:p w14:paraId="6283ADC2" w14:textId="77777777" w:rsidR="00795996" w:rsidRDefault="00521E20" w:rsidP="007F76E5">
      <w:pPr>
        <w:pStyle w:val="Heading1"/>
        <w:ind w:left="426" w:hanging="426"/>
      </w:pPr>
      <w:bookmarkStart w:id="0" w:name="_Toc241576503"/>
      <w:r>
        <w:lastRenderedPageBreak/>
        <w:t>Executive summary</w:t>
      </w:r>
      <w:bookmarkEnd w:id="0"/>
      <w:r>
        <w:t xml:space="preserve"> </w:t>
      </w:r>
    </w:p>
    <w:p w14:paraId="706C479B" w14:textId="082F29F3" w:rsidR="00795996" w:rsidRDefault="00521E20" w:rsidP="00B86827">
      <w:pPr>
        <w:spacing w:after="160" w:line="267" w:lineRule="auto"/>
        <w:ind w:left="0" w:firstLine="0"/>
      </w:pPr>
      <w:r>
        <w:t xml:space="preserve">The </w:t>
      </w:r>
      <w:r>
        <w:rPr>
          <w:i/>
        </w:rPr>
        <w:t>Energy Efficiency (Cost of Living) Improvement Act 2012</w:t>
      </w:r>
      <w:r>
        <w:t xml:space="preserve"> (the Act) establishes the</w:t>
      </w:r>
      <w:r w:rsidR="00B86827">
        <w:t xml:space="preserve"> </w:t>
      </w:r>
      <w:r>
        <w:t>Australian Capital Territory’s (ACT’s) Energy Efficiency Improvement Scheme (EEIS</w:t>
      </w:r>
      <w:r w:rsidR="00D1762D">
        <w:t xml:space="preserve"> or </w:t>
      </w:r>
      <w:r>
        <w:t xml:space="preserve">the ‘Scheme’), which aims to encourage the efficient use of energy; reduce greenhouse gas emissions associated with energy use in the Territory; reduce household and small to medium sized business energy use and costs; and increase opportunities for priority households to reduce energy use and costs. The EEIS establishes a Territory-wide </w:t>
      </w:r>
      <w:r w:rsidR="007E6694">
        <w:t>e</w:t>
      </w:r>
      <w:r>
        <w:t xml:space="preserve">nergy </w:t>
      </w:r>
      <w:r w:rsidR="007E6694">
        <w:t>s</w:t>
      </w:r>
      <w:r>
        <w:t xml:space="preserve">avings </w:t>
      </w:r>
      <w:r w:rsidR="007E6694">
        <w:t>t</w:t>
      </w:r>
      <w:r>
        <w:t xml:space="preserve">arget (EST), defined as a proportion of a retailer’s total electricity sales in the ACT. </w:t>
      </w:r>
    </w:p>
    <w:p w14:paraId="05040165" w14:textId="7B38B344" w:rsidR="00795996" w:rsidRDefault="00521E20" w:rsidP="00866F94">
      <w:pPr>
        <w:spacing w:after="160" w:line="271" w:lineRule="auto"/>
        <w:ind w:left="5" w:hanging="11"/>
      </w:pPr>
      <w:r>
        <w:t>The Act requires electricity retailers to achieve energy savings by delivering eligible activities to households and small-to-medium businesses. Eligible activities are determined by the Minister and include insulation,</w:t>
      </w:r>
      <w:r w:rsidR="003A5D4C">
        <w:t xml:space="preserve"> draught sealing,</w:t>
      </w:r>
      <w:r>
        <w:t xml:space="preserve"> efficient space heating and cooling systems, water heaters and other items that reduce energy bills and provide energy savings while maintaining quality of life. </w:t>
      </w:r>
      <w:r w:rsidR="00D374BB">
        <w:t>EEIS</w:t>
      </w:r>
      <w:r>
        <w:t xml:space="preserve"> ‘</w:t>
      </w:r>
      <w:r w:rsidR="00F56330">
        <w:t>t</w:t>
      </w:r>
      <w:r>
        <w:t xml:space="preserve">ier 1’ retailers must deliver energy savings activities or acquire energy savings factors (ESFs) from Approved Energy Savings Providers (AESPs), </w:t>
      </w:r>
      <w:r w:rsidR="00D374BB">
        <w:t>while</w:t>
      </w:r>
      <w:r>
        <w:t xml:space="preserve"> ‘</w:t>
      </w:r>
      <w:r w:rsidR="00F56330">
        <w:t>t</w:t>
      </w:r>
      <w:r>
        <w:t xml:space="preserve">ier 2’ retailers can either deliver eligible activities, acquire ESFs from AESPs, or opt to pay an Energy Savings Contribution (ESC). </w:t>
      </w:r>
      <w:bookmarkStart w:id="1" w:name="_Hlk172209106"/>
      <w:r>
        <w:t>Any retailer that fails to meet its obligations under the Scheme within a given compliance period is required to pay a ‘</w:t>
      </w:r>
      <w:r w:rsidR="007E6694">
        <w:t>s</w:t>
      </w:r>
      <w:r>
        <w:t xml:space="preserve">hortfall </w:t>
      </w:r>
      <w:r w:rsidR="007E6694">
        <w:t>p</w:t>
      </w:r>
      <w:r>
        <w:t xml:space="preserve">enalty’. </w:t>
      </w:r>
      <w:bookmarkEnd w:id="1"/>
    </w:p>
    <w:p w14:paraId="38AAD7BE" w14:textId="50241265" w:rsidR="00795996" w:rsidRDefault="00521E20" w:rsidP="00B86827">
      <w:pPr>
        <w:spacing w:after="120" w:line="271" w:lineRule="auto"/>
        <w:ind w:left="5" w:hanging="11"/>
      </w:pPr>
      <w:r>
        <w:t xml:space="preserve">This Regulatory Impact Statement (RIS) was prepared in accordance with Part 5.2 of the </w:t>
      </w:r>
      <w:r>
        <w:rPr>
          <w:i/>
        </w:rPr>
        <w:t>Legislation Act 2001</w:t>
      </w:r>
      <w:r>
        <w:t xml:space="preserve">. The specific proposal considered in this document is for the following Scheme parameters to be set by the </w:t>
      </w:r>
      <w:r w:rsidR="00646162">
        <w:t xml:space="preserve">responsible </w:t>
      </w:r>
      <w:r>
        <w:t xml:space="preserve">Minister in disallowable instruments for the </w:t>
      </w:r>
      <w:r w:rsidR="00556521">
        <w:t>202</w:t>
      </w:r>
      <w:r w:rsidR="00301F13">
        <w:t>7</w:t>
      </w:r>
      <w:r w:rsidR="00556521">
        <w:t xml:space="preserve"> </w:t>
      </w:r>
      <w:r>
        <w:t xml:space="preserve">compliance period: </w:t>
      </w:r>
    </w:p>
    <w:p w14:paraId="0D237403" w14:textId="77777777" w:rsidR="00795996" w:rsidRDefault="00521E20" w:rsidP="00B86827">
      <w:pPr>
        <w:numPr>
          <w:ilvl w:val="0"/>
          <w:numId w:val="1"/>
        </w:numPr>
        <w:spacing w:after="0" w:line="240" w:lineRule="auto"/>
        <w:ind w:left="709" w:hanging="357"/>
      </w:pPr>
      <w:r>
        <w:t xml:space="preserve">Energy Savings Target at 14.6%  </w:t>
      </w:r>
    </w:p>
    <w:p w14:paraId="24263E5B" w14:textId="77777777" w:rsidR="00795996" w:rsidRDefault="00521E20" w:rsidP="007F76E5">
      <w:pPr>
        <w:numPr>
          <w:ilvl w:val="0"/>
          <w:numId w:val="1"/>
        </w:numPr>
        <w:spacing w:after="0" w:line="240" w:lineRule="auto"/>
        <w:ind w:left="709" w:hanging="357"/>
      </w:pPr>
      <w:r>
        <w:t xml:space="preserve">Energy Savings Contribution at $27.43/MWh, and </w:t>
      </w:r>
    </w:p>
    <w:p w14:paraId="6A32E36D" w14:textId="77777777" w:rsidR="00795996" w:rsidRDefault="00521E20" w:rsidP="007F76E5">
      <w:pPr>
        <w:numPr>
          <w:ilvl w:val="0"/>
          <w:numId w:val="1"/>
        </w:numPr>
        <w:spacing w:after="206" w:line="240" w:lineRule="auto"/>
        <w:ind w:left="709" w:hanging="357"/>
      </w:pPr>
      <w:r>
        <w:t xml:space="preserve">Shortfall Penalty at $71.32/MWh. </w:t>
      </w:r>
    </w:p>
    <w:p w14:paraId="1D19E762" w14:textId="37B78905" w:rsidR="00795996" w:rsidRDefault="00521E20" w:rsidP="00844360">
      <w:pPr>
        <w:spacing w:after="120" w:line="259" w:lineRule="auto"/>
        <w:ind w:left="0" w:firstLine="0"/>
      </w:pPr>
      <w:r>
        <w:t>These parameters are set by the following disallowable instruments</w:t>
      </w:r>
      <w:r w:rsidR="00441DF2">
        <w:t xml:space="preserve"> (the determinations)</w:t>
      </w:r>
      <w:r>
        <w:t xml:space="preserve">: </w:t>
      </w:r>
    </w:p>
    <w:p w14:paraId="05CE64EF" w14:textId="7D4ED418" w:rsidR="00795996" w:rsidRDefault="00521E20">
      <w:pPr>
        <w:numPr>
          <w:ilvl w:val="0"/>
          <w:numId w:val="1"/>
        </w:numPr>
        <w:spacing w:after="11" w:line="267" w:lineRule="auto"/>
        <w:ind w:hanging="360"/>
      </w:pPr>
      <w:r>
        <w:rPr>
          <w:i/>
        </w:rPr>
        <w:t>Energy Efficiency (Cost of Living) Improvement (Energy Savings Target) Determination 202</w:t>
      </w:r>
      <w:r w:rsidR="00D94EF6">
        <w:rPr>
          <w:i/>
        </w:rPr>
        <w:t>6</w:t>
      </w:r>
      <w:r>
        <w:rPr>
          <w:i/>
        </w:rPr>
        <w:t xml:space="preserve"> </w:t>
      </w:r>
    </w:p>
    <w:p w14:paraId="5A02DF7E" w14:textId="26BFEC09" w:rsidR="00795996" w:rsidRDefault="00521E20">
      <w:pPr>
        <w:numPr>
          <w:ilvl w:val="0"/>
          <w:numId w:val="1"/>
        </w:numPr>
        <w:spacing w:after="11" w:line="267" w:lineRule="auto"/>
        <w:ind w:hanging="360"/>
      </w:pPr>
      <w:r>
        <w:rPr>
          <w:i/>
        </w:rPr>
        <w:t>Energy Efficiency (Cost of Living) Improvement (Energy Savings Contribution) Determination 202</w:t>
      </w:r>
      <w:r w:rsidR="00D94EF6">
        <w:rPr>
          <w:i/>
        </w:rPr>
        <w:t>6</w:t>
      </w:r>
      <w:r>
        <w:rPr>
          <w:i/>
        </w:rPr>
        <w:t xml:space="preserve"> </w:t>
      </w:r>
    </w:p>
    <w:p w14:paraId="3B44C73B" w14:textId="3C41FC26" w:rsidR="00795996" w:rsidRDefault="00521E20" w:rsidP="00C25C34">
      <w:pPr>
        <w:numPr>
          <w:ilvl w:val="0"/>
          <w:numId w:val="1"/>
        </w:numPr>
        <w:spacing w:after="360" w:line="266" w:lineRule="auto"/>
        <w:ind w:left="709" w:hanging="357"/>
      </w:pPr>
      <w:r>
        <w:rPr>
          <w:i/>
        </w:rPr>
        <w:t>Energy Efficiency (Cost of Living) Improvement (</w:t>
      </w:r>
      <w:r w:rsidR="005D5DC4">
        <w:rPr>
          <w:i/>
        </w:rPr>
        <w:t>Penalties for noncompliance</w:t>
      </w:r>
      <w:r>
        <w:rPr>
          <w:i/>
        </w:rPr>
        <w:t>) Determination 202</w:t>
      </w:r>
      <w:r w:rsidR="00D94EF6">
        <w:rPr>
          <w:i/>
        </w:rPr>
        <w:t>6</w:t>
      </w:r>
      <w:r>
        <w:rPr>
          <w:i/>
        </w:rPr>
        <w:t xml:space="preserve"> </w:t>
      </w:r>
    </w:p>
    <w:p w14:paraId="589BEFD5" w14:textId="77777777" w:rsidR="00795996" w:rsidRDefault="00521E20" w:rsidP="007F76E5">
      <w:pPr>
        <w:pStyle w:val="Heading1"/>
        <w:ind w:left="426" w:hanging="426"/>
      </w:pPr>
      <w:bookmarkStart w:id="2" w:name="_Toc241576504"/>
      <w:r>
        <w:t>The authorising law</w:t>
      </w:r>
      <w:bookmarkEnd w:id="2"/>
      <w:r>
        <w:t xml:space="preserve"> </w:t>
      </w:r>
    </w:p>
    <w:p w14:paraId="714CB091" w14:textId="1382DC21" w:rsidR="00795996" w:rsidRDefault="00521E20" w:rsidP="00B86827">
      <w:pPr>
        <w:spacing w:after="160" w:line="271" w:lineRule="auto"/>
        <w:ind w:left="5" w:hanging="11"/>
      </w:pPr>
      <w:bookmarkStart w:id="3" w:name="_Hlk172209188"/>
      <w:r>
        <w:t xml:space="preserve">The EEIS is the ACT’s market-based Energy Efficiency Obligation (EEO) scheme established under the Act. </w:t>
      </w:r>
      <w:bookmarkEnd w:id="3"/>
      <w:r>
        <w:t>The Act was passed by the Legislative Assembly on 3 May 2012 and the Scheme is currently legislated to run until 31 December 2030. Under the Act, a</w:t>
      </w:r>
      <w:r w:rsidR="00F26546">
        <w:t>n</w:t>
      </w:r>
      <w:r>
        <w:t xml:space="preserve"> </w:t>
      </w:r>
      <w:r w:rsidR="007E6694">
        <w:t>e</w:t>
      </w:r>
      <w:r>
        <w:t xml:space="preserve">nergy </w:t>
      </w:r>
      <w:r w:rsidR="007E6694">
        <w:t>s</w:t>
      </w:r>
      <w:r>
        <w:t xml:space="preserve">avings </w:t>
      </w:r>
      <w:r w:rsidR="007E6694">
        <w:t>t</w:t>
      </w:r>
      <w:r>
        <w:t xml:space="preserve">arget (EST) is established, which determines the total energy savings to be achieved by individual retailers in a compliance period, expressed as a percentage of their total electricity sales in the ACT. A </w:t>
      </w:r>
      <w:r w:rsidR="007E6694">
        <w:t>r</w:t>
      </w:r>
      <w:r>
        <w:t xml:space="preserve">etailer’s </w:t>
      </w:r>
      <w:r w:rsidR="007E6694">
        <w:t>e</w:t>
      </w:r>
      <w:r>
        <w:t xml:space="preserve">nergy </w:t>
      </w:r>
      <w:r w:rsidR="007E6694">
        <w:t>s</w:t>
      </w:r>
      <w:r>
        <w:t xml:space="preserve">avings </w:t>
      </w:r>
      <w:r w:rsidR="007E6694">
        <w:t>o</w:t>
      </w:r>
      <w:r>
        <w:t xml:space="preserve">bligation (RESO) for a compliance period is calculated as follows: EST (%) x </w:t>
      </w:r>
      <w:r w:rsidR="007E6694">
        <w:t>e</w:t>
      </w:r>
      <w:r>
        <w:t xml:space="preserve">lectricity </w:t>
      </w:r>
      <w:r w:rsidR="007E6694">
        <w:t>s</w:t>
      </w:r>
      <w:r>
        <w:t xml:space="preserve">ales (in megawatt hours or MWh).  </w:t>
      </w:r>
    </w:p>
    <w:p w14:paraId="261EA3FD" w14:textId="53EA7670" w:rsidR="00795996" w:rsidRDefault="00844360" w:rsidP="00B86827">
      <w:pPr>
        <w:spacing w:after="160" w:line="271" w:lineRule="auto"/>
        <w:ind w:left="5" w:hanging="11"/>
      </w:pPr>
      <w:r>
        <w:lastRenderedPageBreak/>
        <w:t>T</w:t>
      </w:r>
      <w:r w:rsidR="00521E20">
        <w:t xml:space="preserve">ier 2 retailers that choose not to deliver energy savings activities or acquire ESFs are required to achieve their RESO through the payment of an </w:t>
      </w:r>
      <w:r w:rsidR="007E6694">
        <w:t>e</w:t>
      </w:r>
      <w:r w:rsidR="00521E20">
        <w:t xml:space="preserve">nergy </w:t>
      </w:r>
      <w:r w:rsidR="007E6694">
        <w:t>s</w:t>
      </w:r>
      <w:r w:rsidR="00521E20">
        <w:t xml:space="preserve">avings </w:t>
      </w:r>
      <w:r w:rsidR="007E6694">
        <w:t>c</w:t>
      </w:r>
      <w:r w:rsidR="00521E20">
        <w:t xml:space="preserve">ontribution (ESC). In cases where a retailer fails to meet their RESO, a </w:t>
      </w:r>
      <w:r w:rsidR="007E6694">
        <w:t>s</w:t>
      </w:r>
      <w:r w:rsidR="00521E20">
        <w:t xml:space="preserve">hortfall </w:t>
      </w:r>
      <w:r w:rsidR="007E6694">
        <w:t>p</w:t>
      </w:r>
      <w:r w:rsidR="00521E20">
        <w:t xml:space="preserve">enalty applies.  </w:t>
      </w:r>
    </w:p>
    <w:p w14:paraId="0085D763" w14:textId="2FB7DAAA" w:rsidR="00795996" w:rsidRDefault="00521E20" w:rsidP="00B86827">
      <w:pPr>
        <w:spacing w:after="240" w:line="271" w:lineRule="auto"/>
        <w:ind w:left="5" w:hanging="11"/>
      </w:pPr>
      <w:r>
        <w:t xml:space="preserve">The EST </w:t>
      </w:r>
      <w:r w:rsidR="00844360">
        <w:t xml:space="preserve">and ESC </w:t>
      </w:r>
      <w:r>
        <w:t xml:space="preserve">must be determined by the Minister for Water, Energy and Emissions Reductions no later than six months before the commencement of the compliance period (by 30 June) if it increases; or no later than three months before the commencement of the compliance period (by 30 September) if there is no increase.  </w:t>
      </w:r>
    </w:p>
    <w:p w14:paraId="29A4A677" w14:textId="77777777" w:rsidR="00795996" w:rsidRDefault="00521E20" w:rsidP="007F76E5">
      <w:pPr>
        <w:pStyle w:val="Heading1"/>
        <w:ind w:left="426" w:hanging="426"/>
      </w:pPr>
      <w:bookmarkStart w:id="4" w:name="_Toc241576505"/>
      <w:r>
        <w:t>Policy objectives of the disallowable instruments</w:t>
      </w:r>
      <w:bookmarkEnd w:id="4"/>
      <w:r>
        <w:t xml:space="preserve"> </w:t>
      </w:r>
    </w:p>
    <w:p w14:paraId="2C92F13C" w14:textId="3DB75B69" w:rsidR="00795996" w:rsidRDefault="00521E20" w:rsidP="00B86827">
      <w:pPr>
        <w:spacing w:after="120" w:line="271" w:lineRule="auto"/>
        <w:ind w:left="5" w:hanging="11"/>
      </w:pPr>
      <w:r>
        <w:t xml:space="preserve">The </w:t>
      </w:r>
      <w:r w:rsidR="00441DF2">
        <w:t>determinations</w:t>
      </w:r>
      <w:r>
        <w:t xml:space="preserve"> set three of the key parameters for the EEIS. The </w:t>
      </w:r>
      <w:r w:rsidR="00441DF2">
        <w:t>o</w:t>
      </w:r>
      <w:r>
        <w:t xml:space="preserve">bjects of the Scheme, as set out in Section 6 of the Act, are to: </w:t>
      </w:r>
    </w:p>
    <w:p w14:paraId="1C3D4D26" w14:textId="77777777" w:rsidR="00795996" w:rsidRDefault="00521E20">
      <w:pPr>
        <w:numPr>
          <w:ilvl w:val="0"/>
          <w:numId w:val="2"/>
        </w:numPr>
        <w:ind w:hanging="696"/>
      </w:pPr>
      <w:r>
        <w:t xml:space="preserve">encourage the efficient use of energy; and </w:t>
      </w:r>
    </w:p>
    <w:p w14:paraId="76C56B6D" w14:textId="77777777" w:rsidR="00795996" w:rsidRDefault="00521E20">
      <w:pPr>
        <w:numPr>
          <w:ilvl w:val="0"/>
          <w:numId w:val="2"/>
        </w:numPr>
        <w:ind w:hanging="696"/>
      </w:pPr>
      <w:r>
        <w:t xml:space="preserve">reduce greenhouse gas emissions associated with energy use in the Territory; and </w:t>
      </w:r>
    </w:p>
    <w:p w14:paraId="0EB73B22" w14:textId="77777777" w:rsidR="00795996" w:rsidRDefault="00521E20">
      <w:pPr>
        <w:numPr>
          <w:ilvl w:val="0"/>
          <w:numId w:val="2"/>
        </w:numPr>
        <w:ind w:hanging="696"/>
      </w:pPr>
      <w:r>
        <w:t xml:space="preserve">reduce household and business energy use and costs; and </w:t>
      </w:r>
    </w:p>
    <w:p w14:paraId="71DABE86" w14:textId="1CCD536C" w:rsidR="00795996" w:rsidRDefault="00521E20" w:rsidP="00B86827">
      <w:pPr>
        <w:numPr>
          <w:ilvl w:val="0"/>
          <w:numId w:val="2"/>
        </w:numPr>
        <w:spacing w:after="200" w:line="271" w:lineRule="auto"/>
        <w:ind w:left="697" w:hanging="697"/>
      </w:pPr>
      <w:r>
        <w:t>increase opportunities for priority households to reduce energy use and costs</w:t>
      </w:r>
      <w:r>
        <w:rPr>
          <w:vertAlign w:val="superscript"/>
        </w:rPr>
        <w:footnoteReference w:id="1"/>
      </w:r>
      <w:r>
        <w:t xml:space="preserve">. </w:t>
      </w:r>
    </w:p>
    <w:p w14:paraId="6FCC19AE" w14:textId="246FD00E" w:rsidR="00795996" w:rsidRDefault="00521E20" w:rsidP="00B86827">
      <w:pPr>
        <w:spacing w:after="240" w:line="271" w:lineRule="auto"/>
        <w:ind w:left="5" w:hanging="11"/>
      </w:pPr>
      <w:r w:rsidRPr="00FF7B53">
        <w:t xml:space="preserve">These </w:t>
      </w:r>
      <w:r w:rsidR="007E6694" w:rsidRPr="00FF7B53">
        <w:t>o</w:t>
      </w:r>
      <w:r w:rsidRPr="00FF7B53">
        <w:t xml:space="preserve">bjects also deliver on key objectives of the </w:t>
      </w:r>
      <w:r w:rsidRPr="00FF7B53">
        <w:rPr>
          <w:i/>
        </w:rPr>
        <w:t xml:space="preserve">ACT Climate Strategy </w:t>
      </w:r>
      <w:r w:rsidR="001C057D">
        <w:rPr>
          <w:i/>
        </w:rPr>
        <w:t>2026-</w:t>
      </w:r>
      <w:r w:rsidR="001428A0">
        <w:rPr>
          <w:i/>
        </w:rPr>
        <w:t>2036: Overarching Framework</w:t>
      </w:r>
      <w:r w:rsidR="001428A0">
        <w:rPr>
          <w:rStyle w:val="FootnoteReference"/>
          <w:i/>
        </w:rPr>
        <w:footnoteReference w:id="2"/>
      </w:r>
      <w:r w:rsidR="001428A0">
        <w:rPr>
          <w:i/>
        </w:rPr>
        <w:t xml:space="preserve"> </w:t>
      </w:r>
      <w:r w:rsidRPr="00FF7B53">
        <w:t>including: achieving net zero emissions in the ACT by 2045 at the latest; building resilience to climate change impacts; and supporting a just transition to net zero emissions. As one of the most cost-effective ways for the ACT to reduce emissions and energy bills, the EEIS is a key delivery mechanism of the</w:t>
      </w:r>
      <w:r w:rsidR="00DC2CB1">
        <w:t xml:space="preserve"> ACT Government</w:t>
      </w:r>
      <w:r w:rsidR="00E27170">
        <w:t>’s</w:t>
      </w:r>
      <w:r w:rsidR="00DC2CB1">
        <w:t xml:space="preserve"> climate and energy policy </w:t>
      </w:r>
      <w:r w:rsidR="00E27170">
        <w:t>agenda</w:t>
      </w:r>
      <w:r w:rsidRPr="00FF7B53">
        <w:t>.</w:t>
      </w:r>
      <w:r w:rsidR="00FF7B53">
        <w:t xml:space="preserve"> </w:t>
      </w:r>
      <w:r w:rsidR="008C689C">
        <w:t xml:space="preserve">The </w:t>
      </w:r>
      <w:r w:rsidR="00FF7B53">
        <w:t xml:space="preserve">EEIS plays a key role in </w:t>
      </w:r>
      <w:r w:rsidR="005F3452">
        <w:t xml:space="preserve">supporting </w:t>
      </w:r>
      <w:r w:rsidR="00FF7B53">
        <w:t>the</w:t>
      </w:r>
      <w:r w:rsidR="005F3452">
        <w:t xml:space="preserve"> delivery of the ACT’s Integrated Energy Plan 2024-2030</w:t>
      </w:r>
      <w:r w:rsidR="00FF7B53">
        <w:t xml:space="preserve"> </w:t>
      </w:r>
      <w:r w:rsidR="005F3452">
        <w:t>(</w:t>
      </w:r>
      <w:r w:rsidR="00FF7B53">
        <w:t>IEP</w:t>
      </w:r>
      <w:r w:rsidR="005F3452">
        <w:t>)</w:t>
      </w:r>
      <w:r w:rsidR="00FF7B53">
        <w:t xml:space="preserve"> </w:t>
      </w:r>
      <w:r w:rsidR="005F3452">
        <w:t xml:space="preserve">through supporting vulnerable households </w:t>
      </w:r>
      <w:r w:rsidR="00844360">
        <w:t>via</w:t>
      </w:r>
      <w:r w:rsidR="00FF7B53">
        <w:t xml:space="preserve"> the EEIS Priority House</w:t>
      </w:r>
      <w:r w:rsidR="00E27170">
        <w:t>hold</w:t>
      </w:r>
      <w:r w:rsidR="00FF7B53">
        <w:t xml:space="preserve"> Target</w:t>
      </w:r>
      <w:r w:rsidR="00534765">
        <w:t xml:space="preserve"> (PHT)</w:t>
      </w:r>
      <w:r w:rsidR="00FF7B53">
        <w:t>.</w:t>
      </w:r>
      <w:r>
        <w:t xml:space="preserve"> The EEIS supports the objective of a just transition through the</w:t>
      </w:r>
      <w:r w:rsidR="00534765">
        <w:t xml:space="preserve"> PHT</w:t>
      </w:r>
      <w:r>
        <w:t>,</w:t>
      </w:r>
      <w:r w:rsidR="00CC41DE">
        <w:t xml:space="preserve"> which specifies a minimum proportion of energy savings activities to be delivered to priority households. </w:t>
      </w:r>
      <w:r>
        <w:t xml:space="preserve"> </w:t>
      </w:r>
    </w:p>
    <w:p w14:paraId="73F49887" w14:textId="783885A4" w:rsidR="00795996" w:rsidRDefault="008344C8" w:rsidP="00755290">
      <w:pPr>
        <w:pStyle w:val="Heading1"/>
        <w:spacing w:line="266" w:lineRule="auto"/>
        <w:ind w:left="425" w:hanging="425"/>
      </w:pPr>
      <w:bookmarkStart w:id="5" w:name="_Toc241576506"/>
      <w:r>
        <w:t>Target setting context</w:t>
      </w:r>
      <w:bookmarkEnd w:id="5"/>
    </w:p>
    <w:p w14:paraId="3778B10B" w14:textId="77777777" w:rsidR="008957AD" w:rsidRDefault="008957AD" w:rsidP="00B86827">
      <w:pPr>
        <w:spacing w:after="160" w:line="271" w:lineRule="auto"/>
        <w:ind w:left="5" w:hanging="11"/>
      </w:pPr>
      <w:r>
        <w:t xml:space="preserve">The EEIS aims to deliver benefits to the ACT community in the form of reduced electricity bills and emissions abatement through energy savings delivered from eligible activities. This includes the installation of efficient electric heating systems, hot water heat pumps and ceiling insulation to improve the energy efficiency of ACT households and businesses. </w:t>
      </w:r>
    </w:p>
    <w:p w14:paraId="2C2CCB30" w14:textId="00F2DF6D" w:rsidR="008957AD" w:rsidRDefault="008957AD" w:rsidP="00866F94">
      <w:pPr>
        <w:spacing w:after="160" w:line="271" w:lineRule="auto"/>
        <w:ind w:left="5" w:hanging="11"/>
      </w:pPr>
      <w:r>
        <w:t xml:space="preserve">The EEIS must also ensure the </w:t>
      </w:r>
      <w:r w:rsidR="00392402">
        <w:t>obligations o</w:t>
      </w:r>
      <w:r w:rsidR="002F6825">
        <w:t>n</w:t>
      </w:r>
      <w:r>
        <w:t xml:space="preserve"> electricity retailers to deliver these benefits are not excessively onerous and the cost of compliance for retailers is reasonable. The level of ambition </w:t>
      </w:r>
      <w:r w:rsidR="002F6825">
        <w:t>is determined by the</w:t>
      </w:r>
      <w:r>
        <w:t xml:space="preserve"> </w:t>
      </w:r>
      <w:r w:rsidR="002F6825">
        <w:t xml:space="preserve">Scheme’s </w:t>
      </w:r>
      <w:r>
        <w:t>target setting parameters including the EST, PHT and ESC</w:t>
      </w:r>
      <w:r w:rsidR="007046E4">
        <w:t xml:space="preserve">. These settings seek </w:t>
      </w:r>
      <w:r>
        <w:t xml:space="preserve">to ensure benefits for households and businesses </w:t>
      </w:r>
      <w:r w:rsidR="007046E4">
        <w:t>are</w:t>
      </w:r>
      <w:r>
        <w:t xml:space="preserve"> evenly balanced </w:t>
      </w:r>
      <w:r w:rsidR="004632AF">
        <w:t xml:space="preserve">against </w:t>
      </w:r>
      <w:r>
        <w:t>compliance and cost burden</w:t>
      </w:r>
      <w:r w:rsidR="004632AF">
        <w:t>s</w:t>
      </w:r>
      <w:r>
        <w:t xml:space="preserve"> on retailers</w:t>
      </w:r>
      <w:r w:rsidR="004632AF">
        <w:t xml:space="preserve"> and ACT energy consumers</w:t>
      </w:r>
      <w:r>
        <w:t xml:space="preserve">. </w:t>
      </w:r>
    </w:p>
    <w:p w14:paraId="598BDAB7" w14:textId="6C34A9E5" w:rsidR="00C85305" w:rsidRDefault="008957AD" w:rsidP="00C37B1B">
      <w:pPr>
        <w:spacing w:after="360" w:line="271" w:lineRule="auto"/>
        <w:ind w:left="5" w:hanging="11"/>
      </w:pPr>
      <w:r>
        <w:lastRenderedPageBreak/>
        <w:t xml:space="preserve">To meet their EEIS obligations, retailers must deliver eligible activities to ACT households </w:t>
      </w:r>
      <w:r w:rsidRPr="004632AF">
        <w:t xml:space="preserve">and businesses or elect to pay an ESC if they are a tier 2 retailer. </w:t>
      </w:r>
      <w:r w:rsidR="00C85305" w:rsidRPr="00C85305">
        <w:t xml:space="preserve">This delivery approach advances the scheme’s objectives of reducing emissions, lowering energy costs, and supporting priority households. </w:t>
      </w:r>
      <w:r w:rsidR="00B459B1" w:rsidRPr="00B459B1">
        <w:t xml:space="preserve">As compliance costs are passed on </w:t>
      </w:r>
      <w:r w:rsidR="00C37B1B">
        <w:t xml:space="preserve">to consumers </w:t>
      </w:r>
      <w:r w:rsidR="00B459B1" w:rsidRPr="00B459B1">
        <w:t xml:space="preserve">through </w:t>
      </w:r>
      <w:r w:rsidR="00C37B1B">
        <w:t xml:space="preserve">their </w:t>
      </w:r>
      <w:r w:rsidR="00B459B1" w:rsidRPr="00B459B1">
        <w:t>electricity bills, both the scheme’s benefits and its costs should be considered when setting annual targets.</w:t>
      </w:r>
    </w:p>
    <w:p w14:paraId="41BD0C72" w14:textId="1E53858D" w:rsidR="00795996" w:rsidRDefault="008344C8" w:rsidP="00755290">
      <w:pPr>
        <w:pStyle w:val="Heading1"/>
        <w:spacing w:line="266" w:lineRule="auto"/>
        <w:ind w:left="425" w:hanging="425"/>
      </w:pPr>
      <w:bookmarkStart w:id="6" w:name="_Toc241576507"/>
      <w:r>
        <w:t xml:space="preserve">Achieving the </w:t>
      </w:r>
      <w:r w:rsidR="00840DCD">
        <w:t xml:space="preserve">EEIS </w:t>
      </w:r>
      <w:r>
        <w:t>policy objectives</w:t>
      </w:r>
      <w:bookmarkEnd w:id="6"/>
      <w:r w:rsidR="00840DCD">
        <w:t xml:space="preserve"> </w:t>
      </w:r>
    </w:p>
    <w:p w14:paraId="3867F734" w14:textId="00425B77" w:rsidR="008957AD" w:rsidRDefault="008957AD" w:rsidP="00B86827">
      <w:pPr>
        <w:spacing w:after="160" w:line="271" w:lineRule="auto"/>
        <w:ind w:left="0" w:firstLine="0"/>
      </w:pPr>
      <w:r>
        <w:t>Detailed modelling and analysis w</w:t>
      </w:r>
      <w:r w:rsidR="001D4910">
        <w:t>as</w:t>
      </w:r>
      <w:r>
        <w:t xml:space="preserve"> conducted in 2026 by Common Capital on potential EEIS target setting parameters for the 2027-2029 compliance years. </w:t>
      </w:r>
      <w:r w:rsidR="00D52B0B">
        <w:t xml:space="preserve">The purpose of this </w:t>
      </w:r>
      <w:r w:rsidR="00D007C8">
        <w:t xml:space="preserve">cost-benefit analysis was to assess the comparative economic impacts of different target setting scenarios, across the </w:t>
      </w:r>
      <w:r w:rsidR="00A337F6">
        <w:t xml:space="preserve">next three compliance years. </w:t>
      </w:r>
      <w:r w:rsidR="002D29F2" w:rsidRPr="002D29F2">
        <w:t>Four scenarios were modelled, comparing a baseline case that maintained all existing targets with alternative scenarios that adjusted specific targets, such as reducing the Priority Household Target (PHT) or increasing the Energy Savings Target (EST). For each scenario, key metrics were assessed and compared, including pass-through costs, lifetime energy and emissions savings, total scheme costs, and the overall net benefit to the ACT.</w:t>
      </w:r>
    </w:p>
    <w:p w14:paraId="56D4BE29" w14:textId="144C3358" w:rsidR="001E227A" w:rsidRPr="001E227A" w:rsidRDefault="008957AD" w:rsidP="001E227A">
      <w:pPr>
        <w:spacing w:after="160" w:line="271" w:lineRule="auto"/>
        <w:ind w:left="0" w:firstLine="0"/>
      </w:pPr>
      <w:r>
        <w:t>The modelling found that all scenarios provided net benefits</w:t>
      </w:r>
      <w:r w:rsidR="00140D44">
        <w:t>, both to participating households and to ACT energy consumers.</w:t>
      </w:r>
      <w:r w:rsidR="001C02E3">
        <w:t xml:space="preserve"> </w:t>
      </w:r>
      <w:r w:rsidR="001C02E3" w:rsidRPr="001C02E3">
        <w:t xml:space="preserve">The EEIS delivers substantial energy and emissions savings at a relatively low cost to the public. </w:t>
      </w:r>
      <w:r w:rsidR="001E227A" w:rsidRPr="001E227A">
        <w:t>This is partly because households receiving upgrades, such as</w:t>
      </w:r>
      <w:r w:rsidR="00945665">
        <w:t xml:space="preserve"> hot water heat pumps</w:t>
      </w:r>
      <w:r w:rsidR="001E227A" w:rsidRPr="001E227A">
        <w:t xml:space="preserve"> </w:t>
      </w:r>
      <w:r w:rsidR="00945665">
        <w:t>(</w:t>
      </w:r>
      <w:r w:rsidR="001E227A" w:rsidRPr="001E227A">
        <w:t>HWHPs</w:t>
      </w:r>
      <w:r w:rsidR="00945665">
        <w:t>)</w:t>
      </w:r>
      <w:r w:rsidR="001E227A" w:rsidRPr="001E227A">
        <w:t xml:space="preserve"> and </w:t>
      </w:r>
      <w:r w:rsidR="00945665">
        <w:t>reverse-cycle-air conditioners (</w:t>
      </w:r>
      <w:r w:rsidR="001E227A" w:rsidRPr="001E227A">
        <w:t>RCACs</w:t>
      </w:r>
      <w:r w:rsidR="00945665">
        <w:t>)</w:t>
      </w:r>
      <w:r w:rsidR="001E227A" w:rsidRPr="001E227A">
        <w:t>, contribute significantly to installation costs, improving the scheme’s overall cost-effectiveness for the ACT.</w:t>
      </w:r>
    </w:p>
    <w:p w14:paraId="55E55BA4" w14:textId="10DA3CC5" w:rsidR="008957AD" w:rsidRDefault="008957AD" w:rsidP="00B86827">
      <w:pPr>
        <w:spacing w:after="160" w:line="271" w:lineRule="auto"/>
        <w:ind w:left="0" w:firstLine="0"/>
      </w:pPr>
      <w:r>
        <w:t xml:space="preserve">The Common Capital analysis found that EEIS activities generally focused on higher impact energy and emissions savings activities such as RCAC, HWHP and insulation. The EEIS </w:t>
      </w:r>
      <w:r w:rsidR="00F6334D">
        <w:t>was assessed</w:t>
      </w:r>
      <w:r>
        <w:t xml:space="preserve"> a</w:t>
      </w:r>
      <w:r w:rsidR="00F6334D">
        <w:t>s being an</w:t>
      </w:r>
      <w:r>
        <w:t xml:space="preserve"> effective mechanism supporting </w:t>
      </w:r>
      <w:r w:rsidR="00F6334D">
        <w:t xml:space="preserve">the </w:t>
      </w:r>
      <w:r>
        <w:t xml:space="preserve">electrification </w:t>
      </w:r>
      <w:r w:rsidR="00F6334D">
        <w:t>of</w:t>
      </w:r>
      <w:r>
        <w:t xml:space="preserve"> ACT households, </w:t>
      </w:r>
      <w:r w:rsidR="00687AAC">
        <w:t xml:space="preserve">reducing </w:t>
      </w:r>
      <w:r>
        <w:t xml:space="preserve">gas usage and </w:t>
      </w:r>
      <w:r w:rsidR="00687AAC">
        <w:t xml:space="preserve">associated </w:t>
      </w:r>
      <w:r>
        <w:t>emissions at low overall cost to ACT</w:t>
      </w:r>
      <w:r w:rsidR="004F490B">
        <w:t xml:space="preserve"> energy consumers</w:t>
      </w:r>
      <w:r>
        <w:t xml:space="preserve">. </w:t>
      </w:r>
    </w:p>
    <w:p w14:paraId="38CF3ACC" w14:textId="63004945" w:rsidR="007153DD" w:rsidRDefault="00DB1157" w:rsidP="005A0143">
      <w:pPr>
        <w:spacing w:after="160" w:line="271" w:lineRule="auto"/>
        <w:ind w:left="0" w:firstLine="0"/>
      </w:pPr>
      <w:r w:rsidRPr="00DB1157">
        <w:t xml:space="preserve">Increasing scheme targets to require retailers to deliver more activities, and thereby accelerate electrification, was considered. </w:t>
      </w:r>
      <w:r w:rsidR="00925DFC" w:rsidRPr="00925DFC">
        <w:t xml:space="preserve">While this </w:t>
      </w:r>
      <w:r w:rsidR="00200876">
        <w:t xml:space="preserve">action </w:t>
      </w:r>
      <w:r w:rsidR="00925DFC" w:rsidRPr="00925DFC">
        <w:t>would support the Government’s legislated goal of achieving net-zero emissions by 2045,</w:t>
      </w:r>
      <w:r w:rsidR="001A28B1">
        <w:t xml:space="preserve"> </w:t>
      </w:r>
      <w:r w:rsidR="00200876">
        <w:t>this approach</w:t>
      </w:r>
      <w:r w:rsidR="0007268F">
        <w:t xml:space="preserve"> would</w:t>
      </w:r>
      <w:r w:rsidR="0007268F" w:rsidRPr="0007268F">
        <w:t xml:space="preserve"> </w:t>
      </w:r>
      <w:r w:rsidR="00200876">
        <w:t xml:space="preserve">also </w:t>
      </w:r>
      <w:r w:rsidR="0007268F" w:rsidRPr="0007268F">
        <w:t>increase compliance costs for Tier 1 retailers and place upward pressure on energy bills through higher cost pass-through.</w:t>
      </w:r>
      <w:r w:rsidR="00044190">
        <w:t xml:space="preserve"> </w:t>
      </w:r>
      <w:r w:rsidR="005A0143">
        <w:t>The entry of</w:t>
      </w:r>
      <w:r w:rsidR="005A0143" w:rsidRPr="005A0143">
        <w:t xml:space="preserve"> </w:t>
      </w:r>
      <w:r w:rsidR="00B90EA6">
        <w:t xml:space="preserve">a </w:t>
      </w:r>
      <w:r w:rsidR="005A0143" w:rsidRPr="005A0143">
        <w:t xml:space="preserve">new Tier 1 retailer </w:t>
      </w:r>
      <w:r w:rsidR="005A0143">
        <w:t xml:space="preserve">to </w:t>
      </w:r>
      <w:r w:rsidR="005A0143" w:rsidRPr="005A0143">
        <w:t>the Scheme in 2026</w:t>
      </w:r>
      <w:r w:rsidR="005A0143">
        <w:t xml:space="preserve">, </w:t>
      </w:r>
      <w:r w:rsidR="003301C8">
        <w:t>with no prior history of activity delivery or</w:t>
      </w:r>
      <w:r w:rsidR="00B90EA6">
        <w:t xml:space="preserve"> </w:t>
      </w:r>
      <w:r w:rsidR="005A0143" w:rsidRPr="005A0143">
        <w:t>compliance cost</w:t>
      </w:r>
      <w:r w:rsidR="003471B3">
        <w:t xml:space="preserve"> data</w:t>
      </w:r>
      <w:r w:rsidR="005A0143" w:rsidRPr="005A0143">
        <w:t xml:space="preserve">, </w:t>
      </w:r>
      <w:r w:rsidR="003C4C1A">
        <w:t xml:space="preserve">limited confidence in </w:t>
      </w:r>
      <w:r w:rsidR="005C5C53">
        <w:t xml:space="preserve">modelled </w:t>
      </w:r>
      <w:r w:rsidR="005A0143" w:rsidRPr="005A0143">
        <w:t xml:space="preserve">future compliance costs </w:t>
      </w:r>
      <w:r w:rsidR="005C5C53" w:rsidRPr="005C5C53">
        <w:t>under a higher-ambition pathway</w:t>
      </w:r>
      <w:r w:rsidR="00B84450">
        <w:t xml:space="preserve">. As such there was insufficient evidence to </w:t>
      </w:r>
      <w:r w:rsidR="006345E3">
        <w:t xml:space="preserve">support increasing Scheme targets in 2027. </w:t>
      </w:r>
    </w:p>
    <w:p w14:paraId="0EE76A0C" w14:textId="1EAC5585" w:rsidR="004D2EA1" w:rsidRDefault="002E57BD" w:rsidP="00866F94">
      <w:pPr>
        <w:spacing w:after="160" w:line="271" w:lineRule="auto"/>
        <w:ind w:left="0" w:firstLine="0"/>
      </w:pPr>
      <w:r>
        <w:t xml:space="preserve">However, </w:t>
      </w:r>
      <w:r w:rsidR="00266F1A">
        <w:t xml:space="preserve">analysis of projected gas assets reaching end-of-life in the ACT over </w:t>
      </w:r>
      <w:r w:rsidR="004D2EA1">
        <w:t xml:space="preserve">the 2027 to 2040 period, highlighted the </w:t>
      </w:r>
      <w:r w:rsidR="00BF37EC">
        <w:t xml:space="preserve">unique role the EEIS can play </w:t>
      </w:r>
      <w:r w:rsidR="00E17287">
        <w:t xml:space="preserve">to </w:t>
      </w:r>
      <w:r w:rsidR="00DF50E3">
        <w:t xml:space="preserve">support the transition in future compliance periods, beyond 2027. </w:t>
      </w:r>
      <w:r w:rsidR="00F21785">
        <w:t xml:space="preserve">The potential to increase Scheme targets in alignment with </w:t>
      </w:r>
      <w:r w:rsidR="001008F9">
        <w:t xml:space="preserve">the ACT’s net-zero 2045 trajectory </w:t>
      </w:r>
      <w:r w:rsidR="00BA23C0">
        <w:t>will</w:t>
      </w:r>
      <w:r w:rsidR="005C7112">
        <w:t xml:space="preserve"> be a focus of future target setting analysis. </w:t>
      </w:r>
    </w:p>
    <w:p w14:paraId="5BC92FF8" w14:textId="599AB987" w:rsidR="004D2EA1" w:rsidRDefault="00953B41" w:rsidP="00866F94">
      <w:pPr>
        <w:spacing w:after="160" w:line="271" w:lineRule="auto"/>
        <w:ind w:left="0" w:firstLine="0"/>
      </w:pPr>
      <w:r w:rsidRPr="00953B41">
        <w:lastRenderedPageBreak/>
        <w:t>The EEIS currently delivers more energy savings per dollar spent than comparable schemes across Australia. This cost efficiency is likely supported by the involvement of Tier 1 retailers, whose existing customer relationships and billing systems reduce participant acquisition costs compared with government-led programs and similar schemes. Overall, the EEIS is performing effectively and delivering strong benefits to households. While target changes could reduce costs by lowering the EST and/or ESC, or increase electrification by raising the EST, these options either reduce scheme benefits or significantly increase costs. Modelling for 2027-29 indicates that maintaining current targets will continue to deliver effective electrification and bill savings at low cost, balancing benefits for the ACT community with a manageable compliance burden for electricity retailers.</w:t>
      </w:r>
    </w:p>
    <w:p w14:paraId="2967B4E9" w14:textId="77777777" w:rsidR="00795996" w:rsidRDefault="00521E20" w:rsidP="007F76E5">
      <w:pPr>
        <w:pStyle w:val="Heading2"/>
        <w:ind w:left="426" w:hanging="420"/>
      </w:pPr>
      <w:bookmarkStart w:id="7" w:name="_Toc241576508"/>
      <w:r>
        <w:t>Setting the Energy Savings Target</w:t>
      </w:r>
      <w:bookmarkEnd w:id="7"/>
      <w:r>
        <w:t xml:space="preserve"> </w:t>
      </w:r>
    </w:p>
    <w:p w14:paraId="6E300DC1" w14:textId="76CC513F" w:rsidR="00795996" w:rsidRDefault="00521E20" w:rsidP="00B86827">
      <w:pPr>
        <w:spacing w:after="160" w:line="271" w:lineRule="auto"/>
        <w:ind w:left="5" w:hanging="11"/>
      </w:pPr>
      <w:r>
        <w:t>The EST setting aims to optimise EEIS outcomes</w:t>
      </w:r>
      <w:r w:rsidR="005631DA">
        <w:t xml:space="preserve"> including</w:t>
      </w:r>
      <w:r>
        <w:t xml:space="preserve"> energy savings, bill savings and Net Present Value (NPV) to the ACT economy. It is recommended that the EST be </w:t>
      </w:r>
      <w:r w:rsidR="005631DA">
        <w:t>kept</w:t>
      </w:r>
      <w:r w:rsidR="004A0220">
        <w:t xml:space="preserve"> at </w:t>
      </w:r>
      <w:r>
        <w:t>14.6% for the 202</w:t>
      </w:r>
      <w:r w:rsidR="00FE5C27">
        <w:t>7</w:t>
      </w:r>
      <w:r>
        <w:t xml:space="preserve"> compliance period</w:t>
      </w:r>
      <w:r w:rsidR="00763629">
        <w:t xml:space="preserve"> as supported by </w:t>
      </w:r>
      <w:r w:rsidR="002F0853">
        <w:t xml:space="preserve">the below </w:t>
      </w:r>
      <w:r w:rsidR="00763629">
        <w:t>analysis</w:t>
      </w:r>
      <w:r w:rsidR="00610A58">
        <w:t xml:space="preserve"> and rationale </w:t>
      </w:r>
      <w:r w:rsidR="0045121F">
        <w:t>detailed in “Section 5 – Achieving the EEIS policy objectives”</w:t>
      </w:r>
    </w:p>
    <w:p w14:paraId="79D51604" w14:textId="6F1D40FF" w:rsidR="00533BD3" w:rsidRDefault="00825921" w:rsidP="00B86827">
      <w:pPr>
        <w:spacing w:after="160" w:line="271" w:lineRule="auto"/>
        <w:ind w:left="5" w:hanging="11"/>
      </w:pPr>
      <w:r>
        <w:t>The EST aims to keep the EEIS pass-through cost to under $4/MWh</w:t>
      </w:r>
      <w:r w:rsidR="002F0853">
        <w:t>,</w:t>
      </w:r>
      <w:r>
        <w:t xml:space="preserve"> both to align with the energy savings contribution value set for tier 2 retailers and</w:t>
      </w:r>
      <w:r w:rsidR="002F0853">
        <w:t xml:space="preserve"> to</w:t>
      </w:r>
      <w:r>
        <w:t xml:space="preserve"> ensure the scheme delivers effective energy savings outcomes while minimising cost</w:t>
      </w:r>
      <w:r w:rsidR="00EE1ADE">
        <w:t>s to consumers</w:t>
      </w:r>
      <w:r>
        <w:t xml:space="preserve">. </w:t>
      </w:r>
      <w:r w:rsidR="00960DA7">
        <w:t xml:space="preserve">Modelling completed by Common Capital in 2026 shows that maintaining an EST of 14.6% </w:t>
      </w:r>
      <w:r w:rsidR="00976C47">
        <w:t>results in a</w:t>
      </w:r>
      <w:r w:rsidR="003536E6">
        <w:t xml:space="preserve">n average annual pass-through cost to tier 1 customers of </w:t>
      </w:r>
      <w:r w:rsidR="00BB4271">
        <w:t>$3.57/MWh</w:t>
      </w:r>
      <w:r w:rsidR="000B5497">
        <w:t xml:space="preserve"> (assuming reasonable administrative overheads)</w:t>
      </w:r>
      <w:r w:rsidR="00BB4271">
        <w:t xml:space="preserve">. </w:t>
      </w:r>
      <w:r w:rsidR="0037665A">
        <w:t xml:space="preserve">This value </w:t>
      </w:r>
      <w:r w:rsidR="00E00115">
        <w:t>ensures</w:t>
      </w:r>
      <w:r w:rsidR="0037665A">
        <w:t xml:space="preserve"> high electrification rates through EEIS activity delivery without </w:t>
      </w:r>
      <w:r w:rsidR="00745BDA">
        <w:t>an excessive increase to consumer energy bills</w:t>
      </w:r>
      <w:r w:rsidR="009567D5">
        <w:t xml:space="preserve">. </w:t>
      </w:r>
    </w:p>
    <w:p w14:paraId="57C4E169" w14:textId="6EC1F8F8" w:rsidR="006F7964" w:rsidRDefault="00E00115" w:rsidP="006F7964">
      <w:pPr>
        <w:spacing w:after="160" w:line="271" w:lineRule="auto"/>
        <w:ind w:left="0" w:firstLine="0"/>
      </w:pPr>
      <w:r>
        <w:t>Increasing the EST</w:t>
      </w:r>
      <w:r w:rsidR="00380B45">
        <w:t>,</w:t>
      </w:r>
      <w:r>
        <w:t xml:space="preserve"> </w:t>
      </w:r>
      <w:r w:rsidR="00A174C4">
        <w:t>under a higher administrative cost scenario</w:t>
      </w:r>
      <w:r w:rsidR="00380B45">
        <w:t>,</w:t>
      </w:r>
      <w:r w:rsidR="00A174C4">
        <w:t xml:space="preserve"> </w:t>
      </w:r>
      <w:r w:rsidR="00380B45">
        <w:t xml:space="preserve">risks increasing the average annual pass-through cost to tier 1 customers </w:t>
      </w:r>
      <w:r w:rsidR="00461A00">
        <w:t>beyond the desired $4/MWh threshold</w:t>
      </w:r>
      <w:r w:rsidR="001E5407">
        <w:t xml:space="preserve"> ($4.82</w:t>
      </w:r>
      <w:r w:rsidR="004070D3">
        <w:t>/MWh</w:t>
      </w:r>
      <w:r w:rsidR="001E5407">
        <w:t>)</w:t>
      </w:r>
      <w:r w:rsidR="00461A00">
        <w:t xml:space="preserve">, resulting in </w:t>
      </w:r>
      <w:r w:rsidR="004070D3">
        <w:t xml:space="preserve">higher electricity bills. </w:t>
      </w:r>
      <w:r w:rsidR="006F7964">
        <w:t>This was not considered appropriate for the 2027 compliance year</w:t>
      </w:r>
      <w:r w:rsidR="00A9304D">
        <w:t>.</w:t>
      </w:r>
      <w:r w:rsidR="006F7964">
        <w:t xml:space="preserve"> </w:t>
      </w:r>
      <w:r w:rsidR="00A9304D">
        <w:t>H</w:t>
      </w:r>
      <w:r w:rsidR="006F7964">
        <w:t>owever</w:t>
      </w:r>
      <w:r w:rsidR="00A9304D">
        <w:t>,</w:t>
      </w:r>
      <w:r w:rsidR="006F7964">
        <w:t xml:space="preserve"> increases to the EST may be considered in future compliance periods</w:t>
      </w:r>
      <w:r w:rsidR="00A9304D">
        <w:t>,</w:t>
      </w:r>
      <w:r w:rsidR="006F7964">
        <w:t xml:space="preserve"> depending on the relative uptake in efficient electric appliances in the ACT</w:t>
      </w:r>
      <w:r w:rsidR="00A9304D">
        <w:t xml:space="preserve"> over time</w:t>
      </w:r>
      <w:r w:rsidR="006F7964">
        <w:t>.</w:t>
      </w:r>
    </w:p>
    <w:p w14:paraId="30D5CBE3" w14:textId="1A31CE72" w:rsidR="00A3705F" w:rsidRPr="00A3705F" w:rsidRDefault="006B6ADE" w:rsidP="00A3705F">
      <w:pPr>
        <w:spacing w:after="160" w:line="271" w:lineRule="auto"/>
      </w:pPr>
      <w:r>
        <w:t xml:space="preserve">An additional consideration in maintaining the </w:t>
      </w:r>
      <w:r w:rsidR="00823A51">
        <w:t xml:space="preserve">EST at 14.6% for the 2027 compliance year was the impact of a new tier 1 retailer entering the Scheme. </w:t>
      </w:r>
      <w:r w:rsidR="00D55B86" w:rsidRPr="00D55B86">
        <w:t>Without historical activity delivery or compliance cost data for this retailer, future compliance costs could not be projected with confidence.</w:t>
      </w:r>
      <w:r w:rsidR="00FD314E">
        <w:t xml:space="preserve"> </w:t>
      </w:r>
      <w:r w:rsidR="00A3705F" w:rsidRPr="00A3705F">
        <w:t>This uncertainty creates a risk that the new retailer may face higher compliance costs as it establishes its market presence, further supporting the decision to maintain the EST at 14.6%. Compliance cost data will be available in 2027 and</w:t>
      </w:r>
      <w:r w:rsidR="00330D66">
        <w:t xml:space="preserve"> will be used to</w:t>
      </w:r>
      <w:r w:rsidR="00A3705F" w:rsidRPr="00A3705F">
        <w:t xml:space="preserve"> inform </w:t>
      </w:r>
      <w:r w:rsidR="00330D66">
        <w:t xml:space="preserve">future </w:t>
      </w:r>
      <w:r w:rsidR="00A3705F" w:rsidRPr="00A3705F">
        <w:t>target setting</w:t>
      </w:r>
      <w:r w:rsidR="00330D66">
        <w:t xml:space="preserve"> analysis</w:t>
      </w:r>
      <w:r w:rsidR="00A3705F" w:rsidRPr="00A3705F">
        <w:t xml:space="preserve"> for </w:t>
      </w:r>
      <w:r w:rsidR="009B141B">
        <w:t xml:space="preserve">the </w:t>
      </w:r>
      <w:r w:rsidR="00A3705F" w:rsidRPr="00A3705F">
        <w:t>2028</w:t>
      </w:r>
      <w:r w:rsidR="009B141B">
        <w:t xml:space="preserve"> compliance period</w:t>
      </w:r>
      <w:r w:rsidR="00A3705F" w:rsidRPr="00A3705F">
        <w:t>.</w:t>
      </w:r>
    </w:p>
    <w:p w14:paraId="384012C9" w14:textId="0A7CD2A6" w:rsidR="00060FEC" w:rsidRPr="00060FEC" w:rsidRDefault="00060FEC" w:rsidP="00005765">
      <w:pPr>
        <w:keepLines/>
        <w:spacing w:after="160" w:line="271" w:lineRule="auto"/>
        <w:ind w:left="5" w:hanging="11"/>
      </w:pPr>
      <w:r w:rsidRPr="00060FEC">
        <w:lastRenderedPageBreak/>
        <w:t xml:space="preserve">Modelling found that maintaining current </w:t>
      </w:r>
      <w:r>
        <w:t xml:space="preserve">EEIS </w:t>
      </w:r>
      <w:r w:rsidRPr="00060FEC">
        <w:t>targets</w:t>
      </w:r>
      <w:r>
        <w:t xml:space="preserve"> for the 2027 compliance year</w:t>
      </w:r>
      <w:r w:rsidRPr="00060FEC">
        <w:t xml:space="preserve">, would deliver $28.3 million in lifetime bill savings for participating households and a net benefit to the ACT of $19.1 million (NPV) after accounting for retailer compliance costs. This demonstrates that the </w:t>
      </w:r>
      <w:r w:rsidR="00B437DF">
        <w:t xml:space="preserve">proposed target settings for the </w:t>
      </w:r>
      <w:r w:rsidRPr="00060FEC">
        <w:t xml:space="preserve">EEIS </w:t>
      </w:r>
      <w:r w:rsidR="00684D9C">
        <w:t xml:space="preserve">can </w:t>
      </w:r>
      <w:r w:rsidRPr="00060FEC">
        <w:t>deliver substantial bill savings while keeping consumer pass-through costs low</w:t>
      </w:r>
      <w:r w:rsidR="00B437DF">
        <w:t xml:space="preserve">. </w:t>
      </w:r>
    </w:p>
    <w:p w14:paraId="66080708" w14:textId="6BB21040" w:rsidR="00894964" w:rsidRDefault="003F4163" w:rsidP="00684D9C">
      <w:pPr>
        <w:spacing w:after="240" w:line="271" w:lineRule="auto"/>
        <w:ind w:left="0" w:firstLine="0"/>
      </w:pPr>
      <w:r>
        <w:t>Despite pass-through costs increasing in recent years, maintaining the EST at 14.6% is expected to retain a</w:t>
      </w:r>
      <w:r w:rsidR="00541F55">
        <w:t>n effective balance of benefits to the community while minimising direct activity delivery costs to retailers</w:t>
      </w:r>
      <w:r w:rsidR="00E060F6">
        <w:t>.</w:t>
      </w:r>
    </w:p>
    <w:p w14:paraId="5A3ACAED" w14:textId="77777777" w:rsidR="00795996" w:rsidRDefault="00521E20" w:rsidP="007F76E5">
      <w:pPr>
        <w:pStyle w:val="Heading2"/>
        <w:ind w:left="426" w:hanging="420"/>
      </w:pPr>
      <w:bookmarkStart w:id="8" w:name="_Toc241576509"/>
      <w:r>
        <w:t>Setting the Energy Savings Contribution</w:t>
      </w:r>
      <w:bookmarkEnd w:id="8"/>
      <w:r>
        <w:t xml:space="preserve"> </w:t>
      </w:r>
    </w:p>
    <w:p w14:paraId="1C87C1D0" w14:textId="22D31137" w:rsidR="00795996" w:rsidRDefault="00521E20" w:rsidP="00B86827">
      <w:pPr>
        <w:spacing w:after="160" w:line="276" w:lineRule="auto"/>
        <w:ind w:left="-6" w:right="232" w:hanging="11"/>
      </w:pPr>
      <w:r>
        <w:t xml:space="preserve">Smaller </w:t>
      </w:r>
      <w:r w:rsidR="00F56330">
        <w:t>t</w:t>
      </w:r>
      <w:r>
        <w:t xml:space="preserve">ier 2 retailers can opt to pay an </w:t>
      </w:r>
      <w:r w:rsidR="007E6694">
        <w:t>e</w:t>
      </w:r>
      <w:r>
        <w:t xml:space="preserve">nergy </w:t>
      </w:r>
      <w:r w:rsidR="007E6694">
        <w:t>s</w:t>
      </w:r>
      <w:r>
        <w:t xml:space="preserve">avings </w:t>
      </w:r>
      <w:r w:rsidR="007E6694">
        <w:t>c</w:t>
      </w:r>
      <w:r>
        <w:t xml:space="preserve">ontribution (ESC) to meet their obligation under the EEIS. This is intended to offset the cost advantage a </w:t>
      </w:r>
      <w:r w:rsidR="00F56330">
        <w:t>t</w:t>
      </w:r>
      <w:r>
        <w:t xml:space="preserve">ier 1 retailer would have if a </w:t>
      </w:r>
      <w:r w:rsidR="00F56330">
        <w:t>t</w:t>
      </w:r>
      <w:r>
        <w:t>ier 2 retailer were required to set up and deliver energy efficiency service</w:t>
      </w:r>
      <w:r w:rsidR="000A1D8E">
        <w:t>s</w:t>
      </w:r>
      <w:r>
        <w:t xml:space="preserve">. This simplified obligation considers the impact of the </w:t>
      </w:r>
      <w:r w:rsidR="00844360">
        <w:t>EEIS</w:t>
      </w:r>
      <w:r>
        <w:t xml:space="preserve"> on competition and reduces the risk that compliance costs may lead to a competitive disadvantage for smaller retailers in electricity retail markets. </w:t>
      </w:r>
    </w:p>
    <w:p w14:paraId="10A04492" w14:textId="11A84F46" w:rsidR="009F7B99" w:rsidRDefault="00DB56B1" w:rsidP="00B86827">
      <w:pPr>
        <w:spacing w:after="160" w:line="271" w:lineRule="auto"/>
        <w:ind w:left="5" w:hanging="11"/>
      </w:pPr>
      <w:r>
        <w:t xml:space="preserve">The </w:t>
      </w:r>
      <w:r w:rsidR="001A172A">
        <w:t>analysis</w:t>
      </w:r>
      <w:r>
        <w:t xml:space="preserve"> completed by Common Capital </w:t>
      </w:r>
      <w:r w:rsidR="00BD557C">
        <w:t xml:space="preserve">assessed the cost of compliance for tier 1 retailers based on their historical activity delivery mix and forward modelling of expected activity delivery based on ACT market opportunities </w:t>
      </w:r>
      <w:r w:rsidR="00121298">
        <w:t>for electrification technologies, such as HWHP and RCAC</w:t>
      </w:r>
      <w:r w:rsidR="0060333C">
        <w:t xml:space="preserve"> installations,</w:t>
      </w:r>
      <w:r w:rsidR="00121298">
        <w:t xml:space="preserve"> which make up th</w:t>
      </w:r>
      <w:r w:rsidR="00FF632C">
        <w:t>e</w:t>
      </w:r>
      <w:r w:rsidR="00121298">
        <w:t xml:space="preserve"> bulk of EEIS activity delivery. </w:t>
      </w:r>
      <w:r w:rsidR="009F7B99">
        <w:t xml:space="preserve">This </w:t>
      </w:r>
      <w:r w:rsidR="008C403B">
        <w:t>m</w:t>
      </w:r>
      <w:r w:rsidR="009F7B99" w:rsidRPr="009F7B99">
        <w:t xml:space="preserve">odelling found that maintaining the EST at 14.6% would result in a Tier 1 retailer </w:t>
      </w:r>
      <w:r w:rsidR="008C403B">
        <w:t xml:space="preserve">cost pass-through </w:t>
      </w:r>
      <w:r w:rsidR="009F7B99" w:rsidRPr="009F7B99">
        <w:t>of less than $4/MWh</w:t>
      </w:r>
      <w:r w:rsidR="008C403B">
        <w:t xml:space="preserve"> (under reasonable administrative cost assumptions)</w:t>
      </w:r>
      <w:r w:rsidR="009F7B99" w:rsidRPr="009F7B99">
        <w:t xml:space="preserve">. This reflects the Scheme's design, whereby the cost of delivering activities is intended to be slightly lower than the Energy Savings Contribution (ESC) paid by Tier 2 retailers. This approach helps avoid imposing a disproportionate financial burden on smaller retailers, which do not benefit from the economies of scale and larger customer bases of Tier 1 retailers. </w:t>
      </w:r>
      <w:r w:rsidR="006D27EA" w:rsidRPr="006D27EA">
        <w:t>The ESC is also set high enough to encourage tier 2 retailers to consider activity delivery to reduce or avoid paying the flat ESC rate</w:t>
      </w:r>
      <w:r w:rsidR="00FB5DEE">
        <w:t xml:space="preserve">. </w:t>
      </w:r>
    </w:p>
    <w:p w14:paraId="3E3235EC" w14:textId="484D92DE" w:rsidR="00661544" w:rsidRDefault="001A172A" w:rsidP="00FB5DEE">
      <w:pPr>
        <w:spacing w:after="260" w:line="271" w:lineRule="auto"/>
        <w:ind w:left="0" w:firstLine="0"/>
      </w:pPr>
      <w:r>
        <w:t>The</w:t>
      </w:r>
      <w:r w:rsidR="00661544">
        <w:t xml:space="preserve"> ESC will be maintained at $27.43/MWh</w:t>
      </w:r>
      <w:r>
        <w:t xml:space="preserve"> for 2027</w:t>
      </w:r>
      <w:r w:rsidR="00EA5DE8">
        <w:t>.</w:t>
      </w:r>
      <w:r w:rsidR="00C603B6">
        <w:t xml:space="preserve"> </w:t>
      </w:r>
    </w:p>
    <w:p w14:paraId="380B505C" w14:textId="450ACC96" w:rsidR="00795996" w:rsidRDefault="00521E20" w:rsidP="007F76E5">
      <w:pPr>
        <w:pStyle w:val="Heading2"/>
        <w:ind w:left="426" w:hanging="420"/>
      </w:pPr>
      <w:bookmarkStart w:id="9" w:name="_Toc241576510"/>
      <w:r>
        <w:t>Setting Penalties for Noncompliance</w:t>
      </w:r>
      <w:bookmarkEnd w:id="9"/>
      <w:r>
        <w:t xml:space="preserve"> </w:t>
      </w:r>
    </w:p>
    <w:p w14:paraId="387D0970" w14:textId="4A578071" w:rsidR="00454781" w:rsidRDefault="00521E20" w:rsidP="00B86827">
      <w:pPr>
        <w:spacing w:after="160" w:line="271" w:lineRule="auto"/>
        <w:ind w:left="5" w:hanging="11"/>
      </w:pPr>
      <w:r>
        <w:t xml:space="preserve">The </w:t>
      </w:r>
      <w:r w:rsidR="00F56330">
        <w:t>s</w:t>
      </w:r>
      <w:r>
        <w:t xml:space="preserve">hortfall </w:t>
      </w:r>
      <w:r w:rsidR="00F56330">
        <w:t>p</w:t>
      </w:r>
      <w:r>
        <w:t xml:space="preserve">enalty acts as an upper limit to potential costs for delivering activities and aims to disincentivise noncompliance, including the risk of </w:t>
      </w:r>
      <w:r w:rsidR="00F56330">
        <w:t>t</w:t>
      </w:r>
      <w:r>
        <w:t xml:space="preserve">ier 1 retailers not delivering activities. If a retailer’s energy savings result is a net shortfall, the retailer is liable to pay a </w:t>
      </w:r>
      <w:r w:rsidR="00F56330">
        <w:t>s</w:t>
      </w:r>
      <w:r>
        <w:t xml:space="preserve">hortfall </w:t>
      </w:r>
      <w:r w:rsidR="00F56330">
        <w:t>p</w:t>
      </w:r>
      <w:r>
        <w:t xml:space="preserve">enalty to the Territory. </w:t>
      </w:r>
    </w:p>
    <w:p w14:paraId="3DBE8A8C" w14:textId="690B927D" w:rsidR="00795996" w:rsidRPr="00B86827" w:rsidRDefault="00521E20" w:rsidP="00B86827">
      <w:pPr>
        <w:spacing w:after="160" w:line="271" w:lineRule="auto"/>
        <w:ind w:left="5" w:hanging="11"/>
        <w:rPr>
          <w:iCs/>
        </w:rPr>
      </w:pPr>
      <w:r>
        <w:t xml:space="preserve">The </w:t>
      </w:r>
      <w:r w:rsidR="00F56330">
        <w:t>s</w:t>
      </w:r>
      <w:r>
        <w:t xml:space="preserve">hortfall </w:t>
      </w:r>
      <w:r w:rsidR="00F56330">
        <w:t>p</w:t>
      </w:r>
      <w:r>
        <w:t xml:space="preserve">enalty </w:t>
      </w:r>
      <w:r w:rsidR="00821A28">
        <w:t xml:space="preserve">for the period 1 January </w:t>
      </w:r>
      <w:r w:rsidR="00556521">
        <w:t>202</w:t>
      </w:r>
      <w:r w:rsidR="00301F13">
        <w:t>7</w:t>
      </w:r>
      <w:r w:rsidR="00556521">
        <w:t xml:space="preserve"> </w:t>
      </w:r>
      <w:r w:rsidR="00821A28">
        <w:t>to 31 December 202</w:t>
      </w:r>
      <w:r w:rsidR="00301F13">
        <w:t>7</w:t>
      </w:r>
      <w:r w:rsidR="00821A28">
        <w:t xml:space="preserve"> is</w:t>
      </w:r>
      <w:r w:rsidRPr="00345BA7">
        <w:t xml:space="preserve"> $</w:t>
      </w:r>
      <w:r w:rsidR="00454781">
        <w:t>71.32</w:t>
      </w:r>
      <w:r w:rsidRPr="00345BA7">
        <w:t xml:space="preserve">/MWh </w:t>
      </w:r>
      <w:r w:rsidR="00A9186B">
        <w:t xml:space="preserve">as determined by </w:t>
      </w:r>
      <w:r w:rsidRPr="00345BA7">
        <w:t xml:space="preserve">the </w:t>
      </w:r>
      <w:r w:rsidRPr="00345BA7">
        <w:rPr>
          <w:i/>
        </w:rPr>
        <w:t>Energy Efficiency (Cost of</w:t>
      </w:r>
      <w:r w:rsidR="00454781">
        <w:rPr>
          <w:i/>
        </w:rPr>
        <w:t xml:space="preserve"> Living </w:t>
      </w:r>
      <w:r w:rsidR="00454781" w:rsidRPr="00345BA7">
        <w:rPr>
          <w:i/>
        </w:rPr>
        <w:t>Improvement (Penalties for Noncompliance) Determination 202</w:t>
      </w:r>
      <w:r w:rsidR="00F00254">
        <w:rPr>
          <w:i/>
        </w:rPr>
        <w:t>4</w:t>
      </w:r>
      <w:r w:rsidR="00454781" w:rsidRPr="00345BA7">
        <w:t xml:space="preserve">. </w:t>
      </w:r>
      <w:r w:rsidR="00454781" w:rsidRPr="00345BA7" w:rsidDel="00345BA7">
        <w:t>The</w:t>
      </w:r>
      <w:r w:rsidR="00454781" w:rsidDel="00345BA7">
        <w:t xml:space="preserve"> ICRC uses the </w:t>
      </w:r>
      <w:r w:rsidR="00F56330">
        <w:t>s</w:t>
      </w:r>
      <w:r w:rsidR="00454781" w:rsidDel="00345BA7">
        <w:t xml:space="preserve">hortfall </w:t>
      </w:r>
      <w:r w:rsidR="00F56330">
        <w:t>p</w:t>
      </w:r>
      <w:r w:rsidR="00454781" w:rsidDel="00345BA7">
        <w:t>enalty as a ceiling on its price determination. Compliance has been high</w:t>
      </w:r>
      <w:r w:rsidR="00454781">
        <w:t xml:space="preserve"> under the Scheme</w:t>
      </w:r>
      <w:r w:rsidR="00454781" w:rsidDel="00345BA7">
        <w:t xml:space="preserve">, and the </w:t>
      </w:r>
      <w:r w:rsidR="00F56330">
        <w:t>s</w:t>
      </w:r>
      <w:r w:rsidR="00454781" w:rsidDel="00345BA7">
        <w:t xml:space="preserve">hortfall </w:t>
      </w:r>
      <w:r w:rsidR="00F56330">
        <w:t>p</w:t>
      </w:r>
      <w:r w:rsidR="00454781" w:rsidDel="00345BA7">
        <w:t xml:space="preserve">enalty has </w:t>
      </w:r>
      <w:r w:rsidR="00454781">
        <w:t>not been applied to date.</w:t>
      </w:r>
    </w:p>
    <w:p w14:paraId="14E52B0D" w14:textId="2075974A" w:rsidR="00795996" w:rsidRDefault="00521E20" w:rsidP="00C25C34">
      <w:pPr>
        <w:spacing w:after="260" w:line="271" w:lineRule="auto"/>
        <w:ind w:left="5" w:hanging="11"/>
      </w:pPr>
      <w:r>
        <w:lastRenderedPageBreak/>
        <w:t xml:space="preserve">The </w:t>
      </w:r>
      <w:r w:rsidR="00F56330">
        <w:t>s</w:t>
      </w:r>
      <w:r>
        <w:t xml:space="preserve">hortfall </w:t>
      </w:r>
      <w:r w:rsidR="00F56330">
        <w:t>p</w:t>
      </w:r>
      <w:r>
        <w:t>enalty of $71.32/MWh is 2.6 times the value of the ESC,</w:t>
      </w:r>
      <w:r w:rsidR="009C513F">
        <w:t xml:space="preserve"> this</w:t>
      </w:r>
      <w:r>
        <w:t xml:space="preserve"> </w:t>
      </w:r>
      <w:r w:rsidR="009C513F">
        <w:t>is</w:t>
      </w:r>
      <w:r w:rsidR="00E355B5">
        <w:t xml:space="preserve"> based off previous modelling conducted to understand the lowest value of the shortfall penalty that would still ensure high scheme compliance</w:t>
      </w:r>
      <w:r>
        <w:t>.</w:t>
      </w:r>
    </w:p>
    <w:p w14:paraId="36B15888" w14:textId="77777777" w:rsidR="00795996" w:rsidRDefault="00521E20" w:rsidP="00C25C34">
      <w:pPr>
        <w:pStyle w:val="Heading2"/>
        <w:ind w:left="426" w:hanging="420"/>
      </w:pPr>
      <w:bookmarkStart w:id="10" w:name="_Toc241576511"/>
      <w:r>
        <w:t>Summary of proposed key Scheme parameters</w:t>
      </w:r>
      <w:bookmarkEnd w:id="10"/>
      <w:r>
        <w:t xml:space="preserve"> </w:t>
      </w:r>
    </w:p>
    <w:p w14:paraId="4C9E25D5" w14:textId="5FFA864A" w:rsidR="00795996" w:rsidRDefault="00521E20" w:rsidP="00B86827">
      <w:pPr>
        <w:spacing w:after="120" w:line="271" w:lineRule="auto"/>
        <w:ind w:left="5" w:hanging="11"/>
      </w:pPr>
      <w:r>
        <w:t xml:space="preserve">For the reasons outlined above, the EEIS settings for the </w:t>
      </w:r>
      <w:r w:rsidR="00556521">
        <w:t>202</w:t>
      </w:r>
      <w:r w:rsidR="00C3341B">
        <w:t>7</w:t>
      </w:r>
      <w:r w:rsidR="00556521">
        <w:t xml:space="preserve"> </w:t>
      </w:r>
      <w:r>
        <w:t xml:space="preserve">compliance period </w:t>
      </w:r>
      <w:r w:rsidR="00B46B65">
        <w:t>will remain con</w:t>
      </w:r>
      <w:r w:rsidR="00F00807">
        <w:t xml:space="preserve">sistent </w:t>
      </w:r>
      <w:r w:rsidR="00B46B65">
        <w:t>with the value</w:t>
      </w:r>
      <w:r w:rsidR="00840406">
        <w:t>s</w:t>
      </w:r>
      <w:r w:rsidR="00B46B65">
        <w:t xml:space="preserve"> for the 202</w:t>
      </w:r>
      <w:r w:rsidR="00C3341B">
        <w:t>4</w:t>
      </w:r>
      <w:r w:rsidR="00B46B65">
        <w:t>, 202</w:t>
      </w:r>
      <w:r w:rsidR="00C3341B">
        <w:t>5</w:t>
      </w:r>
      <w:r w:rsidR="00B46B65">
        <w:t xml:space="preserve"> and </w:t>
      </w:r>
      <w:r w:rsidR="00556521">
        <w:t>202</w:t>
      </w:r>
      <w:r w:rsidR="00C3341B">
        <w:t>6</w:t>
      </w:r>
      <w:r w:rsidR="00454781">
        <w:t xml:space="preserve"> </w:t>
      </w:r>
      <w:r w:rsidR="00441DF2">
        <w:t xml:space="preserve">compliance periods </w:t>
      </w:r>
      <w:r>
        <w:t xml:space="preserve">as follows: </w:t>
      </w:r>
    </w:p>
    <w:p w14:paraId="6A1E40B5" w14:textId="77777777" w:rsidR="00795996" w:rsidRDefault="00521E20">
      <w:pPr>
        <w:numPr>
          <w:ilvl w:val="0"/>
          <w:numId w:val="4"/>
        </w:numPr>
        <w:ind w:hanging="360"/>
      </w:pPr>
      <w:r>
        <w:t xml:space="preserve">Energy Savings Target at 14.6% </w:t>
      </w:r>
    </w:p>
    <w:p w14:paraId="25A541E9" w14:textId="77777777" w:rsidR="00795996" w:rsidRDefault="00521E20">
      <w:pPr>
        <w:numPr>
          <w:ilvl w:val="0"/>
          <w:numId w:val="4"/>
        </w:numPr>
        <w:ind w:hanging="360"/>
      </w:pPr>
      <w:r>
        <w:t xml:space="preserve">Energy Savings Contribution at $27.43/MWh, and </w:t>
      </w:r>
    </w:p>
    <w:p w14:paraId="4FDE5F89" w14:textId="77777777" w:rsidR="00795996" w:rsidRDefault="00521E20" w:rsidP="00B86827">
      <w:pPr>
        <w:numPr>
          <w:ilvl w:val="0"/>
          <w:numId w:val="4"/>
        </w:numPr>
        <w:spacing w:after="206" w:line="271" w:lineRule="auto"/>
        <w:ind w:left="714" w:hanging="357"/>
      </w:pPr>
      <w:r>
        <w:t xml:space="preserve">Shortfall Penalty at $71.32/MWh. </w:t>
      </w:r>
    </w:p>
    <w:p w14:paraId="2DC4E214" w14:textId="64B206DF" w:rsidR="00795996" w:rsidRDefault="00653AEE" w:rsidP="00C25C34">
      <w:pPr>
        <w:spacing w:after="206" w:line="271" w:lineRule="auto"/>
        <w:ind w:left="5" w:hanging="11"/>
      </w:pPr>
      <w:r>
        <w:t>Maintaining</w:t>
      </w:r>
      <w:r w:rsidR="00521E20">
        <w:t xml:space="preserve"> </w:t>
      </w:r>
      <w:r w:rsidR="00B06642">
        <w:t>a</w:t>
      </w:r>
      <w:r w:rsidR="00521E20">
        <w:t xml:space="preserve"> 14.6%</w:t>
      </w:r>
      <w:r w:rsidR="00B06642">
        <w:t xml:space="preserve"> </w:t>
      </w:r>
      <w:r w:rsidR="005E4E5B">
        <w:t>e</w:t>
      </w:r>
      <w:r w:rsidR="00B06642">
        <w:t xml:space="preserve">nergy </w:t>
      </w:r>
      <w:r w:rsidR="005E4E5B">
        <w:t>s</w:t>
      </w:r>
      <w:r w:rsidR="00B06642">
        <w:t xml:space="preserve">avings </w:t>
      </w:r>
      <w:r w:rsidR="005E4E5B">
        <w:t>t</w:t>
      </w:r>
      <w:r w:rsidR="00B06642">
        <w:t>arget</w:t>
      </w:r>
      <w:r w:rsidR="00521E20">
        <w:t xml:space="preserve"> is considered optimal as it delivers higher effectiveness against the </w:t>
      </w:r>
      <w:r w:rsidR="005E4E5B">
        <w:t>o</w:t>
      </w:r>
      <w:r w:rsidR="00521E20">
        <w:t>bjects of the Scheme</w:t>
      </w:r>
      <w:r w:rsidR="000A1D8E">
        <w:t xml:space="preserve"> without</w:t>
      </w:r>
      <w:r w:rsidR="00521E20">
        <w:t xml:space="preserve"> imposing additional</w:t>
      </w:r>
      <w:r w:rsidR="00045362">
        <w:t xml:space="preserve"> pass-through</w:t>
      </w:r>
      <w:r w:rsidR="00521E20">
        <w:t xml:space="preserve"> costs on ACT electricity consumers.  </w:t>
      </w:r>
    </w:p>
    <w:p w14:paraId="01B87950" w14:textId="77777777" w:rsidR="00795996" w:rsidRDefault="00521E20" w:rsidP="00C25C34">
      <w:pPr>
        <w:pStyle w:val="Heading1"/>
        <w:ind w:left="426" w:hanging="426"/>
      </w:pPr>
      <w:bookmarkStart w:id="11" w:name="_Toc241576512"/>
      <w:r>
        <w:t>Strategy for further implementation, review and consultation</w:t>
      </w:r>
      <w:bookmarkEnd w:id="11"/>
      <w:r>
        <w:t xml:space="preserve"> </w:t>
      </w:r>
    </w:p>
    <w:p w14:paraId="1D12A936" w14:textId="52CCEDB8" w:rsidR="00795996" w:rsidRDefault="00521E20" w:rsidP="00B86827">
      <w:pPr>
        <w:spacing w:after="160" w:line="271" w:lineRule="auto"/>
        <w:ind w:left="5" w:hanging="11"/>
      </w:pPr>
      <w:r>
        <w:t xml:space="preserve">The regulatory revisions presented here will be achieved through a continuation of current EEIS implementation processes. The Act allows the EST and ESC to be reviewed and re-set by the Minister throughout the life of the Scheme. </w:t>
      </w:r>
      <w:r w:rsidR="00964304">
        <w:t>T</w:t>
      </w:r>
      <w:r>
        <w:t>he Act requires that increased targets be set at least six months ahead of the relevant compliance period</w:t>
      </w:r>
      <w:r w:rsidR="00964304">
        <w:t xml:space="preserve"> to provide business clarity to retailers. </w:t>
      </w:r>
    </w:p>
    <w:p w14:paraId="6FF24A78" w14:textId="299DB353" w:rsidR="00795996" w:rsidRDefault="00521E20" w:rsidP="00B86827">
      <w:pPr>
        <w:spacing w:after="240" w:line="271" w:lineRule="auto"/>
        <w:ind w:left="5" w:hanging="11"/>
      </w:pPr>
      <w:r>
        <w:t xml:space="preserve">The ACT Government will continue reviewing Tier 1 delivery costs, pass-through </w:t>
      </w:r>
      <w:r w:rsidR="00755290">
        <w:t>costs,</w:t>
      </w:r>
      <w:r>
        <w:t xml:space="preserve"> and the energy savings outcomes, and adjust Scheme parameters if needed.  </w:t>
      </w:r>
    </w:p>
    <w:p w14:paraId="7160E97F" w14:textId="2C49B26B" w:rsidR="00FD74B5" w:rsidRDefault="00FD74B5" w:rsidP="00755290">
      <w:pPr>
        <w:pStyle w:val="Heading1"/>
        <w:spacing w:line="266" w:lineRule="auto"/>
        <w:ind w:left="425" w:hanging="425"/>
      </w:pPr>
      <w:bookmarkStart w:id="12" w:name="_Toc241576513"/>
      <w:r w:rsidRPr="00645CB1">
        <w:t>Consistency of the proposed law with the authorising law</w:t>
      </w:r>
      <w:bookmarkEnd w:id="12"/>
    </w:p>
    <w:p w14:paraId="58376AC6" w14:textId="7109CDB2" w:rsidR="00FD74B5" w:rsidRPr="00EE28CD" w:rsidRDefault="00FD74B5" w:rsidP="00B86827">
      <w:pPr>
        <w:spacing w:after="160" w:line="271" w:lineRule="auto"/>
        <w:ind w:left="11" w:hanging="11"/>
      </w:pPr>
      <w:r>
        <w:t>The Act requires the Minister to determine an EST at least six months before the start of the compliance period if the EST is to be increased</w:t>
      </w:r>
      <w:r w:rsidR="00FE387A">
        <w:t>,</w:t>
      </w:r>
      <w:r>
        <w:t xml:space="preserve"> or in any other case, at least 3 months before the </w:t>
      </w:r>
      <w:r w:rsidR="00FE387A">
        <w:t>start of the relevant compliance period</w:t>
      </w:r>
      <w:r>
        <w:t xml:space="preserve">. Compliance periods are calendar years. As the proposal is to retain, rather than increase the EST, the </w:t>
      </w:r>
      <w:r w:rsidR="00FE387A">
        <w:t xml:space="preserve">determination will be made </w:t>
      </w:r>
      <w:r>
        <w:t xml:space="preserve">at least three months before the beginning of </w:t>
      </w:r>
      <w:r w:rsidR="008510CC">
        <w:t>202</w:t>
      </w:r>
      <w:r w:rsidR="00C3341B">
        <w:t>7</w:t>
      </w:r>
      <w:r>
        <w:t>.</w:t>
      </w:r>
    </w:p>
    <w:p w14:paraId="516A21DE" w14:textId="32C523BA" w:rsidR="00FD74B5" w:rsidRPr="00FD74B5" w:rsidRDefault="00FD74B5" w:rsidP="00B86827">
      <w:pPr>
        <w:spacing w:after="240" w:line="271" w:lineRule="auto"/>
        <w:ind w:left="11" w:hanging="11"/>
      </w:pPr>
      <w:r>
        <w:t xml:space="preserve">The Act requires the shortfall penalty to be determined at least 3 months before the start of the compliance period to which the shortfall penalty relates. </w:t>
      </w:r>
    </w:p>
    <w:p w14:paraId="3D1FC3DF" w14:textId="5FC5B34C" w:rsidR="00795996" w:rsidRDefault="00441DF2" w:rsidP="00755290">
      <w:pPr>
        <w:pStyle w:val="Heading1"/>
        <w:spacing w:line="266" w:lineRule="auto"/>
        <w:ind w:left="425" w:hanging="425"/>
      </w:pPr>
      <w:bookmarkStart w:id="13" w:name="_Toc241576514"/>
      <w:r w:rsidRPr="00645CB1">
        <w:t>Inconsistency with the policy objectives of another territory law</w:t>
      </w:r>
      <w:bookmarkEnd w:id="13"/>
    </w:p>
    <w:p w14:paraId="06AA199B" w14:textId="77777777" w:rsidR="00795996" w:rsidRDefault="00521E20" w:rsidP="00B86827">
      <w:pPr>
        <w:spacing w:after="240" w:line="271" w:lineRule="auto"/>
        <w:ind w:left="5" w:hanging="11"/>
      </w:pPr>
      <w:r>
        <w:t xml:space="preserve">The determinations are not inconsistent with the policy objectives of another Territory law.  </w:t>
      </w:r>
    </w:p>
    <w:p w14:paraId="5E17B8D9" w14:textId="77777777" w:rsidR="00FE387A" w:rsidRDefault="00FE387A" w:rsidP="00755290">
      <w:pPr>
        <w:pStyle w:val="Heading1"/>
        <w:spacing w:line="266" w:lineRule="auto"/>
        <w:ind w:left="425" w:hanging="425"/>
      </w:pPr>
      <w:bookmarkStart w:id="14" w:name="_Toc241576515"/>
      <w:r w:rsidRPr="00645CB1">
        <w:t>Reasonable alternatives to the proposed law</w:t>
      </w:r>
      <w:bookmarkEnd w:id="14"/>
    </w:p>
    <w:p w14:paraId="2C9AC8A4" w14:textId="2EA9126D" w:rsidR="00FE387A" w:rsidRPr="00FE387A" w:rsidRDefault="00FE387A" w:rsidP="00B86827">
      <w:pPr>
        <w:spacing w:after="240" w:line="271" w:lineRule="auto"/>
        <w:ind w:left="11" w:hanging="11"/>
      </w:pPr>
      <w:r>
        <w:t xml:space="preserve">The Act requires the Minister to make the determinations therefore not making the disallowable instruments is not an option. </w:t>
      </w:r>
    </w:p>
    <w:p w14:paraId="6669B1D6" w14:textId="043B7924" w:rsidR="00FE387A" w:rsidRDefault="00FE387A" w:rsidP="00755290">
      <w:pPr>
        <w:pStyle w:val="Heading1"/>
        <w:spacing w:line="266" w:lineRule="auto"/>
        <w:ind w:left="425" w:hanging="425"/>
      </w:pPr>
      <w:bookmarkStart w:id="15" w:name="_Toc241576516"/>
      <w:r>
        <w:lastRenderedPageBreak/>
        <w:t>B</w:t>
      </w:r>
      <w:r w:rsidRPr="00645CB1">
        <w:t>rief assessment of the benefits and costs of the proposed law</w:t>
      </w:r>
      <w:bookmarkEnd w:id="15"/>
    </w:p>
    <w:p w14:paraId="4338C1C0" w14:textId="6C2A0F74" w:rsidR="00FE387A" w:rsidRDefault="00EE28D5">
      <w:pPr>
        <w:spacing w:after="360"/>
      </w:pPr>
      <w:r>
        <w:t>The details provided above in sections 5 – 5.4 outline the benefits and costs of the scheme and justification for choosing the</w:t>
      </w:r>
      <w:r w:rsidR="00295785">
        <w:t xml:space="preserve"> BAU approach</w:t>
      </w:r>
      <w:r>
        <w:t xml:space="preserve">. </w:t>
      </w:r>
      <w:r w:rsidR="00A63F45">
        <w:t xml:space="preserve">The table below outlines the costs and benefits of </w:t>
      </w:r>
      <w:r w:rsidR="004B7041">
        <w:t xml:space="preserve">maintaining the scheme settings </w:t>
      </w:r>
      <w:r w:rsidR="00BE33E0">
        <w:t>fixed at the current EST, ESC and shortfall penalty rates as summarised in Section 1 – Executive Summary</w:t>
      </w:r>
      <w:r w:rsidR="00A63F45">
        <w:t>:</w:t>
      </w: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64"/>
        <w:gridCol w:w="1110"/>
        <w:gridCol w:w="1564"/>
        <w:gridCol w:w="1662"/>
        <w:gridCol w:w="1676"/>
      </w:tblGrid>
      <w:tr w:rsidR="009F3F64" w:rsidRPr="00A63F45" w14:paraId="0893E37C" w14:textId="77777777" w:rsidTr="009F3F64">
        <w:trPr>
          <w:trHeight w:val="279"/>
        </w:trPr>
        <w:tc>
          <w:tcPr>
            <w:tcW w:w="3164" w:type="dxa"/>
          </w:tcPr>
          <w:p w14:paraId="02F41DD3" w14:textId="77777777" w:rsidR="00A63F45" w:rsidRPr="00A63F45" w:rsidRDefault="00A63F45" w:rsidP="00A63F45">
            <w:pPr>
              <w:spacing w:after="360"/>
            </w:pPr>
            <w:r w:rsidRPr="00A63F45">
              <w:rPr>
                <w:b/>
                <w:bCs/>
              </w:rPr>
              <w:t xml:space="preserve">Scheme setting </w:t>
            </w:r>
          </w:p>
        </w:tc>
        <w:tc>
          <w:tcPr>
            <w:tcW w:w="1110" w:type="dxa"/>
          </w:tcPr>
          <w:p w14:paraId="6A28E3D1" w14:textId="77777777" w:rsidR="00A63F45" w:rsidRPr="00A63F45" w:rsidRDefault="00A63F45" w:rsidP="00A63F45">
            <w:pPr>
              <w:spacing w:after="360"/>
            </w:pPr>
            <w:r w:rsidRPr="00A63F45">
              <w:rPr>
                <w:b/>
                <w:bCs/>
              </w:rPr>
              <w:t xml:space="preserve">Unit </w:t>
            </w:r>
          </w:p>
        </w:tc>
        <w:tc>
          <w:tcPr>
            <w:tcW w:w="1564" w:type="dxa"/>
          </w:tcPr>
          <w:p w14:paraId="3DB8C3A9" w14:textId="5910713C" w:rsidR="00A63F45" w:rsidRPr="00A63F45" w:rsidRDefault="006F52CD" w:rsidP="00A63F45">
            <w:pPr>
              <w:spacing w:after="360"/>
            </w:pPr>
            <w:r>
              <w:rPr>
                <w:b/>
                <w:bCs/>
              </w:rPr>
              <w:t>Maintain current targets</w:t>
            </w:r>
            <w:r w:rsidR="00A63F45" w:rsidRPr="00A63F45">
              <w:rPr>
                <w:b/>
                <w:bCs/>
              </w:rPr>
              <w:t xml:space="preserve"> </w:t>
            </w:r>
          </w:p>
        </w:tc>
        <w:tc>
          <w:tcPr>
            <w:tcW w:w="1662" w:type="dxa"/>
          </w:tcPr>
          <w:p w14:paraId="7437091A" w14:textId="1AA8F954" w:rsidR="00A63F45" w:rsidRPr="00A63F45" w:rsidRDefault="006F52CD" w:rsidP="006F52CD">
            <w:pPr>
              <w:spacing w:after="360"/>
              <w:ind w:left="0" w:firstLine="0"/>
            </w:pPr>
            <w:r>
              <w:rPr>
                <w:b/>
                <w:bCs/>
              </w:rPr>
              <w:t>Maintain EST and lower PHT</w:t>
            </w:r>
            <w:r w:rsidR="00A63F45" w:rsidRPr="00A63F45">
              <w:rPr>
                <w:b/>
                <w:bCs/>
              </w:rPr>
              <w:t xml:space="preserve"> </w:t>
            </w:r>
          </w:p>
        </w:tc>
        <w:tc>
          <w:tcPr>
            <w:tcW w:w="1676" w:type="dxa"/>
          </w:tcPr>
          <w:p w14:paraId="7E651B0F" w14:textId="1F0AA26B" w:rsidR="00A63F45" w:rsidRPr="00A63F45" w:rsidRDefault="006F52CD" w:rsidP="00A63F45">
            <w:pPr>
              <w:spacing w:after="360"/>
            </w:pPr>
            <w:r>
              <w:rPr>
                <w:b/>
                <w:bCs/>
              </w:rPr>
              <w:t>Increased EST and lowered PHT</w:t>
            </w:r>
            <w:r w:rsidR="00A63F45" w:rsidRPr="00A63F45">
              <w:rPr>
                <w:b/>
                <w:bCs/>
              </w:rPr>
              <w:t xml:space="preserve"> </w:t>
            </w:r>
          </w:p>
        </w:tc>
      </w:tr>
      <w:tr w:rsidR="009F3F64" w:rsidRPr="00A63F45" w14:paraId="02B4232B" w14:textId="77777777" w:rsidTr="009F3F64">
        <w:trPr>
          <w:trHeight w:val="112"/>
        </w:trPr>
        <w:tc>
          <w:tcPr>
            <w:tcW w:w="3164" w:type="dxa"/>
          </w:tcPr>
          <w:p w14:paraId="3A666DE6" w14:textId="77777777" w:rsidR="00A63F45" w:rsidRPr="00A63F45" w:rsidRDefault="00A63F45" w:rsidP="00A63F45">
            <w:pPr>
              <w:spacing w:after="360"/>
            </w:pPr>
            <w:r w:rsidRPr="00A63F45">
              <w:rPr>
                <w:b/>
                <w:bCs/>
              </w:rPr>
              <w:t xml:space="preserve">EST </w:t>
            </w:r>
          </w:p>
        </w:tc>
        <w:tc>
          <w:tcPr>
            <w:tcW w:w="1110" w:type="dxa"/>
          </w:tcPr>
          <w:p w14:paraId="0692E06F" w14:textId="77777777" w:rsidR="00A63F45" w:rsidRPr="00A63F45" w:rsidRDefault="00A63F45" w:rsidP="00A63F45">
            <w:pPr>
              <w:spacing w:after="360"/>
            </w:pPr>
            <w:r w:rsidRPr="00A63F45">
              <w:rPr>
                <w:i/>
                <w:iCs/>
              </w:rPr>
              <w:t xml:space="preserve">% </w:t>
            </w:r>
          </w:p>
        </w:tc>
        <w:tc>
          <w:tcPr>
            <w:tcW w:w="1564" w:type="dxa"/>
          </w:tcPr>
          <w:p w14:paraId="4BB8A790" w14:textId="7C65D0F3" w:rsidR="00A63F45" w:rsidRPr="00A63F45" w:rsidRDefault="00054E70" w:rsidP="00A63F45">
            <w:pPr>
              <w:spacing w:after="360"/>
            </w:pPr>
            <w:r>
              <w:t>14.6%</w:t>
            </w:r>
          </w:p>
        </w:tc>
        <w:tc>
          <w:tcPr>
            <w:tcW w:w="1662" w:type="dxa"/>
          </w:tcPr>
          <w:p w14:paraId="060123B8" w14:textId="77777777" w:rsidR="00A63F45" w:rsidRPr="00A63F45" w:rsidRDefault="00A63F45" w:rsidP="00A63F45">
            <w:pPr>
              <w:spacing w:after="360"/>
            </w:pPr>
            <w:r w:rsidRPr="00A63F45">
              <w:t xml:space="preserve">14.6% </w:t>
            </w:r>
          </w:p>
        </w:tc>
        <w:tc>
          <w:tcPr>
            <w:tcW w:w="1676" w:type="dxa"/>
          </w:tcPr>
          <w:p w14:paraId="74C40C9A" w14:textId="04D2C219" w:rsidR="00A63F45" w:rsidRPr="00A63F45" w:rsidRDefault="00054E70" w:rsidP="00A63F45">
            <w:pPr>
              <w:spacing w:after="360"/>
            </w:pPr>
            <w:r>
              <w:t>20</w:t>
            </w:r>
            <w:r w:rsidR="00A63F45" w:rsidRPr="00A63F45">
              <w:t xml:space="preserve">% </w:t>
            </w:r>
          </w:p>
        </w:tc>
      </w:tr>
      <w:tr w:rsidR="009F3F64" w:rsidRPr="00A63F45" w14:paraId="6DFE04F4" w14:textId="77777777" w:rsidTr="009F3F64">
        <w:trPr>
          <w:trHeight w:val="112"/>
        </w:trPr>
        <w:tc>
          <w:tcPr>
            <w:tcW w:w="3164" w:type="dxa"/>
          </w:tcPr>
          <w:p w14:paraId="30065E1A" w14:textId="77777777" w:rsidR="00A63F45" w:rsidRPr="00A63F45" w:rsidRDefault="00A63F45" w:rsidP="00A63F45">
            <w:pPr>
              <w:spacing w:after="360"/>
            </w:pPr>
            <w:r w:rsidRPr="00A63F45">
              <w:rPr>
                <w:b/>
                <w:bCs/>
              </w:rPr>
              <w:t xml:space="preserve">ESC </w:t>
            </w:r>
          </w:p>
        </w:tc>
        <w:tc>
          <w:tcPr>
            <w:tcW w:w="1110" w:type="dxa"/>
          </w:tcPr>
          <w:p w14:paraId="7F54E74E" w14:textId="77777777" w:rsidR="00A63F45" w:rsidRPr="00A63F45" w:rsidRDefault="00A63F45" w:rsidP="00A63F45">
            <w:pPr>
              <w:spacing w:after="360"/>
            </w:pPr>
            <w:r w:rsidRPr="00A63F45">
              <w:rPr>
                <w:i/>
                <w:iCs/>
              </w:rPr>
              <w:t xml:space="preserve">$/MWh </w:t>
            </w:r>
          </w:p>
        </w:tc>
        <w:tc>
          <w:tcPr>
            <w:tcW w:w="1564" w:type="dxa"/>
          </w:tcPr>
          <w:p w14:paraId="773A8FB2" w14:textId="1E5146D1" w:rsidR="00A63F45" w:rsidRPr="00A63F45" w:rsidRDefault="00A63F45" w:rsidP="00A63F45">
            <w:pPr>
              <w:spacing w:after="360"/>
            </w:pPr>
            <w:r w:rsidRPr="00A63F45">
              <w:t>$</w:t>
            </w:r>
            <w:r w:rsidR="00054E70">
              <w:t>27.43</w:t>
            </w:r>
            <w:r w:rsidRPr="00A63F45">
              <w:t xml:space="preserve"> </w:t>
            </w:r>
          </w:p>
        </w:tc>
        <w:tc>
          <w:tcPr>
            <w:tcW w:w="1662" w:type="dxa"/>
          </w:tcPr>
          <w:p w14:paraId="1CA7A351" w14:textId="77777777" w:rsidR="00A63F45" w:rsidRPr="00A63F45" w:rsidRDefault="00A63F45" w:rsidP="00A63F45">
            <w:pPr>
              <w:spacing w:after="360"/>
            </w:pPr>
            <w:r w:rsidRPr="00A63F45">
              <w:t xml:space="preserve">$27.43 </w:t>
            </w:r>
          </w:p>
        </w:tc>
        <w:tc>
          <w:tcPr>
            <w:tcW w:w="1676" w:type="dxa"/>
          </w:tcPr>
          <w:p w14:paraId="66311372" w14:textId="3B635693" w:rsidR="00A63F45" w:rsidRPr="00A63F45" w:rsidRDefault="00A63F45" w:rsidP="00A63F45">
            <w:pPr>
              <w:spacing w:after="360"/>
            </w:pPr>
            <w:r w:rsidRPr="00A63F45">
              <w:t>$</w:t>
            </w:r>
            <w:r w:rsidR="00054E70">
              <w:t>27.43</w:t>
            </w:r>
            <w:r w:rsidRPr="00A63F45">
              <w:t xml:space="preserve"> </w:t>
            </w:r>
          </w:p>
        </w:tc>
      </w:tr>
      <w:tr w:rsidR="009F3F64" w:rsidRPr="00A63F45" w14:paraId="000D7A7C" w14:textId="77777777" w:rsidTr="009F3F64">
        <w:trPr>
          <w:trHeight w:val="112"/>
        </w:trPr>
        <w:tc>
          <w:tcPr>
            <w:tcW w:w="3164" w:type="dxa"/>
          </w:tcPr>
          <w:p w14:paraId="0C4F9E28" w14:textId="77777777" w:rsidR="00A63F45" w:rsidRPr="00A63F45" w:rsidRDefault="00A63F45" w:rsidP="00A63F45">
            <w:pPr>
              <w:spacing w:after="360"/>
            </w:pPr>
            <w:r w:rsidRPr="00A63F45">
              <w:rPr>
                <w:b/>
                <w:bCs/>
              </w:rPr>
              <w:t xml:space="preserve">Shortfall Penalty </w:t>
            </w:r>
          </w:p>
        </w:tc>
        <w:tc>
          <w:tcPr>
            <w:tcW w:w="1110" w:type="dxa"/>
          </w:tcPr>
          <w:p w14:paraId="6573281D" w14:textId="77777777" w:rsidR="00A63F45" w:rsidRPr="00A63F45" w:rsidRDefault="00A63F45" w:rsidP="00A63F45">
            <w:pPr>
              <w:spacing w:after="360"/>
            </w:pPr>
            <w:r w:rsidRPr="00A63F45">
              <w:rPr>
                <w:i/>
                <w:iCs/>
              </w:rPr>
              <w:t xml:space="preserve">$ </w:t>
            </w:r>
          </w:p>
        </w:tc>
        <w:tc>
          <w:tcPr>
            <w:tcW w:w="1564" w:type="dxa"/>
          </w:tcPr>
          <w:p w14:paraId="0DD6DA99" w14:textId="6B9371FE" w:rsidR="00A63F45" w:rsidRPr="00A63F45" w:rsidRDefault="00A63F45" w:rsidP="00A63F45">
            <w:pPr>
              <w:spacing w:after="360"/>
            </w:pPr>
            <w:r w:rsidRPr="00A63F45">
              <w:t>$</w:t>
            </w:r>
            <w:r w:rsidR="00054E70">
              <w:t>71.32</w:t>
            </w:r>
          </w:p>
        </w:tc>
        <w:tc>
          <w:tcPr>
            <w:tcW w:w="1662" w:type="dxa"/>
          </w:tcPr>
          <w:p w14:paraId="068CCEF1" w14:textId="77777777" w:rsidR="00A63F45" w:rsidRPr="00A63F45" w:rsidRDefault="00A63F45" w:rsidP="00A63F45">
            <w:pPr>
              <w:spacing w:after="360"/>
            </w:pPr>
            <w:r w:rsidRPr="00A63F45">
              <w:t xml:space="preserve">$71.32 </w:t>
            </w:r>
          </w:p>
        </w:tc>
        <w:tc>
          <w:tcPr>
            <w:tcW w:w="1676" w:type="dxa"/>
          </w:tcPr>
          <w:p w14:paraId="62EB9F3B" w14:textId="75CC3665" w:rsidR="00A63F45" w:rsidRPr="00A63F45" w:rsidRDefault="00A63F45" w:rsidP="00A63F45">
            <w:pPr>
              <w:spacing w:after="360"/>
            </w:pPr>
            <w:r w:rsidRPr="00A63F45">
              <w:t>$</w:t>
            </w:r>
            <w:r w:rsidR="00054E70">
              <w:t>71.32</w:t>
            </w:r>
            <w:r w:rsidRPr="00A63F45">
              <w:t xml:space="preserve"> </w:t>
            </w:r>
          </w:p>
        </w:tc>
      </w:tr>
      <w:tr w:rsidR="009F3F64" w:rsidRPr="00A63F45" w14:paraId="63BE0CE2" w14:textId="77777777" w:rsidTr="009F3F64">
        <w:trPr>
          <w:trHeight w:val="272"/>
        </w:trPr>
        <w:tc>
          <w:tcPr>
            <w:tcW w:w="3164" w:type="dxa"/>
          </w:tcPr>
          <w:p w14:paraId="7DF97350" w14:textId="46D38DE6" w:rsidR="00A63F45" w:rsidRPr="00A63F45" w:rsidRDefault="00A63F45" w:rsidP="00A63F45">
            <w:pPr>
              <w:spacing w:after="360"/>
            </w:pPr>
            <w:r w:rsidRPr="00A63F45">
              <w:rPr>
                <w:b/>
                <w:bCs/>
              </w:rPr>
              <w:t xml:space="preserve">Lifetime bill savings </w:t>
            </w:r>
            <w:r w:rsidR="00E12618">
              <w:rPr>
                <w:b/>
                <w:bCs/>
              </w:rPr>
              <w:t xml:space="preserve">to participating households </w:t>
            </w:r>
            <w:r w:rsidRPr="00A63F45">
              <w:rPr>
                <w:b/>
                <w:bCs/>
              </w:rPr>
              <w:t>from the scheme</w:t>
            </w:r>
            <w:r w:rsidR="00503584">
              <w:rPr>
                <w:b/>
                <w:bCs/>
              </w:rPr>
              <w:t xml:space="preserve"> (</w:t>
            </w:r>
            <w:r w:rsidR="00E12618">
              <w:rPr>
                <w:b/>
                <w:bCs/>
              </w:rPr>
              <w:t xml:space="preserve">across </w:t>
            </w:r>
            <w:r w:rsidR="00E94ED4">
              <w:rPr>
                <w:b/>
                <w:bCs/>
              </w:rPr>
              <w:t>2027-29 compliance years)</w:t>
            </w:r>
          </w:p>
        </w:tc>
        <w:tc>
          <w:tcPr>
            <w:tcW w:w="1110" w:type="dxa"/>
          </w:tcPr>
          <w:p w14:paraId="65C9B9C6" w14:textId="6B89C811" w:rsidR="00A63F45" w:rsidRPr="00A63F45" w:rsidRDefault="00A63F45" w:rsidP="00A63F45">
            <w:pPr>
              <w:spacing w:after="360"/>
            </w:pPr>
            <w:r w:rsidRPr="00A63F45">
              <w:rPr>
                <w:i/>
                <w:iCs/>
              </w:rPr>
              <w:t>$</w:t>
            </w:r>
          </w:p>
        </w:tc>
        <w:tc>
          <w:tcPr>
            <w:tcW w:w="1564" w:type="dxa"/>
          </w:tcPr>
          <w:p w14:paraId="06E8C88F" w14:textId="00AB576B" w:rsidR="00A63F45" w:rsidRPr="00A63F45" w:rsidRDefault="00A63F45" w:rsidP="00A63F45">
            <w:pPr>
              <w:spacing w:after="360"/>
            </w:pPr>
            <w:r w:rsidRPr="00A63F45">
              <w:t>$</w:t>
            </w:r>
            <w:r w:rsidR="00623466">
              <w:t>85</w:t>
            </w:r>
            <w:r w:rsidR="009F3F64">
              <w:t>,020,039</w:t>
            </w:r>
            <w:r w:rsidRPr="00A63F45">
              <w:t xml:space="preserve"> </w:t>
            </w:r>
          </w:p>
        </w:tc>
        <w:tc>
          <w:tcPr>
            <w:tcW w:w="1662" w:type="dxa"/>
          </w:tcPr>
          <w:p w14:paraId="2B62D172" w14:textId="36BDFEB9" w:rsidR="00A63F45" w:rsidRPr="00A63F45" w:rsidRDefault="00A63F45" w:rsidP="00A63F45">
            <w:pPr>
              <w:spacing w:after="360"/>
            </w:pPr>
            <w:r w:rsidRPr="00A63F45">
              <w:t>$</w:t>
            </w:r>
            <w:r w:rsidR="00623466">
              <w:t>84</w:t>
            </w:r>
            <w:r w:rsidR="009F3F64">
              <w:t>,520,074</w:t>
            </w:r>
          </w:p>
        </w:tc>
        <w:tc>
          <w:tcPr>
            <w:tcW w:w="1676" w:type="dxa"/>
          </w:tcPr>
          <w:p w14:paraId="0909BE6F" w14:textId="64C32DE5" w:rsidR="00A63F45" w:rsidRPr="00A63F45" w:rsidRDefault="00A63F45" w:rsidP="00A63F45">
            <w:pPr>
              <w:spacing w:after="360"/>
            </w:pPr>
            <w:r w:rsidRPr="00A63F45">
              <w:t>$</w:t>
            </w:r>
            <w:r w:rsidR="00623466">
              <w:t>115</w:t>
            </w:r>
            <w:r w:rsidR="009F3F64">
              <w:t>,593,577</w:t>
            </w:r>
          </w:p>
        </w:tc>
      </w:tr>
      <w:tr w:rsidR="00EF6F3C" w:rsidRPr="00A63F45" w14:paraId="3BB96A8D" w14:textId="77777777" w:rsidTr="009F3F64">
        <w:trPr>
          <w:trHeight w:val="272"/>
        </w:trPr>
        <w:tc>
          <w:tcPr>
            <w:tcW w:w="3164" w:type="dxa"/>
          </w:tcPr>
          <w:p w14:paraId="43AEA6C7" w14:textId="1B38BB94" w:rsidR="00EF6F3C" w:rsidRPr="00A63F45" w:rsidRDefault="00EF6F3C" w:rsidP="00A63F45">
            <w:pPr>
              <w:spacing w:after="360"/>
              <w:rPr>
                <w:b/>
                <w:bCs/>
              </w:rPr>
            </w:pPr>
            <w:r>
              <w:rPr>
                <w:b/>
                <w:bCs/>
              </w:rPr>
              <w:t xml:space="preserve">Number of </w:t>
            </w:r>
            <w:r w:rsidR="00BA73E2">
              <w:rPr>
                <w:b/>
                <w:bCs/>
              </w:rPr>
              <w:t xml:space="preserve">activities projected to be delivered to </w:t>
            </w:r>
            <w:r w:rsidR="00310C38">
              <w:rPr>
                <w:b/>
                <w:bCs/>
              </w:rPr>
              <w:t>priority household</w:t>
            </w:r>
            <w:r w:rsidR="00BA73E2">
              <w:rPr>
                <w:b/>
                <w:bCs/>
              </w:rPr>
              <w:t>s</w:t>
            </w:r>
            <w:r w:rsidR="00310C38">
              <w:rPr>
                <w:b/>
                <w:bCs/>
              </w:rPr>
              <w:t xml:space="preserve"> </w:t>
            </w:r>
          </w:p>
        </w:tc>
        <w:tc>
          <w:tcPr>
            <w:tcW w:w="1110" w:type="dxa"/>
          </w:tcPr>
          <w:p w14:paraId="1E40EAED" w14:textId="6BDCD247" w:rsidR="00EF6F3C" w:rsidRPr="005F257B" w:rsidRDefault="00BA73E2" w:rsidP="00A63F45">
            <w:pPr>
              <w:spacing w:after="360"/>
            </w:pPr>
            <w:r>
              <w:t>-</w:t>
            </w:r>
          </w:p>
        </w:tc>
        <w:tc>
          <w:tcPr>
            <w:tcW w:w="1564" w:type="dxa"/>
          </w:tcPr>
          <w:p w14:paraId="3B813647" w14:textId="24E109D2" w:rsidR="00EF6F3C" w:rsidRPr="00A63F45" w:rsidRDefault="00310C38" w:rsidP="00A63F45">
            <w:pPr>
              <w:spacing w:after="360"/>
            </w:pPr>
            <w:r>
              <w:t>3,334</w:t>
            </w:r>
          </w:p>
        </w:tc>
        <w:tc>
          <w:tcPr>
            <w:tcW w:w="1662" w:type="dxa"/>
          </w:tcPr>
          <w:p w14:paraId="670C13C3" w14:textId="7CA71253" w:rsidR="00EF6F3C" w:rsidRPr="00A63F45" w:rsidRDefault="00310C38" w:rsidP="00A63F45">
            <w:pPr>
              <w:spacing w:after="360"/>
            </w:pPr>
            <w:r>
              <w:t>1,363</w:t>
            </w:r>
          </w:p>
        </w:tc>
        <w:tc>
          <w:tcPr>
            <w:tcW w:w="1676" w:type="dxa"/>
          </w:tcPr>
          <w:p w14:paraId="555F151A" w14:textId="43D96ACE" w:rsidR="00EF6F3C" w:rsidRPr="00A63F45" w:rsidRDefault="005F257B" w:rsidP="00A63F45">
            <w:pPr>
              <w:spacing w:after="360"/>
            </w:pPr>
            <w:r>
              <w:t>3,322</w:t>
            </w:r>
          </w:p>
        </w:tc>
      </w:tr>
      <w:tr w:rsidR="009F3F64" w:rsidRPr="00A63F45" w14:paraId="3AC18832" w14:textId="77777777" w:rsidTr="009F3F64">
        <w:trPr>
          <w:trHeight w:val="112"/>
        </w:trPr>
        <w:tc>
          <w:tcPr>
            <w:tcW w:w="3164" w:type="dxa"/>
          </w:tcPr>
          <w:p w14:paraId="5E34D86C" w14:textId="03D225D7" w:rsidR="00A63F45" w:rsidRPr="00A63F45" w:rsidRDefault="00A63F45" w:rsidP="00A63F45">
            <w:pPr>
              <w:spacing w:after="360"/>
            </w:pPr>
            <w:r>
              <w:rPr>
                <w:b/>
                <w:bCs/>
              </w:rPr>
              <w:t xml:space="preserve">Estimated </w:t>
            </w:r>
            <w:r w:rsidR="00EA78C8">
              <w:rPr>
                <w:b/>
                <w:bCs/>
              </w:rPr>
              <w:t>a</w:t>
            </w:r>
            <w:r w:rsidR="00EA78C8" w:rsidRPr="00EA78C8">
              <w:rPr>
                <w:b/>
                <w:bCs/>
              </w:rPr>
              <w:t>verage annual pass-through cost to Tier 1 customers</w:t>
            </w:r>
          </w:p>
        </w:tc>
        <w:tc>
          <w:tcPr>
            <w:tcW w:w="1110" w:type="dxa"/>
          </w:tcPr>
          <w:p w14:paraId="2C5FA02C" w14:textId="77777777" w:rsidR="00A63F45" w:rsidRPr="00A63F45" w:rsidRDefault="00A63F45" w:rsidP="00A63F45">
            <w:pPr>
              <w:spacing w:after="360"/>
            </w:pPr>
            <w:r w:rsidRPr="00A63F45">
              <w:rPr>
                <w:i/>
                <w:iCs/>
              </w:rPr>
              <w:t xml:space="preserve">$/MWh </w:t>
            </w:r>
          </w:p>
        </w:tc>
        <w:tc>
          <w:tcPr>
            <w:tcW w:w="1564" w:type="dxa"/>
          </w:tcPr>
          <w:p w14:paraId="6B9071E7" w14:textId="394F9594" w:rsidR="00A63F45" w:rsidRPr="00A63F45" w:rsidRDefault="00A63F45" w:rsidP="00A63F45">
            <w:pPr>
              <w:spacing w:after="360"/>
            </w:pPr>
            <w:r w:rsidRPr="00A63F45">
              <w:t>$3.</w:t>
            </w:r>
            <w:r w:rsidR="00E858DE">
              <w:t>57</w:t>
            </w:r>
            <w:r w:rsidRPr="00A63F45">
              <w:t xml:space="preserve"> </w:t>
            </w:r>
          </w:p>
        </w:tc>
        <w:tc>
          <w:tcPr>
            <w:tcW w:w="1662" w:type="dxa"/>
          </w:tcPr>
          <w:p w14:paraId="1F6E946B" w14:textId="22A6A71F" w:rsidR="00A63F45" w:rsidRPr="00A63F45" w:rsidRDefault="00A63F45" w:rsidP="00A63F45">
            <w:pPr>
              <w:spacing w:after="360"/>
            </w:pPr>
            <w:r w:rsidRPr="00A63F45">
              <w:t>$</w:t>
            </w:r>
            <w:r w:rsidR="00E858DE">
              <w:t>2.35</w:t>
            </w:r>
            <w:r w:rsidRPr="00A63F45">
              <w:t xml:space="preserve"> </w:t>
            </w:r>
          </w:p>
        </w:tc>
        <w:tc>
          <w:tcPr>
            <w:tcW w:w="1676" w:type="dxa"/>
          </w:tcPr>
          <w:p w14:paraId="70409D1E" w14:textId="793AC556" w:rsidR="00A63F45" w:rsidRPr="00A63F45" w:rsidRDefault="00A63F45" w:rsidP="00A63F45">
            <w:pPr>
              <w:spacing w:after="360"/>
            </w:pPr>
            <w:r w:rsidRPr="00A63F45">
              <w:t>$</w:t>
            </w:r>
            <w:r w:rsidR="00E858DE">
              <w:t>3.88</w:t>
            </w:r>
            <w:r w:rsidRPr="00A63F45">
              <w:t xml:space="preserve"> </w:t>
            </w:r>
          </w:p>
        </w:tc>
      </w:tr>
      <w:tr w:rsidR="009F3F64" w:rsidRPr="00A63F45" w14:paraId="2BE5F88A" w14:textId="77777777" w:rsidTr="009F3F64">
        <w:trPr>
          <w:trHeight w:val="112"/>
        </w:trPr>
        <w:tc>
          <w:tcPr>
            <w:tcW w:w="3164" w:type="dxa"/>
          </w:tcPr>
          <w:p w14:paraId="0040DDEC" w14:textId="169E3015" w:rsidR="00A63F45" w:rsidRPr="00A63F45" w:rsidRDefault="005D5214" w:rsidP="00A63F45">
            <w:pPr>
              <w:spacing w:after="360"/>
            </w:pPr>
            <w:r>
              <w:rPr>
                <w:b/>
                <w:bCs/>
              </w:rPr>
              <w:t xml:space="preserve">Net benefit to the ACT (from 2027-29 compliance years) </w:t>
            </w:r>
            <w:r w:rsidR="00A63F45" w:rsidRPr="00A63F45">
              <w:rPr>
                <w:b/>
                <w:bCs/>
              </w:rPr>
              <w:t xml:space="preserve"> </w:t>
            </w:r>
          </w:p>
        </w:tc>
        <w:tc>
          <w:tcPr>
            <w:tcW w:w="1110" w:type="dxa"/>
          </w:tcPr>
          <w:p w14:paraId="538E5304" w14:textId="41988883" w:rsidR="00A63F45" w:rsidRPr="00A63F45" w:rsidRDefault="00A63F45" w:rsidP="00A63F45">
            <w:pPr>
              <w:spacing w:after="360"/>
            </w:pPr>
            <w:r w:rsidRPr="00A63F45">
              <w:rPr>
                <w:i/>
                <w:iCs/>
              </w:rPr>
              <w:t>$</w:t>
            </w:r>
          </w:p>
        </w:tc>
        <w:tc>
          <w:tcPr>
            <w:tcW w:w="1564" w:type="dxa"/>
          </w:tcPr>
          <w:p w14:paraId="1613A7B5" w14:textId="56883F44" w:rsidR="00A63F45" w:rsidRPr="00A63F45" w:rsidRDefault="009E4BEB" w:rsidP="00A63F45">
            <w:pPr>
              <w:spacing w:after="360"/>
            </w:pPr>
            <w:r w:rsidRPr="00B26AFD">
              <w:t>$60,508,702</w:t>
            </w:r>
          </w:p>
        </w:tc>
        <w:tc>
          <w:tcPr>
            <w:tcW w:w="1662" w:type="dxa"/>
          </w:tcPr>
          <w:p w14:paraId="0B159829" w14:textId="0A1609BC" w:rsidR="00A63F45" w:rsidRPr="00A63F45" w:rsidRDefault="00A63F45" w:rsidP="00A63F45">
            <w:pPr>
              <w:spacing w:after="360"/>
            </w:pPr>
            <w:r w:rsidRPr="00A63F45">
              <w:t>$</w:t>
            </w:r>
            <w:r w:rsidR="00E858DE">
              <w:t>65</w:t>
            </w:r>
            <w:r w:rsidR="0064684D">
              <w:t>,551,410</w:t>
            </w:r>
          </w:p>
        </w:tc>
        <w:tc>
          <w:tcPr>
            <w:tcW w:w="1676" w:type="dxa"/>
          </w:tcPr>
          <w:p w14:paraId="567B025C" w14:textId="5C2430DB" w:rsidR="00A63F45" w:rsidRPr="00A63F45" w:rsidRDefault="00A63F45" w:rsidP="00A63F45">
            <w:pPr>
              <w:spacing w:after="360"/>
            </w:pPr>
            <w:r w:rsidRPr="00A63F45">
              <w:t>$</w:t>
            </w:r>
            <w:r w:rsidR="00A77B63">
              <w:t>85,091,972</w:t>
            </w:r>
          </w:p>
        </w:tc>
      </w:tr>
      <w:tr w:rsidR="009F3F64" w:rsidRPr="00A63F45" w14:paraId="3937357C" w14:textId="77777777" w:rsidTr="009F3F64">
        <w:trPr>
          <w:trHeight w:val="285"/>
        </w:trPr>
        <w:tc>
          <w:tcPr>
            <w:tcW w:w="3164" w:type="dxa"/>
          </w:tcPr>
          <w:p w14:paraId="1BFC30EA" w14:textId="00F22E4A" w:rsidR="00A63F45" w:rsidRPr="00A63F45" w:rsidRDefault="005D5214" w:rsidP="00A63F45">
            <w:pPr>
              <w:spacing w:after="360"/>
            </w:pPr>
            <w:r>
              <w:rPr>
                <w:b/>
                <w:bCs/>
              </w:rPr>
              <w:t xml:space="preserve">Total wholesale, network and greenhouse gas emissions savings (from 2027-29 compliance years) </w:t>
            </w:r>
          </w:p>
        </w:tc>
        <w:tc>
          <w:tcPr>
            <w:tcW w:w="1110" w:type="dxa"/>
          </w:tcPr>
          <w:p w14:paraId="34ED2F8A" w14:textId="331F6B9B" w:rsidR="00A63F45" w:rsidRPr="00A63F45" w:rsidRDefault="00A63F45" w:rsidP="00A63F45">
            <w:pPr>
              <w:spacing w:after="360"/>
            </w:pPr>
            <w:r w:rsidRPr="00A63F45">
              <w:rPr>
                <w:i/>
                <w:iCs/>
              </w:rPr>
              <w:t>$</w:t>
            </w:r>
          </w:p>
        </w:tc>
        <w:tc>
          <w:tcPr>
            <w:tcW w:w="1564" w:type="dxa"/>
          </w:tcPr>
          <w:p w14:paraId="0A459342" w14:textId="207AABE6" w:rsidR="00A63F45" w:rsidRPr="00A63F45" w:rsidRDefault="00A63F45" w:rsidP="00A63F45">
            <w:pPr>
              <w:spacing w:after="360"/>
            </w:pPr>
            <w:r w:rsidRPr="00A63F45">
              <w:t>$</w:t>
            </w:r>
            <w:r w:rsidR="00A77B63">
              <w:t>96,471,153</w:t>
            </w:r>
          </w:p>
        </w:tc>
        <w:tc>
          <w:tcPr>
            <w:tcW w:w="1662" w:type="dxa"/>
          </w:tcPr>
          <w:p w14:paraId="2A2F0173" w14:textId="3FB3826B" w:rsidR="00A63F45" w:rsidRPr="00A63F45" w:rsidRDefault="00A63F45" w:rsidP="00A63F45">
            <w:pPr>
              <w:spacing w:after="360"/>
            </w:pPr>
            <w:r w:rsidRPr="00A63F45">
              <w:t>$</w:t>
            </w:r>
            <w:r w:rsidR="00A77B63">
              <w:t>96,668,026</w:t>
            </w:r>
          </w:p>
        </w:tc>
        <w:tc>
          <w:tcPr>
            <w:tcW w:w="1676" w:type="dxa"/>
          </w:tcPr>
          <w:p w14:paraId="685774A3" w14:textId="6DA12F1B" w:rsidR="00A63F45" w:rsidRPr="00A63F45" w:rsidRDefault="00A63F45" w:rsidP="00A63F45">
            <w:pPr>
              <w:spacing w:after="360"/>
            </w:pPr>
            <w:r w:rsidRPr="00A63F45">
              <w:t>$</w:t>
            </w:r>
            <w:r w:rsidR="00794FC1">
              <w:t>131,405,649</w:t>
            </w:r>
          </w:p>
        </w:tc>
      </w:tr>
    </w:tbl>
    <w:p w14:paraId="46A50FBF" w14:textId="30C3E660" w:rsidR="00795996" w:rsidRDefault="00521E20" w:rsidP="00B86827">
      <w:pPr>
        <w:pStyle w:val="Heading1"/>
        <w:spacing w:before="360" w:line="266" w:lineRule="auto"/>
        <w:ind w:left="425" w:hanging="425"/>
      </w:pPr>
      <w:bookmarkStart w:id="16" w:name="_Toc241576517"/>
      <w:r>
        <w:t>Human rights</w:t>
      </w:r>
      <w:bookmarkEnd w:id="16"/>
      <w:r>
        <w:t xml:space="preserve"> </w:t>
      </w:r>
    </w:p>
    <w:p w14:paraId="4559F451" w14:textId="75A1DB47" w:rsidR="00795996" w:rsidRDefault="00521E20" w:rsidP="00B86827">
      <w:pPr>
        <w:spacing w:after="240" w:line="271" w:lineRule="auto"/>
        <w:ind w:left="5" w:hanging="11"/>
      </w:pPr>
      <w:r>
        <w:t xml:space="preserve">The determinations do not engage any human right set out in the </w:t>
      </w:r>
      <w:r>
        <w:rPr>
          <w:i/>
        </w:rPr>
        <w:t>Human Rights Act 2004</w:t>
      </w:r>
      <w:r>
        <w:t xml:space="preserve">. </w:t>
      </w:r>
    </w:p>
    <w:p w14:paraId="13D0849C" w14:textId="14690FDE" w:rsidR="00795996" w:rsidRDefault="00521E20" w:rsidP="00395FC5">
      <w:pPr>
        <w:pStyle w:val="Heading1"/>
        <w:spacing w:line="266" w:lineRule="auto"/>
        <w:ind w:left="425" w:hanging="425"/>
      </w:pPr>
      <w:bookmarkStart w:id="17" w:name="_Toc241576518"/>
      <w:r>
        <w:lastRenderedPageBreak/>
        <w:t xml:space="preserve">Assessment of the consistency of the proposed law with </w:t>
      </w:r>
      <w:r w:rsidR="006E60CC">
        <w:t>the Standing Committee on Legal Affairs (Legislative Scrutiny Role)</w:t>
      </w:r>
      <w:bookmarkEnd w:id="17"/>
      <w:r>
        <w:t xml:space="preserve"> </w:t>
      </w:r>
    </w:p>
    <w:p w14:paraId="417BFEA2" w14:textId="7A604140" w:rsidR="00795996" w:rsidRDefault="00521E20" w:rsidP="00B86827">
      <w:pPr>
        <w:spacing w:after="206" w:line="271" w:lineRule="auto"/>
        <w:ind w:left="5" w:hanging="11"/>
      </w:pPr>
      <w:r>
        <w:t xml:space="preserve">The Standing Committee on Justice and Community Safety (Legislative Scrutiny Role) must consider whether any instrument of a legislative nature made under an Act which is subject to disallowance and/or disapproval by the Assembly: </w:t>
      </w:r>
    </w:p>
    <w:p w14:paraId="37D36EC9" w14:textId="68C100FA" w:rsidR="00B06642" w:rsidRPr="001B42CE" w:rsidRDefault="00521E20" w:rsidP="001B42CE">
      <w:pPr>
        <w:pStyle w:val="ListParagraph"/>
        <w:numPr>
          <w:ilvl w:val="0"/>
          <w:numId w:val="11"/>
        </w:numPr>
        <w:ind w:left="1134" w:right="895" w:hanging="708"/>
        <w:rPr>
          <w:rFonts w:ascii="Arial" w:eastAsia="Arial" w:hAnsi="Arial" w:cs="Arial"/>
          <w:i/>
          <w:iCs/>
        </w:rPr>
      </w:pPr>
      <w:r w:rsidRPr="001B42CE">
        <w:rPr>
          <w:i/>
          <w:iCs/>
        </w:rPr>
        <w:t xml:space="preserve">is in accord with the general objects of the Act under which it is made, </w:t>
      </w:r>
    </w:p>
    <w:p w14:paraId="718DE66D" w14:textId="35AFFD33" w:rsidR="00B06642" w:rsidRPr="001B42CE" w:rsidRDefault="00521E20" w:rsidP="001B42CE">
      <w:pPr>
        <w:pStyle w:val="ListParagraph"/>
        <w:numPr>
          <w:ilvl w:val="0"/>
          <w:numId w:val="11"/>
        </w:numPr>
        <w:ind w:left="1134" w:right="895" w:hanging="708"/>
        <w:rPr>
          <w:i/>
          <w:iCs/>
        </w:rPr>
      </w:pPr>
      <w:r w:rsidRPr="001B42CE">
        <w:rPr>
          <w:i/>
          <w:iCs/>
        </w:rPr>
        <w:t xml:space="preserve">unduly trespasses on rights previously established by law,  </w:t>
      </w:r>
    </w:p>
    <w:p w14:paraId="4CE45BE7" w14:textId="51D02E7F" w:rsidR="00795996" w:rsidRPr="001B42CE" w:rsidRDefault="00521E20" w:rsidP="001B42CE">
      <w:pPr>
        <w:pStyle w:val="ListParagraph"/>
        <w:numPr>
          <w:ilvl w:val="0"/>
          <w:numId w:val="11"/>
        </w:numPr>
        <w:ind w:left="1134" w:right="895" w:hanging="708"/>
        <w:rPr>
          <w:i/>
          <w:iCs/>
        </w:rPr>
      </w:pPr>
      <w:r w:rsidRPr="001B42CE">
        <w:rPr>
          <w:i/>
          <w:iCs/>
        </w:rPr>
        <w:t xml:space="preserve">makes rights, liberties and/or obligations unduly dependent upon non reviewable decisions, or </w:t>
      </w:r>
    </w:p>
    <w:p w14:paraId="6FA67898" w14:textId="659B28F8" w:rsidR="00795996" w:rsidRPr="001B42CE" w:rsidRDefault="00521E20" w:rsidP="001B42CE">
      <w:pPr>
        <w:pStyle w:val="ListParagraph"/>
        <w:numPr>
          <w:ilvl w:val="0"/>
          <w:numId w:val="11"/>
        </w:numPr>
        <w:spacing w:after="247"/>
        <w:ind w:left="1134" w:hanging="708"/>
        <w:rPr>
          <w:i/>
          <w:iCs/>
        </w:rPr>
      </w:pPr>
      <w:r w:rsidRPr="001B42CE">
        <w:rPr>
          <w:i/>
          <w:iCs/>
        </w:rPr>
        <w:t xml:space="preserve">contains matters which in the opinion of the Committee should properly be dealt with in an Act of the Legislative Assembly. </w:t>
      </w:r>
    </w:p>
    <w:p w14:paraId="606D4A97" w14:textId="0B064E03" w:rsidR="00795996" w:rsidRDefault="00521E20" w:rsidP="00C25C34">
      <w:pPr>
        <w:keepNext/>
        <w:keepLines/>
        <w:spacing w:after="206" w:line="271" w:lineRule="auto"/>
        <w:ind w:left="5" w:hanging="11"/>
      </w:pPr>
      <w:r>
        <w:t xml:space="preserve">The position in relation to each term of reference is as follows. </w:t>
      </w:r>
    </w:p>
    <w:p w14:paraId="2662235D" w14:textId="65AEC5FB" w:rsidR="00653AEE" w:rsidRPr="00653AEE" w:rsidRDefault="00521E20" w:rsidP="004F0D7E">
      <w:pPr>
        <w:keepNext/>
        <w:keepLines/>
        <w:numPr>
          <w:ilvl w:val="0"/>
          <w:numId w:val="12"/>
        </w:numPr>
        <w:tabs>
          <w:tab w:val="left" w:pos="1134"/>
        </w:tabs>
      </w:pPr>
      <w:r>
        <w:rPr>
          <w:i/>
        </w:rPr>
        <w:t>is in accord with the general objects of the Act under which it is made</w:t>
      </w:r>
    </w:p>
    <w:p w14:paraId="5BD367EF" w14:textId="476B8C45" w:rsidR="00795996" w:rsidRDefault="001B42CE" w:rsidP="001B42CE">
      <w:pPr>
        <w:tabs>
          <w:tab w:val="left" w:pos="1134"/>
        </w:tabs>
        <w:ind w:left="1134" w:hanging="708"/>
      </w:pPr>
      <w:r>
        <w:tab/>
      </w:r>
      <w:r w:rsidR="00521E20">
        <w:t xml:space="preserve">As noted above, the </w:t>
      </w:r>
      <w:r w:rsidR="00441DF2">
        <w:t xml:space="preserve">determinations </w:t>
      </w:r>
      <w:r w:rsidR="00521E20">
        <w:t xml:space="preserve">are in accordance with the general objects of the Act.  </w:t>
      </w:r>
    </w:p>
    <w:p w14:paraId="584716F0" w14:textId="106C6C20" w:rsidR="00795996" w:rsidRDefault="00521E20" w:rsidP="004F0D7E">
      <w:pPr>
        <w:numPr>
          <w:ilvl w:val="0"/>
          <w:numId w:val="12"/>
        </w:numPr>
        <w:tabs>
          <w:tab w:val="left" w:pos="1134"/>
        </w:tabs>
        <w:spacing w:after="11" w:line="267" w:lineRule="auto"/>
        <w:ind w:left="1134" w:hanging="708"/>
      </w:pPr>
      <w:r>
        <w:rPr>
          <w:i/>
        </w:rPr>
        <w:t xml:space="preserve">unduly trespasses on rights previously established by law </w:t>
      </w:r>
    </w:p>
    <w:p w14:paraId="3A47CA3B" w14:textId="38875DC3" w:rsidR="00795996" w:rsidRDefault="001B42CE" w:rsidP="001B42CE">
      <w:pPr>
        <w:tabs>
          <w:tab w:val="left" w:pos="1134"/>
        </w:tabs>
        <w:ind w:left="1134" w:hanging="708"/>
      </w:pPr>
      <w:r>
        <w:tab/>
      </w:r>
      <w:r w:rsidR="00521E20">
        <w:t xml:space="preserve">The </w:t>
      </w:r>
      <w:r w:rsidR="00441DF2">
        <w:t xml:space="preserve">determinations </w:t>
      </w:r>
      <w:r w:rsidR="00521E20">
        <w:t xml:space="preserve">do not unduly trespass on rights previously established under law. </w:t>
      </w:r>
    </w:p>
    <w:p w14:paraId="6F26197D" w14:textId="7D725392" w:rsidR="00795996" w:rsidRDefault="00521E20" w:rsidP="004F0D7E">
      <w:pPr>
        <w:numPr>
          <w:ilvl w:val="0"/>
          <w:numId w:val="12"/>
        </w:numPr>
        <w:tabs>
          <w:tab w:val="left" w:pos="1134"/>
        </w:tabs>
        <w:spacing w:after="11" w:line="267" w:lineRule="auto"/>
        <w:ind w:left="1134" w:hanging="708"/>
      </w:pPr>
      <w:r>
        <w:rPr>
          <w:i/>
        </w:rPr>
        <w:t xml:space="preserve">makes rights, liberties and/or obligations unduly dependent upon non reviewable decisions </w:t>
      </w:r>
    </w:p>
    <w:p w14:paraId="23ACCB5F" w14:textId="015312A9" w:rsidR="00795996" w:rsidRDefault="001B42CE" w:rsidP="001B42CE">
      <w:pPr>
        <w:tabs>
          <w:tab w:val="left" w:pos="1134"/>
        </w:tabs>
        <w:ind w:left="1134" w:hanging="708"/>
      </w:pPr>
      <w:r>
        <w:tab/>
      </w:r>
      <w:r w:rsidR="00521E20">
        <w:t xml:space="preserve">The </w:t>
      </w:r>
      <w:r w:rsidR="00441DF2">
        <w:t xml:space="preserve">determinations </w:t>
      </w:r>
      <w:r w:rsidR="00521E20">
        <w:t>do not make rights, liberties and/or obligations unduly dependent upon non</w:t>
      </w:r>
      <w:r w:rsidR="00E97CE6">
        <w:t xml:space="preserve"> </w:t>
      </w:r>
      <w:r w:rsidR="00521E20">
        <w:t xml:space="preserve">reviewable decisions. </w:t>
      </w:r>
    </w:p>
    <w:p w14:paraId="3702B1D6" w14:textId="20F710CE" w:rsidR="00795996" w:rsidRDefault="00521E20" w:rsidP="004F0D7E">
      <w:pPr>
        <w:numPr>
          <w:ilvl w:val="0"/>
          <w:numId w:val="12"/>
        </w:numPr>
        <w:tabs>
          <w:tab w:val="left" w:pos="1134"/>
        </w:tabs>
        <w:spacing w:after="11" w:line="267" w:lineRule="auto"/>
        <w:ind w:left="1134" w:hanging="708"/>
      </w:pPr>
      <w:r>
        <w:rPr>
          <w:i/>
        </w:rPr>
        <w:t xml:space="preserve">contains matter which in the opinion of the Committee should properly be dealt with in an Act of the Legislative Assembly </w:t>
      </w:r>
    </w:p>
    <w:p w14:paraId="7D6D2CAA" w14:textId="3D986721" w:rsidR="00795996" w:rsidRDefault="00CF0611" w:rsidP="004F0D7E">
      <w:pPr>
        <w:tabs>
          <w:tab w:val="left" w:pos="1134"/>
        </w:tabs>
        <w:ind w:left="1134" w:hanging="708"/>
      </w:pPr>
      <w:r>
        <w:tab/>
      </w:r>
      <w:r w:rsidR="00521E20">
        <w:t xml:space="preserve">The subject matter </w:t>
      </w:r>
      <w:r w:rsidR="00441DF2">
        <w:t xml:space="preserve">of the determinations </w:t>
      </w:r>
      <w:r w:rsidR="00521E20">
        <w:t xml:space="preserve">is appropriate for disallowable instruments. </w:t>
      </w:r>
      <w:r>
        <w:br/>
      </w:r>
    </w:p>
    <w:p w14:paraId="6057725D" w14:textId="77777777" w:rsidR="00795996" w:rsidRDefault="00521E20" w:rsidP="00C25C34">
      <w:pPr>
        <w:pStyle w:val="Heading1"/>
        <w:ind w:left="426" w:hanging="426"/>
      </w:pPr>
      <w:bookmarkStart w:id="18" w:name="_Toc241576519"/>
      <w:r>
        <w:t>Conclusion</w:t>
      </w:r>
      <w:bookmarkEnd w:id="18"/>
      <w:r>
        <w:t xml:space="preserve"> </w:t>
      </w:r>
    </w:p>
    <w:p w14:paraId="2FEFCE24" w14:textId="273F854A" w:rsidR="00795996" w:rsidRDefault="00521E20" w:rsidP="00E935FE">
      <w:pPr>
        <w:spacing w:after="120" w:line="259" w:lineRule="auto"/>
        <w:ind w:left="0" w:firstLine="0"/>
      </w:pPr>
      <w:r>
        <w:t xml:space="preserve">This </w:t>
      </w:r>
      <w:r w:rsidR="00441DF2">
        <w:t xml:space="preserve">RIS </w:t>
      </w:r>
      <w:r>
        <w:t xml:space="preserve">was prepared in accordance with Part 5.2 of the </w:t>
      </w:r>
      <w:r>
        <w:rPr>
          <w:i/>
        </w:rPr>
        <w:t>Legislation Act 2001</w:t>
      </w:r>
      <w:r>
        <w:t xml:space="preserve">, to consider the following Scheme parameters for the EEIS for the </w:t>
      </w:r>
      <w:r w:rsidR="008510CC">
        <w:t>202</w:t>
      </w:r>
      <w:r w:rsidR="00C3341B">
        <w:t>7</w:t>
      </w:r>
      <w:r w:rsidR="008510CC">
        <w:t xml:space="preserve"> </w:t>
      </w:r>
      <w:r>
        <w:t xml:space="preserve">compliance period: </w:t>
      </w:r>
    </w:p>
    <w:p w14:paraId="1DC41991" w14:textId="77777777" w:rsidR="00795996" w:rsidRDefault="00521E20" w:rsidP="00C25C34">
      <w:pPr>
        <w:numPr>
          <w:ilvl w:val="0"/>
          <w:numId w:val="4"/>
        </w:numPr>
        <w:ind w:hanging="360"/>
      </w:pPr>
      <w:r>
        <w:t xml:space="preserve">Energy Savings Target at 14.6%  </w:t>
      </w:r>
    </w:p>
    <w:p w14:paraId="07158507" w14:textId="77777777" w:rsidR="00795996" w:rsidRDefault="00521E20">
      <w:pPr>
        <w:numPr>
          <w:ilvl w:val="0"/>
          <w:numId w:val="6"/>
        </w:numPr>
        <w:ind w:hanging="360"/>
      </w:pPr>
      <w:r>
        <w:t xml:space="preserve">Energy Savings Contribution at $27.43/MWh, and </w:t>
      </w:r>
    </w:p>
    <w:p w14:paraId="5F9D1D9B" w14:textId="77777777" w:rsidR="00795996" w:rsidRDefault="00521E20" w:rsidP="00C25C34">
      <w:pPr>
        <w:numPr>
          <w:ilvl w:val="0"/>
          <w:numId w:val="6"/>
        </w:numPr>
        <w:spacing w:after="206" w:line="271" w:lineRule="auto"/>
        <w:ind w:left="714" w:hanging="357"/>
      </w:pPr>
      <w:r>
        <w:t xml:space="preserve">Shortfall Penalty at $71.32/MWh. </w:t>
      </w:r>
    </w:p>
    <w:p w14:paraId="56BE1AC3" w14:textId="0F2ADB24" w:rsidR="00795996" w:rsidRDefault="00521E20" w:rsidP="00C25C34">
      <w:pPr>
        <w:spacing w:after="22" w:line="259" w:lineRule="auto"/>
        <w:ind w:left="0" w:firstLine="0"/>
      </w:pPr>
      <w:r>
        <w:t xml:space="preserve">These parameters are consistent with the objectives of the </w:t>
      </w:r>
      <w:r w:rsidRPr="00821A28">
        <w:rPr>
          <w:iCs/>
        </w:rPr>
        <w:t>Act</w:t>
      </w:r>
      <w:r>
        <w:t xml:space="preserve"> and translate into an appropriate level of Scheme ambition</w:t>
      </w:r>
      <w:r w:rsidR="00A63F45">
        <w:t>.</w:t>
      </w:r>
    </w:p>
    <w:sectPr w:rsidR="00795996">
      <w:headerReference w:type="even" r:id="rId9"/>
      <w:headerReference w:type="default" r:id="rId10"/>
      <w:footerReference w:type="even" r:id="rId11"/>
      <w:footerReference w:type="default" r:id="rId12"/>
      <w:headerReference w:type="first" r:id="rId13"/>
      <w:footerReference w:type="first" r:id="rId14"/>
      <w:pgSz w:w="11906" w:h="16838"/>
      <w:pgMar w:top="1440" w:right="1448" w:bottom="1439"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CFF4A5" w14:textId="77777777" w:rsidR="00FC2358" w:rsidRDefault="00FC2358">
      <w:pPr>
        <w:spacing w:after="0" w:line="240" w:lineRule="auto"/>
      </w:pPr>
      <w:r>
        <w:separator/>
      </w:r>
    </w:p>
  </w:endnote>
  <w:endnote w:type="continuationSeparator" w:id="0">
    <w:p w14:paraId="5963D5F0" w14:textId="77777777" w:rsidR="00FC2358" w:rsidRDefault="00FC23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37C36" w14:textId="77777777" w:rsidR="002260DE" w:rsidRDefault="002260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FD58B" w14:textId="3AC4B8A6" w:rsidR="00955C70" w:rsidRPr="002260DE" w:rsidRDefault="002260DE" w:rsidP="002260DE">
    <w:pPr>
      <w:pStyle w:val="Footer"/>
      <w:jc w:val="center"/>
      <w:rPr>
        <w:rFonts w:ascii="Arial" w:hAnsi="Arial" w:cs="Arial"/>
        <w:sz w:val="14"/>
      </w:rPr>
    </w:pPr>
    <w:r w:rsidRPr="002260DE">
      <w:rPr>
        <w:rFonts w:ascii="Arial" w:hAnsi="Arial"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6EF3D" w14:textId="77777777" w:rsidR="002260DE" w:rsidRDefault="002260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E711B8" w14:textId="77777777" w:rsidR="00FC2358" w:rsidRDefault="00FC2358">
      <w:pPr>
        <w:spacing w:after="0" w:line="263" w:lineRule="auto"/>
        <w:ind w:left="0" w:firstLine="0"/>
      </w:pPr>
      <w:r>
        <w:separator/>
      </w:r>
    </w:p>
  </w:footnote>
  <w:footnote w:type="continuationSeparator" w:id="0">
    <w:p w14:paraId="6EE31FBA" w14:textId="77777777" w:rsidR="00FC2358" w:rsidRDefault="00FC2358">
      <w:pPr>
        <w:spacing w:after="0" w:line="263" w:lineRule="auto"/>
        <w:ind w:left="0" w:firstLine="0"/>
      </w:pPr>
      <w:r>
        <w:continuationSeparator/>
      </w:r>
    </w:p>
  </w:footnote>
  <w:footnote w:id="1">
    <w:p w14:paraId="6DC6D8B1" w14:textId="68D465A9" w:rsidR="00795996" w:rsidRPr="00005765" w:rsidRDefault="00521E20">
      <w:pPr>
        <w:pStyle w:val="footnotedescription"/>
        <w:spacing w:line="263" w:lineRule="auto"/>
        <w:rPr>
          <w:u w:val="none"/>
        </w:rPr>
      </w:pPr>
      <w:r w:rsidRPr="00005765">
        <w:rPr>
          <w:rStyle w:val="footnotemark"/>
          <w:u w:val="none"/>
        </w:rPr>
        <w:footnoteRef/>
      </w:r>
      <w:r w:rsidRPr="00005765">
        <w:rPr>
          <w:color w:val="000000"/>
          <w:u w:val="none"/>
        </w:rPr>
        <w:t xml:space="preserve"> Note that Object (d) is addressed through a separate disallowable instrument </w:t>
      </w:r>
      <w:r w:rsidRPr="00005765">
        <w:rPr>
          <w:i/>
          <w:color w:val="000000"/>
          <w:u w:val="none"/>
        </w:rPr>
        <w:t>Energy Efficiency (Cost of Living) Improvement (Priority Household Target) Determination 202</w:t>
      </w:r>
      <w:r w:rsidR="00DE005B" w:rsidRPr="00005765">
        <w:rPr>
          <w:i/>
          <w:color w:val="000000"/>
          <w:u w:val="none"/>
        </w:rPr>
        <w:t>5</w:t>
      </w:r>
      <w:r w:rsidRPr="00005765">
        <w:rPr>
          <w:color w:val="000000"/>
          <w:u w:val="none"/>
        </w:rPr>
        <w:t xml:space="preserve">. </w:t>
      </w:r>
    </w:p>
  </w:footnote>
  <w:footnote w:id="2">
    <w:p w14:paraId="2FBD5ADD" w14:textId="5748AF46" w:rsidR="001428A0" w:rsidRDefault="001428A0">
      <w:pPr>
        <w:pStyle w:val="FootnoteText"/>
      </w:pPr>
      <w:r>
        <w:rPr>
          <w:rStyle w:val="FootnoteReference"/>
        </w:rPr>
        <w:footnoteRef/>
      </w:r>
      <w:r>
        <w:t xml:space="preserve"> Available at </w:t>
      </w:r>
      <w:hyperlink r:id="rId1" w:history="1">
        <w:r w:rsidR="000A380C" w:rsidRPr="000A380C">
          <w:rPr>
            <w:rStyle w:val="Hyperlink"/>
          </w:rPr>
          <w:t>ACT Climate Change Strategy 2026-36</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D6432" w14:textId="77777777" w:rsidR="002260DE" w:rsidRDefault="002260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42347" w14:textId="77777777" w:rsidR="002260DE" w:rsidRDefault="002260D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44971" w14:textId="77777777" w:rsidR="002260DE" w:rsidRDefault="002260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87126"/>
    <w:multiLevelType w:val="multilevel"/>
    <w:tmpl w:val="4050B016"/>
    <w:lvl w:ilvl="0">
      <w:start w:val="1"/>
      <w:numFmt w:val="decimal"/>
      <w:pStyle w:val="Heading1"/>
      <w:lvlText w:val="%1."/>
      <w:lvlJc w:val="left"/>
      <w:pPr>
        <w:ind w:left="11"/>
      </w:pPr>
      <w:rPr>
        <w:rFonts w:ascii="Calibri" w:eastAsia="Calibri" w:hAnsi="Calibri" w:cs="Calibri"/>
        <w:b w:val="0"/>
        <w:i w:val="0"/>
        <w:strike w:val="0"/>
        <w:dstrike w:val="0"/>
        <w:color w:val="2F5496"/>
        <w:sz w:val="28"/>
        <w:szCs w:val="28"/>
        <w:u w:val="none" w:color="000000"/>
        <w:bdr w:val="none" w:sz="0" w:space="0" w:color="auto"/>
        <w:shd w:val="clear" w:color="auto" w:fill="auto"/>
        <w:vertAlign w:val="baseline"/>
      </w:rPr>
    </w:lvl>
    <w:lvl w:ilvl="1">
      <w:start w:val="1"/>
      <w:numFmt w:val="decimal"/>
      <w:pStyle w:val="Heading2"/>
      <w:lvlText w:val="%1.%2"/>
      <w:lvlJc w:val="left"/>
      <w:pPr>
        <w:ind w:left="11"/>
      </w:pPr>
      <w:rPr>
        <w:rFonts w:ascii="Calibri" w:eastAsia="Calibri" w:hAnsi="Calibri" w:cs="Calibri"/>
        <w:b w:val="0"/>
        <w:i w:val="0"/>
        <w:strike w:val="0"/>
        <w:dstrike w:val="0"/>
        <w:color w:val="2F5496"/>
        <w:sz w:val="26"/>
        <w:szCs w:val="26"/>
        <w:u w:val="none" w:color="000000"/>
        <w:bdr w:val="none" w:sz="0" w:space="0" w:color="auto"/>
        <w:shd w:val="clear" w:color="auto" w:fill="auto"/>
        <w:vertAlign w:val="baseline"/>
      </w:rPr>
    </w:lvl>
    <w:lvl w:ilvl="2">
      <w:start w:val="1"/>
      <w:numFmt w:val="lowerRoman"/>
      <w:lvlText w:val="%3"/>
      <w:lvlJc w:val="left"/>
      <w:pPr>
        <w:ind w:left="1811"/>
      </w:pPr>
      <w:rPr>
        <w:rFonts w:ascii="Calibri" w:eastAsia="Calibri" w:hAnsi="Calibri" w:cs="Calibri"/>
        <w:b w:val="0"/>
        <w:i w:val="0"/>
        <w:strike w:val="0"/>
        <w:dstrike w:val="0"/>
        <w:color w:val="2F5496"/>
        <w:sz w:val="26"/>
        <w:szCs w:val="26"/>
        <w:u w:val="none" w:color="000000"/>
        <w:bdr w:val="none" w:sz="0" w:space="0" w:color="auto"/>
        <w:shd w:val="clear" w:color="auto" w:fill="auto"/>
        <w:vertAlign w:val="baseline"/>
      </w:rPr>
    </w:lvl>
    <w:lvl w:ilvl="3">
      <w:start w:val="1"/>
      <w:numFmt w:val="decimal"/>
      <w:lvlText w:val="%4"/>
      <w:lvlJc w:val="left"/>
      <w:pPr>
        <w:ind w:left="2531"/>
      </w:pPr>
      <w:rPr>
        <w:rFonts w:ascii="Calibri" w:eastAsia="Calibri" w:hAnsi="Calibri" w:cs="Calibri"/>
        <w:b w:val="0"/>
        <w:i w:val="0"/>
        <w:strike w:val="0"/>
        <w:dstrike w:val="0"/>
        <w:color w:val="2F5496"/>
        <w:sz w:val="26"/>
        <w:szCs w:val="26"/>
        <w:u w:val="none" w:color="000000"/>
        <w:bdr w:val="none" w:sz="0" w:space="0" w:color="auto"/>
        <w:shd w:val="clear" w:color="auto" w:fill="auto"/>
        <w:vertAlign w:val="baseline"/>
      </w:rPr>
    </w:lvl>
    <w:lvl w:ilvl="4">
      <w:start w:val="1"/>
      <w:numFmt w:val="lowerLetter"/>
      <w:lvlText w:val="%5"/>
      <w:lvlJc w:val="left"/>
      <w:pPr>
        <w:ind w:left="3251"/>
      </w:pPr>
      <w:rPr>
        <w:rFonts w:ascii="Calibri" w:eastAsia="Calibri" w:hAnsi="Calibri" w:cs="Calibri"/>
        <w:b w:val="0"/>
        <w:i w:val="0"/>
        <w:strike w:val="0"/>
        <w:dstrike w:val="0"/>
        <w:color w:val="2F5496"/>
        <w:sz w:val="26"/>
        <w:szCs w:val="26"/>
        <w:u w:val="none" w:color="000000"/>
        <w:bdr w:val="none" w:sz="0" w:space="0" w:color="auto"/>
        <w:shd w:val="clear" w:color="auto" w:fill="auto"/>
        <w:vertAlign w:val="baseline"/>
      </w:rPr>
    </w:lvl>
    <w:lvl w:ilvl="5">
      <w:start w:val="1"/>
      <w:numFmt w:val="lowerRoman"/>
      <w:lvlText w:val="%6"/>
      <w:lvlJc w:val="left"/>
      <w:pPr>
        <w:ind w:left="3971"/>
      </w:pPr>
      <w:rPr>
        <w:rFonts w:ascii="Calibri" w:eastAsia="Calibri" w:hAnsi="Calibri" w:cs="Calibri"/>
        <w:b w:val="0"/>
        <w:i w:val="0"/>
        <w:strike w:val="0"/>
        <w:dstrike w:val="0"/>
        <w:color w:val="2F5496"/>
        <w:sz w:val="26"/>
        <w:szCs w:val="26"/>
        <w:u w:val="none" w:color="000000"/>
        <w:bdr w:val="none" w:sz="0" w:space="0" w:color="auto"/>
        <w:shd w:val="clear" w:color="auto" w:fill="auto"/>
        <w:vertAlign w:val="baseline"/>
      </w:rPr>
    </w:lvl>
    <w:lvl w:ilvl="6">
      <w:start w:val="1"/>
      <w:numFmt w:val="decimal"/>
      <w:lvlText w:val="%7"/>
      <w:lvlJc w:val="left"/>
      <w:pPr>
        <w:ind w:left="4691"/>
      </w:pPr>
      <w:rPr>
        <w:rFonts w:ascii="Calibri" w:eastAsia="Calibri" w:hAnsi="Calibri" w:cs="Calibri"/>
        <w:b w:val="0"/>
        <w:i w:val="0"/>
        <w:strike w:val="0"/>
        <w:dstrike w:val="0"/>
        <w:color w:val="2F5496"/>
        <w:sz w:val="26"/>
        <w:szCs w:val="26"/>
        <w:u w:val="none" w:color="000000"/>
        <w:bdr w:val="none" w:sz="0" w:space="0" w:color="auto"/>
        <w:shd w:val="clear" w:color="auto" w:fill="auto"/>
        <w:vertAlign w:val="baseline"/>
      </w:rPr>
    </w:lvl>
    <w:lvl w:ilvl="7">
      <w:start w:val="1"/>
      <w:numFmt w:val="lowerLetter"/>
      <w:lvlText w:val="%8"/>
      <w:lvlJc w:val="left"/>
      <w:pPr>
        <w:ind w:left="5411"/>
      </w:pPr>
      <w:rPr>
        <w:rFonts w:ascii="Calibri" w:eastAsia="Calibri" w:hAnsi="Calibri" w:cs="Calibri"/>
        <w:b w:val="0"/>
        <w:i w:val="0"/>
        <w:strike w:val="0"/>
        <w:dstrike w:val="0"/>
        <w:color w:val="2F5496"/>
        <w:sz w:val="26"/>
        <w:szCs w:val="26"/>
        <w:u w:val="none" w:color="000000"/>
        <w:bdr w:val="none" w:sz="0" w:space="0" w:color="auto"/>
        <w:shd w:val="clear" w:color="auto" w:fill="auto"/>
        <w:vertAlign w:val="baseline"/>
      </w:rPr>
    </w:lvl>
    <w:lvl w:ilvl="8">
      <w:start w:val="1"/>
      <w:numFmt w:val="lowerRoman"/>
      <w:lvlText w:val="%9"/>
      <w:lvlJc w:val="left"/>
      <w:pPr>
        <w:ind w:left="6131"/>
      </w:pPr>
      <w:rPr>
        <w:rFonts w:ascii="Calibri" w:eastAsia="Calibri" w:hAnsi="Calibri" w:cs="Calibri"/>
        <w:b w:val="0"/>
        <w:i w:val="0"/>
        <w:strike w:val="0"/>
        <w:dstrike w:val="0"/>
        <w:color w:val="2F5496"/>
        <w:sz w:val="26"/>
        <w:szCs w:val="26"/>
        <w:u w:val="none" w:color="000000"/>
        <w:bdr w:val="none" w:sz="0" w:space="0" w:color="auto"/>
        <w:shd w:val="clear" w:color="auto" w:fill="auto"/>
        <w:vertAlign w:val="baseline"/>
      </w:rPr>
    </w:lvl>
  </w:abstractNum>
  <w:abstractNum w:abstractNumId="1" w15:restartNumberingAfterBreak="0">
    <w:nsid w:val="15F3470A"/>
    <w:multiLevelType w:val="hybridMultilevel"/>
    <w:tmpl w:val="DFF0A8DE"/>
    <w:lvl w:ilvl="0" w:tplc="DAD6BD14">
      <w:start w:val="1"/>
      <w:numFmt w:val="lowerRoman"/>
      <w:lvlText w:val="(%1)"/>
      <w:lvlJc w:val="left"/>
      <w:pPr>
        <w:ind w:left="720" w:hanging="360"/>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1E0D0555"/>
    <w:multiLevelType w:val="hybridMultilevel"/>
    <w:tmpl w:val="5BF08242"/>
    <w:lvl w:ilvl="0" w:tplc="C784C5DC">
      <w:start w:val="1"/>
      <w:numFmt w:val="lowerLetter"/>
      <w:lvlText w:val="(%1)"/>
      <w:lvlJc w:val="left"/>
      <w:pPr>
        <w:ind w:left="69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ECCFF62">
      <w:start w:val="1"/>
      <w:numFmt w:val="lowerLetter"/>
      <w:lvlText w:val="%2"/>
      <w:lvlJc w:val="left"/>
      <w:pPr>
        <w:ind w:left="10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D36D100">
      <w:start w:val="1"/>
      <w:numFmt w:val="lowerRoman"/>
      <w:lvlText w:val="%3"/>
      <w:lvlJc w:val="left"/>
      <w:pPr>
        <w:ind w:left="18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96EA7CC">
      <w:start w:val="1"/>
      <w:numFmt w:val="decimal"/>
      <w:lvlText w:val="%4"/>
      <w:lvlJc w:val="left"/>
      <w:pPr>
        <w:ind w:left="25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DA4E7AC">
      <w:start w:val="1"/>
      <w:numFmt w:val="lowerLetter"/>
      <w:lvlText w:val="%5"/>
      <w:lvlJc w:val="left"/>
      <w:pPr>
        <w:ind w:left="32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E86D338">
      <w:start w:val="1"/>
      <w:numFmt w:val="lowerRoman"/>
      <w:lvlText w:val="%6"/>
      <w:lvlJc w:val="left"/>
      <w:pPr>
        <w:ind w:left="39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59A68F2">
      <w:start w:val="1"/>
      <w:numFmt w:val="decimal"/>
      <w:lvlText w:val="%7"/>
      <w:lvlJc w:val="left"/>
      <w:pPr>
        <w:ind w:left="46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3FEB0DA">
      <w:start w:val="1"/>
      <w:numFmt w:val="lowerLetter"/>
      <w:lvlText w:val="%8"/>
      <w:lvlJc w:val="left"/>
      <w:pPr>
        <w:ind w:left="54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A982EDA">
      <w:start w:val="1"/>
      <w:numFmt w:val="lowerRoman"/>
      <w:lvlText w:val="%9"/>
      <w:lvlJc w:val="left"/>
      <w:pPr>
        <w:ind w:left="61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1EB767D"/>
    <w:multiLevelType w:val="hybridMultilevel"/>
    <w:tmpl w:val="DFF0A8DE"/>
    <w:lvl w:ilvl="0" w:tplc="FFFFFFFF">
      <w:start w:val="1"/>
      <w:numFmt w:val="lowerRoman"/>
      <w:lvlText w:val="(%1)"/>
      <w:lvlJc w:val="left"/>
      <w:pPr>
        <w:ind w:left="720" w:hanging="360"/>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53223FF"/>
    <w:multiLevelType w:val="hybridMultilevel"/>
    <w:tmpl w:val="291A493C"/>
    <w:lvl w:ilvl="0" w:tplc="DAD6BD14">
      <w:start w:val="1"/>
      <w:numFmt w:val="lowerRoman"/>
      <w:lvlText w:val="(%1)"/>
      <w:lvlJc w:val="left"/>
      <w:pPr>
        <w:ind w:left="1277"/>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1" w:tplc="266A3466">
      <w:start w:val="1"/>
      <w:numFmt w:val="lowerLetter"/>
      <w:lvlText w:val="%2"/>
      <w:lvlJc w:val="left"/>
      <w:pPr>
        <w:ind w:left="1637"/>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2" w:tplc="AEA69D46">
      <w:start w:val="1"/>
      <w:numFmt w:val="lowerRoman"/>
      <w:lvlText w:val="%3"/>
      <w:lvlJc w:val="left"/>
      <w:pPr>
        <w:ind w:left="2357"/>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3" w:tplc="2FAC5256">
      <w:start w:val="1"/>
      <w:numFmt w:val="decimal"/>
      <w:lvlText w:val="%4"/>
      <w:lvlJc w:val="left"/>
      <w:pPr>
        <w:ind w:left="3077"/>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4" w:tplc="3AF8C78C">
      <w:start w:val="1"/>
      <w:numFmt w:val="lowerLetter"/>
      <w:lvlText w:val="%5"/>
      <w:lvlJc w:val="left"/>
      <w:pPr>
        <w:ind w:left="3797"/>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5" w:tplc="E99A7706">
      <w:start w:val="1"/>
      <w:numFmt w:val="lowerRoman"/>
      <w:lvlText w:val="%6"/>
      <w:lvlJc w:val="left"/>
      <w:pPr>
        <w:ind w:left="4517"/>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6" w:tplc="B23C5074">
      <w:start w:val="1"/>
      <w:numFmt w:val="decimal"/>
      <w:lvlText w:val="%7"/>
      <w:lvlJc w:val="left"/>
      <w:pPr>
        <w:ind w:left="5237"/>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7" w:tplc="F4D4FEAC">
      <w:start w:val="1"/>
      <w:numFmt w:val="lowerLetter"/>
      <w:lvlText w:val="%8"/>
      <w:lvlJc w:val="left"/>
      <w:pPr>
        <w:ind w:left="5957"/>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8" w:tplc="A4DE654C">
      <w:start w:val="1"/>
      <w:numFmt w:val="lowerRoman"/>
      <w:lvlText w:val="%9"/>
      <w:lvlJc w:val="left"/>
      <w:pPr>
        <w:ind w:left="6677"/>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316D58B3"/>
    <w:multiLevelType w:val="hybridMultilevel"/>
    <w:tmpl w:val="0B3E8D22"/>
    <w:lvl w:ilvl="0" w:tplc="D5D6EA5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34A23D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2F69A1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710C23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72E27E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95E72A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0C640D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9A2787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0C6A81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4F24619A"/>
    <w:multiLevelType w:val="hybridMultilevel"/>
    <w:tmpl w:val="BC966012"/>
    <w:lvl w:ilvl="0" w:tplc="08D8C6C2">
      <w:start w:val="1"/>
      <w:numFmt w:val="lowerRoman"/>
      <w:lvlText w:val="%1."/>
      <w:lvlJc w:val="left"/>
      <w:pPr>
        <w:ind w:left="1437" w:hanging="880"/>
      </w:pPr>
      <w:rPr>
        <w:rFonts w:ascii="Calibri" w:eastAsia="Calibri" w:hAnsi="Calibri" w:cs="Calibri" w:hint="default"/>
      </w:rPr>
    </w:lvl>
    <w:lvl w:ilvl="1" w:tplc="0C090019" w:tentative="1">
      <w:start w:val="1"/>
      <w:numFmt w:val="lowerLetter"/>
      <w:lvlText w:val="%2."/>
      <w:lvlJc w:val="left"/>
      <w:pPr>
        <w:ind w:left="1637" w:hanging="360"/>
      </w:pPr>
    </w:lvl>
    <w:lvl w:ilvl="2" w:tplc="0C09001B" w:tentative="1">
      <w:start w:val="1"/>
      <w:numFmt w:val="lowerRoman"/>
      <w:lvlText w:val="%3."/>
      <w:lvlJc w:val="right"/>
      <w:pPr>
        <w:ind w:left="2357" w:hanging="180"/>
      </w:pPr>
    </w:lvl>
    <w:lvl w:ilvl="3" w:tplc="0C09000F" w:tentative="1">
      <w:start w:val="1"/>
      <w:numFmt w:val="decimal"/>
      <w:lvlText w:val="%4."/>
      <w:lvlJc w:val="left"/>
      <w:pPr>
        <w:ind w:left="3077" w:hanging="360"/>
      </w:pPr>
    </w:lvl>
    <w:lvl w:ilvl="4" w:tplc="0C090019" w:tentative="1">
      <w:start w:val="1"/>
      <w:numFmt w:val="lowerLetter"/>
      <w:lvlText w:val="%5."/>
      <w:lvlJc w:val="left"/>
      <w:pPr>
        <w:ind w:left="3797" w:hanging="360"/>
      </w:pPr>
    </w:lvl>
    <w:lvl w:ilvl="5" w:tplc="0C09001B" w:tentative="1">
      <w:start w:val="1"/>
      <w:numFmt w:val="lowerRoman"/>
      <w:lvlText w:val="%6."/>
      <w:lvlJc w:val="right"/>
      <w:pPr>
        <w:ind w:left="4517" w:hanging="180"/>
      </w:pPr>
    </w:lvl>
    <w:lvl w:ilvl="6" w:tplc="0C09000F" w:tentative="1">
      <w:start w:val="1"/>
      <w:numFmt w:val="decimal"/>
      <w:lvlText w:val="%7."/>
      <w:lvlJc w:val="left"/>
      <w:pPr>
        <w:ind w:left="5237" w:hanging="360"/>
      </w:pPr>
    </w:lvl>
    <w:lvl w:ilvl="7" w:tplc="0C090019" w:tentative="1">
      <w:start w:val="1"/>
      <w:numFmt w:val="lowerLetter"/>
      <w:lvlText w:val="%8."/>
      <w:lvlJc w:val="left"/>
      <w:pPr>
        <w:ind w:left="5957" w:hanging="360"/>
      </w:pPr>
    </w:lvl>
    <w:lvl w:ilvl="8" w:tplc="0C09001B" w:tentative="1">
      <w:start w:val="1"/>
      <w:numFmt w:val="lowerRoman"/>
      <w:lvlText w:val="%9."/>
      <w:lvlJc w:val="right"/>
      <w:pPr>
        <w:ind w:left="6677" w:hanging="180"/>
      </w:pPr>
    </w:lvl>
  </w:abstractNum>
  <w:abstractNum w:abstractNumId="7" w15:restartNumberingAfterBreak="0">
    <w:nsid w:val="6637237E"/>
    <w:multiLevelType w:val="hybridMultilevel"/>
    <w:tmpl w:val="8E5278A6"/>
    <w:lvl w:ilvl="0" w:tplc="EECC932C">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BE8E85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19CCD6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D86E82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392B24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A226E7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3A4241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E72136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58073B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6AFE6A5C"/>
    <w:multiLevelType w:val="multilevel"/>
    <w:tmpl w:val="0C09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9" w15:restartNumberingAfterBreak="0">
    <w:nsid w:val="71117A78"/>
    <w:multiLevelType w:val="hybridMultilevel"/>
    <w:tmpl w:val="63983F0C"/>
    <w:lvl w:ilvl="0" w:tplc="42E250A4">
      <w:start w:val="1"/>
      <w:numFmt w:val="bullet"/>
      <w:lvlText w:val="•"/>
      <w:lvlJc w:val="left"/>
      <w:pPr>
        <w:ind w:left="7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662144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71CE12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572865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C70483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EC4A3D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0E6BFE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1B8F99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5644B1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756A2295"/>
    <w:multiLevelType w:val="hybridMultilevel"/>
    <w:tmpl w:val="ED7C5230"/>
    <w:lvl w:ilvl="0" w:tplc="61B85378">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B000602">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2B80730">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FD4F426">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B209EC">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56281A6">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D9AB87A">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1D6D064">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AD0F734">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957686189">
    <w:abstractNumId w:val="9"/>
  </w:num>
  <w:num w:numId="2" w16cid:durableId="745762329">
    <w:abstractNumId w:val="2"/>
  </w:num>
  <w:num w:numId="3" w16cid:durableId="821697632">
    <w:abstractNumId w:val="10"/>
  </w:num>
  <w:num w:numId="4" w16cid:durableId="1169100891">
    <w:abstractNumId w:val="5"/>
  </w:num>
  <w:num w:numId="5" w16cid:durableId="230117770">
    <w:abstractNumId w:val="4"/>
  </w:num>
  <w:num w:numId="6" w16cid:durableId="1721053875">
    <w:abstractNumId w:val="7"/>
  </w:num>
  <w:num w:numId="7" w16cid:durableId="1273902784">
    <w:abstractNumId w:val="0"/>
  </w:num>
  <w:num w:numId="8" w16cid:durableId="756245527">
    <w:abstractNumId w:val="6"/>
  </w:num>
  <w:num w:numId="9" w16cid:durableId="121045078">
    <w:abstractNumId w:val="0"/>
  </w:num>
  <w:num w:numId="10" w16cid:durableId="1817452418">
    <w:abstractNumId w:val="8"/>
  </w:num>
  <w:num w:numId="11" w16cid:durableId="496774777">
    <w:abstractNumId w:val="1"/>
  </w:num>
  <w:num w:numId="12" w16cid:durableId="1741095806">
    <w:abstractNumId w:val="3"/>
  </w:num>
  <w:num w:numId="13" w16cid:durableId="4655156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131625442">
    <w:abstractNumId w:val="0"/>
  </w:num>
  <w:num w:numId="15" w16cid:durableId="12322343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5996"/>
    <w:rsid w:val="000044DE"/>
    <w:rsid w:val="00005765"/>
    <w:rsid w:val="00007C84"/>
    <w:rsid w:val="00013DD0"/>
    <w:rsid w:val="000176B8"/>
    <w:rsid w:val="00024257"/>
    <w:rsid w:val="0002530D"/>
    <w:rsid w:val="000301A5"/>
    <w:rsid w:val="000342F1"/>
    <w:rsid w:val="00036A55"/>
    <w:rsid w:val="000431D6"/>
    <w:rsid w:val="00044190"/>
    <w:rsid w:val="00045362"/>
    <w:rsid w:val="00054C77"/>
    <w:rsid w:val="00054E70"/>
    <w:rsid w:val="00060B8A"/>
    <w:rsid w:val="00060FEC"/>
    <w:rsid w:val="00061661"/>
    <w:rsid w:val="0007268F"/>
    <w:rsid w:val="00083FED"/>
    <w:rsid w:val="000845C7"/>
    <w:rsid w:val="00084E18"/>
    <w:rsid w:val="00084F5D"/>
    <w:rsid w:val="0009136A"/>
    <w:rsid w:val="000A0D24"/>
    <w:rsid w:val="000A1D8E"/>
    <w:rsid w:val="000A380C"/>
    <w:rsid w:val="000B1B02"/>
    <w:rsid w:val="000B5018"/>
    <w:rsid w:val="000B5497"/>
    <w:rsid w:val="000C513D"/>
    <w:rsid w:val="000C55A2"/>
    <w:rsid w:val="000C58DE"/>
    <w:rsid w:val="000D61CF"/>
    <w:rsid w:val="000E418B"/>
    <w:rsid w:val="000F400E"/>
    <w:rsid w:val="000F7C0E"/>
    <w:rsid w:val="001008F9"/>
    <w:rsid w:val="001040FB"/>
    <w:rsid w:val="00106A31"/>
    <w:rsid w:val="00113463"/>
    <w:rsid w:val="00113C62"/>
    <w:rsid w:val="00113FA5"/>
    <w:rsid w:val="001155C1"/>
    <w:rsid w:val="00120EB5"/>
    <w:rsid w:val="00121298"/>
    <w:rsid w:val="00126F5B"/>
    <w:rsid w:val="001371EE"/>
    <w:rsid w:val="00140271"/>
    <w:rsid w:val="00140D44"/>
    <w:rsid w:val="001428A0"/>
    <w:rsid w:val="00154CFA"/>
    <w:rsid w:val="00156EC3"/>
    <w:rsid w:val="00163965"/>
    <w:rsid w:val="001645D5"/>
    <w:rsid w:val="0016706D"/>
    <w:rsid w:val="001670CE"/>
    <w:rsid w:val="001675B9"/>
    <w:rsid w:val="00172201"/>
    <w:rsid w:val="00183AC1"/>
    <w:rsid w:val="0018406A"/>
    <w:rsid w:val="001A172A"/>
    <w:rsid w:val="001A28B1"/>
    <w:rsid w:val="001A4382"/>
    <w:rsid w:val="001B42CE"/>
    <w:rsid w:val="001C02E3"/>
    <w:rsid w:val="001C057D"/>
    <w:rsid w:val="001C0F6E"/>
    <w:rsid w:val="001C7E5F"/>
    <w:rsid w:val="001D087F"/>
    <w:rsid w:val="001D27CD"/>
    <w:rsid w:val="001D4910"/>
    <w:rsid w:val="001E227A"/>
    <w:rsid w:val="001E5407"/>
    <w:rsid w:val="001F0325"/>
    <w:rsid w:val="001F1781"/>
    <w:rsid w:val="001F18B6"/>
    <w:rsid w:val="001F53B1"/>
    <w:rsid w:val="001F7E59"/>
    <w:rsid w:val="00200876"/>
    <w:rsid w:val="00212F72"/>
    <w:rsid w:val="00214315"/>
    <w:rsid w:val="00222586"/>
    <w:rsid w:val="002260DE"/>
    <w:rsid w:val="00230A48"/>
    <w:rsid w:val="00232B11"/>
    <w:rsid w:val="00234C06"/>
    <w:rsid w:val="00236AF8"/>
    <w:rsid w:val="00241C1C"/>
    <w:rsid w:val="00243ADD"/>
    <w:rsid w:val="00247B1B"/>
    <w:rsid w:val="00266F1A"/>
    <w:rsid w:val="00270D82"/>
    <w:rsid w:val="002778E1"/>
    <w:rsid w:val="00285E2C"/>
    <w:rsid w:val="00295785"/>
    <w:rsid w:val="00297150"/>
    <w:rsid w:val="002A1D91"/>
    <w:rsid w:val="002B00A8"/>
    <w:rsid w:val="002B3E6D"/>
    <w:rsid w:val="002C1F3F"/>
    <w:rsid w:val="002C4F8A"/>
    <w:rsid w:val="002C69E4"/>
    <w:rsid w:val="002C725A"/>
    <w:rsid w:val="002D29F2"/>
    <w:rsid w:val="002D39DA"/>
    <w:rsid w:val="002E57BD"/>
    <w:rsid w:val="002E58F6"/>
    <w:rsid w:val="002E707C"/>
    <w:rsid w:val="002E7682"/>
    <w:rsid w:val="002F0853"/>
    <w:rsid w:val="002F639D"/>
    <w:rsid w:val="002F6825"/>
    <w:rsid w:val="00301F13"/>
    <w:rsid w:val="00307918"/>
    <w:rsid w:val="00310C38"/>
    <w:rsid w:val="00312323"/>
    <w:rsid w:val="003221DF"/>
    <w:rsid w:val="003301C8"/>
    <w:rsid w:val="00330D66"/>
    <w:rsid w:val="00343627"/>
    <w:rsid w:val="003448D0"/>
    <w:rsid w:val="00345BA7"/>
    <w:rsid w:val="00346CA5"/>
    <w:rsid w:val="003471B3"/>
    <w:rsid w:val="0035226B"/>
    <w:rsid w:val="00353488"/>
    <w:rsid w:val="003536E6"/>
    <w:rsid w:val="0037009F"/>
    <w:rsid w:val="00374249"/>
    <w:rsid w:val="0037665A"/>
    <w:rsid w:val="00380B45"/>
    <w:rsid w:val="003821B3"/>
    <w:rsid w:val="003874D8"/>
    <w:rsid w:val="00392402"/>
    <w:rsid w:val="00395FC5"/>
    <w:rsid w:val="003A07AC"/>
    <w:rsid w:val="003A5D4C"/>
    <w:rsid w:val="003A71E0"/>
    <w:rsid w:val="003B1495"/>
    <w:rsid w:val="003B18A9"/>
    <w:rsid w:val="003B1D32"/>
    <w:rsid w:val="003B4ED4"/>
    <w:rsid w:val="003C4C1A"/>
    <w:rsid w:val="003E0999"/>
    <w:rsid w:val="003E0A45"/>
    <w:rsid w:val="003E4E34"/>
    <w:rsid w:val="003E77EF"/>
    <w:rsid w:val="003F18F3"/>
    <w:rsid w:val="003F4163"/>
    <w:rsid w:val="004034D8"/>
    <w:rsid w:val="0040385A"/>
    <w:rsid w:val="004070D3"/>
    <w:rsid w:val="004138F1"/>
    <w:rsid w:val="00415B41"/>
    <w:rsid w:val="00426B68"/>
    <w:rsid w:val="00430695"/>
    <w:rsid w:val="0043482D"/>
    <w:rsid w:val="00441DF2"/>
    <w:rsid w:val="004450AC"/>
    <w:rsid w:val="00446746"/>
    <w:rsid w:val="0045121F"/>
    <w:rsid w:val="00454781"/>
    <w:rsid w:val="004552A1"/>
    <w:rsid w:val="00461A00"/>
    <w:rsid w:val="00463046"/>
    <w:rsid w:val="004632AF"/>
    <w:rsid w:val="004634A5"/>
    <w:rsid w:val="00466554"/>
    <w:rsid w:val="00467318"/>
    <w:rsid w:val="00467431"/>
    <w:rsid w:val="00471175"/>
    <w:rsid w:val="00473F5A"/>
    <w:rsid w:val="00474AB6"/>
    <w:rsid w:val="00482C75"/>
    <w:rsid w:val="004941D5"/>
    <w:rsid w:val="004A0220"/>
    <w:rsid w:val="004A1082"/>
    <w:rsid w:val="004A2FBE"/>
    <w:rsid w:val="004A423E"/>
    <w:rsid w:val="004A7011"/>
    <w:rsid w:val="004A7CE7"/>
    <w:rsid w:val="004B1A9D"/>
    <w:rsid w:val="004B52AD"/>
    <w:rsid w:val="004B7041"/>
    <w:rsid w:val="004B7D9C"/>
    <w:rsid w:val="004C7D60"/>
    <w:rsid w:val="004D001D"/>
    <w:rsid w:val="004D0567"/>
    <w:rsid w:val="004D2EA1"/>
    <w:rsid w:val="004E3C7A"/>
    <w:rsid w:val="004F0D7E"/>
    <w:rsid w:val="004F2ED3"/>
    <w:rsid w:val="004F490B"/>
    <w:rsid w:val="00503584"/>
    <w:rsid w:val="00514C76"/>
    <w:rsid w:val="005160A1"/>
    <w:rsid w:val="005201DE"/>
    <w:rsid w:val="00521E20"/>
    <w:rsid w:val="00532456"/>
    <w:rsid w:val="00532AF2"/>
    <w:rsid w:val="00533BD3"/>
    <w:rsid w:val="00534765"/>
    <w:rsid w:val="00541F55"/>
    <w:rsid w:val="00543F76"/>
    <w:rsid w:val="00547979"/>
    <w:rsid w:val="0055532F"/>
    <w:rsid w:val="00556521"/>
    <w:rsid w:val="00560738"/>
    <w:rsid w:val="0056318D"/>
    <w:rsid w:val="005631DA"/>
    <w:rsid w:val="00576911"/>
    <w:rsid w:val="00577843"/>
    <w:rsid w:val="005864F3"/>
    <w:rsid w:val="005932D0"/>
    <w:rsid w:val="005A0143"/>
    <w:rsid w:val="005B2E26"/>
    <w:rsid w:val="005B5A11"/>
    <w:rsid w:val="005C0BFE"/>
    <w:rsid w:val="005C16EC"/>
    <w:rsid w:val="005C5C53"/>
    <w:rsid w:val="005C7112"/>
    <w:rsid w:val="005D5214"/>
    <w:rsid w:val="005D5DC4"/>
    <w:rsid w:val="005E4CAB"/>
    <w:rsid w:val="005E4E5B"/>
    <w:rsid w:val="005F257B"/>
    <w:rsid w:val="005F3452"/>
    <w:rsid w:val="005F6078"/>
    <w:rsid w:val="005F7EC8"/>
    <w:rsid w:val="006003BC"/>
    <w:rsid w:val="00602B03"/>
    <w:rsid w:val="0060333C"/>
    <w:rsid w:val="00605004"/>
    <w:rsid w:val="00610A58"/>
    <w:rsid w:val="00613D46"/>
    <w:rsid w:val="006167A8"/>
    <w:rsid w:val="00621B84"/>
    <w:rsid w:val="00623466"/>
    <w:rsid w:val="00630328"/>
    <w:rsid w:val="006317D9"/>
    <w:rsid w:val="006345E3"/>
    <w:rsid w:val="00635185"/>
    <w:rsid w:val="00637263"/>
    <w:rsid w:val="00646162"/>
    <w:rsid w:val="0064684D"/>
    <w:rsid w:val="006520DF"/>
    <w:rsid w:val="00653AEE"/>
    <w:rsid w:val="006546D6"/>
    <w:rsid w:val="00655758"/>
    <w:rsid w:val="00661544"/>
    <w:rsid w:val="006709A6"/>
    <w:rsid w:val="00670AAE"/>
    <w:rsid w:val="00682ACA"/>
    <w:rsid w:val="00684D9C"/>
    <w:rsid w:val="00687AAC"/>
    <w:rsid w:val="0069261F"/>
    <w:rsid w:val="006929B4"/>
    <w:rsid w:val="00694190"/>
    <w:rsid w:val="0069485B"/>
    <w:rsid w:val="00694BEE"/>
    <w:rsid w:val="00697B20"/>
    <w:rsid w:val="006A2432"/>
    <w:rsid w:val="006A4CBB"/>
    <w:rsid w:val="006A6CF5"/>
    <w:rsid w:val="006B08F0"/>
    <w:rsid w:val="006B21D4"/>
    <w:rsid w:val="006B2ABB"/>
    <w:rsid w:val="006B4256"/>
    <w:rsid w:val="006B6ADE"/>
    <w:rsid w:val="006B79AC"/>
    <w:rsid w:val="006D27EA"/>
    <w:rsid w:val="006D6435"/>
    <w:rsid w:val="006E162E"/>
    <w:rsid w:val="006E1639"/>
    <w:rsid w:val="006E4AA7"/>
    <w:rsid w:val="006E5379"/>
    <w:rsid w:val="006E60CC"/>
    <w:rsid w:val="006F4FC2"/>
    <w:rsid w:val="006F52CD"/>
    <w:rsid w:val="006F7964"/>
    <w:rsid w:val="0070062A"/>
    <w:rsid w:val="0070306F"/>
    <w:rsid w:val="00703583"/>
    <w:rsid w:val="007046E4"/>
    <w:rsid w:val="00706626"/>
    <w:rsid w:val="007153DD"/>
    <w:rsid w:val="00716807"/>
    <w:rsid w:val="0073241F"/>
    <w:rsid w:val="00737B90"/>
    <w:rsid w:val="00745BDA"/>
    <w:rsid w:val="00751F3E"/>
    <w:rsid w:val="00752B36"/>
    <w:rsid w:val="00752CC9"/>
    <w:rsid w:val="00755290"/>
    <w:rsid w:val="00763629"/>
    <w:rsid w:val="00763D1A"/>
    <w:rsid w:val="0077763F"/>
    <w:rsid w:val="00781143"/>
    <w:rsid w:val="0078182E"/>
    <w:rsid w:val="0078735D"/>
    <w:rsid w:val="00794FC1"/>
    <w:rsid w:val="00795996"/>
    <w:rsid w:val="007964D5"/>
    <w:rsid w:val="007A05F4"/>
    <w:rsid w:val="007A4350"/>
    <w:rsid w:val="007B00AD"/>
    <w:rsid w:val="007B2530"/>
    <w:rsid w:val="007C0DB4"/>
    <w:rsid w:val="007E5504"/>
    <w:rsid w:val="007E6694"/>
    <w:rsid w:val="007F0516"/>
    <w:rsid w:val="007F1540"/>
    <w:rsid w:val="007F3CFC"/>
    <w:rsid w:val="007F755B"/>
    <w:rsid w:val="007F76E5"/>
    <w:rsid w:val="00805327"/>
    <w:rsid w:val="00805652"/>
    <w:rsid w:val="00805FE4"/>
    <w:rsid w:val="0080635E"/>
    <w:rsid w:val="008141DE"/>
    <w:rsid w:val="00821A28"/>
    <w:rsid w:val="00823A51"/>
    <w:rsid w:val="00825921"/>
    <w:rsid w:val="0082610A"/>
    <w:rsid w:val="008344C8"/>
    <w:rsid w:val="00834C1C"/>
    <w:rsid w:val="00840406"/>
    <w:rsid w:val="00840BD9"/>
    <w:rsid w:val="00840DCD"/>
    <w:rsid w:val="00841ABC"/>
    <w:rsid w:val="00844360"/>
    <w:rsid w:val="008510CC"/>
    <w:rsid w:val="00857B59"/>
    <w:rsid w:val="00857C98"/>
    <w:rsid w:val="00863076"/>
    <w:rsid w:val="00866F94"/>
    <w:rsid w:val="00875127"/>
    <w:rsid w:val="0088333A"/>
    <w:rsid w:val="00884144"/>
    <w:rsid w:val="00894452"/>
    <w:rsid w:val="00894964"/>
    <w:rsid w:val="0089570F"/>
    <w:rsid w:val="008957AD"/>
    <w:rsid w:val="008B4743"/>
    <w:rsid w:val="008C1404"/>
    <w:rsid w:val="008C258A"/>
    <w:rsid w:val="008C403B"/>
    <w:rsid w:val="008C689C"/>
    <w:rsid w:val="008D1DE7"/>
    <w:rsid w:val="008E31B6"/>
    <w:rsid w:val="009005D7"/>
    <w:rsid w:val="0090434C"/>
    <w:rsid w:val="00915658"/>
    <w:rsid w:val="00917168"/>
    <w:rsid w:val="00920E0F"/>
    <w:rsid w:val="00925DFC"/>
    <w:rsid w:val="00945665"/>
    <w:rsid w:val="00950097"/>
    <w:rsid w:val="00953B41"/>
    <w:rsid w:val="00955C70"/>
    <w:rsid w:val="009567D5"/>
    <w:rsid w:val="00960DA7"/>
    <w:rsid w:val="009639BE"/>
    <w:rsid w:val="00964304"/>
    <w:rsid w:val="00964490"/>
    <w:rsid w:val="00972408"/>
    <w:rsid w:val="009745C5"/>
    <w:rsid w:val="00976C47"/>
    <w:rsid w:val="00980358"/>
    <w:rsid w:val="00983DF3"/>
    <w:rsid w:val="00984610"/>
    <w:rsid w:val="0099363A"/>
    <w:rsid w:val="00994CCB"/>
    <w:rsid w:val="009A2AD6"/>
    <w:rsid w:val="009A3A30"/>
    <w:rsid w:val="009B141B"/>
    <w:rsid w:val="009B3889"/>
    <w:rsid w:val="009B7514"/>
    <w:rsid w:val="009C513F"/>
    <w:rsid w:val="009D2D81"/>
    <w:rsid w:val="009D37A0"/>
    <w:rsid w:val="009D3E21"/>
    <w:rsid w:val="009D68E9"/>
    <w:rsid w:val="009E0A80"/>
    <w:rsid w:val="009E16EF"/>
    <w:rsid w:val="009E1C11"/>
    <w:rsid w:val="009E4BEB"/>
    <w:rsid w:val="009F3F64"/>
    <w:rsid w:val="009F7B99"/>
    <w:rsid w:val="00A03A4A"/>
    <w:rsid w:val="00A042F3"/>
    <w:rsid w:val="00A04C50"/>
    <w:rsid w:val="00A103F7"/>
    <w:rsid w:val="00A10FF4"/>
    <w:rsid w:val="00A12594"/>
    <w:rsid w:val="00A17111"/>
    <w:rsid w:val="00A174C4"/>
    <w:rsid w:val="00A26703"/>
    <w:rsid w:val="00A337F6"/>
    <w:rsid w:val="00A35B96"/>
    <w:rsid w:val="00A3705F"/>
    <w:rsid w:val="00A43740"/>
    <w:rsid w:val="00A43DAF"/>
    <w:rsid w:val="00A46BA7"/>
    <w:rsid w:val="00A55B22"/>
    <w:rsid w:val="00A57D31"/>
    <w:rsid w:val="00A63CDC"/>
    <w:rsid w:val="00A63F45"/>
    <w:rsid w:val="00A74389"/>
    <w:rsid w:val="00A7573A"/>
    <w:rsid w:val="00A76A68"/>
    <w:rsid w:val="00A77B63"/>
    <w:rsid w:val="00A86309"/>
    <w:rsid w:val="00A90D72"/>
    <w:rsid w:val="00A9186B"/>
    <w:rsid w:val="00A9304D"/>
    <w:rsid w:val="00A94FAA"/>
    <w:rsid w:val="00A96D5D"/>
    <w:rsid w:val="00AA0959"/>
    <w:rsid w:val="00AC1D35"/>
    <w:rsid w:val="00AF1730"/>
    <w:rsid w:val="00AF1FC9"/>
    <w:rsid w:val="00AF74CD"/>
    <w:rsid w:val="00B030BA"/>
    <w:rsid w:val="00B05198"/>
    <w:rsid w:val="00B06066"/>
    <w:rsid w:val="00B06642"/>
    <w:rsid w:val="00B11B9F"/>
    <w:rsid w:val="00B1496C"/>
    <w:rsid w:val="00B151A3"/>
    <w:rsid w:val="00B16A47"/>
    <w:rsid w:val="00B201A6"/>
    <w:rsid w:val="00B205B0"/>
    <w:rsid w:val="00B2771D"/>
    <w:rsid w:val="00B3053D"/>
    <w:rsid w:val="00B3059C"/>
    <w:rsid w:val="00B33889"/>
    <w:rsid w:val="00B41441"/>
    <w:rsid w:val="00B437DF"/>
    <w:rsid w:val="00B459B1"/>
    <w:rsid w:val="00B46B65"/>
    <w:rsid w:val="00B50F48"/>
    <w:rsid w:val="00B5502A"/>
    <w:rsid w:val="00B55D6D"/>
    <w:rsid w:val="00B628AC"/>
    <w:rsid w:val="00B8062D"/>
    <w:rsid w:val="00B80D18"/>
    <w:rsid w:val="00B84450"/>
    <w:rsid w:val="00B86827"/>
    <w:rsid w:val="00B909F3"/>
    <w:rsid w:val="00B90EA6"/>
    <w:rsid w:val="00BA1AF4"/>
    <w:rsid w:val="00BA23C0"/>
    <w:rsid w:val="00BA7221"/>
    <w:rsid w:val="00BA73E2"/>
    <w:rsid w:val="00BB145D"/>
    <w:rsid w:val="00BB4271"/>
    <w:rsid w:val="00BC05BB"/>
    <w:rsid w:val="00BC23D3"/>
    <w:rsid w:val="00BC6DEF"/>
    <w:rsid w:val="00BD557C"/>
    <w:rsid w:val="00BE33E0"/>
    <w:rsid w:val="00BF37EC"/>
    <w:rsid w:val="00BF7195"/>
    <w:rsid w:val="00C04E8A"/>
    <w:rsid w:val="00C07CAE"/>
    <w:rsid w:val="00C10A73"/>
    <w:rsid w:val="00C117B4"/>
    <w:rsid w:val="00C173E7"/>
    <w:rsid w:val="00C21F9F"/>
    <w:rsid w:val="00C25C34"/>
    <w:rsid w:val="00C31094"/>
    <w:rsid w:val="00C331A0"/>
    <w:rsid w:val="00C3341B"/>
    <w:rsid w:val="00C37B1B"/>
    <w:rsid w:val="00C54B09"/>
    <w:rsid w:val="00C57FF9"/>
    <w:rsid w:val="00C603B6"/>
    <w:rsid w:val="00C66F3A"/>
    <w:rsid w:val="00C73F72"/>
    <w:rsid w:val="00C8088F"/>
    <w:rsid w:val="00C80AA8"/>
    <w:rsid w:val="00C85305"/>
    <w:rsid w:val="00C90921"/>
    <w:rsid w:val="00C9343A"/>
    <w:rsid w:val="00C95F99"/>
    <w:rsid w:val="00CA4B64"/>
    <w:rsid w:val="00CA6674"/>
    <w:rsid w:val="00CB1B39"/>
    <w:rsid w:val="00CB4D21"/>
    <w:rsid w:val="00CB4E0E"/>
    <w:rsid w:val="00CC38BE"/>
    <w:rsid w:val="00CC41DE"/>
    <w:rsid w:val="00CC50EE"/>
    <w:rsid w:val="00CD6B3A"/>
    <w:rsid w:val="00CE2196"/>
    <w:rsid w:val="00CE2385"/>
    <w:rsid w:val="00CE46AA"/>
    <w:rsid w:val="00CF0611"/>
    <w:rsid w:val="00D007C8"/>
    <w:rsid w:val="00D0188A"/>
    <w:rsid w:val="00D1672E"/>
    <w:rsid w:val="00D1762D"/>
    <w:rsid w:val="00D17CB7"/>
    <w:rsid w:val="00D25A8A"/>
    <w:rsid w:val="00D32013"/>
    <w:rsid w:val="00D351D8"/>
    <w:rsid w:val="00D36A15"/>
    <w:rsid w:val="00D374BB"/>
    <w:rsid w:val="00D43603"/>
    <w:rsid w:val="00D438B9"/>
    <w:rsid w:val="00D45828"/>
    <w:rsid w:val="00D52B0B"/>
    <w:rsid w:val="00D53E2D"/>
    <w:rsid w:val="00D55B86"/>
    <w:rsid w:val="00D57A42"/>
    <w:rsid w:val="00D6213A"/>
    <w:rsid w:val="00D76AC8"/>
    <w:rsid w:val="00D813FB"/>
    <w:rsid w:val="00D82B0C"/>
    <w:rsid w:val="00D94EF6"/>
    <w:rsid w:val="00DA69CB"/>
    <w:rsid w:val="00DB1157"/>
    <w:rsid w:val="00DB321E"/>
    <w:rsid w:val="00DB56B1"/>
    <w:rsid w:val="00DC1697"/>
    <w:rsid w:val="00DC29CC"/>
    <w:rsid w:val="00DC2CB1"/>
    <w:rsid w:val="00DC398D"/>
    <w:rsid w:val="00DC3A23"/>
    <w:rsid w:val="00DE005B"/>
    <w:rsid w:val="00DE087A"/>
    <w:rsid w:val="00DF0898"/>
    <w:rsid w:val="00DF4FC3"/>
    <w:rsid w:val="00DF50E3"/>
    <w:rsid w:val="00E00115"/>
    <w:rsid w:val="00E026FE"/>
    <w:rsid w:val="00E02A64"/>
    <w:rsid w:val="00E060F6"/>
    <w:rsid w:val="00E12618"/>
    <w:rsid w:val="00E16BCF"/>
    <w:rsid w:val="00E17287"/>
    <w:rsid w:val="00E24A82"/>
    <w:rsid w:val="00E27170"/>
    <w:rsid w:val="00E3444D"/>
    <w:rsid w:val="00E355B5"/>
    <w:rsid w:val="00E36DF1"/>
    <w:rsid w:val="00E43BBF"/>
    <w:rsid w:val="00E57B54"/>
    <w:rsid w:val="00E57C89"/>
    <w:rsid w:val="00E607BB"/>
    <w:rsid w:val="00E64A76"/>
    <w:rsid w:val="00E72814"/>
    <w:rsid w:val="00E832FA"/>
    <w:rsid w:val="00E858DE"/>
    <w:rsid w:val="00E935FE"/>
    <w:rsid w:val="00E94ED4"/>
    <w:rsid w:val="00E954D3"/>
    <w:rsid w:val="00E97CE6"/>
    <w:rsid w:val="00EA1BA4"/>
    <w:rsid w:val="00EA5105"/>
    <w:rsid w:val="00EA5DE8"/>
    <w:rsid w:val="00EA78C8"/>
    <w:rsid w:val="00ED24CF"/>
    <w:rsid w:val="00ED462E"/>
    <w:rsid w:val="00ED67F8"/>
    <w:rsid w:val="00EE1ADE"/>
    <w:rsid w:val="00EE28D5"/>
    <w:rsid w:val="00EE56FB"/>
    <w:rsid w:val="00EF6F3C"/>
    <w:rsid w:val="00F00254"/>
    <w:rsid w:val="00F00807"/>
    <w:rsid w:val="00F14558"/>
    <w:rsid w:val="00F20104"/>
    <w:rsid w:val="00F2048E"/>
    <w:rsid w:val="00F21785"/>
    <w:rsid w:val="00F26546"/>
    <w:rsid w:val="00F27F83"/>
    <w:rsid w:val="00F30C1F"/>
    <w:rsid w:val="00F33164"/>
    <w:rsid w:val="00F33DDB"/>
    <w:rsid w:val="00F359B1"/>
    <w:rsid w:val="00F447F5"/>
    <w:rsid w:val="00F513D9"/>
    <w:rsid w:val="00F53035"/>
    <w:rsid w:val="00F56330"/>
    <w:rsid w:val="00F5651F"/>
    <w:rsid w:val="00F6334D"/>
    <w:rsid w:val="00F6371E"/>
    <w:rsid w:val="00F74C64"/>
    <w:rsid w:val="00F7574C"/>
    <w:rsid w:val="00F84773"/>
    <w:rsid w:val="00F85A68"/>
    <w:rsid w:val="00F94C4D"/>
    <w:rsid w:val="00FA0BC5"/>
    <w:rsid w:val="00FA7A69"/>
    <w:rsid w:val="00FB5DEE"/>
    <w:rsid w:val="00FB638C"/>
    <w:rsid w:val="00FB6FDB"/>
    <w:rsid w:val="00FC2358"/>
    <w:rsid w:val="00FC7185"/>
    <w:rsid w:val="00FD314E"/>
    <w:rsid w:val="00FD6081"/>
    <w:rsid w:val="00FD74B5"/>
    <w:rsid w:val="00FE01A8"/>
    <w:rsid w:val="00FE387A"/>
    <w:rsid w:val="00FE49AB"/>
    <w:rsid w:val="00FE572F"/>
    <w:rsid w:val="00FE5C27"/>
    <w:rsid w:val="00FF1804"/>
    <w:rsid w:val="00FF2F1A"/>
    <w:rsid w:val="00FF3A1C"/>
    <w:rsid w:val="00FF4422"/>
    <w:rsid w:val="00FF632C"/>
    <w:rsid w:val="00FF7B5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6F6B8E"/>
  <w15:docId w15:val="{2CAABC7A-4AF4-4F35-8365-5C5016DFB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57AD"/>
    <w:pPr>
      <w:spacing w:after="5" w:line="270" w:lineRule="auto"/>
      <w:ind w:left="10" w:hanging="10"/>
    </w:pPr>
    <w:rPr>
      <w:rFonts w:ascii="Calibri" w:eastAsia="Calibri" w:hAnsi="Calibri" w:cs="Calibri"/>
      <w:color w:val="000000"/>
      <w:sz w:val="24"/>
    </w:rPr>
  </w:style>
  <w:style w:type="paragraph" w:styleId="Heading1">
    <w:name w:val="heading 1"/>
    <w:next w:val="Normal"/>
    <w:link w:val="Heading1Char"/>
    <w:uiPriority w:val="9"/>
    <w:qFormat/>
    <w:pPr>
      <w:keepNext/>
      <w:keepLines/>
      <w:numPr>
        <w:numId w:val="7"/>
      </w:numPr>
      <w:spacing w:after="0" w:line="267" w:lineRule="auto"/>
      <w:outlineLvl w:val="0"/>
    </w:pPr>
    <w:rPr>
      <w:rFonts w:ascii="Calibri" w:eastAsia="Calibri" w:hAnsi="Calibri" w:cs="Calibri"/>
      <w:color w:val="2F5496"/>
      <w:sz w:val="28"/>
    </w:rPr>
  </w:style>
  <w:style w:type="paragraph" w:styleId="Heading2">
    <w:name w:val="heading 2"/>
    <w:next w:val="Normal"/>
    <w:link w:val="Heading2Char"/>
    <w:uiPriority w:val="9"/>
    <w:unhideWhenUsed/>
    <w:qFormat/>
    <w:pPr>
      <w:keepNext/>
      <w:keepLines/>
      <w:numPr>
        <w:ilvl w:val="1"/>
        <w:numId w:val="7"/>
      </w:numPr>
      <w:spacing w:after="4"/>
      <w:outlineLvl w:val="1"/>
    </w:pPr>
    <w:rPr>
      <w:rFonts w:ascii="Calibri" w:eastAsia="Calibri" w:hAnsi="Calibri" w:cs="Calibri"/>
      <w:color w:val="2F5496"/>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color w:val="2F5496"/>
      <w:sz w:val="26"/>
    </w:rPr>
  </w:style>
  <w:style w:type="character" w:customStyle="1" w:styleId="Heading1Char">
    <w:name w:val="Heading 1 Char"/>
    <w:link w:val="Heading1"/>
    <w:rPr>
      <w:rFonts w:ascii="Calibri" w:eastAsia="Calibri" w:hAnsi="Calibri" w:cs="Calibri"/>
      <w:color w:val="2F5496"/>
      <w:sz w:val="28"/>
    </w:rPr>
  </w:style>
  <w:style w:type="paragraph" w:customStyle="1" w:styleId="footnotedescription">
    <w:name w:val="footnote description"/>
    <w:next w:val="Normal"/>
    <w:link w:val="footnotedescriptionChar"/>
    <w:hidden/>
    <w:pPr>
      <w:spacing w:after="0" w:line="253" w:lineRule="auto"/>
    </w:pPr>
    <w:rPr>
      <w:rFonts w:ascii="Arial" w:eastAsia="Arial" w:hAnsi="Arial" w:cs="Arial"/>
      <w:color w:val="0044BB"/>
      <w:sz w:val="16"/>
      <w:u w:val="single" w:color="0044BB"/>
    </w:rPr>
  </w:style>
  <w:style w:type="character" w:customStyle="1" w:styleId="footnotedescriptionChar">
    <w:name w:val="footnote description Char"/>
    <w:link w:val="footnotedescription"/>
    <w:rPr>
      <w:rFonts w:ascii="Arial" w:eastAsia="Arial" w:hAnsi="Arial" w:cs="Arial"/>
      <w:color w:val="0044BB"/>
      <w:sz w:val="16"/>
      <w:u w:val="single" w:color="0044BB"/>
    </w:rPr>
  </w:style>
  <w:style w:type="paragraph" w:styleId="TOC1">
    <w:name w:val="toc 1"/>
    <w:hidden/>
    <w:uiPriority w:val="39"/>
    <w:pPr>
      <w:spacing w:after="110" w:line="270" w:lineRule="auto"/>
      <w:ind w:left="25" w:right="15" w:hanging="10"/>
    </w:pPr>
    <w:rPr>
      <w:rFonts w:ascii="Calibri" w:eastAsia="Calibri" w:hAnsi="Calibri" w:cs="Calibri"/>
      <w:color w:val="000000"/>
      <w:sz w:val="24"/>
    </w:rPr>
  </w:style>
  <w:style w:type="paragraph" w:styleId="TOC2">
    <w:name w:val="toc 2"/>
    <w:hidden/>
    <w:uiPriority w:val="39"/>
    <w:pPr>
      <w:spacing w:after="110" w:line="270" w:lineRule="auto"/>
      <w:ind w:left="265" w:right="23" w:hanging="10"/>
    </w:pPr>
    <w:rPr>
      <w:rFonts w:ascii="Calibri" w:eastAsia="Calibri" w:hAnsi="Calibri" w:cs="Calibri"/>
      <w:color w:val="000000"/>
      <w:sz w:val="24"/>
    </w:rPr>
  </w:style>
  <w:style w:type="character" w:customStyle="1" w:styleId="footnotemark">
    <w:name w:val="footnote mark"/>
    <w:hidden/>
    <w:rPr>
      <w:rFonts w:ascii="Arial" w:eastAsia="Arial" w:hAnsi="Arial" w:cs="Arial"/>
      <w:color w:val="000000"/>
      <w:sz w:val="16"/>
      <w:vertAlign w:val="superscript"/>
    </w:rPr>
  </w:style>
  <w:style w:type="paragraph" w:styleId="Revision">
    <w:name w:val="Revision"/>
    <w:hidden/>
    <w:uiPriority w:val="99"/>
    <w:semiHidden/>
    <w:rsid w:val="005D5DC4"/>
    <w:pPr>
      <w:spacing w:after="0" w:line="240" w:lineRule="auto"/>
    </w:pPr>
    <w:rPr>
      <w:rFonts w:ascii="Calibri" w:eastAsia="Calibri" w:hAnsi="Calibri" w:cs="Calibri"/>
      <w:color w:val="000000"/>
      <w:sz w:val="24"/>
    </w:rPr>
  </w:style>
  <w:style w:type="paragraph" w:styleId="ListParagraph">
    <w:name w:val="List Paragraph"/>
    <w:basedOn w:val="Normal"/>
    <w:uiPriority w:val="34"/>
    <w:qFormat/>
    <w:rsid w:val="00B06642"/>
    <w:pPr>
      <w:ind w:left="720"/>
      <w:contextualSpacing/>
    </w:pPr>
  </w:style>
  <w:style w:type="character" w:styleId="CommentReference">
    <w:name w:val="annotation reference"/>
    <w:basedOn w:val="DefaultParagraphFont"/>
    <w:uiPriority w:val="99"/>
    <w:semiHidden/>
    <w:unhideWhenUsed/>
    <w:rsid w:val="003874D8"/>
    <w:rPr>
      <w:sz w:val="16"/>
      <w:szCs w:val="16"/>
    </w:rPr>
  </w:style>
  <w:style w:type="paragraph" w:styleId="CommentText">
    <w:name w:val="annotation text"/>
    <w:basedOn w:val="Normal"/>
    <w:link w:val="CommentTextChar"/>
    <w:uiPriority w:val="99"/>
    <w:unhideWhenUsed/>
    <w:rsid w:val="003874D8"/>
    <w:pPr>
      <w:spacing w:line="240" w:lineRule="auto"/>
    </w:pPr>
    <w:rPr>
      <w:sz w:val="20"/>
      <w:szCs w:val="20"/>
    </w:rPr>
  </w:style>
  <w:style w:type="character" w:customStyle="1" w:styleId="CommentTextChar">
    <w:name w:val="Comment Text Char"/>
    <w:basedOn w:val="DefaultParagraphFont"/>
    <w:link w:val="CommentText"/>
    <w:uiPriority w:val="99"/>
    <w:rsid w:val="003874D8"/>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3874D8"/>
    <w:rPr>
      <w:b/>
      <w:bCs/>
    </w:rPr>
  </w:style>
  <w:style w:type="character" w:customStyle="1" w:styleId="CommentSubjectChar">
    <w:name w:val="Comment Subject Char"/>
    <w:basedOn w:val="CommentTextChar"/>
    <w:link w:val="CommentSubject"/>
    <w:uiPriority w:val="99"/>
    <w:semiHidden/>
    <w:rsid w:val="003874D8"/>
    <w:rPr>
      <w:rFonts w:ascii="Calibri" w:eastAsia="Calibri" w:hAnsi="Calibri" w:cs="Calibri"/>
      <w:b/>
      <w:bCs/>
      <w:color w:val="000000"/>
      <w:sz w:val="20"/>
      <w:szCs w:val="20"/>
    </w:rPr>
  </w:style>
  <w:style w:type="character" w:styleId="Hyperlink">
    <w:name w:val="Hyperlink"/>
    <w:basedOn w:val="DefaultParagraphFont"/>
    <w:uiPriority w:val="99"/>
    <w:unhideWhenUsed/>
    <w:rsid w:val="007E6694"/>
    <w:rPr>
      <w:color w:val="0563C1" w:themeColor="hyperlink"/>
      <w:u w:val="single"/>
    </w:rPr>
  </w:style>
  <w:style w:type="character" w:styleId="UnresolvedMention">
    <w:name w:val="Unresolved Mention"/>
    <w:basedOn w:val="DefaultParagraphFont"/>
    <w:uiPriority w:val="99"/>
    <w:semiHidden/>
    <w:unhideWhenUsed/>
    <w:rsid w:val="00B628AC"/>
    <w:rPr>
      <w:color w:val="605E5C"/>
      <w:shd w:val="clear" w:color="auto" w:fill="E1DFDD"/>
    </w:rPr>
  </w:style>
  <w:style w:type="character" w:styleId="FollowedHyperlink">
    <w:name w:val="FollowedHyperlink"/>
    <w:basedOn w:val="DefaultParagraphFont"/>
    <w:uiPriority w:val="99"/>
    <w:semiHidden/>
    <w:unhideWhenUsed/>
    <w:rsid w:val="0077763F"/>
    <w:rPr>
      <w:color w:val="954F72" w:themeColor="followedHyperlink"/>
      <w:u w:val="single"/>
    </w:rPr>
  </w:style>
  <w:style w:type="paragraph" w:styleId="FootnoteText">
    <w:name w:val="footnote text"/>
    <w:basedOn w:val="Normal"/>
    <w:link w:val="FootnoteTextChar"/>
    <w:uiPriority w:val="99"/>
    <w:semiHidden/>
    <w:unhideWhenUsed/>
    <w:rsid w:val="00D374B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374BB"/>
    <w:rPr>
      <w:rFonts w:ascii="Calibri" w:eastAsia="Calibri" w:hAnsi="Calibri" w:cs="Calibri"/>
      <w:color w:val="000000"/>
      <w:sz w:val="20"/>
      <w:szCs w:val="20"/>
    </w:rPr>
  </w:style>
  <w:style w:type="character" w:styleId="FootnoteReference">
    <w:name w:val="footnote reference"/>
    <w:basedOn w:val="DefaultParagraphFont"/>
    <w:uiPriority w:val="99"/>
    <w:semiHidden/>
    <w:unhideWhenUsed/>
    <w:rsid w:val="00D374BB"/>
    <w:rPr>
      <w:vertAlign w:val="superscript"/>
    </w:rPr>
  </w:style>
  <w:style w:type="paragraph" w:styleId="Header">
    <w:name w:val="header"/>
    <w:basedOn w:val="Normal"/>
    <w:link w:val="HeaderChar"/>
    <w:uiPriority w:val="99"/>
    <w:unhideWhenUsed/>
    <w:rsid w:val="00A1259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2594"/>
    <w:rPr>
      <w:rFonts w:ascii="Calibri" w:eastAsia="Calibri" w:hAnsi="Calibri" w:cs="Calibri"/>
      <w:color w:val="000000"/>
      <w:sz w:val="24"/>
    </w:rPr>
  </w:style>
  <w:style w:type="paragraph" w:styleId="Footer">
    <w:name w:val="footer"/>
    <w:basedOn w:val="Normal"/>
    <w:link w:val="FooterChar"/>
    <w:uiPriority w:val="99"/>
    <w:unhideWhenUsed/>
    <w:rsid w:val="00A125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2594"/>
    <w:rPr>
      <w:rFonts w:ascii="Calibri" w:eastAsia="Calibri" w:hAnsi="Calibri" w:cs="Calibri"/>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www.climatechoices.act.gov.au/__data/assets/pdf_file/0003/3102699/ACT-Climate-Change-Strategy-2026-36-Overarching-Framework.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etadata xmlns="http://www.objective.com/ecm/document/metadata/4FEB93B0D38B3BDFE05400144FFB2061" version="1.0.0">
  <systemFields>
    <field name="Objective-Id">
      <value order="0">A68133784</value>
    </field>
    <field name="Objective-Title">
      <value order="0">RIS - Energy Efficiency (Cost of Living) Improvement (Energy Savings Target) Determination 2026</value>
    </field>
    <field name="Objective-Description">
      <value order="0"/>
    </field>
    <field name="Objective-CreationStamp">
      <value order="0">2026-09-28T06:48:40Z</value>
    </field>
    <field name="Objective-IsApproved">
      <value order="0">false</value>
    </field>
    <field name="Objective-IsPublished">
      <value order="0">false</value>
    </field>
    <field name="Objective-DatePublished">
      <value order="0"/>
    </field>
    <field name="Objective-ModificationStamp">
      <value order="0">2026-09-28T06:51:38Z</value>
    </field>
    <field name="Objective-Owner">
      <value order="0">Ashleigh McInnes</value>
    </field>
    <field name="Objective-Path">
      <value order="0">Whole of ACT Government:TCCS STRUCTURE - Content Restriction Hierarchy:DIVISION: Chief Operating Officer:BRANCH: Governance and Ministerial Services:SECTION: Ministerial Services Unit:09. Instruments and subordinate law:2026:01. Disallowable Instruments:DI2026-208 - Energy Efficiency (Cost of Living) Improvement (Energy Savings Target) Determination 2026</value>
    </field>
    <field name="Objective-Parent">
      <value order="0">DI2026-208 - Energy Efficiency (Cost of Living) Improvement (Energy Savings Target) Determination 2026</value>
    </field>
    <field name="Objective-State">
      <value order="0">Being Edited</value>
    </field>
    <field name="Objective-VersionId">
      <value order="0">vA85405738</value>
    </field>
    <field name="Objective-Version">
      <value order="0">1.1</value>
    </field>
    <field name="Objective-VersionNumber">
      <value order="0">2</value>
    </field>
    <field name="Objective-VersionComment">
      <value order="0"/>
    </field>
    <field name="Objective-FileNumber">
      <value order="0"/>
    </field>
    <field name="Objective-Classification">
      <value order="0"/>
    </field>
    <field name="Objective-Caveats">
      <value order="0"/>
    </field>
  </systemFields>
  <catalogues>
    <catalogue name="Document Type Catalogue" type="type" ori="id:cA11">
      <field name="Objective-Owner Agency">
        <value order="0">CED - City and Environment Directorate</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field name="Objective-Status">
        <value order="0"/>
      </field>
      <field name="Objective-S28 Exemption Number">
        <value order="0"/>
      </field>
      <field name="Objective-S28 Exemption">
        <value order="0"/>
      </field>
      <field name="Objective-S28 Exemption Reason">
        <value order="0"/>
      </field>
      <field name="Objective-S28 Comments if partial exemption">
        <value order="0"/>
      </field>
      <field name="Objective-S28 Date Approved">
        <value order="0"/>
      </field>
    </catalogue>
  </catalogues>
</meta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customXml/itemProps2.xml><?xml version="1.0" encoding="utf-8"?>
<ds:datastoreItem xmlns:ds="http://schemas.openxmlformats.org/officeDocument/2006/customXml" ds:itemID="{3FA85159-60D8-40C6-A32E-F3A1F68DBD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3446</Words>
  <Characters>19234</Characters>
  <Application>Microsoft Office Word</Application>
  <DocSecurity>0</DocSecurity>
  <Lines>384</Lines>
  <Paragraphs>197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ACT Government</dc:creator>
  <cp:keywords>2</cp:keywords>
  <cp:lastModifiedBy>PCODCS</cp:lastModifiedBy>
  <cp:revision>4</cp:revision>
  <dcterms:created xsi:type="dcterms:W3CDTF">2026-09-29T04:56:00Z</dcterms:created>
  <dcterms:modified xsi:type="dcterms:W3CDTF">2026-09-29T04:56:00Z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Comment">
    <vt:lpwstr/>
  </property>
  <property fmtid="{D5CDD505-2E9C-101B-9397-08002B2CF9AE}" pid="4" name="MSIP_Label_69af8531-eb46-4968-8cb3-105d2f5ea87e_Enabled">
    <vt:lpwstr>true</vt:lpwstr>
  </property>
  <property fmtid="{D5CDD505-2E9C-101B-9397-08002B2CF9AE}" pid="5" name="MSIP_Label_69af8531-eb46-4968-8cb3-105d2f5ea87e_SetDate">
    <vt:lpwstr>2024-05-09T05:50:42Z</vt:lpwstr>
  </property>
  <property fmtid="{D5CDD505-2E9C-101B-9397-08002B2CF9AE}" pid="6" name="MSIP_Label_69af8531-eb46-4968-8cb3-105d2f5ea87e_Method">
    <vt:lpwstr>Standard</vt:lpwstr>
  </property>
  <property fmtid="{D5CDD505-2E9C-101B-9397-08002B2CF9AE}" pid="7" name="MSIP_Label_69af8531-eb46-4968-8cb3-105d2f5ea87e_Name">
    <vt:lpwstr>Official - No Marking</vt:lpwstr>
  </property>
  <property fmtid="{D5CDD505-2E9C-101B-9397-08002B2CF9AE}" pid="8" name="MSIP_Label_69af8531-eb46-4968-8cb3-105d2f5ea87e_SiteId">
    <vt:lpwstr>b46c1908-0334-4236-b978-585ee88e4199</vt:lpwstr>
  </property>
  <property fmtid="{D5CDD505-2E9C-101B-9397-08002B2CF9AE}" pid="9" name="MSIP_Label_69af8531-eb46-4968-8cb3-105d2f5ea87e_ActionId">
    <vt:lpwstr>d50bc27f-b717-4274-b0ee-eb6c3b37d5a0</vt:lpwstr>
  </property>
  <property fmtid="{D5CDD505-2E9C-101B-9397-08002B2CF9AE}" pid="10" name="MSIP_Label_69af8531-eb46-4968-8cb3-105d2f5ea87e_ContentBits">
    <vt:lpwstr>0</vt:lpwstr>
  </property>
  <property fmtid="{D5CDD505-2E9C-101B-9397-08002B2CF9AE}" pid="11" name="CHECKEDOUTFROMJMS">
    <vt:lpwstr/>
  </property>
  <property fmtid="{D5CDD505-2E9C-101B-9397-08002B2CF9AE}" pid="12" name="DMSID">
    <vt:lpwstr>15993397</vt:lpwstr>
  </property>
  <property fmtid="{D5CDD505-2E9C-101B-9397-08002B2CF9AE}" pid="13" name="JMSREQUIREDCHECKIN">
    <vt:lpwstr/>
  </property>
  <property fmtid="{D5CDD505-2E9C-101B-9397-08002B2CF9AE}" pid="14" name="Customer-Id">
    <vt:lpwstr>4FEB93B0D38B3BDFE05400144FFB2061</vt:lpwstr>
  </property>
  <property fmtid="{D5CDD505-2E9C-101B-9397-08002B2CF9AE}" pid="15" name="Objective-Id">
    <vt:lpwstr>A68133784</vt:lpwstr>
  </property>
  <property fmtid="{D5CDD505-2E9C-101B-9397-08002B2CF9AE}" pid="16" name="Objective-Title">
    <vt:lpwstr>RIS - Energy Efficiency (Cost of Living) Improvement (Energy Savings Target) Determination 2026</vt:lpwstr>
  </property>
  <property fmtid="{D5CDD505-2E9C-101B-9397-08002B2CF9AE}" pid="17" name="Objective-Description">
    <vt:lpwstr/>
  </property>
  <property fmtid="{D5CDD505-2E9C-101B-9397-08002B2CF9AE}" pid="18" name="Objective-CreationStamp">
    <vt:filetime>2026-09-28T06:48:40Z</vt:filetime>
  </property>
  <property fmtid="{D5CDD505-2E9C-101B-9397-08002B2CF9AE}" pid="19" name="Objective-IsApproved">
    <vt:bool>false</vt:bool>
  </property>
  <property fmtid="{D5CDD505-2E9C-101B-9397-08002B2CF9AE}" pid="20" name="Objective-IsPublished">
    <vt:bool>false</vt:bool>
  </property>
  <property fmtid="{D5CDD505-2E9C-101B-9397-08002B2CF9AE}" pid="21" name="Objective-DatePublished">
    <vt:lpwstr/>
  </property>
  <property fmtid="{D5CDD505-2E9C-101B-9397-08002B2CF9AE}" pid="22" name="Objective-ModificationStamp">
    <vt:filetime>2026-09-28T06:51:38Z</vt:filetime>
  </property>
  <property fmtid="{D5CDD505-2E9C-101B-9397-08002B2CF9AE}" pid="23" name="Objective-Owner">
    <vt:lpwstr>Ashleigh McInnes</vt:lpwstr>
  </property>
  <property fmtid="{D5CDD505-2E9C-101B-9397-08002B2CF9AE}" pid="24" name="Objective-Path">
    <vt:lpwstr>Whole of ACT Government:TCCS STRUCTURE - Content Restriction Hierarchy:DIVISION: Chief Operating Officer:BRANCH: Governance and Ministerial Services:SECTION: Ministerial Services Unit:09. Instruments and subordinate law:2026:01. Disallowable Instruments:DI2026-208 - Energy Efficiency (Cost of Living) Improvement (Energy Savings Target) Determination 2026:</vt:lpwstr>
  </property>
  <property fmtid="{D5CDD505-2E9C-101B-9397-08002B2CF9AE}" pid="25" name="Objective-Parent">
    <vt:lpwstr>DI2026-208 - Energy Efficiency (Cost of Living) Improvement (Energy Savings Target) Determination 2026</vt:lpwstr>
  </property>
  <property fmtid="{D5CDD505-2E9C-101B-9397-08002B2CF9AE}" pid="26" name="Objective-State">
    <vt:lpwstr>Being Edited</vt:lpwstr>
  </property>
  <property fmtid="{D5CDD505-2E9C-101B-9397-08002B2CF9AE}" pid="27" name="Objective-VersionId">
    <vt:lpwstr>vA85405738</vt:lpwstr>
  </property>
  <property fmtid="{D5CDD505-2E9C-101B-9397-08002B2CF9AE}" pid="28" name="Objective-Version">
    <vt:lpwstr>1.1</vt:lpwstr>
  </property>
  <property fmtid="{D5CDD505-2E9C-101B-9397-08002B2CF9AE}" pid="29" name="Objective-VersionNumber">
    <vt:r8>2</vt:r8>
  </property>
  <property fmtid="{D5CDD505-2E9C-101B-9397-08002B2CF9AE}" pid="30" name="Objective-VersionComment">
    <vt:lpwstr/>
  </property>
  <property fmtid="{D5CDD505-2E9C-101B-9397-08002B2CF9AE}" pid="31" name="Objective-FileNumber">
    <vt:lpwstr/>
  </property>
  <property fmtid="{D5CDD505-2E9C-101B-9397-08002B2CF9AE}" pid="32" name="Objective-Classification">
    <vt:lpwstr>[Inherited - none]</vt:lpwstr>
  </property>
  <property fmtid="{D5CDD505-2E9C-101B-9397-08002B2CF9AE}" pid="33" name="Objective-Caveats">
    <vt:lpwstr/>
  </property>
  <property fmtid="{D5CDD505-2E9C-101B-9397-08002B2CF9AE}" pid="34" name="Objective-Owner Agency">
    <vt:lpwstr>CED - City and Environment Directorate</vt:lpwstr>
  </property>
  <property fmtid="{D5CDD505-2E9C-101B-9397-08002B2CF9AE}" pid="35" name="Objective-Document Type">
    <vt:lpwstr>0-Document</vt:lpwstr>
  </property>
  <property fmtid="{D5CDD505-2E9C-101B-9397-08002B2CF9AE}" pid="36" name="Objective-Language">
    <vt:lpwstr>English (en)</vt:lpwstr>
  </property>
  <property fmtid="{D5CDD505-2E9C-101B-9397-08002B2CF9AE}" pid="37" name="Objective-Jurisdiction">
    <vt:lpwstr>ACT</vt:lpwstr>
  </property>
  <property fmtid="{D5CDD505-2E9C-101B-9397-08002B2CF9AE}" pid="38" name="Objective-Customers">
    <vt:lpwstr/>
  </property>
  <property fmtid="{D5CDD505-2E9C-101B-9397-08002B2CF9AE}" pid="39" name="Objective-Places">
    <vt:lpwstr/>
  </property>
  <property fmtid="{D5CDD505-2E9C-101B-9397-08002B2CF9AE}" pid="40" name="Objective-Transaction Reference">
    <vt:lpwstr/>
  </property>
  <property fmtid="{D5CDD505-2E9C-101B-9397-08002B2CF9AE}" pid="41" name="Objective-Document Created By">
    <vt:lpwstr/>
  </property>
  <property fmtid="{D5CDD505-2E9C-101B-9397-08002B2CF9AE}" pid="42" name="Objective-Document Created On">
    <vt:lpwstr/>
  </property>
  <property fmtid="{D5CDD505-2E9C-101B-9397-08002B2CF9AE}" pid="43" name="Objective-Covers Period From">
    <vt:lpwstr/>
  </property>
  <property fmtid="{D5CDD505-2E9C-101B-9397-08002B2CF9AE}" pid="44" name="Objective-Covers Period To">
    <vt:lpwstr/>
  </property>
  <property fmtid="{D5CDD505-2E9C-101B-9397-08002B2CF9AE}" pid="45" name="Objective-Status">
    <vt:lpwstr/>
  </property>
  <property fmtid="{D5CDD505-2E9C-101B-9397-08002B2CF9AE}" pid="46" name="Objective-S28 Exemption Number">
    <vt:lpwstr/>
  </property>
  <property fmtid="{D5CDD505-2E9C-101B-9397-08002B2CF9AE}" pid="47" name="Objective-S28 Exemption">
    <vt:lpwstr/>
  </property>
  <property fmtid="{D5CDD505-2E9C-101B-9397-08002B2CF9AE}" pid="48" name="Objective-S28 Exemption Reason">
    <vt:lpwstr/>
  </property>
  <property fmtid="{D5CDD505-2E9C-101B-9397-08002B2CF9AE}" pid="49" name="Objective-S28 Comments if partial exemption">
    <vt:lpwstr/>
  </property>
  <property fmtid="{D5CDD505-2E9C-101B-9397-08002B2CF9AE}" pid="50" name="Objective-S28 Date Approved">
    <vt:lpwstr/>
  </property>
</Properties>
</file>