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7A872" w14:textId="77777777" w:rsidR="000C212E" w:rsidRDefault="000C212E" w:rsidP="000C212E">
      <w:pPr>
        <w:jc w:val="center"/>
      </w:pPr>
      <w:r>
        <w:rPr>
          <w:noProof/>
        </w:rPr>
        <w:drawing>
          <wp:inline distT="0" distB="0" distL="0" distR="0" wp14:anchorId="3AA29845" wp14:editId="0AB8556D">
            <wp:extent cx="1339850" cy="11785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9850" cy="1178560"/>
                    </a:xfrm>
                    <a:prstGeom prst="rect">
                      <a:avLst/>
                    </a:prstGeom>
                    <a:noFill/>
                    <a:ln>
                      <a:noFill/>
                    </a:ln>
                  </pic:spPr>
                </pic:pic>
              </a:graphicData>
            </a:graphic>
          </wp:inline>
        </w:drawing>
      </w:r>
    </w:p>
    <w:p w14:paraId="1185F7EE" w14:textId="77777777" w:rsidR="000C212E" w:rsidRDefault="000C212E" w:rsidP="000C212E">
      <w:pPr>
        <w:jc w:val="center"/>
        <w:rPr>
          <w:rFonts w:ascii="Arial" w:hAnsi="Arial"/>
        </w:rPr>
      </w:pPr>
      <w:r>
        <w:rPr>
          <w:rFonts w:ascii="Arial" w:hAnsi="Arial"/>
        </w:rPr>
        <w:t>Australian Capital Territory</w:t>
      </w:r>
    </w:p>
    <w:p w14:paraId="5B85291F" w14:textId="4652717B" w:rsidR="000C212E" w:rsidRDefault="000C212E" w:rsidP="000C212E">
      <w:pPr>
        <w:pStyle w:val="citation"/>
      </w:pPr>
      <w:bookmarkStart w:id="0" w:name="Citation"/>
      <w:r>
        <w:t>Interactive Gambling Regulations</w:t>
      </w:r>
      <w:bookmarkEnd w:id="0"/>
    </w:p>
    <w:p w14:paraId="1E8764ED" w14:textId="1C056EA9" w:rsidR="000C212E" w:rsidRDefault="000C212E" w:rsidP="000C212E">
      <w:pPr>
        <w:pStyle w:val="ActNo"/>
      </w:pPr>
      <w:r>
        <w:t>SL1998-31</w:t>
      </w:r>
    </w:p>
    <w:p w14:paraId="4B37A9B2" w14:textId="77777777" w:rsidR="000C212E" w:rsidRDefault="000C212E" w:rsidP="000C212E">
      <w:pPr>
        <w:pStyle w:val="CoverInForce"/>
      </w:pPr>
      <w:r>
        <w:t>made under the</w:t>
      </w:r>
    </w:p>
    <w:p w14:paraId="3175E416" w14:textId="41982F7F" w:rsidR="000C212E" w:rsidRDefault="000C212E" w:rsidP="000C212E">
      <w:pPr>
        <w:pStyle w:val="CoverActName"/>
      </w:pPr>
      <w:r>
        <w:rPr>
          <w:rFonts w:ascii="Helvetica" w:hAnsi="Helvetica"/>
          <w:color w:val="000000"/>
          <w:sz w:val="22"/>
        </w:rPr>
        <w:t>Interactive Gambling Act 1998</w:t>
      </w:r>
    </w:p>
    <w:p w14:paraId="12BBF257" w14:textId="1E935E87" w:rsidR="000C212E" w:rsidRDefault="000C212E" w:rsidP="000C212E">
      <w:pPr>
        <w:pStyle w:val="RepubNo"/>
      </w:pPr>
      <w:r>
        <w:t>Republication No 0A</w:t>
      </w:r>
    </w:p>
    <w:p w14:paraId="4F4CBEFC" w14:textId="1A7D48BD" w:rsidR="000C212E" w:rsidRDefault="000C212E" w:rsidP="000C212E">
      <w:pPr>
        <w:pStyle w:val="EffectiveDate"/>
      </w:pPr>
      <w:r>
        <w:t>Effective:  1 March 2000 – 30 June 2000</w:t>
      </w:r>
    </w:p>
    <w:p w14:paraId="4E47990C" w14:textId="307627BB" w:rsidR="000C212E" w:rsidRDefault="000C212E" w:rsidP="000C212E">
      <w:pPr>
        <w:pStyle w:val="CoverInForce"/>
      </w:pPr>
      <w:r>
        <w:t xml:space="preserve">Republication date: </w:t>
      </w:r>
      <w:r w:rsidR="00902E6D">
        <w:t xml:space="preserve">25 January </w:t>
      </w:r>
      <w:r>
        <w:t>2023</w:t>
      </w:r>
    </w:p>
    <w:p w14:paraId="2BC7307C" w14:textId="6011C04A" w:rsidR="000C212E" w:rsidRDefault="000C212E" w:rsidP="000C212E">
      <w:pPr>
        <w:pStyle w:val="CoverInForce"/>
      </w:pPr>
      <w:r>
        <w:t>Last amendment made by A1999-79</w:t>
      </w:r>
    </w:p>
    <w:p w14:paraId="139BD7B2" w14:textId="77777777" w:rsidR="000C212E" w:rsidRDefault="000C212E" w:rsidP="000C212E"/>
    <w:p w14:paraId="5CAE888D" w14:textId="77777777" w:rsidR="000C212E" w:rsidRDefault="000C212E" w:rsidP="000C212E"/>
    <w:p w14:paraId="2EB96E9A" w14:textId="77777777" w:rsidR="000C212E" w:rsidRDefault="000C212E" w:rsidP="000C212E">
      <w:pPr>
        <w:pStyle w:val="CoverHeading"/>
      </w:pPr>
      <w:r>
        <w:br w:type="page"/>
      </w:r>
      <w:r>
        <w:lastRenderedPageBreak/>
        <w:t>About this republication</w:t>
      </w:r>
    </w:p>
    <w:p w14:paraId="1AD4DA92" w14:textId="77777777" w:rsidR="000C212E" w:rsidRDefault="000C212E" w:rsidP="000C212E">
      <w:pPr>
        <w:pStyle w:val="CoverSubHdg"/>
      </w:pPr>
      <w:r>
        <w:t>The republished law</w:t>
      </w:r>
    </w:p>
    <w:p w14:paraId="72D1D798" w14:textId="59E6FDCE" w:rsidR="000C212E" w:rsidRDefault="000C212E" w:rsidP="000C212E">
      <w:pPr>
        <w:pStyle w:val="CoverText"/>
      </w:pPr>
      <w:r>
        <w:t xml:space="preserve">This is a republication of the </w:t>
      </w:r>
      <w:r>
        <w:rPr>
          <w:i/>
          <w:iCs/>
        </w:rPr>
        <w:t>Interactive Gambling Regulations</w:t>
      </w:r>
      <w:r>
        <w:t xml:space="preserve"> effective from 1 March 2000 to 30 June 2000.</w:t>
      </w:r>
    </w:p>
    <w:p w14:paraId="7748EA23" w14:textId="77777777" w:rsidR="000C212E" w:rsidRDefault="000C212E" w:rsidP="000C212E">
      <w:pPr>
        <w:pStyle w:val="CoverSubHdg"/>
      </w:pPr>
      <w:r>
        <w:t>Kinds of republications</w:t>
      </w:r>
    </w:p>
    <w:p w14:paraId="434B2DBC" w14:textId="77777777" w:rsidR="000C212E" w:rsidRDefault="000C212E" w:rsidP="000C212E">
      <w:pPr>
        <w:pStyle w:val="CoverText"/>
      </w:pPr>
      <w:r>
        <w:t>The Parliamentary Counsel’s Office prepares 2 kinds of republications of ACT laws (see the ACT legislation register at www.legislation.act.gov.au):</w:t>
      </w:r>
    </w:p>
    <w:p w14:paraId="36266A3A" w14:textId="77777777" w:rsidR="000C212E" w:rsidRDefault="000C212E" w:rsidP="000C212E">
      <w:pPr>
        <w:pStyle w:val="CoverText"/>
        <w:numPr>
          <w:ilvl w:val="0"/>
          <w:numId w:val="5"/>
        </w:numPr>
      </w:pPr>
      <w:r>
        <w:t xml:space="preserve">authorised republications to which the </w:t>
      </w:r>
      <w:r>
        <w:rPr>
          <w:i/>
        </w:rPr>
        <w:t>Legislation Act 2001</w:t>
      </w:r>
      <w:r>
        <w:t xml:space="preserve"> applies</w:t>
      </w:r>
    </w:p>
    <w:p w14:paraId="7AC6003E" w14:textId="77777777" w:rsidR="000C212E" w:rsidRDefault="000C212E" w:rsidP="000C212E">
      <w:pPr>
        <w:pStyle w:val="CoverText"/>
        <w:numPr>
          <w:ilvl w:val="0"/>
          <w:numId w:val="5"/>
        </w:numPr>
      </w:pPr>
      <w:r>
        <w:t>unauthorised republications.</w:t>
      </w:r>
    </w:p>
    <w:p w14:paraId="19044E2D" w14:textId="77777777" w:rsidR="000C212E" w:rsidRDefault="000C212E" w:rsidP="000C212E">
      <w:pPr>
        <w:pStyle w:val="CoverText"/>
      </w:pPr>
      <w:r>
        <w:t>The status of this republication appears on the bottom of each page.</w:t>
      </w:r>
    </w:p>
    <w:p w14:paraId="5537CD5E" w14:textId="77777777" w:rsidR="000C212E" w:rsidRDefault="000C212E" w:rsidP="000C212E">
      <w:pPr>
        <w:pStyle w:val="CoverSubHdg"/>
      </w:pPr>
      <w:r>
        <w:t>Editorial changes</w:t>
      </w:r>
    </w:p>
    <w:p w14:paraId="58CE71C1" w14:textId="77777777" w:rsidR="000C212E" w:rsidRDefault="000C212E" w:rsidP="000C212E">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14:paraId="02EED474" w14:textId="77777777" w:rsidR="000C212E" w:rsidRDefault="000C212E" w:rsidP="000C212E">
      <w:pPr>
        <w:pStyle w:val="CoverText"/>
      </w:pPr>
    </w:p>
    <w:p w14:paraId="1F5929BA" w14:textId="77777777" w:rsidR="000C212E" w:rsidRDefault="000C212E" w:rsidP="000C212E">
      <w:pPr>
        <w:pStyle w:val="00SigningPage"/>
        <w:sectPr w:rsidR="000C212E">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14:paraId="49485FA0" w14:textId="77777777" w:rsidR="00CA5089" w:rsidRDefault="00CA5089" w:rsidP="00CA5089">
      <w:pPr>
        <w:jc w:val="center"/>
      </w:pPr>
      <w:r>
        <w:rPr>
          <w:noProof/>
        </w:rPr>
        <w:lastRenderedPageBreak/>
        <w:drawing>
          <wp:inline distT="0" distB="0" distL="0" distR="0" wp14:anchorId="4724FB8D" wp14:editId="70D320C5">
            <wp:extent cx="1339850" cy="11785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9850" cy="1178560"/>
                    </a:xfrm>
                    <a:prstGeom prst="rect">
                      <a:avLst/>
                    </a:prstGeom>
                    <a:noFill/>
                    <a:ln>
                      <a:noFill/>
                    </a:ln>
                  </pic:spPr>
                </pic:pic>
              </a:graphicData>
            </a:graphic>
          </wp:inline>
        </w:drawing>
      </w:r>
    </w:p>
    <w:p w14:paraId="7889523E" w14:textId="77777777" w:rsidR="00CA5089" w:rsidRDefault="00CA5089" w:rsidP="00CA5089">
      <w:pPr>
        <w:jc w:val="center"/>
        <w:rPr>
          <w:rFonts w:ascii="Arial" w:hAnsi="Arial"/>
        </w:rPr>
      </w:pPr>
      <w:r>
        <w:rPr>
          <w:rFonts w:ascii="Arial" w:hAnsi="Arial"/>
        </w:rPr>
        <w:t>Australian Capital Territory</w:t>
      </w:r>
    </w:p>
    <w:p w14:paraId="1ECFDFE1" w14:textId="77777777" w:rsidR="00267968" w:rsidRDefault="00F173ED">
      <w:pPr>
        <w:spacing w:after="300"/>
        <w:jc w:val="center"/>
        <w:rPr>
          <w:rFonts w:ascii="Helvetica" w:hAnsi="Helvetica"/>
          <w:b/>
          <w:caps/>
          <w:sz w:val="28"/>
        </w:rPr>
      </w:pPr>
      <w:r>
        <w:rPr>
          <w:rFonts w:ascii="Helvetica" w:hAnsi="Helvetica"/>
          <w:b/>
          <w:caps/>
          <w:sz w:val="28"/>
        </w:rPr>
        <w:t>interactive gambling regulations</w:t>
      </w:r>
    </w:p>
    <w:p w14:paraId="27CC72C9" w14:textId="77777777" w:rsidR="00267968" w:rsidRDefault="00F173ED">
      <w:pPr>
        <w:spacing w:after="100"/>
        <w:ind w:right="23"/>
        <w:jc w:val="center"/>
        <w:rPr>
          <w:sz w:val="20"/>
        </w:rPr>
      </w:pPr>
      <w:r>
        <w:rPr>
          <w:sz w:val="20"/>
        </w:rPr>
        <w:t>This consolidation has been prepared by the ACT Parliamentary Counsel’s Office</w:t>
      </w:r>
    </w:p>
    <w:p w14:paraId="695C5DC3" w14:textId="77777777" w:rsidR="00267968" w:rsidRDefault="00F173ED">
      <w:pPr>
        <w:spacing w:before="100" w:after="300"/>
        <w:jc w:val="center"/>
        <w:rPr>
          <w:caps/>
          <w:sz w:val="20"/>
        </w:rPr>
      </w:pPr>
      <w:r>
        <w:rPr>
          <w:sz w:val="20"/>
        </w:rPr>
        <w:t>Updated as at 1 March 2000</w:t>
      </w:r>
    </w:p>
    <w:p w14:paraId="1785EC64" w14:textId="77777777" w:rsidR="00267968" w:rsidRDefault="00F173ED">
      <w:pPr>
        <w:jc w:val="center"/>
        <w:rPr>
          <w:b/>
          <w:sz w:val="20"/>
        </w:rPr>
      </w:pPr>
      <w:r>
        <w:rPr>
          <w:b/>
          <w:sz w:val="20"/>
        </w:rPr>
        <w:t>TABLE OF PROVISIONS</w:t>
      </w:r>
    </w:p>
    <w:p w14:paraId="07CA770C" w14:textId="77777777" w:rsidR="00267968" w:rsidRDefault="00F173ED">
      <w:pPr>
        <w:spacing w:before="200"/>
        <w:rPr>
          <w:sz w:val="18"/>
        </w:rPr>
      </w:pPr>
      <w:r>
        <w:rPr>
          <w:sz w:val="18"/>
        </w:rPr>
        <w:t>Regulation</w:t>
      </w:r>
    </w:p>
    <w:p w14:paraId="7D45BC1B" w14:textId="77777777" w:rsidR="00267968" w:rsidRDefault="00F173ED">
      <w:pPr>
        <w:pStyle w:val="TOC3"/>
      </w:pPr>
      <w:r>
        <w:tab/>
        <w:t>1.</w:t>
      </w:r>
      <w:r>
        <w:tab/>
        <w:t>Citation</w:t>
      </w:r>
    </w:p>
    <w:p w14:paraId="774E5336" w14:textId="77777777" w:rsidR="00267968" w:rsidRDefault="00F173ED">
      <w:pPr>
        <w:pStyle w:val="TOC3"/>
      </w:pPr>
      <w:r>
        <w:tab/>
        <w:t>2.</w:t>
      </w:r>
      <w:r>
        <w:tab/>
        <w:t>Commencement</w:t>
      </w:r>
    </w:p>
    <w:p w14:paraId="12DB451E" w14:textId="77777777" w:rsidR="00267968" w:rsidRDefault="00F173ED">
      <w:pPr>
        <w:pStyle w:val="TOC3"/>
      </w:pPr>
      <w:r>
        <w:tab/>
        <w:t>3.</w:t>
      </w:r>
      <w:r>
        <w:tab/>
        <w:t>Interpretation</w:t>
      </w:r>
    </w:p>
    <w:p w14:paraId="00F7452D" w14:textId="77777777" w:rsidR="00267968" w:rsidRDefault="00F173ED">
      <w:pPr>
        <w:pStyle w:val="TOC3"/>
      </w:pPr>
      <w:r>
        <w:tab/>
        <w:t>4.</w:t>
      </w:r>
      <w:r>
        <w:tab/>
        <w:t>Regulated interactive gambling equipment</w:t>
      </w:r>
    </w:p>
    <w:p w14:paraId="29258872" w14:textId="77777777" w:rsidR="00267968" w:rsidRDefault="00F173ED">
      <w:pPr>
        <w:pStyle w:val="TOC3"/>
      </w:pPr>
      <w:r>
        <w:tab/>
        <w:t>5.</w:t>
      </w:r>
      <w:r>
        <w:tab/>
        <w:t>Evidence for registration</w:t>
      </w:r>
    </w:p>
    <w:p w14:paraId="1FF040A1" w14:textId="77777777" w:rsidR="00267968" w:rsidRDefault="00F173ED">
      <w:pPr>
        <w:pStyle w:val="TOC3"/>
      </w:pPr>
      <w:r>
        <w:tab/>
        <w:t>6.</w:t>
      </w:r>
      <w:r>
        <w:tab/>
        <w:t>Provision of funds to cover amount of wager</w:t>
      </w:r>
    </w:p>
    <w:p w14:paraId="5EEC1CD7" w14:textId="77777777" w:rsidR="00267968" w:rsidRDefault="00F173ED">
      <w:pPr>
        <w:pStyle w:val="TOC3"/>
      </w:pPr>
      <w:r>
        <w:tab/>
        <w:t>7.</w:t>
      </w:r>
      <w:r>
        <w:tab/>
        <w:t>Evidence of identity</w:t>
      </w:r>
    </w:p>
    <w:p w14:paraId="231B5D14" w14:textId="77777777" w:rsidR="00267968" w:rsidRDefault="00F173ED">
      <w:pPr>
        <w:pStyle w:val="TOC3"/>
      </w:pPr>
      <w:r>
        <w:tab/>
        <w:t>8.</w:t>
      </w:r>
      <w:r>
        <w:tab/>
        <w:t>Gambling licences—prescribed particulars</w:t>
      </w:r>
    </w:p>
    <w:p w14:paraId="6BCE98E3" w14:textId="77777777" w:rsidR="00267968" w:rsidRDefault="00F173ED">
      <w:pPr>
        <w:pStyle w:val="TOC3"/>
      </w:pPr>
      <w:r>
        <w:tab/>
        <w:t>9.</w:t>
      </w:r>
      <w:r>
        <w:tab/>
        <w:t>Applications for key person licences—prescribed documents</w:t>
      </w:r>
    </w:p>
    <w:p w14:paraId="6FCC2763" w14:textId="77777777" w:rsidR="00267968" w:rsidRDefault="00F173ED">
      <w:pPr>
        <w:pStyle w:val="TOC3"/>
      </w:pPr>
      <w:r>
        <w:tab/>
        <w:t>10.</w:t>
      </w:r>
      <w:r>
        <w:tab/>
        <w:t>Requirements relating to identity</w:t>
      </w:r>
    </w:p>
    <w:p w14:paraId="060FE29A" w14:textId="77777777" w:rsidR="00267968" w:rsidRDefault="00F173ED">
      <w:pPr>
        <w:pStyle w:val="TOC3"/>
      </w:pPr>
      <w:r>
        <w:tab/>
        <w:t>11.</w:t>
      </w:r>
      <w:r>
        <w:tab/>
        <w:t>Eligibility to be an agent—criteria</w:t>
      </w:r>
    </w:p>
    <w:p w14:paraId="2A74D522" w14:textId="77777777" w:rsidR="00267968" w:rsidRDefault="00F173ED">
      <w:pPr>
        <w:pStyle w:val="TOC3"/>
      </w:pPr>
      <w:r>
        <w:tab/>
        <w:t>12.</w:t>
      </w:r>
      <w:r>
        <w:tab/>
        <w:t>Calculation of interactive gambling tax</w:t>
      </w:r>
    </w:p>
    <w:p w14:paraId="5F21531D" w14:textId="77777777" w:rsidR="00267968" w:rsidRDefault="00F173ED">
      <w:pPr>
        <w:pStyle w:val="TOC3"/>
      </w:pPr>
      <w:r>
        <w:tab/>
        <w:t>13.</w:t>
      </w:r>
      <w:r>
        <w:tab/>
        <w:t>Payment of interactive gambling tax</w:t>
      </w:r>
    </w:p>
    <w:p w14:paraId="1C7E709B" w14:textId="77777777" w:rsidR="00267968" w:rsidRDefault="00F173ED">
      <w:pPr>
        <w:pStyle w:val="TOC3"/>
      </w:pPr>
      <w:r>
        <w:tab/>
        <w:t>14.</w:t>
      </w:r>
      <w:r>
        <w:tab/>
        <w:t>Information for calculating interactive gambling tax</w:t>
      </w:r>
    </w:p>
    <w:p w14:paraId="39B2A175" w14:textId="77777777" w:rsidR="00267968" w:rsidRDefault="00F173ED">
      <w:pPr>
        <w:pStyle w:val="TOC3"/>
      </w:pPr>
      <w:r>
        <w:tab/>
        <w:t>15.</w:t>
      </w:r>
      <w:r>
        <w:tab/>
        <w:t>Calculation of interactive gambling tax—other information</w:t>
      </w:r>
    </w:p>
    <w:p w14:paraId="14E8D35B" w14:textId="77777777" w:rsidR="00267968" w:rsidRDefault="00F173ED">
      <w:pPr>
        <w:pStyle w:val="TOC3"/>
      </w:pPr>
      <w:r>
        <w:tab/>
        <w:t>16.</w:t>
      </w:r>
      <w:r>
        <w:tab/>
        <w:t>Agent’s operation—appropriate places</w:t>
      </w:r>
    </w:p>
    <w:p w14:paraId="43011955" w14:textId="77777777" w:rsidR="00267968" w:rsidRDefault="00F173ED">
      <w:pPr>
        <w:pStyle w:val="TOC3"/>
      </w:pPr>
      <w:r>
        <w:tab/>
        <w:t>17.</w:t>
      </w:r>
      <w:r>
        <w:tab/>
        <w:t>Prescribed period—s. 100 (1)</w:t>
      </w:r>
    </w:p>
    <w:p w14:paraId="1C35B277" w14:textId="77777777" w:rsidR="00267968" w:rsidRDefault="00F173ED">
      <w:pPr>
        <w:pStyle w:val="TOC3"/>
      </w:pPr>
      <w:r>
        <w:tab/>
        <w:t>18.</w:t>
      </w:r>
      <w:r>
        <w:tab/>
        <w:t>Unclaimed money</w:t>
      </w:r>
    </w:p>
    <w:p w14:paraId="530C37E0" w14:textId="77777777" w:rsidR="00267968" w:rsidRDefault="00267968"/>
    <w:p w14:paraId="16C87281" w14:textId="77777777" w:rsidR="00267968" w:rsidRDefault="00267968">
      <w:pPr>
        <w:ind w:right="20"/>
        <w:sectPr w:rsidR="00267968" w:rsidSect="00610BF3">
          <w:headerReference w:type="even" r:id="rId14"/>
          <w:headerReference w:type="default" r:id="rId15"/>
          <w:footerReference w:type="even" r:id="rId16"/>
          <w:footerReference w:type="default" r:id="rId17"/>
          <w:pgSz w:w="11907" w:h="16839"/>
          <w:pgMar w:top="2999" w:right="1899" w:bottom="2500" w:left="2302" w:header="2477" w:footer="2098" w:gutter="0"/>
          <w:pgNumType w:fmt="lowerRoman"/>
          <w:cols w:space="720"/>
          <w:titlePg/>
          <w:docGrid w:linePitch="326"/>
        </w:sectPr>
      </w:pPr>
    </w:p>
    <w:p w14:paraId="6E9D0985" w14:textId="77777777" w:rsidR="00CA5089" w:rsidRDefault="00CA5089" w:rsidP="00CA5089">
      <w:pPr>
        <w:jc w:val="center"/>
      </w:pPr>
      <w:r>
        <w:rPr>
          <w:noProof/>
        </w:rPr>
        <w:lastRenderedPageBreak/>
        <w:drawing>
          <wp:inline distT="0" distB="0" distL="0" distR="0" wp14:anchorId="55687496" wp14:editId="234D77A9">
            <wp:extent cx="1339850" cy="11785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9850" cy="1178560"/>
                    </a:xfrm>
                    <a:prstGeom prst="rect">
                      <a:avLst/>
                    </a:prstGeom>
                    <a:noFill/>
                    <a:ln>
                      <a:noFill/>
                    </a:ln>
                  </pic:spPr>
                </pic:pic>
              </a:graphicData>
            </a:graphic>
          </wp:inline>
        </w:drawing>
      </w:r>
    </w:p>
    <w:p w14:paraId="19831926" w14:textId="77777777" w:rsidR="00CA5089" w:rsidRDefault="00CA5089" w:rsidP="00CA5089">
      <w:pPr>
        <w:jc w:val="center"/>
        <w:rPr>
          <w:rFonts w:ascii="Arial" w:hAnsi="Arial"/>
        </w:rPr>
      </w:pPr>
      <w:r>
        <w:rPr>
          <w:rFonts w:ascii="Arial" w:hAnsi="Arial"/>
        </w:rPr>
        <w:t>Australian Capital Territory</w:t>
      </w:r>
    </w:p>
    <w:p w14:paraId="2479DB1E" w14:textId="77777777" w:rsidR="00267968" w:rsidRDefault="00F173ED">
      <w:pPr>
        <w:spacing w:after="300"/>
        <w:jc w:val="center"/>
        <w:rPr>
          <w:rFonts w:ascii="Helvetica" w:hAnsi="Helvetica"/>
          <w:b/>
          <w:caps/>
          <w:sz w:val="28"/>
        </w:rPr>
      </w:pPr>
      <w:r>
        <w:rPr>
          <w:rFonts w:ascii="Helvetica" w:hAnsi="Helvetica"/>
          <w:b/>
          <w:caps/>
          <w:sz w:val="28"/>
        </w:rPr>
        <w:t>interactive gambling regulations</w:t>
      </w:r>
    </w:p>
    <w:p w14:paraId="71D7D693" w14:textId="77777777" w:rsidR="00267968" w:rsidRDefault="00F173ED">
      <w:pPr>
        <w:pStyle w:val="AH3sec"/>
        <w:spacing w:before="120"/>
      </w:pPr>
      <w:bookmarkStart w:id="1" w:name="_Toc431627526"/>
      <w:r>
        <w:t xml:space="preserve">1. </w:t>
      </w:r>
      <w:r>
        <w:tab/>
        <w:t>Citation</w:t>
      </w:r>
      <w:bookmarkEnd w:id="1"/>
    </w:p>
    <w:p w14:paraId="004FCCF4" w14:textId="77777777" w:rsidR="00267968" w:rsidRDefault="00F173ED">
      <w:pPr>
        <w:pStyle w:val="Amain"/>
      </w:pPr>
      <w:r>
        <w:tab/>
        <w:t xml:space="preserve">These Regulations may be cited as the </w:t>
      </w:r>
      <w:r>
        <w:rPr>
          <w:i/>
        </w:rPr>
        <w:t>Interactive Gambling</w:t>
      </w:r>
      <w:r>
        <w:t xml:space="preserve"> </w:t>
      </w:r>
      <w:r>
        <w:rPr>
          <w:i/>
        </w:rPr>
        <w:t>Regulations</w:t>
      </w:r>
      <w:r>
        <w:t>.</w:t>
      </w:r>
      <w:r>
        <w:rPr>
          <w:position w:val="10"/>
          <w:sz w:val="12"/>
        </w:rPr>
        <w:t>1</w:t>
      </w:r>
    </w:p>
    <w:p w14:paraId="10765062" w14:textId="77777777" w:rsidR="00267968" w:rsidRDefault="00F173ED">
      <w:pPr>
        <w:pStyle w:val="AH3sec"/>
        <w:spacing w:before="120"/>
      </w:pPr>
      <w:bookmarkStart w:id="2" w:name="_Toc431627527"/>
      <w:r>
        <w:t xml:space="preserve">2. </w:t>
      </w:r>
      <w:r>
        <w:tab/>
        <w:t>Commencement</w:t>
      </w:r>
      <w:bookmarkEnd w:id="2"/>
    </w:p>
    <w:p w14:paraId="25F68BBB" w14:textId="77777777" w:rsidR="00267968" w:rsidRDefault="00F173ED">
      <w:pPr>
        <w:pStyle w:val="Amain"/>
      </w:pPr>
      <w:r>
        <w:tab/>
        <w:t xml:space="preserve">These Regulations commence on the day on which they are notified in the </w:t>
      </w:r>
      <w:r>
        <w:rPr>
          <w:i/>
        </w:rPr>
        <w:t>Gazette</w:t>
      </w:r>
      <w:r>
        <w:t>.</w:t>
      </w:r>
    </w:p>
    <w:p w14:paraId="7E5B5BC1" w14:textId="77777777" w:rsidR="00267968" w:rsidRDefault="00F173ED">
      <w:pPr>
        <w:pStyle w:val="AH3sec"/>
        <w:spacing w:before="120"/>
      </w:pPr>
      <w:bookmarkStart w:id="3" w:name="_Toc431627528"/>
      <w:r>
        <w:t xml:space="preserve">3. </w:t>
      </w:r>
      <w:r>
        <w:tab/>
        <w:t>Interpretation</w:t>
      </w:r>
      <w:bookmarkEnd w:id="3"/>
    </w:p>
    <w:p w14:paraId="11DBF0D4" w14:textId="77777777" w:rsidR="00267968" w:rsidRDefault="00F173ED">
      <w:pPr>
        <w:pStyle w:val="Amain"/>
      </w:pPr>
      <w:r>
        <w:tab/>
        <w:t>In these Regulations, unless the contrary intention appears—</w:t>
      </w:r>
    </w:p>
    <w:p w14:paraId="3DB2B647" w14:textId="77777777" w:rsidR="00267968" w:rsidRDefault="00F173ED">
      <w:pPr>
        <w:pStyle w:val="aDef"/>
      </w:pPr>
      <w:r>
        <w:t>“accounting and auditing computer system” means a computer system used by a licensed provider to record or check 1 or more of the following in an authorised game:</w:t>
      </w:r>
    </w:p>
    <w:p w14:paraId="0C07A3A7" w14:textId="77777777" w:rsidR="00267968" w:rsidRDefault="00F173ED">
      <w:pPr>
        <w:pStyle w:val="Asubpara"/>
      </w:pPr>
      <w:r>
        <w:tab/>
        <w:t>(a)</w:t>
      </w:r>
      <w:r>
        <w:tab/>
        <w:t>the wagers made by players;</w:t>
      </w:r>
    </w:p>
    <w:p w14:paraId="1C1DF9B0" w14:textId="77777777" w:rsidR="00267968" w:rsidRDefault="00F173ED">
      <w:pPr>
        <w:pStyle w:val="Asubpara"/>
      </w:pPr>
      <w:r>
        <w:tab/>
        <w:t>(b)</w:t>
      </w:r>
      <w:r>
        <w:tab/>
        <w:t>other amounts received from players;</w:t>
      </w:r>
    </w:p>
    <w:p w14:paraId="45009B5F" w14:textId="77777777" w:rsidR="00267968" w:rsidRDefault="00F173ED">
      <w:pPr>
        <w:pStyle w:val="Asubpara"/>
      </w:pPr>
      <w:r>
        <w:tab/>
        <w:t>(c)</w:t>
      </w:r>
      <w:r>
        <w:tab/>
        <w:t>the amount paid to players;</w:t>
      </w:r>
    </w:p>
    <w:p w14:paraId="43555B76" w14:textId="77777777" w:rsidR="00267968" w:rsidRDefault="00F173ED">
      <w:pPr>
        <w:pStyle w:val="Asubpara"/>
      </w:pPr>
      <w:r>
        <w:tab/>
        <w:t>(d)</w:t>
      </w:r>
      <w:r>
        <w:tab/>
        <w:t>the authentication of players;</w:t>
      </w:r>
    </w:p>
    <w:p w14:paraId="3CA29070" w14:textId="77777777" w:rsidR="00267968" w:rsidRDefault="00F173ED">
      <w:pPr>
        <w:pStyle w:val="Asubpara"/>
      </w:pPr>
      <w:r>
        <w:tab/>
        <w:t>(e)</w:t>
      </w:r>
      <w:r>
        <w:tab/>
        <w:t>game play information;</w:t>
      </w:r>
    </w:p>
    <w:p w14:paraId="438BF8F8" w14:textId="77777777" w:rsidR="00267968" w:rsidRDefault="00F173ED">
      <w:pPr>
        <w:pStyle w:val="Asubpara"/>
      </w:pPr>
      <w:r>
        <w:tab/>
        <w:t>(f)</w:t>
      </w:r>
      <w:r>
        <w:tab/>
        <w:t>the prizes (monetary and non-monetary) to be won;</w:t>
      </w:r>
    </w:p>
    <w:p w14:paraId="6BDB2B97" w14:textId="77777777" w:rsidR="00267968" w:rsidRDefault="00F173ED">
      <w:pPr>
        <w:pStyle w:val="aDef"/>
      </w:pPr>
      <w:r>
        <w:t>“certified copy”, in relation to a document, means a copy of the document certified by a legal practitioner, a justice of the peace or a notary public for the Territory or elsewhere, as a true copy;</w:t>
      </w:r>
    </w:p>
    <w:p w14:paraId="52243677" w14:textId="77777777" w:rsidR="00267968" w:rsidRDefault="00F173ED">
      <w:pPr>
        <w:pStyle w:val="aDef"/>
      </w:pPr>
      <w:r>
        <w:t>“end user device” means computer software or hardware necessary to—</w:t>
      </w:r>
    </w:p>
    <w:p w14:paraId="524A61C0" w14:textId="77777777" w:rsidR="00267968" w:rsidRDefault="00F173ED">
      <w:pPr>
        <w:pStyle w:val="Asubpara"/>
      </w:pPr>
      <w:r>
        <w:tab/>
        <w:t>(a)</w:t>
      </w:r>
      <w:r>
        <w:tab/>
        <w:t>enable a player to make a wager in an authorised game; or</w:t>
      </w:r>
    </w:p>
    <w:p w14:paraId="0A94D985" w14:textId="77777777" w:rsidR="00267968" w:rsidRDefault="00F173ED">
      <w:pPr>
        <w:pStyle w:val="Asubpara"/>
      </w:pPr>
      <w:r>
        <w:tab/>
        <w:t>(b)</w:t>
      </w:r>
      <w:r>
        <w:tab/>
        <w:t>inform the player of the result of an authorised game;</w:t>
      </w:r>
    </w:p>
    <w:p w14:paraId="0B6983D5" w14:textId="77777777" w:rsidR="00267968" w:rsidRDefault="00F173ED">
      <w:pPr>
        <w:pStyle w:val="aDef"/>
      </w:pPr>
      <w:r>
        <w:lastRenderedPageBreak/>
        <w:t>“gross profit”, in relation to an authorised game, means the difference between the gambling turnover and the value of the total amount of prizes won in the game;</w:t>
      </w:r>
    </w:p>
    <w:p w14:paraId="69F344EA" w14:textId="77777777" w:rsidR="00267968" w:rsidRDefault="00F173ED">
      <w:pPr>
        <w:pStyle w:val="aDef"/>
      </w:pPr>
      <w:r>
        <w:t>“interactive computer system” means a computer system used for the conduct of interactive games by a licensed provider;</w:t>
      </w:r>
    </w:p>
    <w:p w14:paraId="34A7AA3D" w14:textId="77777777" w:rsidR="00267968" w:rsidRDefault="00F173ED">
      <w:pPr>
        <w:pStyle w:val="aDef"/>
      </w:pPr>
      <w:r>
        <w:t>“interactive network controller” means a device electronically linking an interactive computer system to an end user device;</w:t>
      </w:r>
    </w:p>
    <w:p w14:paraId="1F3AA8D9" w14:textId="77777777" w:rsidR="00267968" w:rsidRDefault="00F173ED">
      <w:pPr>
        <w:pStyle w:val="aDef"/>
      </w:pPr>
      <w:r>
        <w:t>“non-participating jurisdiction” means—</w:t>
      </w:r>
    </w:p>
    <w:p w14:paraId="286C59A3" w14:textId="77777777" w:rsidR="00267968" w:rsidRDefault="00F173ED">
      <w:pPr>
        <w:pStyle w:val="Asubpara"/>
      </w:pPr>
      <w:r>
        <w:tab/>
        <w:t>(a)</w:t>
      </w:r>
      <w:r>
        <w:tab/>
        <w:t>a State or another Territory that is not declared to be a participating jurisdiction; and</w:t>
      </w:r>
    </w:p>
    <w:p w14:paraId="5FB77CA8" w14:textId="77777777" w:rsidR="00267968" w:rsidRDefault="00F173ED">
      <w:pPr>
        <w:pStyle w:val="Asubpara"/>
      </w:pPr>
      <w:r>
        <w:tab/>
        <w:t>(b)</w:t>
      </w:r>
      <w:r>
        <w:tab/>
        <w:t>a country other than Australia;</w:t>
      </w:r>
    </w:p>
    <w:p w14:paraId="1D362CF3" w14:textId="77777777" w:rsidR="00267968" w:rsidRDefault="00F173ED">
      <w:pPr>
        <w:pStyle w:val="aDef"/>
      </w:pPr>
      <w:r>
        <w:t xml:space="preserve"> “the Act” means the </w:t>
      </w:r>
      <w:r>
        <w:rPr>
          <w:i/>
        </w:rPr>
        <w:t>Interactive Gambling Act 1998</w:t>
      </w:r>
      <w:r>
        <w:t>.</w:t>
      </w:r>
    </w:p>
    <w:p w14:paraId="426719AE" w14:textId="77777777" w:rsidR="00267968" w:rsidRDefault="00F173ED">
      <w:pPr>
        <w:pStyle w:val="AH3sec"/>
        <w:spacing w:before="120"/>
      </w:pPr>
      <w:bookmarkStart w:id="4" w:name="_Toc431627529"/>
      <w:r>
        <w:t xml:space="preserve">4. </w:t>
      </w:r>
      <w:r>
        <w:tab/>
        <w:t>Regulated interactive gambling equipment</w:t>
      </w:r>
      <w:bookmarkEnd w:id="4"/>
    </w:p>
    <w:p w14:paraId="0850F2EB" w14:textId="77777777" w:rsidR="00267968" w:rsidRDefault="00F173ED">
      <w:pPr>
        <w:pStyle w:val="Amain"/>
      </w:pPr>
      <w:r>
        <w:tab/>
        <w:t>For the purposes of the definition of “regulated interactive gambling equipment” in section 3 of the Act the following are declared to be regulated interactive gambling equipment:</w:t>
      </w:r>
    </w:p>
    <w:p w14:paraId="2483D885" w14:textId="77777777" w:rsidR="00267968" w:rsidRDefault="00F173ED">
      <w:pPr>
        <w:pStyle w:val="Apara"/>
      </w:pPr>
      <w:r>
        <w:tab/>
        <w:t>(a)</w:t>
      </w:r>
      <w:r>
        <w:tab/>
        <w:t>an accounting and auditing computer system;</w:t>
      </w:r>
    </w:p>
    <w:p w14:paraId="7116342A" w14:textId="77777777" w:rsidR="00267968" w:rsidRDefault="00F173ED">
      <w:pPr>
        <w:pStyle w:val="Apara"/>
      </w:pPr>
      <w:r>
        <w:tab/>
        <w:t>(b)</w:t>
      </w:r>
      <w:r>
        <w:tab/>
        <w:t>an end user device;</w:t>
      </w:r>
    </w:p>
    <w:p w14:paraId="7BDC24E4" w14:textId="77777777" w:rsidR="00267968" w:rsidRDefault="00F173ED">
      <w:pPr>
        <w:pStyle w:val="Apara"/>
      </w:pPr>
      <w:r>
        <w:tab/>
        <w:t>(c)</w:t>
      </w:r>
      <w:r>
        <w:tab/>
        <w:t>an interactive computer system;</w:t>
      </w:r>
    </w:p>
    <w:p w14:paraId="478045EC" w14:textId="77777777" w:rsidR="00267968" w:rsidRDefault="00F173ED">
      <w:pPr>
        <w:pStyle w:val="Apara"/>
      </w:pPr>
      <w:r>
        <w:tab/>
        <w:t>(d)</w:t>
      </w:r>
      <w:r>
        <w:tab/>
        <w:t>an interactive network controller.</w:t>
      </w:r>
    </w:p>
    <w:p w14:paraId="1F075BC2" w14:textId="77777777" w:rsidR="00267968" w:rsidRDefault="00F173ED">
      <w:pPr>
        <w:pStyle w:val="AH3sec"/>
        <w:spacing w:before="120"/>
      </w:pPr>
      <w:bookmarkStart w:id="5" w:name="_Toc431627530"/>
      <w:r>
        <w:t xml:space="preserve">5. </w:t>
      </w:r>
      <w:r>
        <w:tab/>
        <w:t>Evidence for registration</w:t>
      </w:r>
      <w:bookmarkEnd w:id="5"/>
    </w:p>
    <w:p w14:paraId="7857DFF7" w14:textId="77777777" w:rsidR="00267968" w:rsidRDefault="00F173ED">
      <w:pPr>
        <w:pStyle w:val="Amain"/>
      </w:pPr>
      <w:r>
        <w:tab/>
        <w:t>For the purposes of subsection 16 (2) of the Act the following kinds of evidence are prescribed:</w:t>
      </w:r>
    </w:p>
    <w:p w14:paraId="5E37F34D" w14:textId="77777777" w:rsidR="00267968" w:rsidRDefault="00F173ED">
      <w:pPr>
        <w:pStyle w:val="Apara"/>
      </w:pPr>
      <w:r>
        <w:tab/>
        <w:t>(a)</w:t>
      </w:r>
      <w:r>
        <w:tab/>
        <w:t>a document, or a certified copy of a document, of the following kind that shows the person’s identity and age:</w:t>
      </w:r>
    </w:p>
    <w:p w14:paraId="237DB275" w14:textId="77777777" w:rsidR="00267968" w:rsidRDefault="00F173ED">
      <w:pPr>
        <w:pStyle w:val="Asubpara"/>
      </w:pPr>
      <w:r>
        <w:tab/>
        <w:t>(i)</w:t>
      </w:r>
      <w:r>
        <w:tab/>
        <w:t>a birth certificate;</w:t>
      </w:r>
    </w:p>
    <w:p w14:paraId="2833F20B" w14:textId="77777777" w:rsidR="00267968" w:rsidRDefault="00F173ED">
      <w:pPr>
        <w:pStyle w:val="Asubpara"/>
      </w:pPr>
      <w:r>
        <w:tab/>
        <w:t>(ii)</w:t>
      </w:r>
      <w:r>
        <w:tab/>
        <w:t>a citizenship certificate;</w:t>
      </w:r>
    </w:p>
    <w:p w14:paraId="6BD96B08" w14:textId="77777777" w:rsidR="00267968" w:rsidRDefault="00F173ED">
      <w:pPr>
        <w:pStyle w:val="Asubpara"/>
      </w:pPr>
      <w:r>
        <w:tab/>
        <w:t>(iii)</w:t>
      </w:r>
      <w:r>
        <w:tab/>
        <w:t>a passport;</w:t>
      </w:r>
    </w:p>
    <w:p w14:paraId="0EEC0659" w14:textId="77777777" w:rsidR="00267968" w:rsidRDefault="00F173ED">
      <w:pPr>
        <w:pStyle w:val="Asubpara"/>
      </w:pPr>
      <w:r>
        <w:tab/>
        <w:t>(iv)</w:t>
      </w:r>
      <w:r>
        <w:tab/>
        <w:t>if evidence of a kind mentioned in subparagraphs (i) to (iii) (inclusive) is unavailable—a</w:t>
      </w:r>
      <w:r>
        <w:rPr>
          <w:b/>
        </w:rPr>
        <w:t xml:space="preserve"> </w:t>
      </w:r>
      <w:r>
        <w:t>document issued to a person by a government department, authority or agency of a country of which the person is a national or resident;</w:t>
      </w:r>
    </w:p>
    <w:p w14:paraId="0FBC424D" w14:textId="77777777" w:rsidR="00267968" w:rsidRDefault="00F173ED" w:rsidP="00CA5089">
      <w:pPr>
        <w:pStyle w:val="Apara"/>
        <w:keepNext/>
      </w:pPr>
      <w:r>
        <w:lastRenderedPageBreak/>
        <w:tab/>
        <w:t>(b)</w:t>
      </w:r>
      <w:r>
        <w:tab/>
        <w:t>a document, or a certified copy of a document,</w:t>
      </w:r>
      <w:r>
        <w:rPr>
          <w:b/>
        </w:rPr>
        <w:t xml:space="preserve"> </w:t>
      </w:r>
      <w:r>
        <w:t>of the following kind that shows the person’s residential address:</w:t>
      </w:r>
    </w:p>
    <w:p w14:paraId="44483FC4" w14:textId="77777777" w:rsidR="00267968" w:rsidRDefault="00F173ED">
      <w:pPr>
        <w:pStyle w:val="Asubpara"/>
      </w:pPr>
      <w:r>
        <w:tab/>
        <w:t>(i)</w:t>
      </w:r>
      <w:r>
        <w:tab/>
        <w:t xml:space="preserve">a current Australian driver licence, or external driver licence, within the meaning of the </w:t>
      </w:r>
      <w:r>
        <w:rPr>
          <w:i/>
        </w:rPr>
        <w:t>Road Transport (Driver Licensing) Act 1999</w:t>
      </w:r>
      <w:r>
        <w:t>;</w:t>
      </w:r>
    </w:p>
    <w:p w14:paraId="22C31A19" w14:textId="77777777" w:rsidR="00267968" w:rsidRDefault="00F173ED">
      <w:pPr>
        <w:pStyle w:val="Asubpara"/>
      </w:pPr>
      <w:r>
        <w:tab/>
        <w:t>(ii)</w:t>
      </w:r>
      <w:r>
        <w:tab/>
        <w:t>a document that acknowledges enrolment to vote in government elections;</w:t>
      </w:r>
    </w:p>
    <w:p w14:paraId="31CCE708" w14:textId="77777777" w:rsidR="00267968" w:rsidRDefault="00F173ED">
      <w:pPr>
        <w:pStyle w:val="Asubpara"/>
      </w:pPr>
      <w:r>
        <w:tab/>
        <w:t>(iii)</w:t>
      </w:r>
      <w:r>
        <w:tab/>
        <w:t>a rates assessment notice or account, a telephone account or an electricity account, being a notice or account that is dated no earlier than 6 months before the date of the application for registration;</w:t>
      </w:r>
    </w:p>
    <w:p w14:paraId="1CC7EF5B" w14:textId="77777777" w:rsidR="00267968" w:rsidRDefault="00F173ED">
      <w:pPr>
        <w:pStyle w:val="Asubpara"/>
      </w:pPr>
      <w:r>
        <w:tab/>
        <w:t>(iv)</w:t>
      </w:r>
      <w:r>
        <w:tab/>
        <w:t>a current lease agreement that is dated no earlier than 12 months before the date of the application for registration;</w:t>
      </w:r>
    </w:p>
    <w:p w14:paraId="3D363A8B" w14:textId="77777777" w:rsidR="00267968" w:rsidRDefault="00F173ED">
      <w:pPr>
        <w:pStyle w:val="Asubpara"/>
      </w:pPr>
      <w:r>
        <w:tab/>
        <w:t>(v)</w:t>
      </w:r>
      <w:r>
        <w:tab/>
        <w:t>a current appliance rental agreement that is dated no earlier than 6 months before the date of the application for registration;</w:t>
      </w:r>
    </w:p>
    <w:p w14:paraId="6470C115" w14:textId="77777777" w:rsidR="00267968" w:rsidRDefault="00F173ED">
      <w:pPr>
        <w:pStyle w:val="Asubpara"/>
      </w:pPr>
      <w:r>
        <w:tab/>
        <w:t>(vi)</w:t>
      </w:r>
      <w:r>
        <w:tab/>
        <w:t>if evidence of a kind mentioned in subparagraphs (i) to (v) (inclusive) is unavailable—a document issued by a government department, authority or agency, a financial institution or credit card agency or a document relating to the supply of services by a public utility, being a document that is dated no earlier than 6 months before the date of the application for registration.</w:t>
      </w:r>
    </w:p>
    <w:p w14:paraId="54AC339F" w14:textId="77777777" w:rsidR="00267968" w:rsidRDefault="00F173ED">
      <w:pPr>
        <w:pStyle w:val="AH3sec"/>
        <w:spacing w:before="120"/>
      </w:pPr>
      <w:bookmarkStart w:id="6" w:name="_Toc431627531"/>
      <w:r>
        <w:t xml:space="preserve">6. </w:t>
      </w:r>
      <w:r>
        <w:tab/>
        <w:t>Provision of funds to cover amount of wager</w:t>
      </w:r>
      <w:bookmarkEnd w:id="6"/>
    </w:p>
    <w:p w14:paraId="6D45314D" w14:textId="77777777" w:rsidR="00267968" w:rsidRDefault="00F173ED">
      <w:pPr>
        <w:pStyle w:val="Amain"/>
      </w:pPr>
      <w:r>
        <w:tab/>
        <w:t>For the purposes of paragraph 18 (b) of the Act the following ways of providing funds are authorised:</w:t>
      </w:r>
    </w:p>
    <w:p w14:paraId="12814F50" w14:textId="77777777" w:rsidR="00267968" w:rsidRDefault="00F173ED">
      <w:pPr>
        <w:pStyle w:val="Apara"/>
      </w:pPr>
      <w:r>
        <w:tab/>
        <w:t>(a)</w:t>
      </w:r>
      <w:r>
        <w:tab/>
        <w:t>a debit authorised by the player against an account established in his or her name at a financial institution, other than a player’s account;</w:t>
      </w:r>
    </w:p>
    <w:p w14:paraId="05CC58C1" w14:textId="77777777" w:rsidR="00267968" w:rsidRDefault="00F173ED">
      <w:pPr>
        <w:pStyle w:val="Apara"/>
      </w:pPr>
      <w:r>
        <w:tab/>
        <w:t>(b)</w:t>
      </w:r>
      <w:r>
        <w:tab/>
        <w:t>a debit against a debit card in the player’s name.</w:t>
      </w:r>
    </w:p>
    <w:p w14:paraId="0B75896E" w14:textId="77777777" w:rsidR="00267968" w:rsidRDefault="00F173ED">
      <w:pPr>
        <w:pStyle w:val="AH3sec"/>
        <w:spacing w:before="120"/>
      </w:pPr>
      <w:bookmarkStart w:id="7" w:name="_Toc431627532"/>
      <w:r>
        <w:t xml:space="preserve">7. </w:t>
      </w:r>
      <w:r>
        <w:tab/>
        <w:t>Evidence of identity</w:t>
      </w:r>
      <w:bookmarkEnd w:id="7"/>
    </w:p>
    <w:p w14:paraId="372605F9" w14:textId="77777777" w:rsidR="00267968" w:rsidRDefault="00F173ED">
      <w:pPr>
        <w:pStyle w:val="Amain"/>
      </w:pPr>
      <w:r>
        <w:tab/>
        <w:t>For the purposes of subsection 27 (4) of the Act a document, or a certified copy of a document,</w:t>
      </w:r>
      <w:r>
        <w:rPr>
          <w:b/>
        </w:rPr>
        <w:t xml:space="preserve"> </w:t>
      </w:r>
      <w:r>
        <w:t>of the following kind is satisfactory evidence of an applicant’s identity:</w:t>
      </w:r>
    </w:p>
    <w:p w14:paraId="48BFE019" w14:textId="77777777" w:rsidR="00267968" w:rsidRDefault="00F173ED">
      <w:pPr>
        <w:pStyle w:val="Apara"/>
      </w:pPr>
      <w:r>
        <w:tab/>
        <w:t>(a)</w:t>
      </w:r>
      <w:r>
        <w:tab/>
        <w:t>the applicant’s birth certificate;</w:t>
      </w:r>
    </w:p>
    <w:p w14:paraId="0404F33B" w14:textId="77777777" w:rsidR="00267968" w:rsidRDefault="00F173ED">
      <w:pPr>
        <w:pStyle w:val="Apara"/>
      </w:pPr>
      <w:r>
        <w:tab/>
        <w:t>(b)</w:t>
      </w:r>
      <w:r>
        <w:tab/>
        <w:t>a citizenship certificate issued to the applicant;</w:t>
      </w:r>
    </w:p>
    <w:p w14:paraId="4CF3D13C" w14:textId="77777777" w:rsidR="00267968" w:rsidRDefault="00F173ED">
      <w:pPr>
        <w:pStyle w:val="Apara"/>
      </w:pPr>
      <w:r>
        <w:tab/>
        <w:t>(c)</w:t>
      </w:r>
      <w:r>
        <w:tab/>
        <w:t>a passport issued to the applicant;</w:t>
      </w:r>
    </w:p>
    <w:p w14:paraId="40AECA7B" w14:textId="77777777" w:rsidR="00267968" w:rsidRDefault="00F173ED" w:rsidP="00CA5089">
      <w:pPr>
        <w:pStyle w:val="Apara"/>
        <w:keepLines/>
      </w:pPr>
      <w:r>
        <w:lastRenderedPageBreak/>
        <w:tab/>
        <w:t>(d)</w:t>
      </w:r>
      <w:r>
        <w:tab/>
        <w:t>if evidence of a kind mentioned in paragraphs (a) to (c) (inclusive) is unavailable—a document issued by a government department, authority or agency of a country of which the applicant is a national or resident, being a document that shows the applicant’s name.</w:t>
      </w:r>
    </w:p>
    <w:p w14:paraId="0C9AA8CD" w14:textId="77777777" w:rsidR="00267968" w:rsidRDefault="00F173ED">
      <w:pPr>
        <w:pStyle w:val="AH3sec"/>
        <w:spacing w:before="120"/>
      </w:pPr>
      <w:bookmarkStart w:id="8" w:name="_Toc431627533"/>
      <w:r>
        <w:t xml:space="preserve">8. </w:t>
      </w:r>
      <w:r>
        <w:tab/>
        <w:t>Gambling licences—prescribed particulars</w:t>
      </w:r>
      <w:bookmarkEnd w:id="8"/>
    </w:p>
    <w:p w14:paraId="244A8B54" w14:textId="77777777" w:rsidR="00267968" w:rsidRDefault="00F173ED">
      <w:pPr>
        <w:pStyle w:val="Amain"/>
      </w:pPr>
      <w:r>
        <w:tab/>
        <w:t>For the purposes of paragraph 35 (2) (e) of the Act the licensed provider’s trading name (if any) is prescribed.</w:t>
      </w:r>
    </w:p>
    <w:p w14:paraId="5ACFDA99" w14:textId="77777777" w:rsidR="00267968" w:rsidRDefault="00F173ED">
      <w:pPr>
        <w:pStyle w:val="AH3sec"/>
        <w:spacing w:before="120"/>
      </w:pPr>
      <w:bookmarkStart w:id="9" w:name="_Toc431627534"/>
      <w:r>
        <w:t xml:space="preserve">9. </w:t>
      </w:r>
      <w:r>
        <w:tab/>
        <w:t>Applications for key person licences—prescribed documents</w:t>
      </w:r>
      <w:bookmarkEnd w:id="9"/>
    </w:p>
    <w:p w14:paraId="73020B8D" w14:textId="77777777" w:rsidR="00267968" w:rsidRDefault="00F173ED">
      <w:pPr>
        <w:pStyle w:val="Amain"/>
      </w:pPr>
      <w:r>
        <w:tab/>
        <w:t>For the purposes of paragraph 50 (2) (d) of the Act a document, or a certified copy of a document, of the following kind is prescribed:</w:t>
      </w:r>
    </w:p>
    <w:p w14:paraId="3082169C" w14:textId="77777777" w:rsidR="00267968" w:rsidRDefault="00F173ED">
      <w:pPr>
        <w:pStyle w:val="Apara"/>
      </w:pPr>
      <w:r>
        <w:tab/>
        <w:t>(a)</w:t>
      </w:r>
      <w:r>
        <w:tab/>
        <w:t>the applicant’s birth certificate;</w:t>
      </w:r>
    </w:p>
    <w:p w14:paraId="09AA3837" w14:textId="77777777" w:rsidR="00267968" w:rsidRDefault="00F173ED">
      <w:pPr>
        <w:pStyle w:val="Apara"/>
      </w:pPr>
      <w:r>
        <w:tab/>
        <w:t>(b)</w:t>
      </w:r>
      <w:r>
        <w:tab/>
        <w:t>a citizenship certificate issued to the applicant;</w:t>
      </w:r>
    </w:p>
    <w:p w14:paraId="623B4BC7" w14:textId="77777777" w:rsidR="00267968" w:rsidRDefault="00F173ED">
      <w:pPr>
        <w:pStyle w:val="Apara"/>
      </w:pPr>
      <w:r>
        <w:tab/>
        <w:t>(c)</w:t>
      </w:r>
      <w:r>
        <w:tab/>
        <w:t>a passport issued to the applicant;</w:t>
      </w:r>
    </w:p>
    <w:p w14:paraId="17D6FB2B" w14:textId="77777777" w:rsidR="00267968" w:rsidRDefault="00F173ED">
      <w:pPr>
        <w:pStyle w:val="Apara"/>
      </w:pPr>
      <w:r>
        <w:tab/>
        <w:t>(d)</w:t>
      </w:r>
      <w:r>
        <w:tab/>
        <w:t>if evidence of a kind mentioned in paragraphs (a) to (c) (inclusive) is unavailable—a</w:t>
      </w:r>
      <w:r>
        <w:rPr>
          <w:b/>
        </w:rPr>
        <w:t xml:space="preserve"> </w:t>
      </w:r>
      <w:r>
        <w:t>document issued by a government department, authority or agency of a country of which the applicant is a national or resident, being a document that shows the applicant’s name.</w:t>
      </w:r>
    </w:p>
    <w:p w14:paraId="2D6E6D59" w14:textId="77777777" w:rsidR="00267968" w:rsidRDefault="00F173ED">
      <w:pPr>
        <w:pStyle w:val="AH3sec"/>
        <w:spacing w:before="120"/>
      </w:pPr>
      <w:bookmarkStart w:id="10" w:name="_Toc431627535"/>
      <w:r>
        <w:t xml:space="preserve">10. </w:t>
      </w:r>
      <w:r>
        <w:tab/>
        <w:t>Requirements relating to identity</w:t>
      </w:r>
      <w:bookmarkEnd w:id="10"/>
    </w:p>
    <w:p w14:paraId="0065C92D" w14:textId="77777777" w:rsidR="00267968" w:rsidRDefault="00F173ED">
      <w:pPr>
        <w:pStyle w:val="Amain"/>
      </w:pPr>
      <w:r>
        <w:tab/>
        <w:t>For the purposes of subsection 51 (4) of the Act provision of a document referred to in regulation 9 is satisfactory evidence of an applicant’s identity.</w:t>
      </w:r>
    </w:p>
    <w:p w14:paraId="5BE36EA8" w14:textId="77777777" w:rsidR="00267968" w:rsidRDefault="00F173ED">
      <w:pPr>
        <w:pStyle w:val="AH3sec"/>
        <w:spacing w:before="120"/>
      </w:pPr>
      <w:bookmarkStart w:id="11" w:name="_Toc431627536"/>
      <w:r>
        <w:t xml:space="preserve">11. </w:t>
      </w:r>
      <w:r>
        <w:tab/>
        <w:t>Eligibility to be an agent—criteria</w:t>
      </w:r>
      <w:bookmarkEnd w:id="11"/>
    </w:p>
    <w:p w14:paraId="3F18FC6C" w14:textId="77777777" w:rsidR="00267968" w:rsidRDefault="00F173ED">
      <w:pPr>
        <w:pStyle w:val="Amain"/>
      </w:pPr>
      <w:r>
        <w:tab/>
        <w:t>For the purposes of subparagraph 70 (1) (a) (ii) of the Act the prescribed criterion is that the person is—</w:t>
      </w:r>
    </w:p>
    <w:p w14:paraId="3C9897D9" w14:textId="77777777" w:rsidR="00267968" w:rsidRDefault="00F173ED">
      <w:pPr>
        <w:pStyle w:val="Apara"/>
      </w:pPr>
      <w:r>
        <w:tab/>
        <w:t>(a)</w:t>
      </w:r>
      <w:r>
        <w:tab/>
        <w:t>an agent under a corresponding law;</w:t>
      </w:r>
    </w:p>
    <w:p w14:paraId="450626CA" w14:textId="77777777" w:rsidR="00267968" w:rsidRDefault="00F173ED">
      <w:pPr>
        <w:pStyle w:val="Apara"/>
      </w:pPr>
      <w:r>
        <w:tab/>
        <w:t>(b)</w:t>
      </w:r>
      <w:r>
        <w:tab/>
        <w:t>eligible to be an agent under a corresponding law;</w:t>
      </w:r>
    </w:p>
    <w:p w14:paraId="180AEDC0" w14:textId="77777777" w:rsidR="00267968" w:rsidRDefault="00F173ED">
      <w:pPr>
        <w:pStyle w:val="Apara"/>
      </w:pPr>
      <w:r>
        <w:tab/>
        <w:t>(c)</w:t>
      </w:r>
      <w:r>
        <w:tab/>
        <w:t>a financial institution; or</w:t>
      </w:r>
    </w:p>
    <w:p w14:paraId="764F9478" w14:textId="77777777" w:rsidR="00267968" w:rsidRDefault="00F173ED">
      <w:pPr>
        <w:pStyle w:val="Apara"/>
      </w:pPr>
      <w:r>
        <w:tab/>
        <w:t>(d)</w:t>
      </w:r>
      <w:r>
        <w:tab/>
        <w:t>appointed by a financial institution as its agent to provide financial services.</w:t>
      </w:r>
    </w:p>
    <w:p w14:paraId="65FFC8DC" w14:textId="77777777" w:rsidR="00267968" w:rsidRDefault="00F173ED">
      <w:pPr>
        <w:pStyle w:val="AH3sec"/>
        <w:spacing w:before="120"/>
      </w:pPr>
      <w:bookmarkStart w:id="12" w:name="_Toc431627537"/>
      <w:r>
        <w:t xml:space="preserve">12. </w:t>
      </w:r>
      <w:r>
        <w:tab/>
        <w:t>Calculation of interactive gambling tax</w:t>
      </w:r>
      <w:bookmarkEnd w:id="12"/>
    </w:p>
    <w:p w14:paraId="20C99723" w14:textId="77777777" w:rsidR="00267968" w:rsidRDefault="00F173ED">
      <w:pPr>
        <w:pStyle w:val="Amain"/>
      </w:pPr>
      <w:r>
        <w:rPr>
          <w:b/>
        </w:rPr>
        <w:t xml:space="preserve">(1) </w:t>
      </w:r>
      <w:r>
        <w:rPr>
          <w:b/>
        </w:rPr>
        <w:tab/>
      </w:r>
      <w:r>
        <w:t>For the purposes of subsection 83 (2) of the Act, the interactive  gambling tax payable by a licensed provider in respect of authorised games conducted by him or her during a month is an amount equal to the total of—</w:t>
      </w:r>
    </w:p>
    <w:p w14:paraId="70B7CCD0" w14:textId="693D4203" w:rsidR="00267968" w:rsidRDefault="00F173ED">
      <w:pPr>
        <w:pStyle w:val="Apara"/>
      </w:pPr>
      <w:r>
        <w:tab/>
        <w:t>(a)</w:t>
      </w:r>
      <w:r>
        <w:tab/>
        <w:t>the Territory component calculated in accordance with subregulation</w:t>
      </w:r>
      <w:r w:rsidR="00BB7D38">
        <w:t> </w:t>
      </w:r>
      <w:r>
        <w:t>(2);</w:t>
      </w:r>
    </w:p>
    <w:p w14:paraId="5639431E" w14:textId="77777777" w:rsidR="00267968" w:rsidRDefault="00F173ED">
      <w:pPr>
        <w:pStyle w:val="Apara"/>
      </w:pPr>
      <w:r>
        <w:lastRenderedPageBreak/>
        <w:tab/>
        <w:t>(b)</w:t>
      </w:r>
      <w:r>
        <w:tab/>
        <w:t>the participating  jurisdictions component calculated in accordance with subregulation (3); and</w:t>
      </w:r>
    </w:p>
    <w:p w14:paraId="6DD0C3F7" w14:textId="77777777" w:rsidR="00267968" w:rsidRDefault="00F173ED">
      <w:pPr>
        <w:pStyle w:val="Apara"/>
      </w:pPr>
      <w:r>
        <w:tab/>
        <w:t>(c)</w:t>
      </w:r>
      <w:r>
        <w:tab/>
        <w:t>the non-participating jurisdictions component calculated in accordance with subregulation (4).</w:t>
      </w:r>
    </w:p>
    <w:p w14:paraId="7CFAD469" w14:textId="77777777" w:rsidR="00267968" w:rsidRDefault="00F173ED">
      <w:pPr>
        <w:pStyle w:val="Amain"/>
      </w:pPr>
      <w:r>
        <w:rPr>
          <w:b/>
        </w:rPr>
        <w:t xml:space="preserve">(2) </w:t>
      </w:r>
      <w:r>
        <w:rPr>
          <w:b/>
        </w:rPr>
        <w:tab/>
      </w:r>
      <w:r>
        <w:t>The Territory component of interactive gambling tax for an authorised game is the amount calculated using the following formula:</w:t>
      </w:r>
    </w:p>
    <w:p w14:paraId="3DB3BFBF" w14:textId="77777777" w:rsidR="00267968" w:rsidRDefault="00F173ED">
      <w:pPr>
        <w:pStyle w:val="Aparareturn"/>
      </w:pPr>
      <w:r>
        <w:rPr>
          <w:b/>
        </w:rPr>
        <w:t xml:space="preserve">ACTC </w:t>
      </w:r>
      <w:r>
        <w:t>=</w:t>
      </w:r>
      <w:r>
        <w:rPr>
          <w:b/>
        </w:rPr>
        <w:t xml:space="preserve"> </w:t>
      </w:r>
      <w:r>
        <w:rPr>
          <w:rFonts w:ascii="Helvetica" w:hAnsi="Helvetica"/>
        </w:rPr>
        <w:object w:dxaOrig="2580" w:dyaOrig="580" w14:anchorId="2DD585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29.25pt" o:ole="">
            <v:imagedata r:id="rId18" o:title=""/>
          </v:shape>
          <o:OLEObject Type="Embed" ProgID="Word.Document.8" ShapeID="_x0000_i1025" DrawAspect="Content" ObjectID="_1736141344" r:id="rId19"/>
        </w:object>
      </w:r>
    </w:p>
    <w:p w14:paraId="33CFE91D" w14:textId="77777777" w:rsidR="00267968" w:rsidRDefault="00F173ED">
      <w:pPr>
        <w:pStyle w:val="fullout"/>
      </w:pPr>
      <w:r>
        <w:t>where—</w:t>
      </w:r>
    </w:p>
    <w:p w14:paraId="4A2ED87F" w14:textId="77777777" w:rsidR="00267968" w:rsidRDefault="00F173ED">
      <w:pPr>
        <w:pStyle w:val="Apara"/>
        <w:tabs>
          <w:tab w:val="clear" w:pos="700"/>
          <w:tab w:val="right" w:pos="1000"/>
        </w:tabs>
        <w:ind w:left="1320" w:hanging="1160"/>
      </w:pPr>
      <w:r>
        <w:tab/>
      </w:r>
      <w:r>
        <w:rPr>
          <w:b/>
        </w:rPr>
        <w:t>ACTC</w:t>
      </w:r>
      <w:r>
        <w:tab/>
        <w:t>is the Territory component of interactive gambling tax for the game;</w:t>
      </w:r>
    </w:p>
    <w:p w14:paraId="02346D9C" w14:textId="77777777" w:rsidR="00267968" w:rsidRDefault="00F173ED">
      <w:pPr>
        <w:pStyle w:val="Apara"/>
        <w:tabs>
          <w:tab w:val="clear" w:pos="700"/>
          <w:tab w:val="right" w:pos="1000"/>
        </w:tabs>
        <w:ind w:left="1320" w:hanging="1160"/>
      </w:pPr>
      <w:r>
        <w:tab/>
      </w:r>
      <w:r>
        <w:rPr>
          <w:b/>
        </w:rPr>
        <w:t>GP</w:t>
      </w:r>
      <w:r>
        <w:tab/>
        <w:t>is the gross profit of the game;</w:t>
      </w:r>
    </w:p>
    <w:p w14:paraId="305DBB9C" w14:textId="77777777" w:rsidR="00267968" w:rsidRDefault="00F173ED">
      <w:pPr>
        <w:pStyle w:val="Apara"/>
        <w:tabs>
          <w:tab w:val="clear" w:pos="700"/>
          <w:tab w:val="right" w:pos="1000"/>
        </w:tabs>
        <w:ind w:left="1320" w:hanging="1160"/>
      </w:pPr>
      <w:r>
        <w:tab/>
      </w:r>
      <w:r>
        <w:rPr>
          <w:b/>
        </w:rPr>
        <w:t>ACTGT</w:t>
      </w:r>
      <w:r>
        <w:tab/>
        <w:t xml:space="preserve">is the part of the gambling turnover for the game attributable to the total of the amounts wagered by Territory residents; </w:t>
      </w:r>
    </w:p>
    <w:p w14:paraId="16F32386" w14:textId="77777777" w:rsidR="00267968" w:rsidRDefault="00F173ED">
      <w:pPr>
        <w:pStyle w:val="Apara"/>
        <w:tabs>
          <w:tab w:val="clear" w:pos="700"/>
          <w:tab w:val="right" w:pos="1000"/>
        </w:tabs>
        <w:ind w:left="1320" w:hanging="1160"/>
      </w:pPr>
      <w:r>
        <w:tab/>
      </w:r>
      <w:r>
        <w:rPr>
          <w:b/>
        </w:rPr>
        <w:t>ACTR</w:t>
      </w:r>
      <w:r>
        <w:tab/>
        <w:t>is—</w:t>
      </w:r>
    </w:p>
    <w:p w14:paraId="08A6799D" w14:textId="77777777" w:rsidR="00267968" w:rsidRDefault="00F173ED">
      <w:pPr>
        <w:pStyle w:val="Asubsubpara"/>
      </w:pPr>
      <w:r>
        <w:tab/>
        <w:t>(a)</w:t>
      </w:r>
      <w:r>
        <w:tab/>
        <w:t>if the game is a game to which a gaming Act applies—the rate of tax specified in that Act for the game; or</w:t>
      </w:r>
    </w:p>
    <w:p w14:paraId="75943CC5" w14:textId="77777777" w:rsidR="00267968" w:rsidRDefault="00F173ED">
      <w:pPr>
        <w:pStyle w:val="Asubsubpara"/>
      </w:pPr>
      <w:r>
        <w:tab/>
        <w:t>(b)</w:t>
      </w:r>
      <w:r>
        <w:tab/>
        <w:t>where paragraph (a) does not apply—50%; and</w:t>
      </w:r>
    </w:p>
    <w:p w14:paraId="52EC4F5F" w14:textId="77777777" w:rsidR="00267968" w:rsidRDefault="00F173ED">
      <w:pPr>
        <w:pStyle w:val="Apara"/>
        <w:tabs>
          <w:tab w:val="clear" w:pos="700"/>
          <w:tab w:val="right" w:pos="1000"/>
        </w:tabs>
        <w:ind w:left="1320" w:hanging="1160"/>
      </w:pPr>
      <w:r>
        <w:tab/>
      </w:r>
      <w:r>
        <w:rPr>
          <w:b/>
        </w:rPr>
        <w:t>GT</w:t>
      </w:r>
      <w:r>
        <w:tab/>
        <w:t xml:space="preserve">is the gambling turnover for the game. </w:t>
      </w:r>
    </w:p>
    <w:p w14:paraId="4EADC873" w14:textId="77777777" w:rsidR="00267968" w:rsidRDefault="00F173ED">
      <w:pPr>
        <w:pStyle w:val="Amain"/>
      </w:pPr>
      <w:r>
        <w:rPr>
          <w:b/>
        </w:rPr>
        <w:t xml:space="preserve">(3) </w:t>
      </w:r>
      <w:r>
        <w:rPr>
          <w:b/>
        </w:rPr>
        <w:tab/>
      </w:r>
      <w:r>
        <w:t>The participating jurisdictions component of interactive gambling tax for an authorised game is the total of the amounts calculated using the following formula in relation to each participating jurisdiction:</w:t>
      </w:r>
    </w:p>
    <w:p w14:paraId="7BEFD4EA" w14:textId="77777777" w:rsidR="00267968" w:rsidRDefault="00F173ED">
      <w:pPr>
        <w:pStyle w:val="Aparareturn"/>
      </w:pPr>
      <w:r>
        <w:rPr>
          <w:b/>
        </w:rPr>
        <w:t xml:space="preserve">PJC </w:t>
      </w:r>
      <w:r>
        <w:t>=</w:t>
      </w:r>
      <w:r>
        <w:rPr>
          <w:rFonts w:ascii="Helvetica" w:hAnsi="Helvetica"/>
          <w:b/>
        </w:rPr>
        <w:t xml:space="preserve"> </w:t>
      </w:r>
      <w:r>
        <w:rPr>
          <w:rFonts w:ascii="Helvetica" w:hAnsi="Helvetica"/>
        </w:rPr>
        <w:object w:dxaOrig="2100" w:dyaOrig="580" w14:anchorId="73651BAC">
          <v:shape id="_x0000_i1026" type="#_x0000_t75" style="width:105pt;height:29.25pt" o:ole="">
            <v:imagedata r:id="rId20" o:title=""/>
          </v:shape>
          <o:OLEObject Type="Embed" ProgID="Word.Document.8" ShapeID="_x0000_i1026" DrawAspect="Content" ObjectID="_1736141345" r:id="rId21"/>
        </w:object>
      </w:r>
    </w:p>
    <w:p w14:paraId="3AC81FDA" w14:textId="77777777" w:rsidR="00267968" w:rsidRDefault="00F173ED">
      <w:pPr>
        <w:pStyle w:val="fullout"/>
      </w:pPr>
      <w:r>
        <w:t>where—</w:t>
      </w:r>
    </w:p>
    <w:p w14:paraId="2A7AB800" w14:textId="77777777" w:rsidR="00267968" w:rsidRDefault="00F173ED">
      <w:pPr>
        <w:pStyle w:val="Apara"/>
        <w:tabs>
          <w:tab w:val="clear" w:pos="700"/>
          <w:tab w:val="right" w:pos="1000"/>
        </w:tabs>
        <w:ind w:left="1320" w:hanging="1160"/>
      </w:pPr>
      <w:r>
        <w:tab/>
      </w:r>
      <w:r>
        <w:rPr>
          <w:b/>
        </w:rPr>
        <w:t>PJC</w:t>
      </w:r>
      <w:r>
        <w:tab/>
        <w:t>in relation to a participating jurisdiction, is the participating jurisdictions component of interactive gambling tax for the game;</w:t>
      </w:r>
    </w:p>
    <w:p w14:paraId="40F1AE9E" w14:textId="77777777" w:rsidR="00267968" w:rsidRDefault="00F173ED">
      <w:pPr>
        <w:pStyle w:val="Apara"/>
        <w:tabs>
          <w:tab w:val="clear" w:pos="700"/>
          <w:tab w:val="right" w:pos="1000"/>
        </w:tabs>
        <w:ind w:left="1320" w:hanging="1160"/>
      </w:pPr>
      <w:r>
        <w:tab/>
      </w:r>
      <w:r>
        <w:rPr>
          <w:b/>
        </w:rPr>
        <w:t>GP</w:t>
      </w:r>
      <w:r>
        <w:tab/>
        <w:t>is the gross profit of the game;</w:t>
      </w:r>
    </w:p>
    <w:p w14:paraId="12C4BC57" w14:textId="77777777" w:rsidR="00267968" w:rsidRDefault="00F173ED">
      <w:pPr>
        <w:pStyle w:val="Apara"/>
        <w:tabs>
          <w:tab w:val="clear" w:pos="700"/>
          <w:tab w:val="right" w:pos="1000"/>
        </w:tabs>
        <w:ind w:left="1320" w:hanging="1160"/>
      </w:pPr>
      <w:r>
        <w:tab/>
      </w:r>
      <w:r>
        <w:rPr>
          <w:b/>
        </w:rPr>
        <w:t>PJGT</w:t>
      </w:r>
      <w:r>
        <w:tab/>
        <w:t>in relation to a participating jurisdiction, is the part of the gambling turnover for the game attributable to the amount wagered by residents of the jurisdiction;</w:t>
      </w:r>
    </w:p>
    <w:p w14:paraId="207A2063" w14:textId="77777777" w:rsidR="00267968" w:rsidRDefault="00F173ED" w:rsidP="00CA5089">
      <w:pPr>
        <w:pStyle w:val="Apara"/>
        <w:keepNext/>
        <w:tabs>
          <w:tab w:val="clear" w:pos="700"/>
          <w:tab w:val="right" w:pos="1000"/>
        </w:tabs>
        <w:ind w:left="1320" w:hanging="1160"/>
      </w:pPr>
      <w:r>
        <w:lastRenderedPageBreak/>
        <w:tab/>
      </w:r>
      <w:r>
        <w:rPr>
          <w:b/>
        </w:rPr>
        <w:t>PJR</w:t>
      </w:r>
      <w:r>
        <w:tab/>
        <w:t>in relation to a participating jurisdiction, is—</w:t>
      </w:r>
    </w:p>
    <w:p w14:paraId="08393416" w14:textId="77777777" w:rsidR="00267968" w:rsidRDefault="00F173ED" w:rsidP="00CA5089">
      <w:pPr>
        <w:pStyle w:val="Asubsubpara"/>
        <w:keepLines/>
      </w:pPr>
      <w:r>
        <w:tab/>
        <w:t>(a)</w:t>
      </w:r>
      <w:r>
        <w:tab/>
        <w:t>if a rate of tax is specified in or under the corresponding law of the jurisdiction—the rate of tax payable on a wager in the game made by a resident of the jurisdiction is the rate of tax specified in that law;</w:t>
      </w:r>
    </w:p>
    <w:p w14:paraId="158FD35C" w14:textId="77777777" w:rsidR="00267968" w:rsidRDefault="00F173ED">
      <w:pPr>
        <w:pStyle w:val="Asubsubpara"/>
      </w:pPr>
      <w:r>
        <w:tab/>
        <w:t>(b)</w:t>
      </w:r>
      <w:r>
        <w:tab/>
        <w:t>if no rate of tax is specified in or under the corresponding law and a law of the jurisdiction regulating gambling applies to the game—the rate of tax (if any) specified in that law; or</w:t>
      </w:r>
    </w:p>
    <w:p w14:paraId="49AC4012" w14:textId="77777777" w:rsidR="00267968" w:rsidRDefault="00F173ED">
      <w:pPr>
        <w:pStyle w:val="Asubsubpara"/>
      </w:pPr>
      <w:r>
        <w:tab/>
        <w:t>(c)</w:t>
      </w:r>
      <w:r>
        <w:tab/>
        <w:t>if paragraphs (a) and (b) do not apply—50%; and</w:t>
      </w:r>
    </w:p>
    <w:p w14:paraId="7022CF99" w14:textId="77777777" w:rsidR="00267968" w:rsidRDefault="00F173ED">
      <w:pPr>
        <w:pStyle w:val="Apara"/>
        <w:tabs>
          <w:tab w:val="clear" w:pos="700"/>
          <w:tab w:val="right" w:pos="1000"/>
        </w:tabs>
        <w:ind w:left="1320" w:hanging="1160"/>
      </w:pPr>
      <w:r>
        <w:tab/>
      </w:r>
      <w:r>
        <w:rPr>
          <w:b/>
        </w:rPr>
        <w:t>GT</w:t>
      </w:r>
      <w:r>
        <w:tab/>
        <w:t xml:space="preserve">is the gambling turnover for the game. </w:t>
      </w:r>
    </w:p>
    <w:p w14:paraId="0283115A" w14:textId="77777777" w:rsidR="00267968" w:rsidRDefault="00F173ED">
      <w:pPr>
        <w:pStyle w:val="Amain"/>
      </w:pPr>
      <w:r>
        <w:rPr>
          <w:b/>
        </w:rPr>
        <w:t xml:space="preserve">(4) </w:t>
      </w:r>
      <w:r>
        <w:rPr>
          <w:b/>
        </w:rPr>
        <w:tab/>
      </w:r>
      <w:r>
        <w:t>The non-participating jurisdictions component of the interactive gambling tax for the game shall be calculated using the following formula:</w:t>
      </w:r>
    </w:p>
    <w:p w14:paraId="793D6B67" w14:textId="77777777" w:rsidR="00267968" w:rsidRDefault="00F173ED">
      <w:pPr>
        <w:pStyle w:val="Aparareturn"/>
      </w:pPr>
      <w:r>
        <w:rPr>
          <w:b/>
        </w:rPr>
        <w:t xml:space="preserve">NJC </w:t>
      </w:r>
      <w:r>
        <w:t>=</w:t>
      </w:r>
      <w:r>
        <w:rPr>
          <w:rFonts w:ascii="Helvetica" w:hAnsi="Helvetica"/>
          <w:b/>
        </w:rPr>
        <w:t xml:space="preserve"> </w:t>
      </w:r>
      <w:r>
        <w:rPr>
          <w:rFonts w:ascii="Helvetica" w:hAnsi="Helvetica"/>
        </w:rPr>
        <w:object w:dxaOrig="2220" w:dyaOrig="580" w14:anchorId="08E37D44">
          <v:shape id="_x0000_i1027" type="#_x0000_t75" style="width:111pt;height:29.25pt" o:ole="">
            <v:imagedata r:id="rId22" o:title=""/>
          </v:shape>
          <o:OLEObject Type="Embed" ProgID="Word.Document.8" ShapeID="_x0000_i1027" DrawAspect="Content" ObjectID="_1736141346" r:id="rId23"/>
        </w:object>
      </w:r>
    </w:p>
    <w:p w14:paraId="444E5A16" w14:textId="77777777" w:rsidR="00267968" w:rsidRDefault="00F173ED">
      <w:pPr>
        <w:pStyle w:val="fullout"/>
      </w:pPr>
      <w:r>
        <w:t>where—</w:t>
      </w:r>
    </w:p>
    <w:p w14:paraId="0CE2DEBA" w14:textId="77777777" w:rsidR="00267968" w:rsidRDefault="00F173ED">
      <w:pPr>
        <w:pStyle w:val="Apara"/>
        <w:tabs>
          <w:tab w:val="clear" w:pos="700"/>
          <w:tab w:val="right" w:pos="1000"/>
        </w:tabs>
        <w:ind w:left="1320" w:hanging="1160"/>
      </w:pPr>
      <w:r>
        <w:tab/>
      </w:r>
      <w:r>
        <w:rPr>
          <w:b/>
        </w:rPr>
        <w:t>NJC</w:t>
      </w:r>
      <w:r>
        <w:tab/>
        <w:t>is the non-participating jurisdictions component of interactive gambling tax for the game;</w:t>
      </w:r>
    </w:p>
    <w:p w14:paraId="76874C26" w14:textId="77777777" w:rsidR="00267968" w:rsidRDefault="00F173ED">
      <w:pPr>
        <w:pStyle w:val="Apara"/>
        <w:tabs>
          <w:tab w:val="clear" w:pos="700"/>
          <w:tab w:val="right" w:pos="1000"/>
        </w:tabs>
        <w:ind w:left="1320" w:hanging="1160"/>
      </w:pPr>
      <w:r>
        <w:tab/>
      </w:r>
      <w:r>
        <w:rPr>
          <w:b/>
        </w:rPr>
        <w:t>GP</w:t>
      </w:r>
      <w:r>
        <w:tab/>
        <w:t>is the gross profit of the game;</w:t>
      </w:r>
    </w:p>
    <w:p w14:paraId="3F81520E" w14:textId="77777777" w:rsidR="00267968" w:rsidRDefault="00F173ED">
      <w:pPr>
        <w:pStyle w:val="Apara"/>
        <w:tabs>
          <w:tab w:val="clear" w:pos="700"/>
          <w:tab w:val="right" w:pos="1000"/>
        </w:tabs>
        <w:ind w:left="1320" w:hanging="1160"/>
      </w:pPr>
      <w:r>
        <w:tab/>
      </w:r>
      <w:r>
        <w:rPr>
          <w:b/>
        </w:rPr>
        <w:t>NJGT</w:t>
      </w:r>
      <w:r>
        <w:tab/>
        <w:t>is the part of the gambling turnover for the game attributable to the amount wagered by residents of non-participating jurisdictions;</w:t>
      </w:r>
    </w:p>
    <w:p w14:paraId="5F35AD7D" w14:textId="77777777" w:rsidR="00267968" w:rsidRDefault="00F173ED">
      <w:pPr>
        <w:pStyle w:val="Apara"/>
        <w:tabs>
          <w:tab w:val="clear" w:pos="700"/>
          <w:tab w:val="right" w:pos="1000"/>
        </w:tabs>
        <w:ind w:left="1320" w:hanging="1160"/>
      </w:pPr>
      <w:r>
        <w:tab/>
      </w:r>
      <w:r>
        <w:rPr>
          <w:b/>
        </w:rPr>
        <w:t>ACTR</w:t>
      </w:r>
      <w:r>
        <w:tab/>
        <w:t>is—</w:t>
      </w:r>
    </w:p>
    <w:p w14:paraId="294D7C6A" w14:textId="77777777" w:rsidR="00267968" w:rsidRDefault="00F173ED">
      <w:pPr>
        <w:pStyle w:val="Asubsubpara"/>
      </w:pPr>
      <w:r>
        <w:tab/>
        <w:t>(a)</w:t>
      </w:r>
      <w:r>
        <w:tab/>
        <w:t>if the game is a game to which a gaming Act applies—the rate of tax specified in that Act for the game; or</w:t>
      </w:r>
    </w:p>
    <w:p w14:paraId="1CAAA67B" w14:textId="77777777" w:rsidR="00267968" w:rsidRDefault="00F173ED">
      <w:pPr>
        <w:pStyle w:val="Asubsubpara"/>
      </w:pPr>
      <w:r>
        <w:tab/>
        <w:t>(b)</w:t>
      </w:r>
      <w:r>
        <w:tab/>
        <w:t>where paragraph (a) does not apply—50%; and</w:t>
      </w:r>
    </w:p>
    <w:p w14:paraId="59C18A75" w14:textId="77777777" w:rsidR="00267968" w:rsidRDefault="00F173ED">
      <w:pPr>
        <w:pStyle w:val="Apara"/>
        <w:tabs>
          <w:tab w:val="clear" w:pos="700"/>
          <w:tab w:val="right" w:pos="1000"/>
        </w:tabs>
        <w:ind w:left="1320" w:hanging="1160"/>
      </w:pPr>
      <w:r>
        <w:tab/>
      </w:r>
      <w:r>
        <w:rPr>
          <w:b/>
        </w:rPr>
        <w:t>GT</w:t>
      </w:r>
      <w:r>
        <w:tab/>
        <w:t>is the gambling turnover for the game.</w:t>
      </w:r>
    </w:p>
    <w:p w14:paraId="70E9992C" w14:textId="77777777" w:rsidR="00267968" w:rsidRDefault="00F173ED">
      <w:pPr>
        <w:pStyle w:val="Amain"/>
      </w:pPr>
      <w:r>
        <w:rPr>
          <w:b/>
        </w:rPr>
        <w:t xml:space="preserve">(5) </w:t>
      </w:r>
      <w:r>
        <w:rPr>
          <w:b/>
        </w:rPr>
        <w:tab/>
      </w:r>
      <w:r>
        <w:t>In this regulation—</w:t>
      </w:r>
    </w:p>
    <w:p w14:paraId="4CA611B0" w14:textId="77777777" w:rsidR="00267968" w:rsidRDefault="00F173ED">
      <w:pPr>
        <w:pStyle w:val="aDef"/>
      </w:pPr>
      <w:r>
        <w:t>“gaming Act” means—</w:t>
      </w:r>
    </w:p>
    <w:p w14:paraId="1A016B93" w14:textId="77777777" w:rsidR="00267968" w:rsidRDefault="00F173ED">
      <w:pPr>
        <w:pStyle w:val="Asubpara"/>
      </w:pPr>
      <w:r>
        <w:tab/>
        <w:t>(a)</w:t>
      </w:r>
      <w:r>
        <w:tab/>
        <w:t xml:space="preserve">the </w:t>
      </w:r>
      <w:r>
        <w:rPr>
          <w:i/>
        </w:rPr>
        <w:t>Bookmakers Act 1985</w:t>
      </w:r>
      <w:r>
        <w:t>;</w:t>
      </w:r>
    </w:p>
    <w:p w14:paraId="4388A9B0" w14:textId="77777777" w:rsidR="00267968" w:rsidRDefault="00F173ED">
      <w:pPr>
        <w:pStyle w:val="Asubpara"/>
      </w:pPr>
      <w:r>
        <w:tab/>
        <w:t>(b)</w:t>
      </w:r>
      <w:r>
        <w:tab/>
        <w:t xml:space="preserve">the </w:t>
      </w:r>
      <w:r>
        <w:rPr>
          <w:i/>
        </w:rPr>
        <w:t>Casino Control Act 1988</w:t>
      </w:r>
      <w:r>
        <w:t>;</w:t>
      </w:r>
    </w:p>
    <w:p w14:paraId="6CE2A31F" w14:textId="77777777" w:rsidR="00267968" w:rsidRDefault="00F173ED">
      <w:pPr>
        <w:pStyle w:val="Asubpara"/>
      </w:pPr>
      <w:r>
        <w:tab/>
        <w:t>(c)</w:t>
      </w:r>
      <w:r>
        <w:tab/>
        <w:t xml:space="preserve">the </w:t>
      </w:r>
      <w:r>
        <w:rPr>
          <w:i/>
        </w:rPr>
        <w:t>Gaming Machine Act 1987</w:t>
      </w:r>
      <w:r>
        <w:t>;</w:t>
      </w:r>
    </w:p>
    <w:p w14:paraId="4D98C277" w14:textId="77777777" w:rsidR="00267968" w:rsidRDefault="00F173ED">
      <w:pPr>
        <w:pStyle w:val="Asubpara"/>
      </w:pPr>
      <w:r>
        <w:tab/>
        <w:t>(d)</w:t>
      </w:r>
      <w:r>
        <w:tab/>
        <w:t xml:space="preserve">the </w:t>
      </w:r>
      <w:r>
        <w:rPr>
          <w:i/>
        </w:rPr>
        <w:t>Lotteries Act 1964</w:t>
      </w:r>
      <w:r>
        <w:t>; and</w:t>
      </w:r>
    </w:p>
    <w:p w14:paraId="78691FC6" w14:textId="77777777" w:rsidR="00267968" w:rsidRDefault="00F173ED">
      <w:pPr>
        <w:pStyle w:val="Asubpara"/>
      </w:pPr>
      <w:r>
        <w:tab/>
        <w:t>(e)</w:t>
      </w:r>
      <w:r>
        <w:tab/>
        <w:t xml:space="preserve">the </w:t>
      </w:r>
      <w:r>
        <w:rPr>
          <w:i/>
        </w:rPr>
        <w:t>Pool Betting Act 1964</w:t>
      </w:r>
      <w:r>
        <w:t>.</w:t>
      </w:r>
    </w:p>
    <w:p w14:paraId="73F4F93F" w14:textId="77777777" w:rsidR="00267968" w:rsidRDefault="00F173ED">
      <w:pPr>
        <w:pStyle w:val="AH3sec"/>
        <w:spacing w:before="120"/>
      </w:pPr>
      <w:bookmarkStart w:id="13" w:name="_Toc431627538"/>
      <w:r>
        <w:lastRenderedPageBreak/>
        <w:t xml:space="preserve">13. </w:t>
      </w:r>
      <w:r>
        <w:tab/>
        <w:t>Payment of interactive gambling tax</w:t>
      </w:r>
      <w:bookmarkEnd w:id="13"/>
    </w:p>
    <w:p w14:paraId="180ACBB8" w14:textId="77777777" w:rsidR="00267968" w:rsidRDefault="00F173ED">
      <w:pPr>
        <w:pStyle w:val="Amain"/>
      </w:pPr>
      <w:r>
        <w:tab/>
        <w:t>For the purposes of subsection 83 (2) of the Act interactive gambling tax payable by a licensed provider in respect of authorised games conducted by him or her during a month shall be paid by the provider within 7 days after the end of the month.</w:t>
      </w:r>
    </w:p>
    <w:p w14:paraId="7135FF9F" w14:textId="77777777" w:rsidR="00267968" w:rsidRDefault="00F173ED">
      <w:pPr>
        <w:pStyle w:val="AH3sec"/>
        <w:spacing w:before="120"/>
      </w:pPr>
      <w:bookmarkStart w:id="14" w:name="_Toc431627539"/>
      <w:r>
        <w:t xml:space="preserve">14. </w:t>
      </w:r>
      <w:r>
        <w:tab/>
        <w:t>Information for calculating interactive gambling tax</w:t>
      </w:r>
      <w:bookmarkEnd w:id="14"/>
    </w:p>
    <w:p w14:paraId="3F9C764A" w14:textId="77777777" w:rsidR="00267968" w:rsidRDefault="00F173ED">
      <w:pPr>
        <w:pStyle w:val="Amain"/>
      </w:pPr>
      <w:r>
        <w:tab/>
        <w:t>For the purposes of paragraph 84 (a) of the Act the following information is prescribed:</w:t>
      </w:r>
    </w:p>
    <w:p w14:paraId="7072D4B7" w14:textId="77777777" w:rsidR="00267968" w:rsidRDefault="00F173ED">
      <w:pPr>
        <w:pStyle w:val="Apara"/>
      </w:pPr>
      <w:r>
        <w:tab/>
        <w:t>(a)</w:t>
      </w:r>
      <w:r>
        <w:tab/>
        <w:t>the gross profit of each game;</w:t>
      </w:r>
    </w:p>
    <w:p w14:paraId="00575689" w14:textId="77777777" w:rsidR="00267968" w:rsidRDefault="00F173ED">
      <w:pPr>
        <w:pStyle w:val="Apara"/>
      </w:pPr>
      <w:r>
        <w:tab/>
        <w:t>(b)</w:t>
      </w:r>
      <w:r>
        <w:tab/>
        <w:t>the gambling turnover of each game;</w:t>
      </w:r>
    </w:p>
    <w:p w14:paraId="319F8888" w14:textId="77777777" w:rsidR="00267968" w:rsidRDefault="00F173ED">
      <w:pPr>
        <w:pStyle w:val="Apara"/>
      </w:pPr>
      <w:r>
        <w:tab/>
        <w:t>(c)</w:t>
      </w:r>
      <w:r>
        <w:tab/>
        <w:t>the gambling turnover of the game attributable to the total of the amounts wagered by the Territory’s residents;</w:t>
      </w:r>
    </w:p>
    <w:p w14:paraId="50459D2D" w14:textId="77777777" w:rsidR="00267968" w:rsidRDefault="00F173ED">
      <w:pPr>
        <w:pStyle w:val="Apara"/>
      </w:pPr>
      <w:r>
        <w:tab/>
        <w:t>(d)</w:t>
      </w:r>
      <w:r>
        <w:tab/>
        <w:t>the gambling turnover of the game attributable to the total of the amounts wagered by residents of participating jurisdictions;</w:t>
      </w:r>
    </w:p>
    <w:p w14:paraId="19ABB26C" w14:textId="77777777" w:rsidR="00267968" w:rsidRDefault="00F173ED">
      <w:pPr>
        <w:pStyle w:val="Apara"/>
      </w:pPr>
      <w:r>
        <w:tab/>
        <w:t>(e)</w:t>
      </w:r>
      <w:r>
        <w:tab/>
        <w:t>the gambling turnover of the game attributable to the total of the amounts wagered by residents of non-participating jurisdictions.</w:t>
      </w:r>
    </w:p>
    <w:p w14:paraId="6AE8A25D" w14:textId="77777777" w:rsidR="00267968" w:rsidRDefault="00F173ED">
      <w:pPr>
        <w:pStyle w:val="AH3sec"/>
        <w:spacing w:before="120"/>
      </w:pPr>
      <w:bookmarkStart w:id="15" w:name="_Toc431627540"/>
      <w:r>
        <w:t xml:space="preserve">15. </w:t>
      </w:r>
      <w:r>
        <w:tab/>
        <w:t>Calculation of interactive gambling tax—other information</w:t>
      </w:r>
      <w:bookmarkEnd w:id="15"/>
    </w:p>
    <w:p w14:paraId="79A9AE69" w14:textId="77777777" w:rsidR="00267968" w:rsidRDefault="00F173ED">
      <w:pPr>
        <w:pStyle w:val="Amain"/>
      </w:pPr>
      <w:r>
        <w:rPr>
          <w:b/>
        </w:rPr>
        <w:t xml:space="preserve">(1) </w:t>
      </w:r>
      <w:r>
        <w:rPr>
          <w:b/>
        </w:rPr>
        <w:tab/>
      </w:r>
      <w:r>
        <w:t>For the purposes of paragraph 84 (b) of the Act the following information is prescribed:</w:t>
      </w:r>
    </w:p>
    <w:p w14:paraId="7D94F03F" w14:textId="77777777" w:rsidR="00267968" w:rsidRDefault="00F173ED">
      <w:pPr>
        <w:pStyle w:val="Apara"/>
      </w:pPr>
      <w:r>
        <w:tab/>
        <w:t>(a)</w:t>
      </w:r>
      <w:r>
        <w:tab/>
        <w:t>the number of players registered during the relevant month;</w:t>
      </w:r>
    </w:p>
    <w:p w14:paraId="55D195B3" w14:textId="77777777" w:rsidR="00267968" w:rsidRDefault="00F173ED">
      <w:pPr>
        <w:pStyle w:val="Apara"/>
      </w:pPr>
      <w:r>
        <w:tab/>
        <w:t>(b)</w:t>
      </w:r>
      <w:r>
        <w:tab/>
        <w:t>the number of players deregistered during the relevant month;</w:t>
      </w:r>
    </w:p>
    <w:p w14:paraId="6468D4C2" w14:textId="77777777" w:rsidR="00267968" w:rsidRDefault="00F173ED">
      <w:pPr>
        <w:pStyle w:val="Apara"/>
      </w:pPr>
      <w:r>
        <w:tab/>
        <w:t>(c)</w:t>
      </w:r>
      <w:r>
        <w:tab/>
        <w:t>the number of players whom the licensed provider has banned from playing during the relevant month;</w:t>
      </w:r>
    </w:p>
    <w:p w14:paraId="24B7036D" w14:textId="77777777" w:rsidR="00267968" w:rsidRDefault="00F173ED">
      <w:pPr>
        <w:pStyle w:val="Apara"/>
      </w:pPr>
      <w:r>
        <w:tab/>
        <w:t>(d)</w:t>
      </w:r>
      <w:r>
        <w:tab/>
        <w:t>the number of player bans the licensed provider has rescinded during the relevant month;</w:t>
      </w:r>
    </w:p>
    <w:p w14:paraId="1C0B241F" w14:textId="77777777" w:rsidR="00267968" w:rsidRDefault="00F173ED">
      <w:pPr>
        <w:pStyle w:val="Apara"/>
      </w:pPr>
      <w:r>
        <w:tab/>
        <w:t>(e)</w:t>
      </w:r>
      <w:r>
        <w:tab/>
        <w:t>the number of limits on the amount a player may wager set under subsection 101 (1) of the Act, or changed under subsection 101 (4) of the Act, during the relevant month;</w:t>
      </w:r>
    </w:p>
    <w:p w14:paraId="72758396" w14:textId="77777777" w:rsidR="00267968" w:rsidRDefault="00F173ED">
      <w:pPr>
        <w:pStyle w:val="Apara"/>
      </w:pPr>
      <w:r>
        <w:tab/>
        <w:t>(f)</w:t>
      </w:r>
      <w:r>
        <w:tab/>
        <w:t>the amount of each limit set or changed during the relevant month;</w:t>
      </w:r>
    </w:p>
    <w:p w14:paraId="214618E4" w14:textId="77777777" w:rsidR="00267968" w:rsidRDefault="00F173ED">
      <w:pPr>
        <w:pStyle w:val="Apara"/>
      </w:pPr>
      <w:r>
        <w:tab/>
        <w:t>(g)</w:t>
      </w:r>
      <w:r>
        <w:tab/>
        <w:t>the number of limits on the amount a player may wager revoked during the relevant month;</w:t>
      </w:r>
    </w:p>
    <w:p w14:paraId="19359F00" w14:textId="77777777" w:rsidR="00267968" w:rsidRDefault="00F173ED">
      <w:pPr>
        <w:pStyle w:val="Apara"/>
      </w:pPr>
      <w:r>
        <w:tab/>
        <w:t>(h)</w:t>
      </w:r>
      <w:r>
        <w:tab/>
        <w:t>the amount of each limit revoked during the relevant month.</w:t>
      </w:r>
    </w:p>
    <w:p w14:paraId="39217102" w14:textId="77777777" w:rsidR="00267968" w:rsidRDefault="00F173ED">
      <w:pPr>
        <w:pStyle w:val="Amain"/>
      </w:pPr>
      <w:r>
        <w:rPr>
          <w:b/>
        </w:rPr>
        <w:t xml:space="preserve">(2) </w:t>
      </w:r>
      <w:r>
        <w:rPr>
          <w:b/>
        </w:rPr>
        <w:tab/>
      </w:r>
      <w:r>
        <w:t>The information prescribed under subregulation (1) shall be specified in respect of players resident in the Territory and in each participating and non-participating jurisdiction.</w:t>
      </w:r>
    </w:p>
    <w:p w14:paraId="52F9216F" w14:textId="77777777" w:rsidR="00267968" w:rsidRDefault="00F173ED">
      <w:pPr>
        <w:pStyle w:val="Amain"/>
      </w:pPr>
      <w:r>
        <w:rPr>
          <w:b/>
        </w:rPr>
        <w:lastRenderedPageBreak/>
        <w:t xml:space="preserve">(3) </w:t>
      </w:r>
      <w:r>
        <w:rPr>
          <w:b/>
        </w:rPr>
        <w:tab/>
      </w:r>
      <w:r>
        <w:t>In this regulation—</w:t>
      </w:r>
    </w:p>
    <w:p w14:paraId="3A8472A5" w14:textId="77777777" w:rsidR="00267968" w:rsidRDefault="00F173ED">
      <w:pPr>
        <w:pStyle w:val="aDef"/>
      </w:pPr>
      <w:r>
        <w:t>“relevant month” means the month in respect of which the return under section 84 of the Act is given to the Commissioner.</w:t>
      </w:r>
    </w:p>
    <w:p w14:paraId="062EFD2F" w14:textId="77777777" w:rsidR="00267968" w:rsidRDefault="00F173ED">
      <w:pPr>
        <w:pStyle w:val="AH3sec"/>
        <w:spacing w:before="120"/>
      </w:pPr>
      <w:bookmarkStart w:id="16" w:name="_Toc431627541"/>
      <w:r>
        <w:t xml:space="preserve">16. </w:t>
      </w:r>
      <w:r>
        <w:tab/>
        <w:t>Agent’s operation—appropriate places</w:t>
      </w:r>
      <w:bookmarkEnd w:id="16"/>
    </w:p>
    <w:p w14:paraId="53B3B45D" w14:textId="77777777" w:rsidR="00267968" w:rsidRDefault="00F173ED">
      <w:pPr>
        <w:pStyle w:val="Amain"/>
      </w:pPr>
      <w:r>
        <w:tab/>
        <w:t>For the purposes of paragraph 91 (a) of the Act the premises where the agent trades are prescribed.</w:t>
      </w:r>
    </w:p>
    <w:p w14:paraId="301B27C8" w14:textId="77777777" w:rsidR="00267968" w:rsidRDefault="00F173ED">
      <w:pPr>
        <w:pStyle w:val="AH3sec"/>
        <w:spacing w:before="120"/>
      </w:pPr>
      <w:bookmarkStart w:id="17" w:name="_Toc431627542"/>
      <w:r>
        <w:t xml:space="preserve">17. </w:t>
      </w:r>
      <w:r>
        <w:tab/>
        <w:t>Prescribed period—s. 100 (1)</w:t>
      </w:r>
      <w:bookmarkEnd w:id="17"/>
    </w:p>
    <w:p w14:paraId="1CD1EEE3" w14:textId="77777777" w:rsidR="00267968" w:rsidRDefault="00F173ED">
      <w:pPr>
        <w:pStyle w:val="Amain"/>
      </w:pPr>
      <w:r>
        <w:tab/>
        <w:t>For the purposes of subsection 100 (1) of the Act the prescribed period of time is 1 year.</w:t>
      </w:r>
    </w:p>
    <w:p w14:paraId="3CC63C07" w14:textId="77777777" w:rsidR="00267968" w:rsidRDefault="00F173ED">
      <w:pPr>
        <w:pStyle w:val="AH3sec"/>
        <w:spacing w:before="120"/>
      </w:pPr>
      <w:bookmarkStart w:id="18" w:name="_Toc431627543"/>
      <w:r>
        <w:t xml:space="preserve">18. </w:t>
      </w:r>
      <w:r>
        <w:tab/>
        <w:t>Unclaimed money</w:t>
      </w:r>
      <w:bookmarkEnd w:id="18"/>
    </w:p>
    <w:p w14:paraId="1BF9AFE9" w14:textId="77777777" w:rsidR="00267968" w:rsidRDefault="00F173ED">
      <w:pPr>
        <w:pStyle w:val="Amain"/>
      </w:pPr>
      <w:r>
        <w:rPr>
          <w:b/>
        </w:rPr>
        <w:t xml:space="preserve">(1) </w:t>
      </w:r>
      <w:r>
        <w:rPr>
          <w:b/>
        </w:rPr>
        <w:tab/>
      </w:r>
      <w:r>
        <w:t>For the purposes of subsection 100 (1) of the Act, where a player cannot be found, a licensed provider shall remit the balance remaining in the player’s account into a trust bank account.</w:t>
      </w:r>
    </w:p>
    <w:p w14:paraId="54DE4F8A" w14:textId="77777777" w:rsidR="00267968" w:rsidRDefault="00F173ED">
      <w:pPr>
        <w:pStyle w:val="Amain"/>
      </w:pPr>
      <w:r>
        <w:rPr>
          <w:b/>
        </w:rPr>
        <w:t xml:space="preserve">(2) </w:t>
      </w:r>
      <w:r>
        <w:rPr>
          <w:b/>
        </w:rPr>
        <w:tab/>
      </w:r>
      <w:r>
        <w:t>For the purposes of subparagraph 120 (2) (c) (iii) of the Act, where there is no current player’s account and the licensed provider is unaware of the whereabouts of a former player, the licensed provider shall pay the remainder of the proceeds into a trust bank account.</w:t>
      </w:r>
    </w:p>
    <w:p w14:paraId="6F9E4F6D" w14:textId="77777777" w:rsidR="00267968" w:rsidRDefault="00F173ED">
      <w:pPr>
        <w:pStyle w:val="Amain"/>
      </w:pPr>
      <w:r>
        <w:rPr>
          <w:b/>
        </w:rPr>
        <w:t xml:space="preserve">(3) </w:t>
      </w:r>
      <w:r>
        <w:rPr>
          <w:b/>
        </w:rPr>
        <w:tab/>
      </w:r>
      <w:r>
        <w:t>Any money paid into a trust bank account under subregulation (1) or (2) shall, on the expiry of the period of 1 year after the day on which the money was so paid, be dealt with by the provider as the Commissioner, in writing, directs.</w:t>
      </w:r>
    </w:p>
    <w:p w14:paraId="2759F0D3" w14:textId="77777777" w:rsidR="00267968" w:rsidRDefault="00267968">
      <w:pPr>
        <w:pStyle w:val="aDef"/>
        <w:pBdr>
          <w:bottom w:val="single" w:sz="2" w:space="1" w:color="auto"/>
        </w:pBdr>
        <w:ind w:left="2960" w:right="3020" w:firstLine="0"/>
      </w:pPr>
    </w:p>
    <w:p w14:paraId="40789B9B" w14:textId="77777777" w:rsidR="00267968" w:rsidRDefault="00267968">
      <w:pPr>
        <w:pStyle w:val="Amain"/>
      </w:pPr>
    </w:p>
    <w:p w14:paraId="6DF651B0" w14:textId="77777777" w:rsidR="00267968" w:rsidRDefault="00267968">
      <w:pPr>
        <w:spacing w:before="260" w:after="160"/>
        <w:jc w:val="center"/>
        <w:rPr>
          <w:rFonts w:ascii="Helvetica" w:hAnsi="Helvetica"/>
          <w:b/>
          <w:sz w:val="20"/>
        </w:rPr>
        <w:sectPr w:rsidR="00267968" w:rsidSect="00610BF3">
          <w:headerReference w:type="even" r:id="rId24"/>
          <w:headerReference w:type="default" r:id="rId25"/>
          <w:footerReference w:type="default" r:id="rId26"/>
          <w:headerReference w:type="first" r:id="rId27"/>
          <w:pgSz w:w="11907" w:h="16839"/>
          <w:pgMar w:top="2999" w:right="1899" w:bottom="2500" w:left="2302" w:header="2477" w:footer="2098" w:gutter="0"/>
          <w:pgNumType w:start="1"/>
          <w:cols w:space="720"/>
          <w:titlePg/>
          <w:docGrid w:linePitch="326"/>
        </w:sectPr>
      </w:pPr>
    </w:p>
    <w:p w14:paraId="1DA8B89D" w14:textId="77777777" w:rsidR="00267968" w:rsidRDefault="00267968">
      <w:pPr>
        <w:pStyle w:val="Endnote1"/>
        <w:sectPr w:rsidR="00267968" w:rsidSect="00610BF3">
          <w:headerReference w:type="default" r:id="rId28"/>
          <w:type w:val="continuous"/>
          <w:pgSz w:w="11907" w:h="16839"/>
          <w:pgMar w:top="2999" w:right="1899" w:bottom="2500" w:left="2302" w:header="2477" w:footer="2098" w:gutter="0"/>
          <w:cols w:space="720"/>
          <w:titlePg/>
          <w:docGrid w:linePitch="326"/>
        </w:sectPr>
      </w:pPr>
    </w:p>
    <w:p w14:paraId="6CBF1342" w14:textId="77777777" w:rsidR="00267968" w:rsidRDefault="00F173ED">
      <w:pPr>
        <w:pStyle w:val="Endnote1"/>
      </w:pPr>
      <w:r>
        <w:lastRenderedPageBreak/>
        <w:t>ENDNOTES</w:t>
      </w:r>
    </w:p>
    <w:p w14:paraId="7952BBF7" w14:textId="77777777" w:rsidR="00267968" w:rsidRDefault="00F173ED">
      <w:pPr>
        <w:pStyle w:val="Endnote2"/>
      </w:pPr>
      <w:r>
        <w:t>1</w:t>
      </w:r>
      <w:r>
        <w:tab/>
        <w:t>About this republication</w:t>
      </w:r>
    </w:p>
    <w:p w14:paraId="7601EFA2" w14:textId="77777777" w:rsidR="00267968" w:rsidRDefault="00F173ED">
      <w:pPr>
        <w:ind w:left="300"/>
        <w:rPr>
          <w:rFonts w:ascii="Helvetica" w:hAnsi="Helvetica"/>
          <w:sz w:val="18"/>
        </w:rPr>
      </w:pPr>
      <w:r>
        <w:rPr>
          <w:rFonts w:ascii="Helvetica" w:hAnsi="Helvetica"/>
          <w:sz w:val="18"/>
        </w:rPr>
        <w:t xml:space="preserve">This is a republication of the </w:t>
      </w:r>
      <w:r>
        <w:rPr>
          <w:rFonts w:ascii="Helvetica" w:hAnsi="Helvetica"/>
          <w:i/>
          <w:sz w:val="18"/>
        </w:rPr>
        <w:t>Interactive Gambling Regulations</w:t>
      </w:r>
      <w:r>
        <w:rPr>
          <w:rFonts w:ascii="Helvetica" w:hAnsi="Helvetica"/>
          <w:sz w:val="18"/>
        </w:rPr>
        <w:t xml:space="preserve"> as in force under the </w:t>
      </w:r>
      <w:r>
        <w:rPr>
          <w:rFonts w:ascii="Helvetica" w:hAnsi="Helvetica"/>
          <w:i/>
          <w:sz w:val="18"/>
        </w:rPr>
        <w:t xml:space="preserve">Interactive Gambling Act 1998 </w:t>
      </w:r>
      <w:r>
        <w:rPr>
          <w:rFonts w:ascii="Helvetica" w:hAnsi="Helvetica"/>
          <w:sz w:val="18"/>
        </w:rPr>
        <w:t>on 1 March 2000</w:t>
      </w:r>
      <w:r>
        <w:rPr>
          <w:rFonts w:ascii="Helvetica" w:hAnsi="Helvetica"/>
          <w:i/>
          <w:sz w:val="18"/>
        </w:rPr>
        <w:t xml:space="preserve">.  </w:t>
      </w:r>
      <w:r>
        <w:rPr>
          <w:rFonts w:ascii="Helvetica" w:hAnsi="Helvetica"/>
          <w:sz w:val="18"/>
        </w:rPr>
        <w:t>It includes all amendments made to the regulations up to Act No 1999 No 79.</w:t>
      </w:r>
    </w:p>
    <w:p w14:paraId="43531243" w14:textId="77777777" w:rsidR="00267968" w:rsidRDefault="00F173ED">
      <w:pPr>
        <w:ind w:left="300"/>
        <w:rPr>
          <w:rFonts w:ascii="Helvetica" w:hAnsi="Helvetica"/>
          <w:sz w:val="18"/>
        </w:rPr>
      </w:pPr>
      <w:r>
        <w:rPr>
          <w:rFonts w:ascii="Helvetica" w:hAnsi="Helvetica"/>
          <w:sz w:val="18"/>
        </w:rPr>
        <w:t>Amending laws are annotated in the table of legislation and table of amendments.</w:t>
      </w:r>
    </w:p>
    <w:p w14:paraId="64F06A48" w14:textId="77777777" w:rsidR="00267968" w:rsidRDefault="00F173ED">
      <w:pPr>
        <w:spacing w:before="40" w:after="40"/>
        <w:ind w:left="300"/>
        <w:rPr>
          <w:rFonts w:ascii="Helvetica" w:hAnsi="Helvetica"/>
          <w:sz w:val="18"/>
        </w:rPr>
      </w:pPr>
      <w:r>
        <w:rPr>
          <w:rFonts w:ascii="Helvetica" w:hAnsi="Helvetica"/>
          <w:sz w:val="18"/>
        </w:rPr>
        <w:t xml:space="preserve">The Parliamentary Counsel’s Office currently prepares 2 kinds of republications of ACT laws:  authorised printed republications to which the </w:t>
      </w:r>
      <w:r>
        <w:rPr>
          <w:rFonts w:ascii="Helvetica" w:hAnsi="Helvetica"/>
          <w:i/>
          <w:sz w:val="18"/>
        </w:rPr>
        <w:t>Legislation (Republication) Act 1996</w:t>
      </w:r>
      <w:r>
        <w:rPr>
          <w:rFonts w:ascii="Helvetica" w:hAnsi="Helvetica"/>
          <w:sz w:val="18"/>
        </w:rPr>
        <w:t xml:space="preserve"> applies and unauthorised electronic republications.  The status of this republication appears on the cover.</w:t>
      </w:r>
    </w:p>
    <w:p w14:paraId="762A331B" w14:textId="77777777" w:rsidR="00267968" w:rsidRDefault="00F173ED">
      <w:pPr>
        <w:spacing w:before="40" w:after="40"/>
        <w:ind w:left="300"/>
        <w:rPr>
          <w:rFonts w:ascii="Helvetica" w:hAnsi="Helvetica"/>
          <w:sz w:val="18"/>
        </w:rPr>
      </w:pPr>
      <w:r>
        <w:rPr>
          <w:rFonts w:ascii="Helvetica" w:hAnsi="Helvetica"/>
          <w:sz w:val="18"/>
        </w:rPr>
        <w:t xml:space="preserve">Section 13 of the </w:t>
      </w:r>
      <w:r>
        <w:rPr>
          <w:rFonts w:ascii="Helvetica" w:hAnsi="Helvetica"/>
          <w:i/>
          <w:sz w:val="18"/>
        </w:rPr>
        <w:t>Legislation (Republication) Act 1996</w:t>
      </w:r>
      <w:r>
        <w:rPr>
          <w:rFonts w:ascii="Helvetica" w:hAnsi="Helvetica"/>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14:paraId="4BF782AD" w14:textId="77777777" w:rsidR="00267968" w:rsidRDefault="00F173ED">
      <w:pPr>
        <w:spacing w:before="40" w:after="40"/>
        <w:ind w:left="300"/>
        <w:rPr>
          <w:rFonts w:ascii="Helvetica" w:hAnsi="Helvetica"/>
          <w:sz w:val="18"/>
        </w:rPr>
      </w:pPr>
      <w:r>
        <w:rPr>
          <w:rFonts w:ascii="Helvetica" w:hAnsi="Helvetica"/>
          <w:sz w:val="18"/>
        </w:rPr>
        <w:t>In preparing this republication, amendments have not been made under section 13.</w:t>
      </w:r>
    </w:p>
    <w:p w14:paraId="715D0807" w14:textId="77777777" w:rsidR="00267968" w:rsidRDefault="00F173ED">
      <w:pPr>
        <w:spacing w:before="40" w:after="40"/>
        <w:ind w:left="300"/>
        <w:rPr>
          <w:rFonts w:ascii="Helvetica" w:hAnsi="Helvetica"/>
          <w:sz w:val="18"/>
        </w:rPr>
      </w:pPr>
      <w:r>
        <w:rPr>
          <w:rFonts w:ascii="Helvetica" w:hAnsi="Helvetica"/>
          <w:sz w:val="18"/>
        </w:rPr>
        <w:t>Not all amendments made under section 13 are annotated in the table of amendments.  Full details of any amendments can be obtained from the Parliamentary Counsel’s Office.</w:t>
      </w:r>
    </w:p>
    <w:p w14:paraId="1909E4F0" w14:textId="77777777" w:rsidR="00267968" w:rsidRDefault="00F173ED">
      <w:pPr>
        <w:pStyle w:val="Endnote2"/>
      </w:pPr>
      <w:r>
        <w:t>3</w:t>
      </w:r>
      <w:r>
        <w:tab/>
        <w:t>Abbreviation key</w:t>
      </w:r>
    </w:p>
    <w:p w14:paraId="2BA09059" w14:textId="77777777" w:rsidR="00267968" w:rsidRDefault="00F173ED">
      <w:pPr>
        <w:ind w:left="260" w:hanging="260"/>
        <w:jc w:val="center"/>
        <w:rPr>
          <w:rFonts w:ascii="Helvetica" w:hAnsi="Helvetica"/>
          <w:sz w:val="18"/>
        </w:rPr>
      </w:pPr>
      <w:r>
        <w:rPr>
          <w:rFonts w:ascii="Helvetica" w:hAnsi="Helvetica"/>
          <w:sz w:val="18"/>
        </w:rPr>
        <w:t>Key to abbreviations in tables</w:t>
      </w:r>
    </w:p>
    <w:p w14:paraId="49CE72E9" w14:textId="77777777" w:rsidR="00267968" w:rsidRDefault="00267968">
      <w:pPr>
        <w:jc w:val="center"/>
        <w:rPr>
          <w:rFonts w:ascii="Helvetica" w:hAnsi="Helvetica"/>
          <w:sz w:val="18"/>
        </w:rPr>
        <w:sectPr w:rsidR="00267968" w:rsidSect="00610BF3">
          <w:headerReference w:type="default" r:id="rId29"/>
          <w:headerReference w:type="first" r:id="rId30"/>
          <w:footerReference w:type="first" r:id="rId31"/>
          <w:pgSz w:w="11907" w:h="16839"/>
          <w:pgMar w:top="2999" w:right="1899" w:bottom="2500" w:left="2302" w:header="2477" w:footer="2098" w:gutter="0"/>
          <w:cols w:space="720"/>
          <w:docGrid w:linePitch="326"/>
        </w:sectPr>
      </w:pPr>
    </w:p>
    <w:p w14:paraId="101B208D" w14:textId="77777777" w:rsidR="00267968" w:rsidRDefault="00F173ED">
      <w:pPr>
        <w:spacing w:before="0" w:after="20"/>
        <w:ind w:left="300"/>
        <w:jc w:val="left"/>
        <w:rPr>
          <w:rFonts w:ascii="Helvetica" w:hAnsi="Helvetica"/>
          <w:sz w:val="16"/>
        </w:rPr>
      </w:pPr>
      <w:r>
        <w:rPr>
          <w:rFonts w:ascii="Helvetica" w:hAnsi="Helvetica"/>
          <w:sz w:val="16"/>
        </w:rPr>
        <w:t>am = amended</w:t>
      </w:r>
    </w:p>
    <w:p w14:paraId="7BBC74C5" w14:textId="77777777" w:rsidR="00267968" w:rsidRDefault="00F173ED">
      <w:pPr>
        <w:spacing w:before="0" w:after="20"/>
        <w:ind w:left="300"/>
        <w:jc w:val="left"/>
        <w:rPr>
          <w:rFonts w:ascii="Helvetica" w:hAnsi="Helvetica"/>
          <w:sz w:val="16"/>
        </w:rPr>
      </w:pPr>
      <w:r>
        <w:rPr>
          <w:rFonts w:ascii="Helvetica" w:hAnsi="Helvetica"/>
          <w:sz w:val="16"/>
        </w:rPr>
        <w:t>amdt = amendment</w:t>
      </w:r>
    </w:p>
    <w:p w14:paraId="07D8A893" w14:textId="77777777" w:rsidR="00267968" w:rsidRDefault="00F173ED">
      <w:pPr>
        <w:spacing w:before="0" w:after="20"/>
        <w:ind w:left="300"/>
        <w:jc w:val="left"/>
        <w:rPr>
          <w:rFonts w:ascii="Helvetica" w:hAnsi="Helvetica"/>
          <w:sz w:val="16"/>
        </w:rPr>
      </w:pPr>
      <w:r>
        <w:rPr>
          <w:rFonts w:ascii="Helvetica" w:hAnsi="Helvetica"/>
          <w:sz w:val="16"/>
        </w:rPr>
        <w:t>ch = chapter</w:t>
      </w:r>
    </w:p>
    <w:p w14:paraId="1DC7BE63" w14:textId="77777777" w:rsidR="00267968" w:rsidRDefault="00F173ED">
      <w:pPr>
        <w:spacing w:before="0" w:after="20"/>
        <w:ind w:left="300"/>
        <w:jc w:val="left"/>
        <w:rPr>
          <w:rFonts w:ascii="Helvetica" w:hAnsi="Helvetica"/>
          <w:sz w:val="16"/>
        </w:rPr>
      </w:pPr>
      <w:r>
        <w:rPr>
          <w:rFonts w:ascii="Helvetica" w:hAnsi="Helvetica"/>
          <w:sz w:val="16"/>
        </w:rPr>
        <w:t>cl = clause</w:t>
      </w:r>
    </w:p>
    <w:p w14:paraId="12DF8B2C" w14:textId="77777777" w:rsidR="00267968" w:rsidRDefault="00F173ED">
      <w:pPr>
        <w:spacing w:before="0" w:after="20"/>
        <w:ind w:left="300"/>
        <w:jc w:val="left"/>
        <w:rPr>
          <w:rFonts w:ascii="Helvetica" w:hAnsi="Helvetica"/>
          <w:sz w:val="16"/>
        </w:rPr>
      </w:pPr>
      <w:r>
        <w:rPr>
          <w:rFonts w:ascii="Helvetica" w:hAnsi="Helvetica"/>
          <w:sz w:val="16"/>
        </w:rPr>
        <w:t>def = definition</w:t>
      </w:r>
    </w:p>
    <w:p w14:paraId="24EADB19" w14:textId="77777777" w:rsidR="00267968" w:rsidRDefault="00F173ED">
      <w:pPr>
        <w:spacing w:before="0" w:after="20"/>
        <w:ind w:left="300"/>
        <w:jc w:val="left"/>
        <w:rPr>
          <w:rFonts w:ascii="Helvetica" w:hAnsi="Helvetica"/>
          <w:sz w:val="16"/>
        </w:rPr>
      </w:pPr>
      <w:r>
        <w:rPr>
          <w:rFonts w:ascii="Helvetica" w:hAnsi="Helvetica"/>
          <w:sz w:val="16"/>
        </w:rPr>
        <w:t>div = division</w:t>
      </w:r>
    </w:p>
    <w:p w14:paraId="60E405D4" w14:textId="77777777" w:rsidR="00267968" w:rsidRDefault="00F173ED">
      <w:pPr>
        <w:spacing w:before="0" w:after="20"/>
        <w:ind w:left="300"/>
        <w:jc w:val="left"/>
        <w:rPr>
          <w:rFonts w:ascii="Helvetica" w:hAnsi="Helvetica"/>
          <w:sz w:val="16"/>
        </w:rPr>
      </w:pPr>
      <w:r>
        <w:rPr>
          <w:rFonts w:ascii="Helvetica" w:hAnsi="Helvetica"/>
          <w:sz w:val="16"/>
        </w:rPr>
        <w:t>exp = expires/expired</w:t>
      </w:r>
    </w:p>
    <w:p w14:paraId="26C07540" w14:textId="77777777" w:rsidR="00267968" w:rsidRDefault="00F173ED">
      <w:pPr>
        <w:spacing w:before="0" w:after="20"/>
        <w:ind w:left="300"/>
        <w:jc w:val="left"/>
        <w:rPr>
          <w:rFonts w:ascii="Helvetica" w:hAnsi="Helvetica"/>
          <w:sz w:val="16"/>
        </w:rPr>
      </w:pPr>
      <w:r>
        <w:rPr>
          <w:rFonts w:ascii="Helvetica" w:hAnsi="Helvetica"/>
          <w:sz w:val="16"/>
        </w:rPr>
        <w:t>Gaz = Gazette</w:t>
      </w:r>
    </w:p>
    <w:p w14:paraId="405EECEB" w14:textId="77777777" w:rsidR="00267968" w:rsidRDefault="00F173ED">
      <w:pPr>
        <w:spacing w:before="0" w:after="20"/>
        <w:ind w:left="300"/>
        <w:jc w:val="left"/>
        <w:rPr>
          <w:rFonts w:ascii="Helvetica" w:hAnsi="Helvetica"/>
          <w:sz w:val="16"/>
        </w:rPr>
      </w:pPr>
      <w:r>
        <w:rPr>
          <w:rFonts w:ascii="Helvetica" w:hAnsi="Helvetica"/>
          <w:sz w:val="16"/>
        </w:rPr>
        <w:t>hdg = heading</w:t>
      </w:r>
    </w:p>
    <w:p w14:paraId="14B3D6F4" w14:textId="77777777" w:rsidR="00267968" w:rsidRDefault="00F173ED">
      <w:pPr>
        <w:spacing w:before="0" w:after="20"/>
        <w:ind w:left="300"/>
        <w:jc w:val="left"/>
        <w:rPr>
          <w:rFonts w:ascii="Helvetica" w:hAnsi="Helvetica"/>
          <w:sz w:val="16"/>
        </w:rPr>
      </w:pPr>
      <w:r>
        <w:rPr>
          <w:rFonts w:ascii="Helvetica" w:hAnsi="Helvetica"/>
          <w:sz w:val="16"/>
        </w:rPr>
        <w:t>ins = inserted/added</w:t>
      </w:r>
    </w:p>
    <w:p w14:paraId="524A117A" w14:textId="77777777" w:rsidR="00267968" w:rsidRDefault="00F173ED">
      <w:pPr>
        <w:spacing w:before="0" w:after="20"/>
        <w:ind w:left="700" w:hanging="400"/>
        <w:jc w:val="left"/>
        <w:rPr>
          <w:rFonts w:ascii="Helvetica" w:hAnsi="Helvetica"/>
          <w:sz w:val="16"/>
        </w:rPr>
      </w:pPr>
      <w:r>
        <w:rPr>
          <w:rFonts w:ascii="Helvetica" w:hAnsi="Helvetica"/>
          <w:sz w:val="16"/>
        </w:rPr>
        <w:t>LR = Legislation (Republication) Act 1996</w:t>
      </w:r>
    </w:p>
    <w:p w14:paraId="7E8D500E" w14:textId="77777777" w:rsidR="00267968" w:rsidRDefault="00F173ED">
      <w:pPr>
        <w:spacing w:before="0" w:after="20"/>
        <w:ind w:left="300"/>
        <w:jc w:val="left"/>
        <w:rPr>
          <w:rFonts w:ascii="Helvetica" w:hAnsi="Helvetica"/>
          <w:sz w:val="16"/>
        </w:rPr>
      </w:pPr>
      <w:r>
        <w:rPr>
          <w:rFonts w:ascii="Helvetica" w:hAnsi="Helvetica"/>
          <w:sz w:val="16"/>
        </w:rPr>
        <w:t>mod = modified</w:t>
      </w:r>
    </w:p>
    <w:p w14:paraId="0E452805" w14:textId="77777777" w:rsidR="00267968" w:rsidRDefault="00F173ED">
      <w:pPr>
        <w:spacing w:before="0" w:after="20"/>
        <w:ind w:left="300"/>
        <w:jc w:val="left"/>
        <w:rPr>
          <w:rFonts w:ascii="Helvetica" w:hAnsi="Helvetica"/>
          <w:sz w:val="16"/>
        </w:rPr>
      </w:pPr>
      <w:r>
        <w:rPr>
          <w:rFonts w:ascii="Helvetica" w:hAnsi="Helvetica"/>
          <w:sz w:val="16"/>
        </w:rPr>
        <w:t>No = number</w:t>
      </w:r>
    </w:p>
    <w:p w14:paraId="0E1CEFE8" w14:textId="77777777" w:rsidR="00267968" w:rsidRDefault="00F173ED">
      <w:pPr>
        <w:spacing w:before="0" w:after="20"/>
        <w:ind w:left="300"/>
        <w:jc w:val="left"/>
        <w:rPr>
          <w:rFonts w:ascii="Helvetica" w:hAnsi="Helvetica"/>
          <w:sz w:val="16"/>
        </w:rPr>
      </w:pPr>
      <w:r>
        <w:rPr>
          <w:rFonts w:ascii="Helvetica" w:hAnsi="Helvetica"/>
          <w:sz w:val="16"/>
        </w:rPr>
        <w:t>notfd = notified</w:t>
      </w:r>
    </w:p>
    <w:p w14:paraId="072C5194" w14:textId="77777777" w:rsidR="00267968" w:rsidRDefault="00F173ED">
      <w:pPr>
        <w:spacing w:before="0" w:after="20"/>
        <w:ind w:left="300"/>
        <w:jc w:val="left"/>
        <w:rPr>
          <w:rFonts w:ascii="Helvetica" w:hAnsi="Helvetica"/>
          <w:sz w:val="16"/>
        </w:rPr>
      </w:pPr>
      <w:r>
        <w:rPr>
          <w:rFonts w:ascii="Helvetica" w:hAnsi="Helvetica"/>
          <w:sz w:val="16"/>
        </w:rPr>
        <w:t>o = order</w:t>
      </w:r>
    </w:p>
    <w:p w14:paraId="4A425A61" w14:textId="77777777" w:rsidR="00267968" w:rsidRDefault="00F173ED">
      <w:pPr>
        <w:spacing w:before="0" w:after="20"/>
        <w:ind w:left="300"/>
        <w:jc w:val="left"/>
        <w:rPr>
          <w:rFonts w:ascii="Helvetica" w:hAnsi="Helvetica"/>
          <w:sz w:val="16"/>
        </w:rPr>
      </w:pPr>
      <w:r>
        <w:rPr>
          <w:rFonts w:ascii="Helvetica" w:hAnsi="Helvetica"/>
          <w:sz w:val="16"/>
        </w:rPr>
        <w:t>om = omitted/repealed</w:t>
      </w:r>
    </w:p>
    <w:p w14:paraId="6E921D3E" w14:textId="77777777" w:rsidR="00267968" w:rsidRDefault="00F173ED">
      <w:pPr>
        <w:spacing w:before="0" w:after="20"/>
        <w:ind w:left="300"/>
        <w:jc w:val="left"/>
        <w:rPr>
          <w:rFonts w:ascii="Helvetica" w:hAnsi="Helvetica"/>
          <w:sz w:val="16"/>
        </w:rPr>
      </w:pPr>
      <w:r>
        <w:rPr>
          <w:rFonts w:ascii="Helvetica" w:hAnsi="Helvetica"/>
          <w:sz w:val="16"/>
        </w:rPr>
        <w:t>orig = original</w:t>
      </w:r>
    </w:p>
    <w:p w14:paraId="7678C3D7" w14:textId="77777777" w:rsidR="00267968" w:rsidRDefault="00F173ED">
      <w:pPr>
        <w:spacing w:before="0" w:after="20"/>
        <w:ind w:left="300"/>
        <w:jc w:val="left"/>
        <w:rPr>
          <w:rFonts w:ascii="Helvetica" w:hAnsi="Helvetica"/>
          <w:sz w:val="16"/>
        </w:rPr>
      </w:pPr>
      <w:r>
        <w:rPr>
          <w:rFonts w:ascii="Helvetica" w:hAnsi="Helvetica"/>
          <w:sz w:val="16"/>
        </w:rPr>
        <w:t>p = page</w:t>
      </w:r>
    </w:p>
    <w:p w14:paraId="11FDF3BD" w14:textId="77777777" w:rsidR="00267968" w:rsidRDefault="00F173ED">
      <w:pPr>
        <w:spacing w:before="0" w:after="20"/>
        <w:ind w:left="300"/>
        <w:jc w:val="left"/>
        <w:rPr>
          <w:rFonts w:ascii="Helvetica" w:hAnsi="Helvetica"/>
          <w:sz w:val="16"/>
        </w:rPr>
      </w:pPr>
      <w:r>
        <w:rPr>
          <w:rFonts w:ascii="Helvetica" w:hAnsi="Helvetica"/>
          <w:sz w:val="16"/>
        </w:rPr>
        <w:t>par = paragraph</w:t>
      </w:r>
    </w:p>
    <w:p w14:paraId="567C4B09" w14:textId="77777777" w:rsidR="00267968" w:rsidRDefault="00F173ED">
      <w:pPr>
        <w:spacing w:before="0" w:after="20"/>
        <w:ind w:left="300"/>
        <w:jc w:val="left"/>
        <w:rPr>
          <w:rFonts w:ascii="Helvetica" w:hAnsi="Helvetica"/>
          <w:sz w:val="16"/>
        </w:rPr>
      </w:pPr>
      <w:r>
        <w:rPr>
          <w:rFonts w:ascii="Helvetica" w:hAnsi="Helvetica"/>
          <w:sz w:val="16"/>
        </w:rPr>
        <w:t>pres = present</w:t>
      </w:r>
    </w:p>
    <w:p w14:paraId="79578D01" w14:textId="77777777" w:rsidR="00267968" w:rsidRDefault="00F173ED">
      <w:pPr>
        <w:spacing w:before="0" w:after="20"/>
        <w:ind w:left="300"/>
        <w:jc w:val="left"/>
        <w:rPr>
          <w:rFonts w:ascii="Helvetica" w:hAnsi="Helvetica"/>
          <w:sz w:val="16"/>
        </w:rPr>
      </w:pPr>
      <w:r>
        <w:rPr>
          <w:rFonts w:ascii="Helvetica" w:hAnsi="Helvetica"/>
          <w:sz w:val="16"/>
        </w:rPr>
        <w:t>prev = previous</w:t>
      </w:r>
    </w:p>
    <w:p w14:paraId="2EC95F6B" w14:textId="77777777" w:rsidR="00267968" w:rsidRDefault="00F173ED">
      <w:pPr>
        <w:spacing w:before="0" w:after="20"/>
        <w:ind w:left="300"/>
        <w:jc w:val="left"/>
        <w:rPr>
          <w:rFonts w:ascii="Helvetica" w:hAnsi="Helvetica"/>
          <w:sz w:val="16"/>
        </w:rPr>
      </w:pPr>
      <w:r>
        <w:rPr>
          <w:rFonts w:ascii="Helvetica" w:hAnsi="Helvetica"/>
          <w:sz w:val="16"/>
        </w:rPr>
        <w:t>(prev...) = previously</w:t>
      </w:r>
    </w:p>
    <w:p w14:paraId="7E5E4FAD" w14:textId="77777777" w:rsidR="00267968" w:rsidRDefault="00F173ED">
      <w:pPr>
        <w:spacing w:before="0" w:after="20"/>
        <w:ind w:left="300"/>
        <w:jc w:val="left"/>
        <w:rPr>
          <w:rFonts w:ascii="Helvetica" w:hAnsi="Helvetica"/>
          <w:sz w:val="16"/>
        </w:rPr>
      </w:pPr>
      <w:r>
        <w:rPr>
          <w:rFonts w:ascii="Helvetica" w:hAnsi="Helvetica"/>
          <w:sz w:val="16"/>
        </w:rPr>
        <w:t>prov = provision</w:t>
      </w:r>
    </w:p>
    <w:p w14:paraId="0323AED1" w14:textId="77777777" w:rsidR="00267968" w:rsidRDefault="00F173ED">
      <w:pPr>
        <w:spacing w:before="0" w:after="20"/>
        <w:ind w:left="300"/>
        <w:jc w:val="left"/>
        <w:rPr>
          <w:rFonts w:ascii="Helvetica" w:hAnsi="Helvetica"/>
          <w:sz w:val="16"/>
        </w:rPr>
      </w:pPr>
      <w:r>
        <w:rPr>
          <w:rFonts w:ascii="Helvetica" w:hAnsi="Helvetica"/>
          <w:sz w:val="16"/>
        </w:rPr>
        <w:t>pt = part</w:t>
      </w:r>
    </w:p>
    <w:p w14:paraId="0AF62AEC" w14:textId="77777777" w:rsidR="00267968" w:rsidRDefault="00F173ED">
      <w:pPr>
        <w:spacing w:before="0" w:after="20"/>
        <w:ind w:left="300"/>
        <w:jc w:val="left"/>
        <w:rPr>
          <w:rFonts w:ascii="Helvetica" w:hAnsi="Helvetica"/>
          <w:sz w:val="16"/>
        </w:rPr>
      </w:pPr>
      <w:r>
        <w:rPr>
          <w:rFonts w:ascii="Helvetica" w:hAnsi="Helvetica"/>
          <w:sz w:val="16"/>
        </w:rPr>
        <w:t>r = rule/subrule</w:t>
      </w:r>
    </w:p>
    <w:p w14:paraId="20D94C8C" w14:textId="77777777" w:rsidR="00267968" w:rsidRDefault="00F173ED">
      <w:pPr>
        <w:spacing w:before="0" w:after="20"/>
        <w:ind w:left="300"/>
        <w:jc w:val="left"/>
        <w:rPr>
          <w:rFonts w:ascii="Helvetica" w:hAnsi="Helvetica"/>
          <w:sz w:val="16"/>
        </w:rPr>
      </w:pPr>
      <w:r>
        <w:rPr>
          <w:rFonts w:ascii="Helvetica" w:hAnsi="Helvetica"/>
          <w:sz w:val="16"/>
        </w:rPr>
        <w:t>reg = regulation/subregulation</w:t>
      </w:r>
    </w:p>
    <w:p w14:paraId="4B5A52CB" w14:textId="77777777" w:rsidR="00267968" w:rsidRDefault="00F173ED">
      <w:pPr>
        <w:spacing w:before="0" w:after="20"/>
        <w:ind w:left="300"/>
        <w:jc w:val="left"/>
        <w:rPr>
          <w:rFonts w:ascii="Helvetica" w:hAnsi="Helvetica"/>
          <w:sz w:val="16"/>
        </w:rPr>
      </w:pPr>
      <w:r>
        <w:rPr>
          <w:rFonts w:ascii="Helvetica" w:hAnsi="Helvetica"/>
          <w:sz w:val="16"/>
        </w:rPr>
        <w:t>renum = renumbered</w:t>
      </w:r>
    </w:p>
    <w:p w14:paraId="63270C53" w14:textId="77777777" w:rsidR="00267968" w:rsidRDefault="00F173ED">
      <w:pPr>
        <w:spacing w:before="0" w:after="20"/>
        <w:ind w:left="300"/>
        <w:jc w:val="left"/>
        <w:rPr>
          <w:rFonts w:ascii="Helvetica" w:hAnsi="Helvetica"/>
          <w:sz w:val="16"/>
        </w:rPr>
      </w:pPr>
      <w:r>
        <w:rPr>
          <w:rFonts w:ascii="Helvetica" w:hAnsi="Helvetica"/>
          <w:sz w:val="16"/>
        </w:rPr>
        <w:t>reloc = relocated</w:t>
      </w:r>
    </w:p>
    <w:p w14:paraId="6C10B4C0" w14:textId="77777777" w:rsidR="00267968" w:rsidRDefault="00F173ED">
      <w:pPr>
        <w:spacing w:before="0" w:after="20"/>
        <w:ind w:left="300"/>
        <w:jc w:val="left"/>
        <w:rPr>
          <w:rFonts w:ascii="Helvetica" w:hAnsi="Helvetica"/>
          <w:sz w:val="16"/>
        </w:rPr>
      </w:pPr>
      <w:r>
        <w:rPr>
          <w:rFonts w:ascii="Helvetica" w:hAnsi="Helvetica"/>
          <w:sz w:val="16"/>
        </w:rPr>
        <w:t>R[X] = Republication No</w:t>
      </w:r>
    </w:p>
    <w:p w14:paraId="57F31978" w14:textId="77777777" w:rsidR="00267968" w:rsidRDefault="00F173ED">
      <w:pPr>
        <w:spacing w:before="0" w:after="20"/>
        <w:ind w:left="300"/>
        <w:jc w:val="left"/>
        <w:rPr>
          <w:rFonts w:ascii="Helvetica" w:hAnsi="Helvetica"/>
          <w:sz w:val="16"/>
        </w:rPr>
      </w:pPr>
      <w:r>
        <w:rPr>
          <w:rFonts w:ascii="Helvetica" w:hAnsi="Helvetica"/>
          <w:sz w:val="16"/>
        </w:rPr>
        <w:t>s = section/subsection</w:t>
      </w:r>
    </w:p>
    <w:p w14:paraId="2424E3D7" w14:textId="77777777" w:rsidR="00267968" w:rsidRDefault="00F173ED">
      <w:pPr>
        <w:spacing w:before="0" w:after="20"/>
        <w:ind w:left="300"/>
        <w:jc w:val="left"/>
        <w:rPr>
          <w:rFonts w:ascii="Helvetica" w:hAnsi="Helvetica"/>
          <w:sz w:val="16"/>
        </w:rPr>
      </w:pPr>
      <w:r>
        <w:rPr>
          <w:rFonts w:ascii="Helvetica" w:hAnsi="Helvetica"/>
          <w:sz w:val="16"/>
        </w:rPr>
        <w:t>sch = schedule</w:t>
      </w:r>
    </w:p>
    <w:p w14:paraId="36458161" w14:textId="77777777" w:rsidR="00267968" w:rsidRDefault="00F173ED">
      <w:pPr>
        <w:spacing w:before="0" w:after="20"/>
        <w:ind w:left="300"/>
        <w:jc w:val="left"/>
        <w:rPr>
          <w:rFonts w:ascii="Helvetica" w:hAnsi="Helvetica"/>
          <w:sz w:val="16"/>
        </w:rPr>
      </w:pPr>
      <w:r>
        <w:rPr>
          <w:rFonts w:ascii="Helvetica" w:hAnsi="Helvetica"/>
          <w:sz w:val="16"/>
        </w:rPr>
        <w:t>sdiv = subdivision</w:t>
      </w:r>
    </w:p>
    <w:p w14:paraId="23812AA6" w14:textId="77777777" w:rsidR="00267968" w:rsidRDefault="00F173ED">
      <w:pPr>
        <w:spacing w:before="0" w:after="20"/>
        <w:ind w:left="300"/>
        <w:jc w:val="left"/>
        <w:rPr>
          <w:rFonts w:ascii="Helvetica" w:hAnsi="Helvetica"/>
          <w:sz w:val="16"/>
        </w:rPr>
      </w:pPr>
      <w:r>
        <w:rPr>
          <w:rFonts w:ascii="Helvetica" w:hAnsi="Helvetica"/>
          <w:sz w:val="16"/>
        </w:rPr>
        <w:t>sub = substituted</w:t>
      </w:r>
    </w:p>
    <w:p w14:paraId="2D4DF5ED" w14:textId="77777777" w:rsidR="00267968" w:rsidRDefault="00F173ED">
      <w:pPr>
        <w:spacing w:before="0" w:after="20"/>
        <w:ind w:left="300"/>
        <w:jc w:val="left"/>
        <w:rPr>
          <w:rFonts w:ascii="Helvetica" w:hAnsi="Helvetica"/>
          <w:sz w:val="16"/>
        </w:rPr>
      </w:pPr>
      <w:r>
        <w:rPr>
          <w:rFonts w:ascii="Helvetica" w:hAnsi="Helvetica"/>
          <w:sz w:val="16"/>
        </w:rPr>
        <w:t>SL  = Subordinate Law</w:t>
      </w:r>
    </w:p>
    <w:p w14:paraId="22E053D9" w14:textId="77777777" w:rsidR="00267968" w:rsidRDefault="00F173ED">
      <w:pPr>
        <w:spacing w:before="0" w:after="20"/>
        <w:ind w:left="300"/>
        <w:jc w:val="left"/>
        <w:rPr>
          <w:rFonts w:ascii="Helvetica" w:hAnsi="Helvetica"/>
          <w:sz w:val="16"/>
        </w:rPr>
      </w:pPr>
      <w:r>
        <w:rPr>
          <w:rFonts w:ascii="Helvetica" w:hAnsi="Helvetica"/>
          <w:sz w:val="16"/>
        </w:rPr>
        <w:t>sp = spent</w:t>
      </w:r>
    </w:p>
    <w:p w14:paraId="12FD8201" w14:textId="77777777" w:rsidR="00267968" w:rsidRDefault="00F173ED">
      <w:pPr>
        <w:spacing w:before="0" w:after="20"/>
        <w:ind w:left="300"/>
        <w:jc w:val="left"/>
        <w:rPr>
          <w:rFonts w:ascii="Helvetica" w:hAnsi="Helvetica"/>
          <w:sz w:val="16"/>
        </w:rPr>
      </w:pPr>
      <w:r>
        <w:rPr>
          <w:rFonts w:ascii="Helvetica" w:hAnsi="Helvetica"/>
          <w:sz w:val="16"/>
        </w:rPr>
        <w:t>*  = SL unless otherwise stated</w:t>
      </w:r>
    </w:p>
    <w:p w14:paraId="22710F7F" w14:textId="77777777" w:rsidR="00267968" w:rsidRDefault="00F173ED">
      <w:pPr>
        <w:spacing w:before="0" w:after="20"/>
        <w:ind w:left="500" w:hanging="200"/>
        <w:jc w:val="left"/>
        <w:rPr>
          <w:rFonts w:ascii="Helvetica" w:hAnsi="Helvetica"/>
          <w:sz w:val="16"/>
        </w:rPr>
      </w:pPr>
      <w:r>
        <w:rPr>
          <w:rFonts w:ascii="Helvetica" w:hAnsi="Helvetica"/>
          <w:sz w:val="16"/>
        </w:rPr>
        <w:t>† = Act or Ordinance unless otherwise stated</w:t>
      </w:r>
    </w:p>
    <w:p w14:paraId="666C3847" w14:textId="77777777" w:rsidR="00267968" w:rsidRDefault="00267968">
      <w:pPr>
        <w:ind w:left="260" w:hanging="260"/>
        <w:jc w:val="center"/>
        <w:rPr>
          <w:rFonts w:ascii="Helvetica" w:hAnsi="Helvetica"/>
          <w:sz w:val="18"/>
        </w:rPr>
        <w:sectPr w:rsidR="00267968" w:rsidSect="00610BF3">
          <w:headerReference w:type="default" r:id="rId32"/>
          <w:type w:val="continuous"/>
          <w:pgSz w:w="11907" w:h="16839"/>
          <w:pgMar w:top="2999" w:right="1899" w:bottom="2500" w:left="2302" w:header="2477" w:footer="2098" w:gutter="0"/>
          <w:cols w:num="2" w:space="720"/>
          <w:docGrid w:linePitch="326"/>
        </w:sectPr>
      </w:pPr>
    </w:p>
    <w:p w14:paraId="60B7DE06" w14:textId="77777777" w:rsidR="00267968" w:rsidRDefault="00267968">
      <w:pPr>
        <w:pStyle w:val="Endnote2"/>
        <w:sectPr w:rsidR="00267968" w:rsidSect="00610BF3">
          <w:headerReference w:type="even" r:id="rId33"/>
          <w:headerReference w:type="default" r:id="rId34"/>
          <w:footerReference w:type="default" r:id="rId35"/>
          <w:type w:val="continuous"/>
          <w:pgSz w:w="11907" w:h="16839"/>
          <w:pgMar w:top="2999" w:right="1899" w:bottom="2500" w:left="2302" w:header="2477" w:footer="2098" w:gutter="0"/>
          <w:cols w:space="720"/>
          <w:titlePg/>
          <w:docGrid w:linePitch="326"/>
        </w:sectPr>
      </w:pPr>
    </w:p>
    <w:p w14:paraId="08CD6B0B" w14:textId="77777777" w:rsidR="00267968" w:rsidRDefault="00F173ED">
      <w:pPr>
        <w:pStyle w:val="Endnote2"/>
      </w:pPr>
      <w:r>
        <w:lastRenderedPageBreak/>
        <w:t>3</w:t>
      </w:r>
      <w:r>
        <w:tab/>
        <w:t>Table of legislation</w:t>
      </w:r>
    </w:p>
    <w:tbl>
      <w:tblPr>
        <w:tblW w:w="0" w:type="auto"/>
        <w:tblInd w:w="260" w:type="dxa"/>
        <w:tblLayout w:type="fixed"/>
        <w:tblCellMar>
          <w:left w:w="80" w:type="dxa"/>
          <w:right w:w="80" w:type="dxa"/>
        </w:tblCellMar>
        <w:tblLook w:val="0000" w:firstRow="0" w:lastRow="0" w:firstColumn="0" w:lastColumn="0" w:noHBand="0" w:noVBand="0"/>
      </w:tblPr>
      <w:tblGrid>
        <w:gridCol w:w="2020"/>
        <w:gridCol w:w="1400"/>
        <w:gridCol w:w="1320"/>
        <w:gridCol w:w="1560"/>
        <w:gridCol w:w="1080"/>
      </w:tblGrid>
      <w:tr w:rsidR="00267968" w14:paraId="6D31689B" w14:textId="77777777">
        <w:trPr>
          <w:cantSplit/>
        </w:trPr>
        <w:tc>
          <w:tcPr>
            <w:tcW w:w="2020" w:type="dxa"/>
            <w:tcBorders>
              <w:top w:val="single" w:sz="6" w:space="0" w:color="auto"/>
              <w:bottom w:val="single" w:sz="2" w:space="0" w:color="auto"/>
            </w:tcBorders>
          </w:tcPr>
          <w:p w14:paraId="4B9036D3" w14:textId="77777777" w:rsidR="00267968" w:rsidRDefault="00F173ED">
            <w:pPr>
              <w:spacing w:before="200" w:after="100"/>
              <w:ind w:left="-40"/>
              <w:rPr>
                <w:rFonts w:ascii="Helvetica" w:hAnsi="Helvetica"/>
                <w:sz w:val="16"/>
              </w:rPr>
            </w:pPr>
            <w:r>
              <w:rPr>
                <w:rFonts w:ascii="Helvetica" w:hAnsi="Helvetica"/>
                <w:sz w:val="16"/>
              </w:rPr>
              <w:t>Subordinate law*</w:t>
            </w:r>
          </w:p>
        </w:tc>
        <w:tc>
          <w:tcPr>
            <w:tcW w:w="1400" w:type="dxa"/>
            <w:tcBorders>
              <w:top w:val="single" w:sz="6" w:space="0" w:color="auto"/>
              <w:bottom w:val="single" w:sz="2" w:space="0" w:color="auto"/>
            </w:tcBorders>
          </w:tcPr>
          <w:p w14:paraId="76940E79" w14:textId="77777777" w:rsidR="00267968" w:rsidRDefault="00F173ED">
            <w:pPr>
              <w:spacing w:before="100" w:after="100"/>
              <w:jc w:val="left"/>
              <w:rPr>
                <w:rFonts w:ascii="Helvetica" w:hAnsi="Helvetica"/>
                <w:sz w:val="16"/>
              </w:rPr>
            </w:pPr>
            <w:r>
              <w:rPr>
                <w:rFonts w:ascii="Helvetica" w:hAnsi="Helvetica"/>
                <w:sz w:val="16"/>
              </w:rPr>
              <w:t>Year and number*</w:t>
            </w:r>
          </w:p>
        </w:tc>
        <w:tc>
          <w:tcPr>
            <w:tcW w:w="1320" w:type="dxa"/>
            <w:tcBorders>
              <w:top w:val="single" w:sz="6" w:space="0" w:color="auto"/>
              <w:bottom w:val="single" w:sz="2" w:space="0" w:color="auto"/>
            </w:tcBorders>
          </w:tcPr>
          <w:p w14:paraId="28FC1F49" w14:textId="77777777" w:rsidR="00267968" w:rsidRDefault="00F173ED">
            <w:pPr>
              <w:spacing w:before="100" w:after="0"/>
              <w:rPr>
                <w:rFonts w:ascii="Helvetica" w:hAnsi="Helvetica"/>
                <w:sz w:val="16"/>
              </w:rPr>
            </w:pPr>
            <w:r>
              <w:rPr>
                <w:rFonts w:ascii="Helvetica" w:hAnsi="Helvetica"/>
                <w:sz w:val="16"/>
              </w:rPr>
              <w:t>Gazette</w:t>
            </w:r>
          </w:p>
          <w:p w14:paraId="6B48F993" w14:textId="77777777" w:rsidR="00267968" w:rsidRDefault="00F173ED">
            <w:pPr>
              <w:spacing w:before="0" w:after="0"/>
              <w:rPr>
                <w:rFonts w:ascii="Helvetica" w:hAnsi="Helvetica"/>
                <w:sz w:val="16"/>
              </w:rPr>
            </w:pPr>
            <w:r>
              <w:rPr>
                <w:rFonts w:ascii="Helvetica" w:hAnsi="Helvetica"/>
                <w:sz w:val="16"/>
              </w:rPr>
              <w:t>notification</w:t>
            </w:r>
          </w:p>
        </w:tc>
        <w:tc>
          <w:tcPr>
            <w:tcW w:w="1560" w:type="dxa"/>
            <w:tcBorders>
              <w:top w:val="single" w:sz="6" w:space="0" w:color="auto"/>
              <w:bottom w:val="single" w:sz="2" w:space="0" w:color="auto"/>
            </w:tcBorders>
          </w:tcPr>
          <w:p w14:paraId="699B763C" w14:textId="77777777" w:rsidR="00267968" w:rsidRDefault="00F173ED">
            <w:pPr>
              <w:spacing w:before="200" w:after="0"/>
              <w:rPr>
                <w:rFonts w:ascii="Helvetica" w:hAnsi="Helvetica"/>
                <w:sz w:val="16"/>
              </w:rPr>
            </w:pPr>
            <w:r>
              <w:rPr>
                <w:rFonts w:ascii="Helvetica" w:hAnsi="Helvetica"/>
                <w:sz w:val="16"/>
              </w:rPr>
              <w:t>Commencement</w:t>
            </w:r>
          </w:p>
        </w:tc>
        <w:tc>
          <w:tcPr>
            <w:tcW w:w="1080" w:type="dxa"/>
            <w:tcBorders>
              <w:top w:val="single" w:sz="6" w:space="0" w:color="auto"/>
              <w:bottom w:val="single" w:sz="2" w:space="0" w:color="auto"/>
            </w:tcBorders>
          </w:tcPr>
          <w:p w14:paraId="0C13C320" w14:textId="77777777" w:rsidR="00267968" w:rsidRDefault="00F173ED">
            <w:pPr>
              <w:spacing w:before="100" w:after="100"/>
              <w:jc w:val="right"/>
              <w:rPr>
                <w:rFonts w:ascii="Helvetica" w:hAnsi="Helvetica"/>
                <w:sz w:val="16"/>
              </w:rPr>
            </w:pPr>
            <w:r>
              <w:rPr>
                <w:rFonts w:ascii="Helvetica" w:hAnsi="Helvetica"/>
                <w:sz w:val="16"/>
              </w:rPr>
              <w:t>Transitional provisions</w:t>
            </w:r>
          </w:p>
        </w:tc>
      </w:tr>
    </w:tbl>
    <w:p w14:paraId="1B86F52D" w14:textId="77777777" w:rsidR="00267968" w:rsidRDefault="00267968">
      <w:pPr>
        <w:spacing w:before="0" w:after="0"/>
        <w:ind w:left="140" w:right="20"/>
        <w:rPr>
          <w:rFonts w:ascii="Helvetica" w:hAnsi="Helvetica"/>
          <w:sz w:val="8"/>
        </w:rPr>
      </w:pPr>
    </w:p>
    <w:tbl>
      <w:tblPr>
        <w:tblW w:w="0" w:type="auto"/>
        <w:tblInd w:w="260" w:type="dxa"/>
        <w:tblLayout w:type="fixed"/>
        <w:tblCellMar>
          <w:left w:w="80" w:type="dxa"/>
          <w:right w:w="80" w:type="dxa"/>
        </w:tblCellMar>
        <w:tblLook w:val="0000" w:firstRow="0" w:lastRow="0" w:firstColumn="0" w:lastColumn="0" w:noHBand="0" w:noVBand="0"/>
      </w:tblPr>
      <w:tblGrid>
        <w:gridCol w:w="2020"/>
        <w:gridCol w:w="1380"/>
        <w:gridCol w:w="1340"/>
        <w:gridCol w:w="1560"/>
        <w:gridCol w:w="1080"/>
      </w:tblGrid>
      <w:tr w:rsidR="00267968" w14:paraId="74145E73" w14:textId="77777777">
        <w:trPr>
          <w:cantSplit/>
        </w:trPr>
        <w:tc>
          <w:tcPr>
            <w:tcW w:w="2020" w:type="dxa"/>
          </w:tcPr>
          <w:p w14:paraId="2378845C" w14:textId="77777777" w:rsidR="00267968" w:rsidRDefault="00F173ED">
            <w:pPr>
              <w:spacing w:before="0" w:after="0"/>
              <w:ind w:left="140" w:right="-280" w:hanging="140"/>
              <w:jc w:val="left"/>
              <w:rPr>
                <w:rFonts w:ascii="Helvetica" w:hAnsi="Helvetica"/>
                <w:i/>
                <w:sz w:val="16"/>
              </w:rPr>
            </w:pPr>
            <w:r>
              <w:rPr>
                <w:rFonts w:ascii="Helvetica" w:hAnsi="Helvetica"/>
                <w:i/>
                <w:sz w:val="16"/>
              </w:rPr>
              <w:t>Interactive Gambling Regulations</w:t>
            </w:r>
          </w:p>
        </w:tc>
        <w:tc>
          <w:tcPr>
            <w:tcW w:w="1380" w:type="dxa"/>
          </w:tcPr>
          <w:p w14:paraId="617A7C0F" w14:textId="77777777" w:rsidR="00267968" w:rsidRDefault="00F173ED">
            <w:pPr>
              <w:spacing w:before="0" w:after="0"/>
              <w:jc w:val="left"/>
              <w:rPr>
                <w:rFonts w:ascii="Helvetica" w:hAnsi="Helvetica"/>
                <w:sz w:val="16"/>
              </w:rPr>
            </w:pPr>
            <w:r>
              <w:rPr>
                <w:rFonts w:ascii="Helvetica" w:hAnsi="Helvetica"/>
                <w:sz w:val="16"/>
              </w:rPr>
              <w:t>1998 No 31</w:t>
            </w:r>
          </w:p>
        </w:tc>
        <w:tc>
          <w:tcPr>
            <w:tcW w:w="1340" w:type="dxa"/>
          </w:tcPr>
          <w:p w14:paraId="32F645F5" w14:textId="77777777" w:rsidR="00267968" w:rsidRDefault="00F173ED">
            <w:pPr>
              <w:spacing w:before="0" w:after="0"/>
              <w:jc w:val="left"/>
              <w:rPr>
                <w:rFonts w:ascii="Helvetica" w:hAnsi="Helvetica"/>
                <w:sz w:val="16"/>
              </w:rPr>
            </w:pPr>
            <w:r>
              <w:rPr>
                <w:rFonts w:ascii="Helvetica" w:hAnsi="Helvetica"/>
                <w:sz w:val="16"/>
              </w:rPr>
              <w:t>30 Sept 1998</w:t>
            </w:r>
          </w:p>
        </w:tc>
        <w:tc>
          <w:tcPr>
            <w:tcW w:w="1560" w:type="dxa"/>
          </w:tcPr>
          <w:p w14:paraId="2CE6A12C" w14:textId="77777777" w:rsidR="00267968" w:rsidRDefault="00F173ED">
            <w:pPr>
              <w:spacing w:before="0" w:after="0"/>
              <w:jc w:val="left"/>
              <w:rPr>
                <w:rFonts w:ascii="Helvetica" w:hAnsi="Helvetica"/>
                <w:sz w:val="16"/>
              </w:rPr>
            </w:pPr>
            <w:r>
              <w:rPr>
                <w:rFonts w:ascii="Helvetica" w:hAnsi="Helvetica"/>
                <w:sz w:val="16"/>
              </w:rPr>
              <w:t>30 Sept 1998</w:t>
            </w:r>
          </w:p>
        </w:tc>
        <w:tc>
          <w:tcPr>
            <w:tcW w:w="1080" w:type="dxa"/>
          </w:tcPr>
          <w:p w14:paraId="26C1CE4E" w14:textId="77777777" w:rsidR="00267968" w:rsidRDefault="00267968">
            <w:pPr>
              <w:spacing w:before="0" w:after="0"/>
              <w:jc w:val="right"/>
              <w:rPr>
                <w:rFonts w:ascii="Helvetica" w:hAnsi="Helvetica"/>
                <w:sz w:val="16"/>
              </w:rPr>
            </w:pPr>
          </w:p>
        </w:tc>
      </w:tr>
      <w:tr w:rsidR="00267968" w14:paraId="7EC7ADC5" w14:textId="77777777">
        <w:trPr>
          <w:cantSplit/>
        </w:trPr>
        <w:tc>
          <w:tcPr>
            <w:tcW w:w="2020" w:type="dxa"/>
            <w:tcBorders>
              <w:bottom w:val="single" w:sz="4" w:space="0" w:color="auto"/>
            </w:tcBorders>
          </w:tcPr>
          <w:p w14:paraId="4C7852FE" w14:textId="77777777" w:rsidR="00267968" w:rsidRDefault="00F173ED">
            <w:pPr>
              <w:spacing w:before="0" w:after="0"/>
              <w:ind w:left="140" w:right="-280" w:hanging="140"/>
              <w:jc w:val="left"/>
              <w:rPr>
                <w:rFonts w:ascii="Helvetica" w:hAnsi="Helvetica"/>
                <w:i/>
                <w:sz w:val="16"/>
              </w:rPr>
            </w:pPr>
            <w:r>
              <w:rPr>
                <w:rFonts w:ascii="Helvetica" w:hAnsi="Helvetica"/>
                <w:i/>
                <w:sz w:val="16"/>
              </w:rPr>
              <w:t>Road Transport Legislation Amendment Act 1999</w:t>
            </w:r>
          </w:p>
        </w:tc>
        <w:tc>
          <w:tcPr>
            <w:tcW w:w="1380" w:type="dxa"/>
            <w:tcBorders>
              <w:bottom w:val="single" w:sz="4" w:space="0" w:color="auto"/>
            </w:tcBorders>
          </w:tcPr>
          <w:p w14:paraId="3F14C5CC" w14:textId="77777777" w:rsidR="00267968" w:rsidRDefault="00F173ED">
            <w:pPr>
              <w:spacing w:before="0" w:after="0"/>
              <w:jc w:val="left"/>
              <w:rPr>
                <w:rFonts w:ascii="Helvetica" w:hAnsi="Helvetica"/>
                <w:sz w:val="16"/>
              </w:rPr>
            </w:pPr>
            <w:r>
              <w:rPr>
                <w:rFonts w:ascii="Helvetica" w:hAnsi="Helvetica"/>
                <w:sz w:val="16"/>
              </w:rPr>
              <w:t>1999 No 79</w:t>
            </w:r>
          </w:p>
        </w:tc>
        <w:tc>
          <w:tcPr>
            <w:tcW w:w="1340" w:type="dxa"/>
            <w:tcBorders>
              <w:bottom w:val="single" w:sz="4" w:space="0" w:color="auto"/>
            </w:tcBorders>
          </w:tcPr>
          <w:p w14:paraId="1AF4EFB0" w14:textId="77777777" w:rsidR="00267968" w:rsidRDefault="00F173ED">
            <w:pPr>
              <w:spacing w:before="0" w:after="0"/>
              <w:jc w:val="left"/>
              <w:rPr>
                <w:rFonts w:ascii="Helvetica" w:hAnsi="Helvetica"/>
                <w:sz w:val="16"/>
              </w:rPr>
            </w:pPr>
            <w:r>
              <w:rPr>
                <w:rFonts w:ascii="Helvetica" w:hAnsi="Helvetica"/>
                <w:sz w:val="16"/>
              </w:rPr>
              <w:t>23 Dec 1999</w:t>
            </w:r>
          </w:p>
        </w:tc>
        <w:tc>
          <w:tcPr>
            <w:tcW w:w="1560" w:type="dxa"/>
            <w:tcBorders>
              <w:bottom w:val="single" w:sz="4" w:space="0" w:color="auto"/>
            </w:tcBorders>
          </w:tcPr>
          <w:p w14:paraId="419BFED7" w14:textId="77777777" w:rsidR="00267968" w:rsidRDefault="00F173ED">
            <w:pPr>
              <w:spacing w:before="0" w:after="0"/>
              <w:jc w:val="left"/>
              <w:rPr>
                <w:rFonts w:ascii="Helvetica" w:hAnsi="Helvetica"/>
                <w:sz w:val="16"/>
              </w:rPr>
            </w:pPr>
            <w:r>
              <w:rPr>
                <w:rFonts w:ascii="Helvetica" w:hAnsi="Helvetica"/>
                <w:sz w:val="16"/>
              </w:rPr>
              <w:t xml:space="preserve">1 Mar 2000 (see </w:t>
            </w:r>
            <w:r>
              <w:rPr>
                <w:rFonts w:ascii="Helvetica" w:hAnsi="Helvetica"/>
                <w:sz w:val="16"/>
              </w:rPr>
              <w:br/>
              <w:t>s 2 and Gaz 2000 No S5)</w:t>
            </w:r>
          </w:p>
          <w:p w14:paraId="188C5806" w14:textId="77777777" w:rsidR="00267968" w:rsidRDefault="00267968">
            <w:pPr>
              <w:spacing w:before="0" w:after="0"/>
              <w:jc w:val="left"/>
              <w:rPr>
                <w:rFonts w:ascii="Helvetica" w:hAnsi="Helvetica"/>
                <w:sz w:val="16"/>
              </w:rPr>
            </w:pPr>
          </w:p>
        </w:tc>
        <w:tc>
          <w:tcPr>
            <w:tcW w:w="1080" w:type="dxa"/>
            <w:tcBorders>
              <w:bottom w:val="single" w:sz="4" w:space="0" w:color="auto"/>
            </w:tcBorders>
          </w:tcPr>
          <w:p w14:paraId="5B199075" w14:textId="77777777" w:rsidR="00267968" w:rsidRDefault="00F173ED">
            <w:pPr>
              <w:spacing w:before="0" w:after="0"/>
              <w:jc w:val="right"/>
              <w:rPr>
                <w:rFonts w:ascii="Helvetica" w:hAnsi="Helvetica"/>
                <w:sz w:val="16"/>
              </w:rPr>
            </w:pPr>
            <w:r>
              <w:rPr>
                <w:rFonts w:ascii="Helvetica" w:hAnsi="Helvetica"/>
                <w:sz w:val="16"/>
              </w:rPr>
              <w:t>—</w:t>
            </w:r>
          </w:p>
        </w:tc>
      </w:tr>
    </w:tbl>
    <w:p w14:paraId="140FD963" w14:textId="77777777" w:rsidR="00267968" w:rsidRDefault="00F173ED">
      <w:pPr>
        <w:pStyle w:val="Endnote2"/>
      </w:pPr>
      <w:r>
        <w:t>4</w:t>
      </w:r>
      <w:r>
        <w:tab/>
        <w:t>Table of amendments</w:t>
      </w:r>
    </w:p>
    <w:p w14:paraId="3F135899" w14:textId="77777777" w:rsidR="00267968" w:rsidRDefault="00267968">
      <w:pPr>
        <w:pBdr>
          <w:top w:val="single" w:sz="6" w:space="0" w:color="auto"/>
        </w:pBdr>
        <w:tabs>
          <w:tab w:val="left" w:pos="2200"/>
        </w:tabs>
        <w:spacing w:before="20" w:after="20"/>
        <w:ind w:left="260"/>
        <w:rPr>
          <w:rFonts w:ascii="Helvetica" w:hAnsi="Helvetica"/>
          <w:sz w:val="8"/>
        </w:rPr>
      </w:pPr>
    </w:p>
    <w:p w14:paraId="643AB0CF" w14:textId="77777777" w:rsidR="00267968" w:rsidRDefault="00F173ED">
      <w:pPr>
        <w:tabs>
          <w:tab w:val="left" w:pos="2200"/>
        </w:tabs>
        <w:spacing w:before="0" w:after="0"/>
        <w:ind w:left="260" w:right="20"/>
        <w:rPr>
          <w:rFonts w:ascii="Helvetica" w:hAnsi="Helvetica"/>
          <w:sz w:val="16"/>
        </w:rPr>
      </w:pPr>
      <w:r>
        <w:rPr>
          <w:rFonts w:ascii="Helvetica" w:hAnsi="Helvetica"/>
          <w:sz w:val="16"/>
        </w:rPr>
        <w:t>Provision</w:t>
      </w:r>
      <w:r>
        <w:rPr>
          <w:rFonts w:ascii="Helvetica" w:hAnsi="Helvetica"/>
          <w:sz w:val="16"/>
        </w:rPr>
        <w:tab/>
        <w:t>How affected*</w:t>
      </w:r>
    </w:p>
    <w:p w14:paraId="3A9DDD20" w14:textId="77777777" w:rsidR="00267968" w:rsidRDefault="00267968">
      <w:pPr>
        <w:pBdr>
          <w:bottom w:val="single" w:sz="4" w:space="1" w:color="auto"/>
        </w:pBdr>
        <w:tabs>
          <w:tab w:val="left" w:pos="2200"/>
        </w:tabs>
        <w:spacing w:before="20" w:after="20"/>
        <w:ind w:left="260" w:right="20"/>
        <w:rPr>
          <w:rFonts w:ascii="Helvetica" w:hAnsi="Helvetica"/>
          <w:sz w:val="8"/>
        </w:rPr>
      </w:pPr>
    </w:p>
    <w:p w14:paraId="5538EBFE" w14:textId="77777777" w:rsidR="00267968" w:rsidRDefault="00F173ED">
      <w:pPr>
        <w:tabs>
          <w:tab w:val="left" w:leader="dot" w:pos="2200"/>
        </w:tabs>
        <w:spacing w:before="20" w:after="20"/>
        <w:ind w:left="2420" w:hanging="2160"/>
        <w:rPr>
          <w:rFonts w:ascii="Helvetica" w:hAnsi="Helvetica"/>
          <w:sz w:val="16"/>
        </w:rPr>
      </w:pPr>
      <w:r>
        <w:rPr>
          <w:rFonts w:ascii="Helvetica" w:hAnsi="Helvetica"/>
          <w:sz w:val="16"/>
        </w:rPr>
        <w:t>r 5</w:t>
      </w:r>
      <w:r>
        <w:rPr>
          <w:rFonts w:ascii="Helvetica" w:hAnsi="Helvetica"/>
          <w:sz w:val="16"/>
        </w:rPr>
        <w:tab/>
        <w:t>1999 No 79 s 6 sch 4</w:t>
      </w:r>
    </w:p>
    <w:p w14:paraId="03C2412D" w14:textId="77777777" w:rsidR="00267968" w:rsidRDefault="00267968">
      <w:pPr>
        <w:pBdr>
          <w:bottom w:val="single" w:sz="6" w:space="1" w:color="auto"/>
        </w:pBdr>
        <w:tabs>
          <w:tab w:val="left" w:leader="dot" w:pos="2200"/>
        </w:tabs>
        <w:spacing w:before="20" w:after="20"/>
        <w:ind w:left="2420" w:hanging="2160"/>
        <w:rPr>
          <w:rFonts w:ascii="Helvetica" w:hAnsi="Helvetica"/>
          <w:sz w:val="16"/>
        </w:rPr>
      </w:pPr>
    </w:p>
    <w:p w14:paraId="4E4AFCEA" w14:textId="0387E9F7" w:rsidR="00267968" w:rsidRDefault="00267968">
      <w:pPr>
        <w:tabs>
          <w:tab w:val="left" w:leader="dot" w:pos="2200"/>
        </w:tabs>
        <w:spacing w:before="20" w:after="20"/>
        <w:ind w:left="2420" w:hanging="2160"/>
        <w:rPr>
          <w:rFonts w:ascii="Helvetica" w:hAnsi="Helvetica"/>
          <w:sz w:val="16"/>
        </w:rPr>
      </w:pPr>
    </w:p>
    <w:p w14:paraId="10274F19" w14:textId="4F12258F" w:rsidR="00E1621F" w:rsidRDefault="00E1621F">
      <w:pPr>
        <w:tabs>
          <w:tab w:val="left" w:leader="dot" w:pos="2200"/>
        </w:tabs>
        <w:spacing w:before="20" w:after="20"/>
        <w:ind w:left="2420" w:hanging="2160"/>
        <w:rPr>
          <w:rFonts w:ascii="Helvetica" w:hAnsi="Helvetica"/>
          <w:sz w:val="16"/>
        </w:rPr>
      </w:pPr>
    </w:p>
    <w:p w14:paraId="0637B0A0" w14:textId="217F9D27" w:rsidR="00E1621F" w:rsidRDefault="00E1621F">
      <w:pPr>
        <w:tabs>
          <w:tab w:val="left" w:leader="dot" w:pos="2200"/>
        </w:tabs>
        <w:spacing w:before="20" w:after="20"/>
        <w:ind w:left="2420" w:hanging="2160"/>
        <w:rPr>
          <w:rFonts w:ascii="Helvetica" w:hAnsi="Helvetica"/>
          <w:sz w:val="16"/>
        </w:rPr>
      </w:pPr>
    </w:p>
    <w:p w14:paraId="37BCAF65" w14:textId="5CA18171" w:rsidR="00E1621F" w:rsidRDefault="00E1621F">
      <w:pPr>
        <w:tabs>
          <w:tab w:val="left" w:leader="dot" w:pos="2200"/>
        </w:tabs>
        <w:spacing w:before="20" w:after="20"/>
        <w:ind w:left="2420" w:hanging="2160"/>
        <w:rPr>
          <w:rFonts w:ascii="Helvetica" w:hAnsi="Helvetica"/>
          <w:sz w:val="16"/>
        </w:rPr>
      </w:pPr>
    </w:p>
    <w:p w14:paraId="3AEFBE64" w14:textId="1A67E337" w:rsidR="00E1621F" w:rsidRDefault="00E1621F">
      <w:pPr>
        <w:tabs>
          <w:tab w:val="left" w:leader="dot" w:pos="2200"/>
        </w:tabs>
        <w:spacing w:before="20" w:after="20"/>
        <w:ind w:left="2420" w:hanging="2160"/>
        <w:rPr>
          <w:rFonts w:ascii="Helvetica" w:hAnsi="Helvetica"/>
          <w:sz w:val="16"/>
        </w:rPr>
      </w:pPr>
    </w:p>
    <w:p w14:paraId="1E846323" w14:textId="57DC0B5B" w:rsidR="00E1621F" w:rsidRDefault="00E1621F">
      <w:pPr>
        <w:tabs>
          <w:tab w:val="left" w:leader="dot" w:pos="2200"/>
        </w:tabs>
        <w:spacing w:before="20" w:after="20"/>
        <w:ind w:left="2420" w:hanging="2160"/>
        <w:rPr>
          <w:rFonts w:ascii="Helvetica" w:hAnsi="Helvetica"/>
          <w:sz w:val="16"/>
        </w:rPr>
      </w:pPr>
    </w:p>
    <w:p w14:paraId="2FAC9380" w14:textId="0AA36F7E" w:rsidR="00E1621F" w:rsidRDefault="00E1621F">
      <w:pPr>
        <w:tabs>
          <w:tab w:val="left" w:leader="dot" w:pos="2200"/>
        </w:tabs>
        <w:spacing w:before="20" w:after="20"/>
        <w:ind w:left="2420" w:hanging="2160"/>
        <w:rPr>
          <w:rFonts w:ascii="Helvetica" w:hAnsi="Helvetica"/>
          <w:sz w:val="16"/>
        </w:rPr>
      </w:pPr>
    </w:p>
    <w:p w14:paraId="3AF8EE05" w14:textId="7AD006F6" w:rsidR="00E1621F" w:rsidRDefault="00E1621F">
      <w:pPr>
        <w:tabs>
          <w:tab w:val="left" w:leader="dot" w:pos="2200"/>
        </w:tabs>
        <w:spacing w:before="20" w:after="20"/>
        <w:ind w:left="2420" w:hanging="2160"/>
        <w:rPr>
          <w:rFonts w:ascii="Helvetica" w:hAnsi="Helvetica"/>
          <w:sz w:val="16"/>
        </w:rPr>
      </w:pPr>
    </w:p>
    <w:p w14:paraId="19A800B5" w14:textId="5D2FE49D" w:rsidR="00E1621F" w:rsidRDefault="00E1621F">
      <w:pPr>
        <w:tabs>
          <w:tab w:val="left" w:leader="dot" w:pos="2200"/>
        </w:tabs>
        <w:spacing w:before="20" w:after="20"/>
        <w:ind w:left="2420" w:hanging="2160"/>
        <w:rPr>
          <w:rFonts w:ascii="Helvetica" w:hAnsi="Helvetica"/>
          <w:sz w:val="16"/>
        </w:rPr>
      </w:pPr>
    </w:p>
    <w:p w14:paraId="1162321B" w14:textId="7F28EBD4" w:rsidR="00E1621F" w:rsidRDefault="00E1621F">
      <w:pPr>
        <w:tabs>
          <w:tab w:val="left" w:leader="dot" w:pos="2200"/>
        </w:tabs>
        <w:spacing w:before="20" w:after="20"/>
        <w:ind w:left="2420" w:hanging="2160"/>
        <w:rPr>
          <w:rFonts w:ascii="Helvetica" w:hAnsi="Helvetica"/>
          <w:sz w:val="16"/>
        </w:rPr>
      </w:pPr>
    </w:p>
    <w:p w14:paraId="5FEC22CB" w14:textId="00FFAC7A" w:rsidR="00E1621F" w:rsidRDefault="00E1621F">
      <w:pPr>
        <w:tabs>
          <w:tab w:val="left" w:leader="dot" w:pos="2200"/>
        </w:tabs>
        <w:spacing w:before="20" w:after="20"/>
        <w:ind w:left="2420" w:hanging="2160"/>
        <w:rPr>
          <w:rFonts w:ascii="Helvetica" w:hAnsi="Helvetica"/>
          <w:sz w:val="16"/>
        </w:rPr>
      </w:pPr>
    </w:p>
    <w:p w14:paraId="6B8878EB" w14:textId="6D93BCD7" w:rsidR="00E1621F" w:rsidRDefault="00E1621F">
      <w:pPr>
        <w:tabs>
          <w:tab w:val="left" w:leader="dot" w:pos="2200"/>
        </w:tabs>
        <w:spacing w:before="20" w:after="20"/>
        <w:ind w:left="2420" w:hanging="2160"/>
        <w:rPr>
          <w:rFonts w:ascii="Helvetica" w:hAnsi="Helvetica"/>
          <w:sz w:val="16"/>
        </w:rPr>
      </w:pPr>
    </w:p>
    <w:p w14:paraId="57C07805" w14:textId="0DC931A9" w:rsidR="00E1621F" w:rsidRDefault="00E1621F">
      <w:pPr>
        <w:tabs>
          <w:tab w:val="left" w:leader="dot" w:pos="2200"/>
        </w:tabs>
        <w:spacing w:before="20" w:after="20"/>
        <w:ind w:left="2420" w:hanging="2160"/>
        <w:rPr>
          <w:rFonts w:ascii="Helvetica" w:hAnsi="Helvetica"/>
          <w:sz w:val="16"/>
        </w:rPr>
      </w:pPr>
    </w:p>
    <w:p w14:paraId="7A82CBB3" w14:textId="06CD91C9" w:rsidR="00E1621F" w:rsidRDefault="00E1621F">
      <w:pPr>
        <w:tabs>
          <w:tab w:val="left" w:leader="dot" w:pos="2200"/>
        </w:tabs>
        <w:spacing w:before="20" w:after="20"/>
        <w:ind w:left="2420" w:hanging="2160"/>
        <w:rPr>
          <w:rFonts w:ascii="Helvetica" w:hAnsi="Helvetica"/>
          <w:sz w:val="16"/>
        </w:rPr>
      </w:pPr>
    </w:p>
    <w:p w14:paraId="175E73F6" w14:textId="1D9350BA" w:rsidR="00E1621F" w:rsidRDefault="00E1621F">
      <w:pPr>
        <w:tabs>
          <w:tab w:val="left" w:leader="dot" w:pos="2200"/>
        </w:tabs>
        <w:spacing w:before="20" w:after="20"/>
        <w:ind w:left="2420" w:hanging="2160"/>
        <w:rPr>
          <w:rFonts w:ascii="Helvetica" w:hAnsi="Helvetica"/>
          <w:sz w:val="16"/>
        </w:rPr>
      </w:pPr>
    </w:p>
    <w:p w14:paraId="378CB76D" w14:textId="2C65B1DB" w:rsidR="00E1621F" w:rsidRDefault="00E1621F">
      <w:pPr>
        <w:tabs>
          <w:tab w:val="left" w:leader="dot" w:pos="2200"/>
        </w:tabs>
        <w:spacing w:before="20" w:after="20"/>
        <w:ind w:left="2420" w:hanging="2160"/>
        <w:rPr>
          <w:rFonts w:ascii="Helvetica" w:hAnsi="Helvetica"/>
          <w:sz w:val="16"/>
        </w:rPr>
      </w:pPr>
    </w:p>
    <w:p w14:paraId="5464EF8E" w14:textId="3F4701FD" w:rsidR="00E1621F" w:rsidRDefault="00E1621F">
      <w:pPr>
        <w:tabs>
          <w:tab w:val="left" w:leader="dot" w:pos="2200"/>
        </w:tabs>
        <w:spacing w:before="20" w:after="20"/>
        <w:ind w:left="2420" w:hanging="2160"/>
        <w:rPr>
          <w:rFonts w:ascii="Helvetica" w:hAnsi="Helvetica"/>
          <w:sz w:val="16"/>
        </w:rPr>
      </w:pPr>
    </w:p>
    <w:p w14:paraId="222413DD" w14:textId="5D1ACDAA" w:rsidR="00E1621F" w:rsidRDefault="00E1621F">
      <w:pPr>
        <w:tabs>
          <w:tab w:val="left" w:leader="dot" w:pos="2200"/>
        </w:tabs>
        <w:spacing w:before="20" w:after="20"/>
        <w:ind w:left="2420" w:hanging="2160"/>
        <w:rPr>
          <w:rFonts w:ascii="Helvetica" w:hAnsi="Helvetica"/>
          <w:sz w:val="16"/>
        </w:rPr>
      </w:pPr>
    </w:p>
    <w:p w14:paraId="6850DE6D" w14:textId="0171FC7A" w:rsidR="00E1621F" w:rsidRDefault="00E1621F">
      <w:pPr>
        <w:tabs>
          <w:tab w:val="left" w:leader="dot" w:pos="2200"/>
        </w:tabs>
        <w:spacing w:before="20" w:after="20"/>
        <w:ind w:left="2420" w:hanging="2160"/>
        <w:rPr>
          <w:rFonts w:ascii="Helvetica" w:hAnsi="Helvetica"/>
          <w:sz w:val="16"/>
        </w:rPr>
      </w:pPr>
    </w:p>
    <w:p w14:paraId="0CEF97FC" w14:textId="5EA652D9" w:rsidR="00E1621F" w:rsidRDefault="00E1621F">
      <w:pPr>
        <w:tabs>
          <w:tab w:val="left" w:leader="dot" w:pos="2200"/>
        </w:tabs>
        <w:spacing w:before="20" w:after="20"/>
        <w:ind w:left="2420" w:hanging="2160"/>
        <w:rPr>
          <w:rFonts w:ascii="Helvetica" w:hAnsi="Helvetica"/>
          <w:sz w:val="16"/>
        </w:rPr>
      </w:pPr>
    </w:p>
    <w:p w14:paraId="7F82998E" w14:textId="67AFDED7" w:rsidR="00E1621F" w:rsidRDefault="00E1621F" w:rsidP="00E1621F">
      <w:pPr>
        <w:rPr>
          <w:color w:val="000000"/>
          <w:sz w:val="22"/>
        </w:rPr>
      </w:pPr>
      <w:r>
        <w:rPr>
          <w:color w:val="000000"/>
          <w:sz w:val="22"/>
        </w:rPr>
        <w:t>©  Australian Capital Territory 2023</w:t>
      </w:r>
    </w:p>
    <w:p w14:paraId="2DC52BEF" w14:textId="77777777" w:rsidR="00E1621F" w:rsidRDefault="00E1621F">
      <w:pPr>
        <w:tabs>
          <w:tab w:val="left" w:leader="dot" w:pos="2200"/>
        </w:tabs>
        <w:spacing w:before="20" w:after="20"/>
        <w:ind w:left="2420" w:hanging="2160"/>
        <w:rPr>
          <w:rFonts w:ascii="Helvetica" w:hAnsi="Helvetica"/>
          <w:sz w:val="16"/>
        </w:rPr>
      </w:pPr>
    </w:p>
    <w:sectPr w:rsidR="00E1621F" w:rsidSect="00610BF3">
      <w:headerReference w:type="default" r:id="rId36"/>
      <w:footerReference w:type="default" r:id="rId37"/>
      <w:headerReference w:type="first" r:id="rId38"/>
      <w:footerReference w:type="first" r:id="rId39"/>
      <w:pgSz w:w="11907" w:h="16839"/>
      <w:pgMar w:top="2999" w:right="1899" w:bottom="2500" w:left="2302" w:header="2477" w:footer="209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26CCF" w14:textId="77777777" w:rsidR="00267968" w:rsidRDefault="00F173ED">
      <w:pPr>
        <w:spacing w:before="0" w:after="0"/>
      </w:pPr>
      <w:r>
        <w:separator/>
      </w:r>
    </w:p>
  </w:endnote>
  <w:endnote w:type="continuationSeparator" w:id="0">
    <w:p w14:paraId="3CEB5011" w14:textId="77777777" w:rsidR="00267968" w:rsidRDefault="00F173E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E12E2B5C-17DF-4532-8EB8-97D92B95F0DA}"/>
    <w:embedBold r:id="rId2" w:fontKey="{E9E9A944-E229-4061-8808-0B43DFF907BD}"/>
    <w:embedItalic r:id="rId3" w:fontKey="{2D364726-0147-4844-BE8E-F5B2727B1E3B}"/>
    <w:embedBoldItalic r:id="rId4" w:fontKey="{276C9BE4-5B07-41B8-98F8-11AA63DEDF77}"/>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F4AED33D-6CC6-44AC-9BFA-4E93C0A746DD}"/>
    <w:embedBold r:id="rId6" w:fontKey="{49A9F1EB-4723-49C0-A0CE-42DED11487B0}"/>
    <w:embedItalic r:id="rId7" w:fontKey="{D9DD835E-8EC8-4CA5-BA8C-0F59F731E3AF}"/>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1FF94" w14:textId="77777777" w:rsidR="000C212E" w:rsidRDefault="000C212E">
    <w:pPr>
      <w:pStyle w:val="Status"/>
    </w:pPr>
    <w:r>
      <w:fldChar w:fldCharType="begin"/>
    </w:r>
    <w:r>
      <w:instrText xml:space="preserve"> DOCPROPERTY "Status" *\charformat </w:instrText>
    </w:r>
    <w:r>
      <w:fldChar w:fldCharType="separate"/>
    </w:r>
    <w:r>
      <w:rPr>
        <w:b/>
        <w:bCs/>
        <w:lang w:val="en-US"/>
      </w:rPr>
      <w:t>Error! Unknown document property name.</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5B92" w14:textId="77777777" w:rsidR="00267968" w:rsidRDefault="00F173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496AC1DC" w14:textId="77777777" w:rsidR="00267968" w:rsidRDefault="00F173ED">
    <w:pPr>
      <w:jc w:val="center"/>
    </w:pPr>
    <w:r>
      <w:rPr>
        <w:sz w:val="20"/>
      </w:rPr>
      <w:pgNum/>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3136A" w14:textId="262A8286" w:rsidR="000C212E" w:rsidRPr="008D345B" w:rsidRDefault="000C212E" w:rsidP="008D345B">
    <w:pPr>
      <w:pStyle w:val="Footer"/>
      <w:jc w:val="center"/>
      <w:rPr>
        <w:rFonts w:ascii="Arial" w:hAnsi="Arial" w:cs="Arial"/>
        <w:sz w:val="14"/>
      </w:rPr>
    </w:pPr>
    <w:r w:rsidRPr="008D345B">
      <w:rPr>
        <w:rFonts w:ascii="Arial" w:hAnsi="Arial" w:cs="Arial"/>
        <w:sz w:val="14"/>
      </w:rPr>
      <w:fldChar w:fldCharType="begin"/>
    </w:r>
    <w:r w:rsidRPr="008D345B">
      <w:rPr>
        <w:rFonts w:ascii="Arial" w:hAnsi="Arial" w:cs="Arial"/>
        <w:sz w:val="14"/>
      </w:rPr>
      <w:instrText xml:space="preserve"> COMMENTS  \* MERGEFORMAT </w:instrText>
    </w:r>
    <w:r w:rsidRPr="008D345B">
      <w:rPr>
        <w:rFonts w:ascii="Arial" w:hAnsi="Arial" w:cs="Arial"/>
        <w:sz w:val="14"/>
      </w:rPr>
      <w:fldChar w:fldCharType="end"/>
    </w:r>
    <w:r w:rsidR="008D345B" w:rsidRPr="008D345B">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83744" w14:textId="02BCF5B3" w:rsidR="008D345B" w:rsidRPr="008D345B" w:rsidRDefault="008D345B" w:rsidP="008D345B">
    <w:pPr>
      <w:pStyle w:val="Footer"/>
      <w:jc w:val="center"/>
      <w:rPr>
        <w:rFonts w:ascii="Arial" w:hAnsi="Arial" w:cs="Arial"/>
        <w:sz w:val="14"/>
      </w:rPr>
    </w:pPr>
    <w:r w:rsidRPr="008D345B">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7D80B" w14:textId="77777777" w:rsidR="00267968" w:rsidRDefault="00F173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w:t>
    </w:r>
    <w:r>
      <w:rPr>
        <w:rStyle w:val="PageNumber"/>
      </w:rPr>
      <w:fldChar w:fldCharType="end"/>
    </w:r>
  </w:p>
  <w:p w14:paraId="65F7FD61" w14:textId="77777777" w:rsidR="00267968" w:rsidRDefault="002679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3BDCE" w14:textId="47DE0A23" w:rsidR="00267968" w:rsidRDefault="00F173ED">
    <w:pPr>
      <w:pStyle w:val="Footer"/>
      <w:jc w:val="center"/>
      <w:rPr>
        <w:sz w:val="20"/>
      </w:rPr>
    </w:pPr>
    <w:r>
      <w:rPr>
        <w:sz w:val="20"/>
      </w:rPr>
      <w:pgNum/>
    </w:r>
  </w:p>
  <w:p w14:paraId="2C37C36F" w14:textId="72514BE4" w:rsidR="008D345B" w:rsidRPr="008D345B" w:rsidRDefault="008D345B" w:rsidP="008D345B">
    <w:pPr>
      <w:jc w:val="center"/>
      <w:rPr>
        <w:rFonts w:ascii="Arial" w:hAnsi="Arial" w:cs="Arial"/>
        <w:sz w:val="14"/>
      </w:rPr>
    </w:pPr>
    <w:r w:rsidRPr="008D345B">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1D054" w14:textId="33D9707A" w:rsidR="00267968" w:rsidRDefault="00F173ED">
    <w:pPr>
      <w:pStyle w:val="Footer"/>
      <w:jc w:val="center"/>
      <w:rPr>
        <w:sz w:val="20"/>
      </w:rPr>
    </w:pPr>
    <w:r>
      <w:rPr>
        <w:sz w:val="20"/>
      </w:rPr>
      <w:pgNum/>
    </w:r>
  </w:p>
  <w:p w14:paraId="37BCBB88" w14:textId="5E73279F" w:rsidR="008D345B" w:rsidRPr="008D345B" w:rsidRDefault="008D345B" w:rsidP="008D345B">
    <w:pPr>
      <w:jc w:val="center"/>
      <w:rPr>
        <w:rFonts w:ascii="Arial" w:hAnsi="Arial" w:cs="Arial"/>
        <w:sz w:val="14"/>
      </w:rPr>
    </w:pPr>
    <w:r w:rsidRPr="008D345B">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07C77" w14:textId="77777777" w:rsidR="00267968" w:rsidRDefault="00F173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7713AB55" w14:textId="77777777" w:rsidR="00267968" w:rsidRDefault="0026796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55960" w14:textId="02C3E917" w:rsidR="00267968" w:rsidRPr="008D345B" w:rsidRDefault="008D345B" w:rsidP="008D345B">
    <w:pPr>
      <w:jc w:val="center"/>
      <w:rPr>
        <w:rFonts w:ascii="Arial" w:hAnsi="Arial" w:cs="Arial"/>
        <w:sz w:val="14"/>
      </w:rPr>
    </w:pPr>
    <w:r w:rsidRPr="008D345B">
      <w:rPr>
        <w:rFonts w:ascii="Arial" w:hAnsi="Arial"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60DC" w14:textId="77777777" w:rsidR="00267968" w:rsidRDefault="00F173ED">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11</w:t>
    </w:r>
    <w:r>
      <w:rPr>
        <w:rStyle w:val="PageNumber"/>
        <w:sz w:val="20"/>
      </w:rPr>
      <w:fldChar w:fldCharType="end"/>
    </w:r>
  </w:p>
  <w:p w14:paraId="085E870E" w14:textId="30D1C12B" w:rsidR="00267968" w:rsidRPr="008D345B" w:rsidRDefault="008D345B" w:rsidP="008D345B">
    <w:pPr>
      <w:jc w:val="center"/>
      <w:rPr>
        <w:rFonts w:ascii="Arial" w:hAnsi="Arial" w:cs="Arial"/>
        <w:sz w:val="14"/>
      </w:rPr>
    </w:pPr>
    <w:r w:rsidRPr="008D345B">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93CD9" w14:textId="77777777" w:rsidR="00267968" w:rsidRDefault="00F173ED">
      <w:pPr>
        <w:spacing w:before="0" w:after="0"/>
      </w:pPr>
      <w:r>
        <w:separator/>
      </w:r>
    </w:p>
  </w:footnote>
  <w:footnote w:type="continuationSeparator" w:id="0">
    <w:p w14:paraId="2AB8EFD4" w14:textId="77777777" w:rsidR="00267968" w:rsidRDefault="00F173E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97052" w14:textId="77777777" w:rsidR="008D345B" w:rsidRDefault="008D345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1D0D" w14:textId="77777777" w:rsidR="00267968" w:rsidRDefault="00F173ED">
    <w:pPr>
      <w:widowControl w:val="0"/>
      <w:tabs>
        <w:tab w:val="center" w:pos="3600"/>
        <w:tab w:val="right" w:pos="7180"/>
      </w:tabs>
      <w:jc w:val="center"/>
      <w:rPr>
        <w:sz w:val="20"/>
      </w:rPr>
    </w:pPr>
    <w:r>
      <w:rPr>
        <w:i/>
        <w:sz w:val="20"/>
      </w:rPr>
      <w:t>Interactive Gambling Regulations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0DF8" w14:textId="77777777" w:rsidR="00267968" w:rsidRDefault="00F173ED">
    <w:pPr>
      <w:widowControl w:val="0"/>
      <w:tabs>
        <w:tab w:val="center" w:pos="3600"/>
        <w:tab w:val="right" w:pos="7180"/>
      </w:tabs>
      <w:jc w:val="center"/>
      <w:rPr>
        <w:sz w:val="20"/>
      </w:rPr>
    </w:pPr>
    <w:r>
      <w:rPr>
        <w:i/>
        <w:sz w:val="20"/>
      </w:rPr>
      <w:t>Interactive Gambling Regulations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9DAF7" w14:textId="77777777" w:rsidR="00267968" w:rsidRDefault="00267968">
    <w:pPr>
      <w:widowControl w:val="0"/>
      <w:tabs>
        <w:tab w:val="left" w:pos="1660"/>
        <w:tab w:val="right" w:pos="7180"/>
      </w:tabs>
      <w:rPr>
        <w:sz w:val="20"/>
      </w:rPr>
    </w:pPr>
  </w:p>
  <w:p w14:paraId="66F2285E" w14:textId="77777777" w:rsidR="00267968" w:rsidRDefault="00F173ED">
    <w:pPr>
      <w:widowControl w:val="0"/>
      <w:tabs>
        <w:tab w:val="left" w:pos="1660"/>
        <w:tab w:val="right" w:pos="7180"/>
      </w:tabs>
      <w:rPr>
        <w:sz w:val="20"/>
      </w:rPr>
    </w:pPr>
    <w:r>
      <w:rPr>
        <w:rFonts w:ascii="Helvetica" w:hAnsi="Helvetica"/>
        <w:b/>
        <w:sz w:val="18"/>
      </w:rPr>
      <w:t>3   Abbreviation key</w:t>
    </w:r>
    <w:r>
      <w:rPr>
        <w:rFonts w:ascii="Helvetica" w:hAnsi="Helvetica"/>
        <w:sz w:val="18"/>
      </w:rPr>
      <w:t>—continued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7A50" w14:textId="77777777" w:rsidR="00267968" w:rsidRDefault="00F173ED">
    <w:pPr>
      <w:widowControl w:val="0"/>
      <w:tabs>
        <w:tab w:val="center" w:pos="3600"/>
      </w:tabs>
      <w:rPr>
        <w:i/>
        <w:sz w:val="20"/>
      </w:rPr>
    </w:pPr>
    <w:r>
      <w:rPr>
        <w:sz w:val="20"/>
      </w:rPr>
      <w:pgNum/>
    </w:r>
    <w:r>
      <w:tab/>
    </w:r>
    <w:r>
      <w:rPr>
        <w:i/>
        <w:sz w:val="20"/>
      </w:rPr>
      <w:t>even header      No.    , 1994</w:t>
    </w:r>
  </w:p>
  <w:p w14:paraId="66134C91" w14:textId="77777777" w:rsidR="00267968" w:rsidRDefault="00F173ED">
    <w:pPr>
      <w:widowControl w:val="0"/>
      <w:tabs>
        <w:tab w:val="left" w:pos="2940"/>
      </w:tabs>
      <w:spacing w:after="240"/>
      <w:jc w:val="center"/>
      <w:rPr>
        <w:sz w:val="20"/>
      </w:rPr>
    </w:pPr>
    <w:r>
      <w:rPr>
        <w:b/>
      </w:rPr>
      <w:t>SCHEDULE</w:t>
    </w:r>
    <w:r>
      <w:t>—continued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AF913" w14:textId="77777777" w:rsidR="00267968" w:rsidRDefault="00267968">
    <w:pPr>
      <w:widowControl w:val="0"/>
      <w:tabs>
        <w:tab w:val="center" w:pos="3600"/>
        <w:tab w:val="right" w:pos="7200"/>
      </w:tabs>
      <w:jc w:val="center"/>
      <w:rPr>
        <w:sz w:val="20"/>
      </w:rPr>
    </w:pPr>
  </w:p>
  <w:p w14:paraId="67120A84" w14:textId="77777777" w:rsidR="00267968" w:rsidRDefault="00F173ED">
    <w:pPr>
      <w:spacing w:before="40"/>
      <w:ind w:left="260" w:hanging="260"/>
      <w:rPr>
        <w:rFonts w:ascii="Helvetica" w:hAnsi="Helvetica"/>
        <w:b/>
        <w:sz w:val="18"/>
      </w:rPr>
    </w:pPr>
    <w:r>
      <w:rPr>
        <w:rFonts w:ascii="Helvetica" w:hAnsi="Helvetica"/>
        <w:b/>
        <w:sz w:val="18"/>
      </w:rPr>
      <w:t>4</w:t>
    </w:r>
    <w:r>
      <w:rPr>
        <w:rFonts w:ascii="Helvetica" w:hAnsi="Helvetica"/>
        <w:b/>
        <w:sz w:val="18"/>
      </w:rPr>
      <w:tab/>
      <w:t>Table of legislation</w:t>
    </w:r>
    <w:r>
      <w:rPr>
        <w:rFonts w:ascii="Helvetica" w:hAnsi="Helvetica"/>
        <w:sz w:val="18"/>
      </w:rPr>
      <w:t>—continued</w:t>
    </w:r>
  </w:p>
  <w:tbl>
    <w:tblPr>
      <w:tblW w:w="0" w:type="auto"/>
      <w:tblInd w:w="180" w:type="dxa"/>
      <w:tblLayout w:type="fixed"/>
      <w:tblCellMar>
        <w:left w:w="80" w:type="dxa"/>
        <w:right w:w="80" w:type="dxa"/>
      </w:tblCellMar>
      <w:tblLook w:val="0000" w:firstRow="0" w:lastRow="0" w:firstColumn="0" w:lastColumn="0" w:noHBand="0" w:noVBand="0"/>
    </w:tblPr>
    <w:tblGrid>
      <w:gridCol w:w="2020"/>
      <w:gridCol w:w="1380"/>
      <w:gridCol w:w="1400"/>
      <w:gridCol w:w="1600"/>
      <w:gridCol w:w="1000"/>
    </w:tblGrid>
    <w:tr w:rsidR="00267968" w14:paraId="5BCFA1FB" w14:textId="77777777">
      <w:trPr>
        <w:cantSplit/>
      </w:trPr>
      <w:tc>
        <w:tcPr>
          <w:tcW w:w="2020" w:type="dxa"/>
          <w:tcBorders>
            <w:top w:val="single" w:sz="6" w:space="0" w:color="auto"/>
            <w:bottom w:val="single" w:sz="2" w:space="0" w:color="auto"/>
          </w:tcBorders>
        </w:tcPr>
        <w:p w14:paraId="3A2A6822" w14:textId="77777777" w:rsidR="00267968" w:rsidRDefault="00F173ED">
          <w:pPr>
            <w:spacing w:before="200" w:after="100"/>
            <w:ind w:left="-40"/>
            <w:rPr>
              <w:rFonts w:ascii="Helvetica" w:hAnsi="Helvetica"/>
              <w:sz w:val="16"/>
            </w:rPr>
          </w:pPr>
          <w:r>
            <w:rPr>
              <w:rFonts w:ascii="Helvetica" w:hAnsi="Helvetica"/>
              <w:sz w:val="16"/>
            </w:rPr>
            <w:t>SL/Act*</w:t>
          </w:r>
        </w:p>
      </w:tc>
      <w:tc>
        <w:tcPr>
          <w:tcW w:w="1380" w:type="dxa"/>
          <w:tcBorders>
            <w:top w:val="single" w:sz="6" w:space="0" w:color="auto"/>
            <w:bottom w:val="single" w:sz="2" w:space="0" w:color="auto"/>
          </w:tcBorders>
        </w:tcPr>
        <w:p w14:paraId="07E9B5B3" w14:textId="77777777" w:rsidR="00267968" w:rsidRDefault="00F173ED">
          <w:pPr>
            <w:spacing w:before="100" w:after="100"/>
            <w:jc w:val="left"/>
            <w:rPr>
              <w:rFonts w:ascii="Helvetica" w:hAnsi="Helvetica"/>
              <w:sz w:val="16"/>
            </w:rPr>
          </w:pPr>
          <w:r>
            <w:rPr>
              <w:rFonts w:ascii="Helvetica" w:hAnsi="Helvetica"/>
              <w:sz w:val="16"/>
            </w:rPr>
            <w:t>Year and number*</w:t>
          </w:r>
        </w:p>
      </w:tc>
      <w:tc>
        <w:tcPr>
          <w:tcW w:w="1400" w:type="dxa"/>
          <w:tcBorders>
            <w:top w:val="single" w:sz="6" w:space="0" w:color="auto"/>
            <w:bottom w:val="single" w:sz="2" w:space="0" w:color="auto"/>
          </w:tcBorders>
        </w:tcPr>
        <w:p w14:paraId="2BEC433C" w14:textId="77777777" w:rsidR="00267968" w:rsidRDefault="00F173ED">
          <w:pPr>
            <w:spacing w:before="100" w:after="0"/>
            <w:rPr>
              <w:rFonts w:ascii="Helvetica" w:hAnsi="Helvetica"/>
              <w:sz w:val="16"/>
            </w:rPr>
          </w:pPr>
          <w:r>
            <w:rPr>
              <w:rFonts w:ascii="Helvetica" w:hAnsi="Helvetica"/>
              <w:sz w:val="16"/>
            </w:rPr>
            <w:t>Gazette</w:t>
          </w:r>
        </w:p>
        <w:p w14:paraId="21DC18E9" w14:textId="77777777" w:rsidR="00267968" w:rsidRDefault="00F173ED">
          <w:pPr>
            <w:spacing w:before="0" w:after="0"/>
            <w:rPr>
              <w:rFonts w:ascii="Helvetica" w:hAnsi="Helvetica"/>
              <w:sz w:val="16"/>
            </w:rPr>
          </w:pPr>
          <w:r>
            <w:rPr>
              <w:rFonts w:ascii="Helvetica" w:hAnsi="Helvetica"/>
              <w:sz w:val="16"/>
            </w:rPr>
            <w:t>notification</w:t>
          </w:r>
        </w:p>
      </w:tc>
      <w:tc>
        <w:tcPr>
          <w:tcW w:w="1600" w:type="dxa"/>
          <w:tcBorders>
            <w:top w:val="single" w:sz="6" w:space="0" w:color="auto"/>
            <w:bottom w:val="single" w:sz="2" w:space="0" w:color="auto"/>
          </w:tcBorders>
        </w:tcPr>
        <w:p w14:paraId="13B45A65" w14:textId="77777777" w:rsidR="00267968" w:rsidRDefault="00F173ED">
          <w:pPr>
            <w:spacing w:before="200" w:after="0"/>
            <w:rPr>
              <w:rFonts w:ascii="Helvetica" w:hAnsi="Helvetica"/>
              <w:sz w:val="16"/>
            </w:rPr>
          </w:pPr>
          <w:r>
            <w:rPr>
              <w:rFonts w:ascii="Helvetica" w:hAnsi="Helvetica"/>
              <w:sz w:val="16"/>
            </w:rPr>
            <w:t>Commencement</w:t>
          </w:r>
        </w:p>
      </w:tc>
      <w:tc>
        <w:tcPr>
          <w:tcW w:w="1000" w:type="dxa"/>
          <w:tcBorders>
            <w:top w:val="single" w:sz="6" w:space="0" w:color="auto"/>
            <w:bottom w:val="single" w:sz="2" w:space="0" w:color="auto"/>
          </w:tcBorders>
        </w:tcPr>
        <w:p w14:paraId="08FC8D91" w14:textId="77777777" w:rsidR="00267968" w:rsidRDefault="00F173ED">
          <w:pPr>
            <w:spacing w:before="100" w:after="100"/>
            <w:jc w:val="right"/>
            <w:rPr>
              <w:rFonts w:ascii="Helvetica" w:hAnsi="Helvetica"/>
              <w:sz w:val="16"/>
            </w:rPr>
          </w:pPr>
          <w:r>
            <w:rPr>
              <w:rFonts w:ascii="Helvetica" w:hAnsi="Helvetica"/>
              <w:sz w:val="16"/>
            </w:rPr>
            <w:t>Transitional provisions</w:t>
          </w:r>
        </w:p>
      </w:tc>
    </w:tr>
  </w:tbl>
  <w:p w14:paraId="4785FDC3" w14:textId="77777777" w:rsidR="00267968" w:rsidRDefault="00267968">
    <w:pPr>
      <w:widowControl w:val="0"/>
      <w:tabs>
        <w:tab w:val="center" w:pos="3600"/>
        <w:tab w:val="right" w:pos="7200"/>
      </w:tabs>
      <w:rPr>
        <w:sz w:val="1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2F6F" w14:textId="77777777" w:rsidR="00267968" w:rsidRDefault="00F173ED">
    <w:pPr>
      <w:widowControl w:val="0"/>
      <w:tabs>
        <w:tab w:val="center" w:pos="3600"/>
        <w:tab w:val="right" w:pos="7180"/>
      </w:tabs>
      <w:jc w:val="center"/>
      <w:rPr>
        <w:sz w:val="20"/>
      </w:rPr>
    </w:pPr>
    <w:r>
      <w:rPr>
        <w:i/>
        <w:sz w:val="20"/>
      </w:rPr>
      <w:t>Interactive Gambling Regulations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504D" w14:textId="77777777" w:rsidR="00267968" w:rsidRDefault="00F173ED">
    <w:pPr>
      <w:widowControl w:val="0"/>
      <w:tabs>
        <w:tab w:val="center" w:pos="3600"/>
        <w:tab w:val="right" w:pos="7180"/>
      </w:tabs>
      <w:jc w:val="center"/>
      <w:rPr>
        <w:sz w:val="20"/>
      </w:rPr>
    </w:pPr>
    <w:r>
      <w:rPr>
        <w:i/>
        <w:sz w:val="20"/>
      </w:rPr>
      <w:t>Interactive Gambling Regulations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2410D" w14:textId="77777777" w:rsidR="008D345B" w:rsidRDefault="008D34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0961" w14:textId="77777777" w:rsidR="008D345B" w:rsidRDefault="008D34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56E6D" w14:textId="77777777" w:rsidR="00267968" w:rsidRDefault="00F173ED">
    <w:pPr>
      <w:widowControl w:val="0"/>
      <w:tabs>
        <w:tab w:val="center" w:pos="3580"/>
      </w:tabs>
      <w:rPr>
        <w:i/>
        <w:sz w:val="20"/>
      </w:rPr>
    </w:pPr>
    <w:r>
      <w:rPr>
        <w:sz w:val="20"/>
      </w:rPr>
      <w:pgNum/>
    </w:r>
    <w:r>
      <w:rPr>
        <w:sz w:val="20"/>
      </w:rPr>
      <w:tab/>
    </w:r>
    <w:r>
      <w:rPr>
        <w:i/>
        <w:sz w:val="20"/>
      </w:rPr>
      <w:t>Even Header</w:t>
    </w:r>
  </w:p>
  <w:p w14:paraId="720A347F" w14:textId="77777777" w:rsidR="00267968" w:rsidRDefault="00F173ED">
    <w:pPr>
      <w:widowControl w:val="0"/>
      <w:tabs>
        <w:tab w:val="left" w:pos="3220"/>
      </w:tabs>
      <w:jc w:val="center"/>
      <w:rPr>
        <w:sz w:val="20"/>
      </w:rPr>
    </w:pPr>
    <w:r>
      <w:rPr>
        <w:b/>
        <w:sz w:val="20"/>
      </w:rPr>
      <w:t>TABLE OF PROVISIONS</w:t>
    </w:r>
    <w:r>
      <w:rPr>
        <w:sz w:val="20"/>
      </w:rPr>
      <w:t>—continued</w:t>
    </w:r>
  </w:p>
  <w:p w14:paraId="0C8CD15E" w14:textId="77777777" w:rsidR="00267968" w:rsidRDefault="00F173ED">
    <w:pPr>
      <w:widowControl w:val="0"/>
      <w:tabs>
        <w:tab w:val="left" w:pos="3220"/>
      </w:tabs>
      <w:rPr>
        <w:sz w:val="20"/>
      </w:rPr>
    </w:pPr>
    <w:r>
      <w:rPr>
        <w:sz w:val="18"/>
      </w:rPr>
      <w:t>Regulation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4F6A" w14:textId="77777777" w:rsidR="00267968" w:rsidRDefault="00F173ED">
    <w:pPr>
      <w:widowControl w:val="0"/>
      <w:tabs>
        <w:tab w:val="center" w:pos="3600"/>
        <w:tab w:val="right" w:pos="7180"/>
      </w:tabs>
      <w:jc w:val="center"/>
      <w:rPr>
        <w:sz w:val="20"/>
      </w:rPr>
    </w:pPr>
    <w:r>
      <w:rPr>
        <w:i/>
        <w:sz w:val="20"/>
      </w:rPr>
      <w:t>Header</w:t>
    </w:r>
  </w:p>
  <w:p w14:paraId="583C7231" w14:textId="77777777" w:rsidR="00267968" w:rsidRDefault="00F173ED">
    <w:pPr>
      <w:widowControl w:val="0"/>
      <w:tabs>
        <w:tab w:val="left" w:pos="2340"/>
        <w:tab w:val="right" w:pos="7180"/>
      </w:tabs>
      <w:jc w:val="center"/>
      <w:rPr>
        <w:sz w:val="20"/>
      </w:rPr>
    </w:pPr>
    <w:r>
      <w:rPr>
        <w:b/>
        <w:sz w:val="20"/>
      </w:rPr>
      <w:t>TABLE OF PROVISIONS</w:t>
    </w:r>
    <w:r>
      <w:rPr>
        <w:sz w:val="20"/>
      </w:rPr>
      <w:t>—continued</w:t>
    </w:r>
  </w:p>
  <w:p w14:paraId="21F5B617" w14:textId="77777777" w:rsidR="00267968" w:rsidRDefault="00F173ED">
    <w:pPr>
      <w:widowControl w:val="0"/>
      <w:tabs>
        <w:tab w:val="left" w:pos="2340"/>
        <w:tab w:val="right" w:pos="7180"/>
      </w:tabs>
      <w:rPr>
        <w:sz w:val="20"/>
      </w:rPr>
    </w:pPr>
    <w:r>
      <w:rPr>
        <w:sz w:val="18"/>
      </w:rPr>
      <w:t>Regulation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DFAA" w14:textId="77777777" w:rsidR="00267968" w:rsidRDefault="00F173ED">
    <w:pPr>
      <w:widowControl w:val="0"/>
      <w:tabs>
        <w:tab w:val="center" w:pos="3600"/>
      </w:tabs>
      <w:rPr>
        <w:i/>
        <w:sz w:val="20"/>
      </w:rPr>
    </w:pPr>
    <w:r>
      <w:rPr>
        <w:sz w:val="20"/>
      </w:rPr>
      <w:pgNum/>
    </w:r>
    <w:r>
      <w:rPr>
        <w:sz w:val="20"/>
      </w:rPr>
      <w:tab/>
    </w:r>
    <w:r>
      <w:rPr>
        <w:i/>
        <w:sz w:val="20"/>
      </w:rPr>
      <w:t>Even Header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861AA" w14:textId="77777777" w:rsidR="00267968" w:rsidRDefault="00F173ED">
    <w:pPr>
      <w:widowControl w:val="0"/>
      <w:tabs>
        <w:tab w:val="center" w:pos="3600"/>
        <w:tab w:val="right" w:pos="7180"/>
      </w:tabs>
      <w:jc w:val="center"/>
      <w:rPr>
        <w:sz w:val="20"/>
      </w:rPr>
    </w:pPr>
    <w:r>
      <w:rPr>
        <w:i/>
        <w:sz w:val="20"/>
      </w:rPr>
      <w:t>Interactive Gambling Regulations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3794" w14:textId="77777777" w:rsidR="00267968" w:rsidRDefault="002679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070EB" w14:textId="77777777" w:rsidR="00267968" w:rsidRDefault="00267968">
    <w:pPr>
      <w:widowControl w:val="0"/>
      <w:tabs>
        <w:tab w:val="left" w:pos="1660"/>
        <w:tab w:val="right" w:pos="7180"/>
      </w:tabs>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multilevel"/>
    <w:tmpl w:val="2E3AC11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2" w15:restartNumberingAfterBreak="0">
    <w:nsid w:val="0F514460"/>
    <w:multiLevelType w:val="multilevel"/>
    <w:tmpl w:val="45CAEB66"/>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D1A019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526094278">
    <w:abstractNumId w:val="0"/>
  </w:num>
  <w:num w:numId="2" w16cid:durableId="1663194325">
    <w:abstractNumId w:val="1"/>
  </w:num>
  <w:num w:numId="3" w16cid:durableId="669214795">
    <w:abstractNumId w:val="3"/>
  </w:num>
  <w:num w:numId="4" w16cid:durableId="1682275094">
    <w:abstractNumId w:val="2"/>
  </w:num>
  <w:num w:numId="5" w16cid:durableId="10366603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TrueTypeFonts/>
  <w:saveSubsetFonts/>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298"/>
    <w:rsid w:val="000C212E"/>
    <w:rsid w:val="00267968"/>
    <w:rsid w:val="00330AAE"/>
    <w:rsid w:val="00610BF3"/>
    <w:rsid w:val="008D345B"/>
    <w:rsid w:val="00902E6D"/>
    <w:rsid w:val="00BB7D38"/>
    <w:rsid w:val="00CA5089"/>
    <w:rsid w:val="00CB76FA"/>
    <w:rsid w:val="00E1621F"/>
    <w:rsid w:val="00E31F14"/>
    <w:rsid w:val="00EC7298"/>
    <w:rsid w:val="00F173ED"/>
    <w:rsid w:val="00F40A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0722A1E9"/>
  <w15:chartTrackingRefBased/>
  <w15:docId w15:val="{76C6B93D-83C2-4A68-96A9-890DAE8C4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80" w:after="60"/>
      <w:jc w:val="both"/>
    </w:pPr>
    <w:rPr>
      <w:rFonts w:ascii="Times" w:hAnsi="Times"/>
      <w:sz w:val="24"/>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3"/>
      </w:numPr>
      <w:spacing w:before="240"/>
      <w:outlineLvl w:val="7"/>
    </w:pPr>
    <w:rPr>
      <w:rFonts w:ascii="Arial" w:hAnsi="Arial"/>
      <w:i/>
      <w:sz w:val="20"/>
    </w:rPr>
  </w:style>
  <w:style w:type="paragraph" w:styleId="Heading9">
    <w:name w:val="heading 9"/>
    <w:basedOn w:val="Normal"/>
    <w:next w:val="Normal"/>
    <w:qFormat/>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basedOn w:val="BillBasic"/>
    <w:next w:val="AH2Div"/>
    <w:pPr>
      <w:keepNext/>
      <w:spacing w:before="320"/>
      <w:jc w:val="center"/>
      <w:outlineLvl w:val="1"/>
    </w:pPr>
    <w:rPr>
      <w:b/>
      <w:caps/>
    </w:rPr>
  </w:style>
  <w:style w:type="paragraph" w:customStyle="1" w:styleId="AH2Div">
    <w:name w:val="A H2 Div"/>
    <w:basedOn w:val="BillBasic"/>
    <w:next w:val="AH3sec"/>
    <w:pPr>
      <w:keepNext/>
      <w:spacing w:before="180"/>
      <w:jc w:val="center"/>
      <w:outlineLvl w:val="2"/>
    </w:pPr>
    <w:rPr>
      <w:b/>
      <w:i/>
    </w:rPr>
  </w:style>
  <w:style w:type="paragraph" w:customStyle="1" w:styleId="AH3sec">
    <w:name w:val="A H3 sec"/>
    <w:aliases w:val=" H3,H3"/>
    <w:basedOn w:val="BillBasic"/>
    <w:next w:val="Amain"/>
    <w:pPr>
      <w:keepNext/>
      <w:spacing w:before="180" w:after="0"/>
      <w:ind w:left="700" w:hanging="700"/>
      <w:jc w:val="left"/>
      <w:outlineLvl w:val="4"/>
    </w:pPr>
    <w:rPr>
      <w:b/>
    </w:rPr>
  </w:style>
  <w:style w:type="paragraph" w:customStyle="1" w:styleId="Amain">
    <w:name w:val="A main"/>
    <w:aliases w:val="all sections,all s"/>
    <w:basedOn w:val="BillBasic"/>
    <w:pPr>
      <w:tabs>
        <w:tab w:val="left" w:pos="700"/>
      </w:tabs>
    </w:pPr>
  </w:style>
  <w:style w:type="paragraph" w:customStyle="1" w:styleId="Amainreturn">
    <w:name w:val="A main return"/>
    <w:basedOn w:val="BillBasic"/>
    <w:next w:val="Amain"/>
    <w:pPr>
      <w:spacing w:before="0"/>
    </w:pPr>
  </w:style>
  <w:style w:type="paragraph" w:customStyle="1" w:styleId="Apara">
    <w:name w:val="A para"/>
    <w:aliases w:val="a indent,a ind"/>
    <w:basedOn w:val="BillBasic"/>
    <w:pPr>
      <w:tabs>
        <w:tab w:val="right" w:pos="700"/>
      </w:tabs>
      <w:spacing w:before="0"/>
      <w:ind w:left="900" w:hanging="900"/>
    </w:pPr>
  </w:style>
  <w:style w:type="paragraph" w:customStyle="1" w:styleId="Asubpara">
    <w:name w:val="A subpara"/>
    <w:aliases w:val="i indent"/>
    <w:basedOn w:val="BillBasic"/>
    <w:pPr>
      <w:tabs>
        <w:tab w:val="right" w:pos="1340"/>
      </w:tabs>
      <w:spacing w:before="0"/>
      <w:ind w:left="1540" w:hanging="1540"/>
    </w:pPr>
  </w:style>
  <w:style w:type="paragraph" w:customStyle="1" w:styleId="Asubsubpara">
    <w:name w:val="A subsubpara"/>
    <w:aliases w:val="B indent"/>
    <w:basedOn w:val="BillBasic"/>
    <w:pPr>
      <w:tabs>
        <w:tab w:val="right" w:pos="1980"/>
      </w:tabs>
      <w:spacing w:before="0"/>
      <w:ind w:left="2180" w:hanging="2180"/>
    </w:pPr>
  </w:style>
  <w:style w:type="paragraph" w:customStyle="1" w:styleId="aDef">
    <w:name w:val="aDef"/>
    <w:aliases w:val="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basedOn w:val="BillBasic"/>
    <w:pPr>
      <w:tabs>
        <w:tab w:val="left" w:pos="1400"/>
      </w:tabs>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basedOn w:val="DefaultParagraphFont"/>
    <w:semiHidden/>
    <w:rPr>
      <w:vertAlign w:val="superscript"/>
    </w:rPr>
  </w:style>
  <w:style w:type="paragraph" w:customStyle="1" w:styleId="IH4Part">
    <w:name w:val="I H4 Part"/>
    <w:basedOn w:val="AH1Part"/>
  </w:style>
  <w:style w:type="paragraph" w:customStyle="1" w:styleId="IH5Div">
    <w:name w:val="I H5 Div"/>
    <w:basedOn w:val="AH2Div"/>
  </w:style>
  <w:style w:type="paragraph" w:customStyle="1" w:styleId="IH6sec">
    <w:name w:val="I H6 sec"/>
    <w:basedOn w:val="AH3sec"/>
    <w:next w:val="Amain"/>
  </w:style>
  <w:style w:type="paragraph" w:customStyle="1" w:styleId="Inparamain">
    <w:name w:val="Inpara main"/>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basedOn w:val="BillBasic"/>
    <w:pPr>
      <w:tabs>
        <w:tab w:val="right" w:pos="1600"/>
      </w:tabs>
      <w:spacing w:before="0"/>
      <w:ind w:left="1800" w:hanging="1800"/>
    </w:pPr>
  </w:style>
  <w:style w:type="paragraph" w:customStyle="1" w:styleId="Inparasubpara">
    <w:name w:val="Inpara subpara"/>
    <w:basedOn w:val="BillBasic"/>
    <w:pPr>
      <w:tabs>
        <w:tab w:val="right" w:pos="2240"/>
      </w:tabs>
      <w:spacing w:before="0"/>
      <w:ind w:left="2440" w:hanging="2440"/>
    </w:pPr>
  </w:style>
  <w:style w:type="paragraph" w:customStyle="1" w:styleId="Inparasubsubpara">
    <w:name w:val="Inpara subsubpara"/>
    <w:basedOn w:val="BillBasic"/>
    <w:pPr>
      <w:tabs>
        <w:tab w:val="right" w:pos="2880"/>
      </w:tabs>
      <w:spacing w:before="0"/>
      <w:ind w:left="3080" w:hanging="3080"/>
    </w:pPr>
  </w:style>
  <w:style w:type="paragraph" w:customStyle="1" w:styleId="InparaDef">
    <w:name w:val="InparaDef"/>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jc w:val="center"/>
    </w:pPr>
    <w:rPr>
      <w:caps/>
      <w:sz w:val="20"/>
    </w:rPr>
  </w:style>
  <w:style w:type="paragraph" w:styleId="TOC2">
    <w:name w:val="toc 2"/>
    <w:basedOn w:val="BillBasic"/>
    <w:next w:val="TOC3"/>
    <w:autoRedefine/>
    <w:semiHidden/>
    <w:pPr>
      <w:keepNext/>
      <w:spacing w:before="20"/>
      <w:jc w:val="center"/>
    </w:pPr>
    <w:rPr>
      <w:i/>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spacing w:before="20" w:after="20"/>
      <w:ind w:left="1120" w:right="20"/>
      <w:jc w:val="center"/>
    </w:pPr>
    <w:rPr>
      <w:caps/>
      <w:sz w:val="20"/>
    </w:rPr>
  </w:style>
  <w:style w:type="paragraph" w:styleId="TOC5">
    <w:name w:val="toc 5"/>
    <w:basedOn w:val="BillBasic"/>
    <w:next w:val="TOC6"/>
    <w:autoRedefine/>
    <w:semiHidden/>
    <w:pPr>
      <w:spacing w:before="20" w:after="20"/>
      <w:ind w:left="1120"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160" w:after="20"/>
      <w:jc w:val="left"/>
    </w:pPr>
    <w:rPr>
      <w:caps/>
      <w:sz w:val="20"/>
    </w:rPr>
  </w:style>
  <w:style w:type="paragraph" w:styleId="TOC8">
    <w:name w:val="toc 8"/>
    <w:basedOn w:val="BillBasic"/>
    <w:autoRedefine/>
    <w:semiHidden/>
    <w:pPr>
      <w:tabs>
        <w:tab w:val="center" w:pos="3600"/>
        <w:tab w:val="right" w:leader="dot" w:pos="7200"/>
      </w:tabs>
      <w:spacing w:before="20" w:after="20"/>
      <w:jc w:val="left"/>
    </w:pPr>
    <w:rPr>
      <w:caps/>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basedOn w:val="DefaultParagraphFont"/>
    <w:semiHidden/>
    <w:rPr>
      <w:rFonts w:ascii="Helvetica" w:hAnsi="Helvetica"/>
      <w:color w:val="auto"/>
      <w:sz w:val="16"/>
      <w:vertAlign w:val="baseline"/>
    </w:rPr>
  </w:style>
  <w:style w:type="paragraph" w:customStyle="1" w:styleId="InparaH3sec">
    <w:name w:val="Inpara H3 sec"/>
    <w:basedOn w:val="BillBasic"/>
    <w:pPr>
      <w:ind w:left="1600" w:hanging="700"/>
      <w:jc w:val="left"/>
    </w:pPr>
    <w:rPr>
      <w:b/>
    </w:rPr>
  </w:style>
  <w:style w:type="paragraph" w:customStyle="1" w:styleId="BillCrest">
    <w:name w:val="Bill Crest"/>
    <w:basedOn w:val="Normal"/>
    <w:next w:val="Normal"/>
    <w:pPr>
      <w:tabs>
        <w:tab w:val="center" w:pos="3160"/>
      </w:tabs>
      <w:spacing w:before="0"/>
      <w:jc w:val="left"/>
    </w:pPr>
    <w:rPr>
      <w:sz w:val="216"/>
    </w:rPr>
  </w:style>
  <w:style w:type="paragraph" w:customStyle="1" w:styleId="Aparareturn">
    <w:name w:val="A para return"/>
    <w:aliases w:val="half out"/>
    <w:basedOn w:val="Normal"/>
    <w:next w:val="Normal"/>
    <w:pPr>
      <w:spacing w:before="0" w:after="80"/>
      <w:ind w:left="900"/>
    </w:pPr>
  </w:style>
  <w:style w:type="paragraph" w:customStyle="1" w:styleId="fullout">
    <w:name w:val="full out"/>
    <w:pPr>
      <w:spacing w:before="80" w:after="80"/>
      <w:jc w:val="both"/>
    </w:pPr>
    <w:rPr>
      <w:rFonts w:ascii="Times" w:hAnsi="Times"/>
      <w:sz w:val="24"/>
    </w:rPr>
  </w:style>
  <w:style w:type="character" w:styleId="PageNumber">
    <w:name w:val="page number"/>
    <w:basedOn w:val="DefaultParagraphFont"/>
    <w:semiHidden/>
  </w:style>
  <w:style w:type="paragraph" w:styleId="Footer">
    <w:name w:val="footer"/>
    <w:basedOn w:val="Normal"/>
    <w:next w:val="Normal"/>
    <w:semiHidden/>
    <w:pPr>
      <w:tabs>
        <w:tab w:val="center" w:pos="4252"/>
        <w:tab w:val="right" w:pos="8504"/>
      </w:tabs>
      <w:spacing w:before="60" w:after="80"/>
    </w:pPr>
  </w:style>
  <w:style w:type="paragraph" w:styleId="Header">
    <w:name w:val="header"/>
    <w:basedOn w:val="Normal"/>
    <w:next w:val="Normal"/>
    <w:semiHidden/>
    <w:pPr>
      <w:tabs>
        <w:tab w:val="center" w:pos="4252"/>
        <w:tab w:val="right" w:pos="8504"/>
      </w:tabs>
      <w:spacing w:before="60" w:after="80"/>
    </w:pPr>
  </w:style>
  <w:style w:type="paragraph" w:customStyle="1" w:styleId="Status">
    <w:name w:val="Status"/>
    <w:basedOn w:val="Normal"/>
    <w:rsid w:val="000C212E"/>
    <w:pPr>
      <w:spacing w:before="280" w:after="0"/>
      <w:jc w:val="center"/>
    </w:pPr>
    <w:rPr>
      <w:rFonts w:ascii="Arial" w:hAnsi="Arial"/>
      <w:sz w:val="14"/>
      <w:lang w:eastAsia="en-US"/>
    </w:rPr>
  </w:style>
  <w:style w:type="paragraph" w:customStyle="1" w:styleId="00SigningPage">
    <w:name w:val="00SigningPage"/>
    <w:basedOn w:val="Normal"/>
    <w:rsid w:val="000C212E"/>
    <w:pPr>
      <w:spacing w:before="0" w:after="0"/>
      <w:jc w:val="left"/>
    </w:pPr>
    <w:rPr>
      <w:rFonts w:ascii="Times New Roman" w:hAnsi="Times New Roman"/>
      <w:lang w:eastAsia="en-US"/>
    </w:rPr>
  </w:style>
  <w:style w:type="paragraph" w:customStyle="1" w:styleId="citation">
    <w:name w:val="citation"/>
    <w:basedOn w:val="Normal"/>
    <w:rsid w:val="000C212E"/>
    <w:pPr>
      <w:spacing w:before="1220" w:after="100"/>
      <w:jc w:val="left"/>
    </w:pPr>
    <w:rPr>
      <w:rFonts w:ascii="Arial" w:hAnsi="Arial"/>
      <w:b/>
      <w:sz w:val="40"/>
      <w:lang w:eastAsia="en-US"/>
    </w:rPr>
  </w:style>
  <w:style w:type="paragraph" w:customStyle="1" w:styleId="RepubNo">
    <w:name w:val="RepubNo"/>
    <w:basedOn w:val="Normal"/>
    <w:rsid w:val="000C212E"/>
    <w:pPr>
      <w:tabs>
        <w:tab w:val="left" w:pos="2600"/>
      </w:tabs>
      <w:spacing w:before="600"/>
    </w:pPr>
    <w:rPr>
      <w:rFonts w:ascii="Arial" w:hAnsi="Arial"/>
      <w:b/>
      <w:sz w:val="26"/>
      <w:lang w:eastAsia="en-US"/>
    </w:rPr>
  </w:style>
  <w:style w:type="paragraph" w:customStyle="1" w:styleId="EffectiveDate">
    <w:name w:val="EffectiveDate"/>
    <w:basedOn w:val="Normal"/>
    <w:rsid w:val="000C212E"/>
    <w:pPr>
      <w:spacing w:before="40" w:after="200"/>
      <w:jc w:val="left"/>
    </w:pPr>
    <w:rPr>
      <w:rFonts w:ascii="Arial" w:hAnsi="Arial"/>
      <w:b/>
      <w:sz w:val="26"/>
      <w:lang w:eastAsia="en-US"/>
    </w:rPr>
  </w:style>
  <w:style w:type="paragraph" w:customStyle="1" w:styleId="CoverInForce">
    <w:name w:val="CoverInForce"/>
    <w:basedOn w:val="Normal"/>
    <w:rsid w:val="000C212E"/>
    <w:pPr>
      <w:tabs>
        <w:tab w:val="left" w:pos="2600"/>
      </w:tabs>
      <w:spacing w:before="200"/>
      <w:jc w:val="left"/>
    </w:pPr>
    <w:rPr>
      <w:rFonts w:ascii="Arial" w:hAnsi="Arial"/>
      <w:lang w:eastAsia="en-US"/>
    </w:rPr>
  </w:style>
  <w:style w:type="paragraph" w:customStyle="1" w:styleId="CoverHeading">
    <w:name w:val="CoverHeading"/>
    <w:basedOn w:val="Normal"/>
    <w:rsid w:val="000C212E"/>
    <w:pPr>
      <w:spacing w:before="0"/>
      <w:jc w:val="left"/>
    </w:pPr>
    <w:rPr>
      <w:rFonts w:ascii="Arial" w:hAnsi="Arial"/>
      <w:b/>
      <w:lang w:eastAsia="en-US"/>
    </w:rPr>
  </w:style>
  <w:style w:type="paragraph" w:customStyle="1" w:styleId="CoverSubHdg">
    <w:name w:val="CoverSubHdg"/>
    <w:basedOn w:val="CoverHeading"/>
    <w:rsid w:val="000C212E"/>
    <w:pPr>
      <w:spacing w:before="60"/>
    </w:pPr>
    <w:rPr>
      <w:sz w:val="20"/>
    </w:rPr>
  </w:style>
  <w:style w:type="paragraph" w:customStyle="1" w:styleId="CoverText">
    <w:name w:val="CoverText"/>
    <w:basedOn w:val="Normal"/>
    <w:rsid w:val="000C212E"/>
    <w:pPr>
      <w:spacing w:before="40" w:after="40"/>
    </w:pPr>
    <w:rPr>
      <w:rFonts w:ascii="Times New Roman" w:hAnsi="Times New Roman"/>
      <w:sz w:val="20"/>
      <w:lang w:eastAsia="en-US"/>
    </w:rPr>
  </w:style>
  <w:style w:type="paragraph" w:customStyle="1" w:styleId="ActNo">
    <w:name w:val="ActNo"/>
    <w:basedOn w:val="Normal"/>
    <w:rsid w:val="000C212E"/>
    <w:pPr>
      <w:spacing w:before="120"/>
      <w:jc w:val="left"/>
    </w:pPr>
    <w:rPr>
      <w:rFonts w:ascii="Arial" w:hAnsi="Arial" w:cs="Arial"/>
      <w:b/>
      <w:bCs/>
      <w:szCs w:val="24"/>
      <w:lang w:eastAsia="en-US"/>
    </w:rPr>
  </w:style>
  <w:style w:type="paragraph" w:customStyle="1" w:styleId="CoverActName">
    <w:name w:val="CoverActName"/>
    <w:basedOn w:val="Normal"/>
    <w:rsid w:val="000C212E"/>
    <w:pPr>
      <w:tabs>
        <w:tab w:val="left" w:pos="2600"/>
      </w:tabs>
      <w:spacing w:before="200"/>
      <w:jc w:val="left"/>
    </w:pPr>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wmf"/><Relationship Id="rId26" Type="http://schemas.openxmlformats.org/officeDocument/2006/relationships/footer" Target="footer6.xml"/><Relationship Id="rId39"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header" Target="header14.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eader" Target="header1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3.wmf"/><Relationship Id="rId29" Type="http://schemas.openxmlformats.org/officeDocument/2006/relationships/header" Target="header10.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2.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oleObject" Target="embeddings/oleObject3.bin"/><Relationship Id="rId28" Type="http://schemas.openxmlformats.org/officeDocument/2006/relationships/header" Target="header9.xml"/><Relationship Id="rId36" Type="http://schemas.openxmlformats.org/officeDocument/2006/relationships/header" Target="header15.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wmf"/><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footer" Target="foot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2753</Words>
  <Characters>14102</Characters>
  <Application>Microsoft Office Word</Application>
  <DocSecurity>0</DocSecurity>
  <Lines>415</Lines>
  <Paragraphs>254</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16742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Anderberg-Hewitt</dc:creator>
  <cp:keywords/>
  <dc:description/>
  <cp:lastModifiedBy>PCODCS</cp:lastModifiedBy>
  <cp:revision>4</cp:revision>
  <cp:lastPrinted>2000-03-21T01:05:00Z</cp:lastPrinted>
  <dcterms:created xsi:type="dcterms:W3CDTF">2023-01-24T21:38:00Z</dcterms:created>
  <dcterms:modified xsi:type="dcterms:W3CDTF">2023-01-24T21:39:00Z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ies>
</file>