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A7D3" w14:textId="7DC13C7D" w:rsidR="008511AB" w:rsidRDefault="004162FD">
      <w:pPr>
        <w:jc w:val="center"/>
      </w:pPr>
      <w:r>
        <w:rPr>
          <w:noProof/>
        </w:rPr>
        <w:drawing>
          <wp:inline distT="0" distB="0" distL="0" distR="0" wp14:anchorId="00D135BD" wp14:editId="099394D4">
            <wp:extent cx="1337310" cy="117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310" cy="1178560"/>
                    </a:xfrm>
                    <a:prstGeom prst="rect">
                      <a:avLst/>
                    </a:prstGeom>
                    <a:noFill/>
                    <a:ln>
                      <a:noFill/>
                    </a:ln>
                  </pic:spPr>
                </pic:pic>
              </a:graphicData>
            </a:graphic>
          </wp:inline>
        </w:drawing>
      </w:r>
    </w:p>
    <w:p w14:paraId="2DC23660" w14:textId="77777777" w:rsidR="008511AB" w:rsidRDefault="00606D09">
      <w:pPr>
        <w:jc w:val="center"/>
        <w:rPr>
          <w:rFonts w:ascii="Arial" w:hAnsi="Arial" w:cs="Arial"/>
        </w:rPr>
      </w:pPr>
      <w:r>
        <w:rPr>
          <w:rFonts w:ascii="Arial" w:hAnsi="Arial" w:cs="Arial"/>
        </w:rPr>
        <w:t>Australian Capital Territory</w:t>
      </w:r>
    </w:p>
    <w:p w14:paraId="0EACC9DC" w14:textId="5A5E8ED5" w:rsidR="008511AB" w:rsidRDefault="003879E6">
      <w:pPr>
        <w:pStyle w:val="Billname"/>
      </w:pPr>
      <w:fldSimple w:instr=" REF Citation \*charformat ">
        <w:r w:rsidR="005404F2">
          <w:t>Gas Safety Regulation 2001</w:t>
        </w:r>
      </w:fldSimple>
      <w:r w:rsidR="00606D09">
        <w:t xml:space="preserve">    </w:t>
      </w:r>
    </w:p>
    <w:p w14:paraId="15C8AD41" w14:textId="4AD34F22" w:rsidR="008511AB" w:rsidRDefault="005404F2">
      <w:pPr>
        <w:pStyle w:val="ActNo"/>
      </w:pPr>
      <w:bookmarkStart w:id="0" w:name="LawNo"/>
      <w:r>
        <w:t>SL2001-18</w:t>
      </w:r>
      <w:bookmarkEnd w:id="0"/>
    </w:p>
    <w:p w14:paraId="4EAB5028" w14:textId="77777777" w:rsidR="008511AB" w:rsidRDefault="00606D09">
      <w:pPr>
        <w:pStyle w:val="CoverInForce"/>
      </w:pPr>
      <w:r>
        <w:t>made under the</w:t>
      </w:r>
    </w:p>
    <w:p w14:paraId="1D2EFB8E" w14:textId="75ADD84D" w:rsidR="008511AB" w:rsidRDefault="003879E6">
      <w:pPr>
        <w:pStyle w:val="CoverActName"/>
      </w:pPr>
      <w:fldSimple w:instr=" REF ActName \*charformat ">
        <w:r w:rsidR="005404F2">
          <w:t>Gas Safety Act 2000</w:t>
        </w:r>
      </w:fldSimple>
    </w:p>
    <w:p w14:paraId="2E753514" w14:textId="50A3B3BC" w:rsidR="008511AB" w:rsidRDefault="00606D09">
      <w:pPr>
        <w:pStyle w:val="RepubNo"/>
      </w:pPr>
      <w:r>
        <w:t xml:space="preserve">Republication No </w:t>
      </w:r>
      <w:bookmarkStart w:id="1" w:name="RepubNo"/>
      <w:r w:rsidR="005404F2">
        <w:t>7</w:t>
      </w:r>
      <w:bookmarkEnd w:id="1"/>
    </w:p>
    <w:p w14:paraId="61820679" w14:textId="5B4A047D" w:rsidR="008511AB" w:rsidRDefault="00606D09">
      <w:pPr>
        <w:pStyle w:val="EffectiveDate"/>
      </w:pPr>
      <w:r>
        <w:t xml:space="preserve">Effective:  </w:t>
      </w:r>
      <w:bookmarkStart w:id="2" w:name="EffectiveDate"/>
      <w:r w:rsidR="005404F2">
        <w:t>4 November 2004</w:t>
      </w:r>
      <w:bookmarkEnd w:id="2"/>
      <w:r w:rsidR="005404F2">
        <w:t xml:space="preserve"> – </w:t>
      </w:r>
      <w:bookmarkStart w:id="3" w:name="EndEffDate"/>
      <w:r w:rsidR="005404F2">
        <w:t>1 July 2005</w:t>
      </w:r>
      <w:bookmarkEnd w:id="3"/>
    </w:p>
    <w:p w14:paraId="543F315D" w14:textId="4DCC6E72" w:rsidR="008511AB" w:rsidRDefault="00606D09">
      <w:pPr>
        <w:pStyle w:val="CoverInForce"/>
      </w:pPr>
      <w:r>
        <w:t xml:space="preserve">Republication date: </w:t>
      </w:r>
      <w:bookmarkStart w:id="4" w:name="InForceDate"/>
      <w:r w:rsidR="005404F2">
        <w:t>4 November 2004</w:t>
      </w:r>
      <w:bookmarkEnd w:id="4"/>
    </w:p>
    <w:p w14:paraId="17559BB9" w14:textId="7B25E069" w:rsidR="008511AB" w:rsidRDefault="00606D09">
      <w:pPr>
        <w:pStyle w:val="CoverInForce"/>
      </w:pPr>
      <w:r>
        <w:t xml:space="preserve">Last amendment made by </w:t>
      </w:r>
      <w:bookmarkStart w:id="5" w:name="LastAmdt"/>
      <w:r w:rsidR="005404F2">
        <w:t>A2004-15</w:t>
      </w:r>
      <w:bookmarkEnd w:id="5"/>
      <w:r>
        <w:br/>
        <w:t xml:space="preserve">(republication includes editorial amendments </w:t>
      </w:r>
      <w:r>
        <w:br/>
        <w:t>under Legislation Act)</w:t>
      </w:r>
    </w:p>
    <w:p w14:paraId="4A43C101" w14:textId="77777777" w:rsidR="008511AB" w:rsidRDefault="008511AB"/>
    <w:p w14:paraId="24501111" w14:textId="77777777" w:rsidR="008511AB" w:rsidRDefault="008511AB"/>
    <w:p w14:paraId="2EAB7A84" w14:textId="77777777" w:rsidR="008511AB" w:rsidRDefault="008511AB"/>
    <w:p w14:paraId="0387DC6B" w14:textId="77777777" w:rsidR="008511AB" w:rsidRDefault="008511AB"/>
    <w:p w14:paraId="0E1FACC5" w14:textId="46F5057D" w:rsidR="008511AB" w:rsidRDefault="008511AB">
      <w:pPr>
        <w:rPr>
          <w:rFonts w:ascii="Arial" w:hAnsi="Arial" w:cs="Arial"/>
        </w:rPr>
      </w:pPr>
    </w:p>
    <w:p w14:paraId="7033C85F" w14:textId="77777777" w:rsidR="008511AB" w:rsidRDefault="00606D09">
      <w:pPr>
        <w:pStyle w:val="CoverHeading"/>
      </w:pPr>
      <w:r>
        <w:br w:type="page"/>
      </w:r>
      <w:r>
        <w:lastRenderedPageBreak/>
        <w:t>About this republication</w:t>
      </w:r>
    </w:p>
    <w:p w14:paraId="0D9AD74E" w14:textId="77777777" w:rsidR="008511AB" w:rsidRDefault="00606D09">
      <w:pPr>
        <w:pStyle w:val="CoverSubHdg"/>
      </w:pPr>
      <w:r>
        <w:t>The republished law</w:t>
      </w:r>
    </w:p>
    <w:p w14:paraId="0842894E" w14:textId="5DE60876" w:rsidR="008511AB" w:rsidRDefault="00606D09">
      <w:pPr>
        <w:pStyle w:val="CoverText"/>
      </w:pPr>
      <w:r>
        <w:t xml:space="preserve">This is a republication of the </w:t>
      </w:r>
      <w:r w:rsidRPr="005404F2">
        <w:rPr>
          <w:i/>
        </w:rPr>
        <w:fldChar w:fldCharType="begin"/>
      </w:r>
      <w:r w:rsidRPr="005404F2">
        <w:rPr>
          <w:i/>
        </w:rPr>
        <w:instrText xml:space="preserve"> REF citation *\charformat  \* MERGEFORMAT </w:instrText>
      </w:r>
      <w:r w:rsidRPr="005404F2">
        <w:rPr>
          <w:i/>
        </w:rPr>
        <w:fldChar w:fldCharType="separate"/>
      </w:r>
      <w:r w:rsidR="005404F2" w:rsidRPr="005404F2">
        <w:rPr>
          <w:i/>
        </w:rPr>
        <w:t>Gas Safety Regulation 2001</w:t>
      </w:r>
      <w:r w:rsidRPr="005404F2">
        <w:rPr>
          <w:i/>
        </w:rPr>
        <w:fldChar w:fldCharType="end"/>
      </w:r>
      <w:r>
        <w:t xml:space="preserve">, made under the </w:t>
      </w:r>
      <w:r w:rsidRPr="005404F2">
        <w:rPr>
          <w:i/>
        </w:rPr>
        <w:fldChar w:fldCharType="begin"/>
      </w:r>
      <w:r w:rsidRPr="005404F2">
        <w:rPr>
          <w:i/>
        </w:rPr>
        <w:instrText xml:space="preserve"> REF ActName \*charformat  \* MERGEFORMAT </w:instrText>
      </w:r>
      <w:r w:rsidRPr="005404F2">
        <w:rPr>
          <w:i/>
        </w:rPr>
        <w:fldChar w:fldCharType="separate"/>
      </w:r>
      <w:r w:rsidR="005404F2" w:rsidRPr="005404F2">
        <w:rPr>
          <w:i/>
        </w:rPr>
        <w:t>Gas Safety Act 2000</w:t>
      </w:r>
      <w:r w:rsidRPr="005404F2">
        <w:rPr>
          <w:i/>
        </w:rPr>
        <w:fldChar w:fldCharType="end"/>
      </w:r>
      <w:r>
        <w:t xml:space="preserve"> (including</w:t>
      </w:r>
      <w:r>
        <w:rPr>
          <w:i/>
          <w:iCs/>
        </w:rPr>
        <w:t xml:space="preserve"> </w:t>
      </w:r>
      <w:r>
        <w:t xml:space="preserve">any amendment made under the </w:t>
      </w:r>
      <w:r>
        <w:rPr>
          <w:rStyle w:val="charItals"/>
        </w:rPr>
        <w:t>Legislation Act 2001</w:t>
      </w:r>
      <w:r>
        <w:t xml:space="preserve">, part 11.3 (Editorial changes)) as in force on </w:t>
      </w:r>
      <w:fldSimple w:instr=" REF InForceDate *\charformat ">
        <w:r w:rsidR="005404F2">
          <w:t>4 November 2004</w:t>
        </w:r>
      </w:fldSimple>
      <w:r>
        <w:rPr>
          <w:i/>
          <w:iCs/>
        </w:rPr>
        <w:t xml:space="preserve">.  </w:t>
      </w:r>
      <w:r>
        <w:t xml:space="preserve">It also includes any amendment, repeal or expiry affecting the republished law to </w:t>
      </w:r>
      <w:fldSimple w:instr=" REF EffectiveDate *\charformat ">
        <w:r w:rsidR="005404F2">
          <w:t>4 November 2004</w:t>
        </w:r>
      </w:fldSimple>
      <w:r>
        <w:t xml:space="preserve">.  </w:t>
      </w:r>
    </w:p>
    <w:p w14:paraId="7B9A3120" w14:textId="77777777" w:rsidR="008511AB" w:rsidRDefault="00606D09">
      <w:pPr>
        <w:pStyle w:val="CoverText"/>
      </w:pPr>
      <w:r>
        <w:t xml:space="preserve">The legislation history and amendment history of the republished law are set out in endnotes 3 and 4. </w:t>
      </w:r>
    </w:p>
    <w:p w14:paraId="655B96E1" w14:textId="77777777" w:rsidR="008511AB" w:rsidRDefault="00606D09">
      <w:pPr>
        <w:pStyle w:val="CoverSubHdg"/>
      </w:pPr>
      <w:r>
        <w:t>Kinds of republications</w:t>
      </w:r>
    </w:p>
    <w:p w14:paraId="05B81221" w14:textId="77777777" w:rsidR="008511AB" w:rsidRDefault="00606D09">
      <w:pPr>
        <w:pStyle w:val="CoverText"/>
        <w:rPr>
          <w:color w:val="000000"/>
        </w:rPr>
      </w:pPr>
      <w:r>
        <w:rPr>
          <w:color w:val="000000"/>
        </w:rPr>
        <w:t>The Parliamentary Counsel’s Office prepares 2 kinds of republications of ACT laws (see the ACT legislation register at www.legislation.act.gov.au):</w:t>
      </w:r>
    </w:p>
    <w:p w14:paraId="019C2E0B" w14:textId="77777777" w:rsidR="008511AB" w:rsidRDefault="00606D09" w:rsidP="00606D09">
      <w:pPr>
        <w:pStyle w:val="CoverText"/>
        <w:numPr>
          <w:ilvl w:val="0"/>
          <w:numId w:val="2"/>
        </w:numPr>
        <w:rPr>
          <w:color w:val="000000"/>
        </w:rPr>
      </w:pPr>
      <w:r>
        <w:rPr>
          <w:color w:val="000000"/>
        </w:rPr>
        <w:t xml:space="preserve">authorised republications to which the </w:t>
      </w:r>
      <w:r>
        <w:rPr>
          <w:rStyle w:val="charItals"/>
        </w:rPr>
        <w:t>Legislation Act 2001</w:t>
      </w:r>
      <w:r>
        <w:rPr>
          <w:color w:val="000000"/>
        </w:rPr>
        <w:t xml:space="preserve"> applies</w:t>
      </w:r>
    </w:p>
    <w:p w14:paraId="5F9F1C5C" w14:textId="77777777" w:rsidR="008511AB" w:rsidRDefault="00606D09" w:rsidP="00606D09">
      <w:pPr>
        <w:pStyle w:val="CoverText"/>
        <w:numPr>
          <w:ilvl w:val="0"/>
          <w:numId w:val="2"/>
        </w:numPr>
        <w:rPr>
          <w:color w:val="000000"/>
        </w:rPr>
      </w:pPr>
      <w:r>
        <w:rPr>
          <w:color w:val="000000"/>
        </w:rPr>
        <w:t>unauthorised republications.</w:t>
      </w:r>
    </w:p>
    <w:p w14:paraId="760FD062" w14:textId="77777777" w:rsidR="008511AB" w:rsidRDefault="00606D09">
      <w:pPr>
        <w:pStyle w:val="CoverText"/>
      </w:pPr>
      <w:r>
        <w:t>The status of this republication appears on the bottom of each page.</w:t>
      </w:r>
    </w:p>
    <w:p w14:paraId="57BA3889" w14:textId="77777777" w:rsidR="008511AB" w:rsidRDefault="00606D09">
      <w:pPr>
        <w:pStyle w:val="CoverSubHdg"/>
      </w:pPr>
      <w:r>
        <w:t>Editorial changes</w:t>
      </w:r>
    </w:p>
    <w:p w14:paraId="1E17C034" w14:textId="77777777" w:rsidR="008511AB" w:rsidRDefault="00606D09">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14:paraId="10355BF7" w14:textId="77777777" w:rsidR="008511AB" w:rsidRDefault="00606D09">
      <w:pPr>
        <w:pStyle w:val="CoverText"/>
      </w:pPr>
      <w:r>
        <w:t>This republication includes amendments made under part 11.3 (see endnote 1).</w:t>
      </w:r>
    </w:p>
    <w:p w14:paraId="6A15DABC" w14:textId="77777777" w:rsidR="008511AB" w:rsidRDefault="00606D09">
      <w:pPr>
        <w:pStyle w:val="CoverSubHdg"/>
      </w:pPr>
      <w:r>
        <w:t>Uncommenced provisions and amendments</w:t>
      </w:r>
    </w:p>
    <w:p w14:paraId="63754D7D" w14:textId="77777777" w:rsidR="008511AB" w:rsidRDefault="00606D09">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14:paraId="262AA388" w14:textId="77777777" w:rsidR="008511AB" w:rsidRDefault="00606D09">
      <w:pPr>
        <w:pStyle w:val="CoverSubHdg"/>
      </w:pPr>
      <w:r>
        <w:t>Modifications</w:t>
      </w:r>
    </w:p>
    <w:p w14:paraId="4CD05A31" w14:textId="77777777" w:rsidR="008511AB" w:rsidRDefault="00606D09">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14:paraId="7020F612" w14:textId="77777777" w:rsidR="008511AB" w:rsidRDefault="00606D09">
      <w:pPr>
        <w:pStyle w:val="CoverSubHdg"/>
      </w:pPr>
      <w:r>
        <w:t>Penalties</w:t>
      </w:r>
    </w:p>
    <w:p w14:paraId="3B8CFC70" w14:textId="77777777" w:rsidR="008511AB" w:rsidRDefault="00606D09">
      <w:pPr>
        <w:pStyle w:val="CoverText"/>
        <w:rPr>
          <w:color w:val="000000"/>
        </w:rPr>
      </w:pPr>
      <w:r>
        <w:rPr>
          <w:color w:val="000000"/>
        </w:rPr>
        <w:t>The value of a penalty unit for an offence against this republished law at the republication date is—</w:t>
      </w:r>
    </w:p>
    <w:p w14:paraId="2ABD1DBF" w14:textId="77777777" w:rsidR="008511AB" w:rsidRDefault="00606D09">
      <w:pPr>
        <w:pStyle w:val="CoverTextPara"/>
      </w:pPr>
      <w:r>
        <w:tab/>
        <w:t>(a)</w:t>
      </w:r>
      <w:r>
        <w:tab/>
        <w:t>if the person charged is an individual—$100; or</w:t>
      </w:r>
    </w:p>
    <w:p w14:paraId="342ADFAF" w14:textId="77777777" w:rsidR="008511AB" w:rsidRDefault="00606D09">
      <w:pPr>
        <w:pStyle w:val="CoverTextPara"/>
      </w:pPr>
      <w:r>
        <w:tab/>
        <w:t>(b)</w:t>
      </w:r>
      <w:r>
        <w:tab/>
        <w:t>if the person charged is a corporation—$500.</w:t>
      </w:r>
    </w:p>
    <w:p w14:paraId="6BD4185C" w14:textId="77777777" w:rsidR="008511AB" w:rsidRDefault="008511AB">
      <w:pPr>
        <w:pStyle w:val="00SigningPage"/>
        <w:sectPr w:rsidR="008511AB">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42B76ED1" w14:textId="058A3EF7" w:rsidR="008511AB" w:rsidRDefault="004162FD">
      <w:pPr>
        <w:jc w:val="center"/>
      </w:pPr>
      <w:r>
        <w:rPr>
          <w:noProof/>
        </w:rPr>
        <w:lastRenderedPageBreak/>
        <w:drawing>
          <wp:inline distT="0" distB="0" distL="0" distR="0" wp14:anchorId="75075239" wp14:editId="03C05BB1">
            <wp:extent cx="1337310" cy="117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310" cy="1178560"/>
                    </a:xfrm>
                    <a:prstGeom prst="rect">
                      <a:avLst/>
                    </a:prstGeom>
                    <a:noFill/>
                    <a:ln>
                      <a:noFill/>
                    </a:ln>
                  </pic:spPr>
                </pic:pic>
              </a:graphicData>
            </a:graphic>
          </wp:inline>
        </w:drawing>
      </w:r>
    </w:p>
    <w:p w14:paraId="12232943" w14:textId="77777777" w:rsidR="008511AB" w:rsidRDefault="00606D09">
      <w:pPr>
        <w:jc w:val="center"/>
        <w:rPr>
          <w:rFonts w:ascii="Arial" w:hAnsi="Arial" w:cs="Arial"/>
        </w:rPr>
      </w:pPr>
      <w:r>
        <w:rPr>
          <w:rFonts w:ascii="Arial" w:hAnsi="Arial" w:cs="Arial"/>
        </w:rPr>
        <w:t>Australian Capital Territory</w:t>
      </w:r>
    </w:p>
    <w:p w14:paraId="69F2A0F1" w14:textId="2541DE88" w:rsidR="008511AB" w:rsidRDefault="003879E6">
      <w:pPr>
        <w:pStyle w:val="Billname"/>
      </w:pPr>
      <w:fldSimple w:instr=" REF Citation \*charformat ">
        <w:r w:rsidR="005404F2">
          <w:t>Gas Safety Regulation 2001</w:t>
        </w:r>
      </w:fldSimple>
    </w:p>
    <w:p w14:paraId="1C1520D5" w14:textId="77777777" w:rsidR="008511AB" w:rsidRDefault="00606D09">
      <w:pPr>
        <w:pStyle w:val="CoverInForce"/>
      </w:pPr>
      <w:r>
        <w:t>made under the</w:t>
      </w:r>
    </w:p>
    <w:p w14:paraId="719958B4" w14:textId="09029116" w:rsidR="008511AB" w:rsidRDefault="003879E6">
      <w:pPr>
        <w:pStyle w:val="CoverActName"/>
      </w:pPr>
      <w:fldSimple w:instr=" REF ActName \*charformat ">
        <w:r w:rsidR="005404F2">
          <w:t>Gas Safety Act 2000</w:t>
        </w:r>
      </w:fldSimple>
    </w:p>
    <w:p w14:paraId="22ECDC9D" w14:textId="77777777" w:rsidR="008511AB" w:rsidRDefault="00606D09">
      <w:pPr>
        <w:pStyle w:val="Placeholder"/>
      </w:pPr>
      <w:r>
        <w:rPr>
          <w:rStyle w:val="charContents"/>
          <w:sz w:val="16"/>
          <w:szCs w:val="16"/>
        </w:rPr>
        <w:t xml:space="preserve">  </w:t>
      </w:r>
      <w:r>
        <w:rPr>
          <w:rStyle w:val="charPage"/>
        </w:rPr>
        <w:t xml:space="preserve">  </w:t>
      </w:r>
    </w:p>
    <w:p w14:paraId="73D84A2D" w14:textId="77777777" w:rsidR="008511AB" w:rsidRDefault="00606D09">
      <w:pPr>
        <w:pStyle w:val="N-TOCheading"/>
      </w:pPr>
      <w:r>
        <w:rPr>
          <w:rStyle w:val="charContents"/>
        </w:rPr>
        <w:t>Contents</w:t>
      </w:r>
    </w:p>
    <w:p w14:paraId="4BA283B4" w14:textId="77777777" w:rsidR="008511AB" w:rsidRDefault="00606D09">
      <w:pPr>
        <w:pStyle w:val="N-9pt"/>
      </w:pPr>
      <w:r>
        <w:tab/>
      </w:r>
      <w:r>
        <w:rPr>
          <w:rStyle w:val="charPage"/>
        </w:rPr>
        <w:t>Page</w:t>
      </w:r>
    </w:p>
    <w:p w14:paraId="755DA614" w14:textId="4D448FFE" w:rsidR="003879E6" w:rsidRDefault="003879E6">
      <w:pPr>
        <w:pStyle w:val="TOC2"/>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106637" w:history="1">
        <w:r w:rsidRPr="006B4842">
          <w:t>Part 1</w:t>
        </w:r>
        <w:r>
          <w:rPr>
            <w:rFonts w:asciiTheme="minorHAnsi" w:hAnsiTheme="minorHAnsi" w:cstheme="minorBidi"/>
            <w:b w:val="0"/>
            <w:bCs w:val="0"/>
            <w:sz w:val="22"/>
            <w:szCs w:val="22"/>
            <w:lang w:eastAsia="en-AU"/>
          </w:rPr>
          <w:tab/>
        </w:r>
        <w:r w:rsidRPr="006B4842">
          <w:t>Preliminary</w:t>
        </w:r>
        <w:r w:rsidRPr="003879E6">
          <w:rPr>
            <w:vanish/>
          </w:rPr>
          <w:tab/>
        </w:r>
        <w:r w:rsidRPr="003879E6">
          <w:rPr>
            <w:vanish/>
          </w:rPr>
          <w:fldChar w:fldCharType="begin"/>
        </w:r>
        <w:r w:rsidRPr="003879E6">
          <w:rPr>
            <w:vanish/>
          </w:rPr>
          <w:instrText xml:space="preserve"> PAGEREF _Toc111106637 \h </w:instrText>
        </w:r>
        <w:r w:rsidRPr="003879E6">
          <w:rPr>
            <w:vanish/>
          </w:rPr>
        </w:r>
        <w:r w:rsidRPr="003879E6">
          <w:rPr>
            <w:vanish/>
          </w:rPr>
          <w:fldChar w:fldCharType="separate"/>
        </w:r>
        <w:r w:rsidRPr="003879E6">
          <w:rPr>
            <w:vanish/>
          </w:rPr>
          <w:t>2</w:t>
        </w:r>
        <w:r w:rsidRPr="003879E6">
          <w:rPr>
            <w:vanish/>
          </w:rPr>
          <w:fldChar w:fldCharType="end"/>
        </w:r>
      </w:hyperlink>
    </w:p>
    <w:p w14:paraId="24B9362B" w14:textId="60FE232C" w:rsidR="003879E6" w:rsidRDefault="003879E6">
      <w:pPr>
        <w:pStyle w:val="TOC5"/>
        <w:rPr>
          <w:rFonts w:asciiTheme="minorHAnsi" w:hAnsiTheme="minorHAnsi" w:cstheme="minorBidi"/>
          <w:sz w:val="22"/>
          <w:szCs w:val="22"/>
          <w:lang w:eastAsia="en-AU"/>
        </w:rPr>
      </w:pPr>
      <w:r>
        <w:tab/>
      </w:r>
      <w:hyperlink w:anchor="_Toc111106638" w:history="1">
        <w:r w:rsidRPr="006B4842">
          <w:t>1</w:t>
        </w:r>
        <w:r>
          <w:rPr>
            <w:rFonts w:asciiTheme="minorHAnsi" w:hAnsiTheme="minorHAnsi" w:cstheme="minorBidi"/>
            <w:sz w:val="22"/>
            <w:szCs w:val="22"/>
            <w:lang w:eastAsia="en-AU"/>
          </w:rPr>
          <w:tab/>
        </w:r>
        <w:r w:rsidRPr="006B4842">
          <w:t>Name of regulation</w:t>
        </w:r>
        <w:r>
          <w:tab/>
        </w:r>
        <w:r>
          <w:fldChar w:fldCharType="begin"/>
        </w:r>
        <w:r>
          <w:instrText xml:space="preserve"> PAGEREF _Toc111106638 \h </w:instrText>
        </w:r>
        <w:r>
          <w:fldChar w:fldCharType="separate"/>
        </w:r>
        <w:r>
          <w:t>2</w:t>
        </w:r>
        <w:r>
          <w:fldChar w:fldCharType="end"/>
        </w:r>
      </w:hyperlink>
    </w:p>
    <w:p w14:paraId="705FCE7C" w14:textId="10983C3C" w:rsidR="003879E6" w:rsidRDefault="003879E6">
      <w:pPr>
        <w:pStyle w:val="TOC5"/>
        <w:rPr>
          <w:rFonts w:asciiTheme="minorHAnsi" w:hAnsiTheme="minorHAnsi" w:cstheme="minorBidi"/>
          <w:sz w:val="22"/>
          <w:szCs w:val="22"/>
          <w:lang w:eastAsia="en-AU"/>
        </w:rPr>
      </w:pPr>
      <w:r>
        <w:tab/>
      </w:r>
      <w:hyperlink w:anchor="_Toc111106639" w:history="1">
        <w:r w:rsidRPr="006B4842">
          <w:t>3</w:t>
        </w:r>
        <w:r>
          <w:rPr>
            <w:rFonts w:asciiTheme="minorHAnsi" w:hAnsiTheme="minorHAnsi" w:cstheme="minorBidi"/>
            <w:sz w:val="22"/>
            <w:szCs w:val="22"/>
            <w:lang w:eastAsia="en-AU"/>
          </w:rPr>
          <w:tab/>
        </w:r>
        <w:r w:rsidRPr="006B4842">
          <w:t>Dictionary</w:t>
        </w:r>
        <w:r>
          <w:tab/>
        </w:r>
        <w:r>
          <w:fldChar w:fldCharType="begin"/>
        </w:r>
        <w:r>
          <w:instrText xml:space="preserve"> PAGEREF _Toc111106639 \h </w:instrText>
        </w:r>
        <w:r>
          <w:fldChar w:fldCharType="separate"/>
        </w:r>
        <w:r>
          <w:t>2</w:t>
        </w:r>
        <w:r>
          <w:fldChar w:fldCharType="end"/>
        </w:r>
      </w:hyperlink>
    </w:p>
    <w:p w14:paraId="26815419" w14:textId="3B4B76D4" w:rsidR="003879E6" w:rsidRDefault="003879E6">
      <w:pPr>
        <w:pStyle w:val="TOC5"/>
        <w:rPr>
          <w:rFonts w:asciiTheme="minorHAnsi" w:hAnsiTheme="minorHAnsi" w:cstheme="minorBidi"/>
          <w:sz w:val="22"/>
          <w:szCs w:val="22"/>
          <w:lang w:eastAsia="en-AU"/>
        </w:rPr>
      </w:pPr>
      <w:r>
        <w:tab/>
      </w:r>
      <w:hyperlink w:anchor="_Toc111106640" w:history="1">
        <w:r w:rsidRPr="006B4842">
          <w:t>4</w:t>
        </w:r>
        <w:r>
          <w:rPr>
            <w:rFonts w:asciiTheme="minorHAnsi" w:hAnsiTheme="minorHAnsi" w:cstheme="minorBidi"/>
            <w:sz w:val="22"/>
            <w:szCs w:val="22"/>
            <w:lang w:eastAsia="en-AU"/>
          </w:rPr>
          <w:tab/>
        </w:r>
        <w:r w:rsidRPr="006B4842">
          <w:t>Notes</w:t>
        </w:r>
        <w:r>
          <w:tab/>
        </w:r>
        <w:r>
          <w:fldChar w:fldCharType="begin"/>
        </w:r>
        <w:r>
          <w:instrText xml:space="preserve"> PAGEREF _Toc111106640 \h </w:instrText>
        </w:r>
        <w:r>
          <w:fldChar w:fldCharType="separate"/>
        </w:r>
        <w:r>
          <w:t>2</w:t>
        </w:r>
        <w:r>
          <w:fldChar w:fldCharType="end"/>
        </w:r>
      </w:hyperlink>
    </w:p>
    <w:p w14:paraId="4A841008" w14:textId="591A8339" w:rsidR="003879E6" w:rsidRDefault="003879E6">
      <w:pPr>
        <w:pStyle w:val="TOC5"/>
        <w:rPr>
          <w:rFonts w:asciiTheme="minorHAnsi" w:hAnsiTheme="minorHAnsi" w:cstheme="minorBidi"/>
          <w:sz w:val="22"/>
          <w:szCs w:val="22"/>
          <w:lang w:eastAsia="en-AU"/>
        </w:rPr>
      </w:pPr>
      <w:r>
        <w:tab/>
      </w:r>
      <w:hyperlink w:anchor="_Toc111106641" w:history="1">
        <w:r w:rsidRPr="006B4842">
          <w:t>4AA</w:t>
        </w:r>
        <w:r>
          <w:rPr>
            <w:rFonts w:asciiTheme="minorHAnsi" w:hAnsiTheme="minorHAnsi" w:cstheme="minorBidi"/>
            <w:sz w:val="22"/>
            <w:szCs w:val="22"/>
            <w:lang w:eastAsia="en-AU"/>
          </w:rPr>
          <w:tab/>
        </w:r>
        <w:r w:rsidRPr="006B4842">
          <w:t>Offences against regulation—application of Criminal Code etc</w:t>
        </w:r>
        <w:r>
          <w:tab/>
        </w:r>
        <w:r>
          <w:fldChar w:fldCharType="begin"/>
        </w:r>
        <w:r>
          <w:instrText xml:space="preserve"> PAGEREF _Toc111106641 \h </w:instrText>
        </w:r>
        <w:r>
          <w:fldChar w:fldCharType="separate"/>
        </w:r>
        <w:r>
          <w:t>2</w:t>
        </w:r>
        <w:r>
          <w:fldChar w:fldCharType="end"/>
        </w:r>
      </w:hyperlink>
    </w:p>
    <w:p w14:paraId="4767F1A6" w14:textId="6929043C" w:rsidR="003879E6" w:rsidRDefault="003879E6">
      <w:pPr>
        <w:pStyle w:val="TOC5"/>
        <w:rPr>
          <w:rFonts w:asciiTheme="minorHAnsi" w:hAnsiTheme="minorHAnsi" w:cstheme="minorBidi"/>
          <w:sz w:val="22"/>
          <w:szCs w:val="22"/>
          <w:lang w:eastAsia="en-AU"/>
        </w:rPr>
      </w:pPr>
      <w:r>
        <w:tab/>
      </w:r>
      <w:hyperlink w:anchor="_Toc111106642" w:history="1">
        <w:r w:rsidRPr="006B4842">
          <w:t>4A</w:t>
        </w:r>
        <w:r>
          <w:rPr>
            <w:rFonts w:asciiTheme="minorHAnsi" w:hAnsiTheme="minorHAnsi" w:cstheme="minorBidi"/>
            <w:sz w:val="22"/>
            <w:szCs w:val="22"/>
            <w:lang w:eastAsia="en-AU"/>
          </w:rPr>
          <w:tab/>
        </w:r>
        <w:r w:rsidRPr="006B4842">
          <w:t>References to Australian Gas Association standards and codes</w:t>
        </w:r>
        <w:r>
          <w:tab/>
        </w:r>
        <w:r>
          <w:fldChar w:fldCharType="begin"/>
        </w:r>
        <w:r>
          <w:instrText xml:space="preserve"> PAGEREF _Toc111106642 \h </w:instrText>
        </w:r>
        <w:r>
          <w:fldChar w:fldCharType="separate"/>
        </w:r>
        <w:r>
          <w:t>3</w:t>
        </w:r>
        <w:r>
          <w:fldChar w:fldCharType="end"/>
        </w:r>
      </w:hyperlink>
    </w:p>
    <w:p w14:paraId="79AE58F9" w14:textId="589797C6" w:rsidR="003879E6" w:rsidRDefault="007C7787">
      <w:pPr>
        <w:pStyle w:val="TOC2"/>
        <w:rPr>
          <w:rFonts w:asciiTheme="minorHAnsi" w:hAnsiTheme="minorHAnsi" w:cstheme="minorBidi"/>
          <w:b w:val="0"/>
          <w:bCs w:val="0"/>
          <w:sz w:val="22"/>
          <w:szCs w:val="22"/>
          <w:lang w:eastAsia="en-AU"/>
        </w:rPr>
      </w:pPr>
      <w:hyperlink w:anchor="_Toc111106643" w:history="1">
        <w:r w:rsidR="003879E6" w:rsidRPr="006B4842">
          <w:t>Part 2</w:t>
        </w:r>
        <w:r w:rsidR="003879E6">
          <w:rPr>
            <w:rFonts w:asciiTheme="minorHAnsi" w:hAnsiTheme="minorHAnsi" w:cstheme="minorBidi"/>
            <w:b w:val="0"/>
            <w:bCs w:val="0"/>
            <w:sz w:val="22"/>
            <w:szCs w:val="22"/>
            <w:lang w:eastAsia="en-AU"/>
          </w:rPr>
          <w:tab/>
        </w:r>
        <w:r w:rsidR="003879E6" w:rsidRPr="006B4842">
          <w:t>Work safety and standards</w:t>
        </w:r>
        <w:r w:rsidR="003879E6" w:rsidRPr="003879E6">
          <w:rPr>
            <w:vanish/>
          </w:rPr>
          <w:tab/>
        </w:r>
        <w:r w:rsidR="003879E6" w:rsidRPr="003879E6">
          <w:rPr>
            <w:vanish/>
          </w:rPr>
          <w:fldChar w:fldCharType="begin"/>
        </w:r>
        <w:r w:rsidR="003879E6" w:rsidRPr="003879E6">
          <w:rPr>
            <w:vanish/>
          </w:rPr>
          <w:instrText xml:space="preserve"> PAGEREF _Toc111106643 \h </w:instrText>
        </w:r>
        <w:r w:rsidR="003879E6" w:rsidRPr="003879E6">
          <w:rPr>
            <w:vanish/>
          </w:rPr>
        </w:r>
        <w:r w:rsidR="003879E6" w:rsidRPr="003879E6">
          <w:rPr>
            <w:vanish/>
          </w:rPr>
          <w:fldChar w:fldCharType="separate"/>
        </w:r>
        <w:r w:rsidR="003879E6" w:rsidRPr="003879E6">
          <w:rPr>
            <w:vanish/>
          </w:rPr>
          <w:t>4</w:t>
        </w:r>
        <w:r w:rsidR="003879E6" w:rsidRPr="003879E6">
          <w:rPr>
            <w:vanish/>
          </w:rPr>
          <w:fldChar w:fldCharType="end"/>
        </w:r>
      </w:hyperlink>
    </w:p>
    <w:p w14:paraId="30984956" w14:textId="1C853B0D" w:rsidR="003879E6" w:rsidRDefault="007C7787">
      <w:pPr>
        <w:pStyle w:val="TOC3"/>
        <w:rPr>
          <w:rFonts w:asciiTheme="minorHAnsi" w:hAnsiTheme="minorHAnsi" w:cstheme="minorBidi"/>
          <w:b w:val="0"/>
          <w:bCs w:val="0"/>
          <w:sz w:val="22"/>
          <w:szCs w:val="22"/>
          <w:lang w:eastAsia="en-AU"/>
        </w:rPr>
      </w:pPr>
      <w:hyperlink w:anchor="_Toc111106644" w:history="1">
        <w:r w:rsidR="003879E6" w:rsidRPr="006B4842">
          <w:t>Division 2.1</w:t>
        </w:r>
        <w:r w:rsidR="003879E6">
          <w:rPr>
            <w:rFonts w:asciiTheme="minorHAnsi" w:hAnsiTheme="minorHAnsi" w:cstheme="minorBidi"/>
            <w:b w:val="0"/>
            <w:bCs w:val="0"/>
            <w:sz w:val="22"/>
            <w:szCs w:val="22"/>
            <w:lang w:eastAsia="en-AU"/>
          </w:rPr>
          <w:tab/>
        </w:r>
        <w:r w:rsidR="003879E6" w:rsidRPr="006B4842">
          <w:t>Gasfitting work</w:t>
        </w:r>
        <w:r w:rsidR="003879E6" w:rsidRPr="003879E6">
          <w:rPr>
            <w:vanish/>
          </w:rPr>
          <w:tab/>
        </w:r>
        <w:r w:rsidR="003879E6" w:rsidRPr="003879E6">
          <w:rPr>
            <w:vanish/>
          </w:rPr>
          <w:fldChar w:fldCharType="begin"/>
        </w:r>
        <w:r w:rsidR="003879E6" w:rsidRPr="003879E6">
          <w:rPr>
            <w:vanish/>
          </w:rPr>
          <w:instrText xml:space="preserve"> PAGEREF _Toc111106644 \h </w:instrText>
        </w:r>
        <w:r w:rsidR="003879E6" w:rsidRPr="003879E6">
          <w:rPr>
            <w:vanish/>
          </w:rPr>
        </w:r>
        <w:r w:rsidR="003879E6" w:rsidRPr="003879E6">
          <w:rPr>
            <w:vanish/>
          </w:rPr>
          <w:fldChar w:fldCharType="separate"/>
        </w:r>
        <w:r w:rsidR="003879E6" w:rsidRPr="003879E6">
          <w:rPr>
            <w:vanish/>
          </w:rPr>
          <w:t>4</w:t>
        </w:r>
        <w:r w:rsidR="003879E6" w:rsidRPr="003879E6">
          <w:rPr>
            <w:vanish/>
          </w:rPr>
          <w:fldChar w:fldCharType="end"/>
        </w:r>
      </w:hyperlink>
    </w:p>
    <w:p w14:paraId="5D422BE7" w14:textId="65946C87" w:rsidR="003879E6" w:rsidRDefault="003879E6">
      <w:pPr>
        <w:pStyle w:val="TOC5"/>
        <w:rPr>
          <w:rFonts w:asciiTheme="minorHAnsi" w:hAnsiTheme="minorHAnsi" w:cstheme="minorBidi"/>
          <w:sz w:val="22"/>
          <w:szCs w:val="22"/>
          <w:lang w:eastAsia="en-AU"/>
        </w:rPr>
      </w:pPr>
      <w:r>
        <w:tab/>
      </w:r>
      <w:hyperlink w:anchor="_Toc111106645" w:history="1">
        <w:r w:rsidRPr="006B4842">
          <w:t>6</w:t>
        </w:r>
        <w:r>
          <w:rPr>
            <w:rFonts w:asciiTheme="minorHAnsi" w:hAnsiTheme="minorHAnsi" w:cstheme="minorBidi"/>
            <w:sz w:val="22"/>
            <w:szCs w:val="22"/>
            <w:lang w:eastAsia="en-AU"/>
          </w:rPr>
          <w:tab/>
        </w:r>
        <w:r w:rsidRPr="006B4842">
          <w:t>Testing gasfitting work on consumer piping system—Act, s 8</w:t>
        </w:r>
        <w:r>
          <w:tab/>
        </w:r>
        <w:r>
          <w:fldChar w:fldCharType="begin"/>
        </w:r>
        <w:r>
          <w:instrText xml:space="preserve"> PAGEREF _Toc111106645 \h </w:instrText>
        </w:r>
        <w:r>
          <w:fldChar w:fldCharType="separate"/>
        </w:r>
        <w:r>
          <w:t>4</w:t>
        </w:r>
        <w:r>
          <w:fldChar w:fldCharType="end"/>
        </w:r>
      </w:hyperlink>
    </w:p>
    <w:p w14:paraId="4E9B1795" w14:textId="0A14651E" w:rsidR="003879E6" w:rsidRDefault="003879E6">
      <w:pPr>
        <w:pStyle w:val="TOC5"/>
        <w:rPr>
          <w:rFonts w:asciiTheme="minorHAnsi" w:hAnsiTheme="minorHAnsi" w:cstheme="minorBidi"/>
          <w:sz w:val="22"/>
          <w:szCs w:val="22"/>
          <w:lang w:eastAsia="en-AU"/>
        </w:rPr>
      </w:pPr>
      <w:r>
        <w:tab/>
      </w:r>
      <w:hyperlink w:anchor="_Toc111106646" w:history="1">
        <w:r w:rsidRPr="006B4842">
          <w:t>7</w:t>
        </w:r>
        <w:r>
          <w:rPr>
            <w:rFonts w:asciiTheme="minorHAnsi" w:hAnsiTheme="minorHAnsi" w:cstheme="minorBidi"/>
            <w:sz w:val="22"/>
            <w:szCs w:val="22"/>
            <w:lang w:eastAsia="en-AU"/>
          </w:rPr>
          <w:tab/>
        </w:r>
        <w:r w:rsidRPr="006B4842">
          <w:t>Testing gas connection service</w:t>
        </w:r>
        <w:r>
          <w:tab/>
        </w:r>
        <w:r>
          <w:fldChar w:fldCharType="begin"/>
        </w:r>
        <w:r>
          <w:instrText xml:space="preserve"> PAGEREF _Toc111106646 \h </w:instrText>
        </w:r>
        <w:r>
          <w:fldChar w:fldCharType="separate"/>
        </w:r>
        <w:r>
          <w:t>4</w:t>
        </w:r>
        <w:r>
          <w:fldChar w:fldCharType="end"/>
        </w:r>
      </w:hyperlink>
    </w:p>
    <w:p w14:paraId="2EE480BA" w14:textId="4B77DCDB" w:rsidR="003879E6" w:rsidRDefault="003879E6">
      <w:pPr>
        <w:pStyle w:val="TOC5"/>
        <w:rPr>
          <w:rFonts w:asciiTheme="minorHAnsi" w:hAnsiTheme="minorHAnsi" w:cstheme="minorBidi"/>
          <w:sz w:val="22"/>
          <w:szCs w:val="22"/>
          <w:lang w:eastAsia="en-AU"/>
        </w:rPr>
      </w:pPr>
      <w:r>
        <w:tab/>
      </w:r>
      <w:hyperlink w:anchor="_Toc111106647" w:history="1">
        <w:r w:rsidRPr="006B4842">
          <w:t>9</w:t>
        </w:r>
        <w:r>
          <w:rPr>
            <w:rFonts w:asciiTheme="minorHAnsi" w:hAnsiTheme="minorHAnsi" w:cstheme="minorBidi"/>
            <w:sz w:val="22"/>
            <w:szCs w:val="22"/>
            <w:lang w:eastAsia="en-AU"/>
          </w:rPr>
          <w:tab/>
        </w:r>
        <w:r w:rsidRPr="006B4842">
          <w:t>Testing appliance connection</w:t>
        </w:r>
        <w:r>
          <w:tab/>
        </w:r>
        <w:r>
          <w:fldChar w:fldCharType="begin"/>
        </w:r>
        <w:r>
          <w:instrText xml:space="preserve"> PAGEREF _Toc111106647 \h </w:instrText>
        </w:r>
        <w:r>
          <w:fldChar w:fldCharType="separate"/>
        </w:r>
        <w:r>
          <w:t>5</w:t>
        </w:r>
        <w:r>
          <w:fldChar w:fldCharType="end"/>
        </w:r>
      </w:hyperlink>
    </w:p>
    <w:p w14:paraId="0F2B31FF" w14:textId="506096CC" w:rsidR="003879E6" w:rsidRDefault="003879E6">
      <w:pPr>
        <w:pStyle w:val="TOC5"/>
        <w:rPr>
          <w:rFonts w:asciiTheme="minorHAnsi" w:hAnsiTheme="minorHAnsi" w:cstheme="minorBidi"/>
          <w:sz w:val="22"/>
          <w:szCs w:val="22"/>
          <w:lang w:eastAsia="en-AU"/>
        </w:rPr>
      </w:pPr>
      <w:r>
        <w:lastRenderedPageBreak/>
        <w:tab/>
      </w:r>
      <w:hyperlink w:anchor="_Toc111106648" w:history="1">
        <w:r w:rsidRPr="006B4842">
          <w:t>10</w:t>
        </w:r>
        <w:r>
          <w:rPr>
            <w:rFonts w:asciiTheme="minorHAnsi" w:hAnsiTheme="minorHAnsi" w:cstheme="minorBidi"/>
            <w:sz w:val="22"/>
            <w:szCs w:val="22"/>
            <w:lang w:eastAsia="en-AU"/>
          </w:rPr>
          <w:tab/>
        </w:r>
        <w:r w:rsidRPr="006B4842">
          <w:t>Testing appliance disconnection etc</w:t>
        </w:r>
        <w:r>
          <w:tab/>
        </w:r>
        <w:r>
          <w:fldChar w:fldCharType="begin"/>
        </w:r>
        <w:r>
          <w:instrText xml:space="preserve"> PAGEREF _Toc111106648 \h </w:instrText>
        </w:r>
        <w:r>
          <w:fldChar w:fldCharType="separate"/>
        </w:r>
        <w:r>
          <w:t>6</w:t>
        </w:r>
        <w:r>
          <w:fldChar w:fldCharType="end"/>
        </w:r>
      </w:hyperlink>
    </w:p>
    <w:p w14:paraId="0729AFA0" w14:textId="2485F6C3" w:rsidR="003879E6" w:rsidRDefault="003879E6">
      <w:pPr>
        <w:pStyle w:val="TOC5"/>
        <w:rPr>
          <w:rFonts w:asciiTheme="minorHAnsi" w:hAnsiTheme="minorHAnsi" w:cstheme="minorBidi"/>
          <w:sz w:val="22"/>
          <w:szCs w:val="22"/>
          <w:lang w:eastAsia="en-AU"/>
        </w:rPr>
      </w:pPr>
      <w:r>
        <w:tab/>
      </w:r>
      <w:hyperlink w:anchor="_Toc111106649" w:history="1">
        <w:r w:rsidRPr="006B4842">
          <w:t>11</w:t>
        </w:r>
        <w:r>
          <w:rPr>
            <w:rFonts w:asciiTheme="minorHAnsi" w:hAnsiTheme="minorHAnsi" w:cstheme="minorBidi"/>
            <w:sz w:val="22"/>
            <w:szCs w:val="22"/>
            <w:lang w:eastAsia="en-AU"/>
          </w:rPr>
          <w:tab/>
        </w:r>
        <w:r w:rsidRPr="006B4842">
          <w:t>Compliance indicators</w:t>
        </w:r>
        <w:r>
          <w:tab/>
        </w:r>
        <w:r>
          <w:fldChar w:fldCharType="begin"/>
        </w:r>
        <w:r>
          <w:instrText xml:space="preserve"> PAGEREF _Toc111106649 \h </w:instrText>
        </w:r>
        <w:r>
          <w:fldChar w:fldCharType="separate"/>
        </w:r>
        <w:r>
          <w:t>6</w:t>
        </w:r>
        <w:r>
          <w:fldChar w:fldCharType="end"/>
        </w:r>
      </w:hyperlink>
    </w:p>
    <w:p w14:paraId="65433223" w14:textId="42586AD6" w:rsidR="003879E6" w:rsidRDefault="003879E6">
      <w:pPr>
        <w:pStyle w:val="TOC5"/>
        <w:rPr>
          <w:rFonts w:asciiTheme="minorHAnsi" w:hAnsiTheme="minorHAnsi" w:cstheme="minorBidi"/>
          <w:sz w:val="22"/>
          <w:szCs w:val="22"/>
          <w:lang w:eastAsia="en-AU"/>
        </w:rPr>
      </w:pPr>
      <w:r>
        <w:tab/>
      </w:r>
      <w:hyperlink w:anchor="_Toc111106650" w:history="1">
        <w:r w:rsidRPr="006B4842">
          <w:t>12</w:t>
        </w:r>
        <w:r>
          <w:rPr>
            <w:rFonts w:asciiTheme="minorHAnsi" w:hAnsiTheme="minorHAnsi" w:cstheme="minorBidi"/>
            <w:sz w:val="22"/>
            <w:szCs w:val="22"/>
            <w:lang w:eastAsia="en-AU"/>
          </w:rPr>
          <w:tab/>
        </w:r>
        <w:r w:rsidRPr="006B4842">
          <w:t>Certificates of compliance</w:t>
        </w:r>
        <w:r>
          <w:tab/>
        </w:r>
        <w:r>
          <w:fldChar w:fldCharType="begin"/>
        </w:r>
        <w:r>
          <w:instrText xml:space="preserve"> PAGEREF _Toc111106650 \h </w:instrText>
        </w:r>
        <w:r>
          <w:fldChar w:fldCharType="separate"/>
        </w:r>
        <w:r>
          <w:t>7</w:t>
        </w:r>
        <w:r>
          <w:fldChar w:fldCharType="end"/>
        </w:r>
      </w:hyperlink>
    </w:p>
    <w:p w14:paraId="5DE75E93" w14:textId="55075EF8" w:rsidR="003879E6" w:rsidRDefault="003879E6">
      <w:pPr>
        <w:pStyle w:val="TOC5"/>
        <w:rPr>
          <w:rFonts w:asciiTheme="minorHAnsi" w:hAnsiTheme="minorHAnsi" w:cstheme="minorBidi"/>
          <w:sz w:val="22"/>
          <w:szCs w:val="22"/>
          <w:lang w:eastAsia="en-AU"/>
        </w:rPr>
      </w:pPr>
      <w:r>
        <w:tab/>
      </w:r>
      <w:hyperlink w:anchor="_Toc111106651" w:history="1">
        <w:r w:rsidRPr="006B4842">
          <w:t>13</w:t>
        </w:r>
        <w:r>
          <w:rPr>
            <w:rFonts w:asciiTheme="minorHAnsi" w:hAnsiTheme="minorHAnsi" w:cstheme="minorBidi"/>
            <w:sz w:val="22"/>
            <w:szCs w:val="22"/>
            <w:lang w:eastAsia="en-AU"/>
          </w:rPr>
          <w:tab/>
        </w:r>
        <w:r w:rsidRPr="006B4842">
          <w:t>Interfering with compliance indicators</w:t>
        </w:r>
        <w:r>
          <w:tab/>
        </w:r>
        <w:r>
          <w:fldChar w:fldCharType="begin"/>
        </w:r>
        <w:r>
          <w:instrText xml:space="preserve"> PAGEREF _Toc111106651 \h </w:instrText>
        </w:r>
        <w:r>
          <w:fldChar w:fldCharType="separate"/>
        </w:r>
        <w:r>
          <w:t>7</w:t>
        </w:r>
        <w:r>
          <w:fldChar w:fldCharType="end"/>
        </w:r>
      </w:hyperlink>
    </w:p>
    <w:p w14:paraId="102422E5" w14:textId="16D33806" w:rsidR="003879E6" w:rsidRDefault="003879E6">
      <w:pPr>
        <w:pStyle w:val="TOC5"/>
        <w:rPr>
          <w:rFonts w:asciiTheme="minorHAnsi" w:hAnsiTheme="minorHAnsi" w:cstheme="minorBidi"/>
          <w:sz w:val="22"/>
          <w:szCs w:val="22"/>
          <w:lang w:eastAsia="en-AU"/>
        </w:rPr>
      </w:pPr>
      <w:r>
        <w:tab/>
      </w:r>
      <w:hyperlink w:anchor="_Toc111106652" w:history="1">
        <w:r w:rsidRPr="006B4842">
          <w:t>15</w:t>
        </w:r>
        <w:r>
          <w:rPr>
            <w:rFonts w:asciiTheme="minorHAnsi" w:hAnsiTheme="minorHAnsi" w:cstheme="minorBidi"/>
            <w:sz w:val="22"/>
            <w:szCs w:val="22"/>
            <w:lang w:eastAsia="en-AU"/>
          </w:rPr>
          <w:tab/>
        </w:r>
        <w:r w:rsidRPr="006B4842">
          <w:t>Unsafe consumer piping system—Act, s 12</w:t>
        </w:r>
        <w:r>
          <w:tab/>
        </w:r>
        <w:r>
          <w:fldChar w:fldCharType="begin"/>
        </w:r>
        <w:r>
          <w:instrText xml:space="preserve"> PAGEREF _Toc111106652 \h </w:instrText>
        </w:r>
        <w:r>
          <w:fldChar w:fldCharType="separate"/>
        </w:r>
        <w:r>
          <w:t>8</w:t>
        </w:r>
        <w:r>
          <w:fldChar w:fldCharType="end"/>
        </w:r>
      </w:hyperlink>
    </w:p>
    <w:p w14:paraId="555B5779" w14:textId="4018EF2F" w:rsidR="003879E6" w:rsidRDefault="003879E6">
      <w:pPr>
        <w:pStyle w:val="TOC5"/>
        <w:rPr>
          <w:rFonts w:asciiTheme="minorHAnsi" w:hAnsiTheme="minorHAnsi" w:cstheme="minorBidi"/>
          <w:sz w:val="22"/>
          <w:szCs w:val="22"/>
          <w:lang w:eastAsia="en-AU"/>
        </w:rPr>
      </w:pPr>
      <w:r>
        <w:tab/>
      </w:r>
      <w:hyperlink w:anchor="_Toc111106653" w:history="1">
        <w:r w:rsidRPr="006B4842">
          <w:t>16</w:t>
        </w:r>
        <w:r>
          <w:rPr>
            <w:rFonts w:asciiTheme="minorHAnsi" w:hAnsiTheme="minorHAnsi" w:cstheme="minorBidi"/>
            <w:sz w:val="22"/>
            <w:szCs w:val="22"/>
            <w:lang w:eastAsia="en-AU"/>
          </w:rPr>
          <w:tab/>
        </w:r>
        <w:r w:rsidRPr="006B4842">
          <w:t>Interfering with defect tags</w:t>
        </w:r>
        <w:r>
          <w:tab/>
        </w:r>
        <w:r>
          <w:fldChar w:fldCharType="begin"/>
        </w:r>
        <w:r>
          <w:instrText xml:space="preserve"> PAGEREF _Toc111106653 \h </w:instrText>
        </w:r>
        <w:r>
          <w:fldChar w:fldCharType="separate"/>
        </w:r>
        <w:r>
          <w:t>8</w:t>
        </w:r>
        <w:r>
          <w:fldChar w:fldCharType="end"/>
        </w:r>
      </w:hyperlink>
    </w:p>
    <w:p w14:paraId="2C37A436" w14:textId="179CAFF9" w:rsidR="003879E6" w:rsidRDefault="003879E6">
      <w:pPr>
        <w:pStyle w:val="TOC5"/>
        <w:rPr>
          <w:rFonts w:asciiTheme="minorHAnsi" w:hAnsiTheme="minorHAnsi" w:cstheme="minorBidi"/>
          <w:sz w:val="22"/>
          <w:szCs w:val="22"/>
          <w:lang w:eastAsia="en-AU"/>
        </w:rPr>
      </w:pPr>
      <w:r>
        <w:tab/>
      </w:r>
      <w:hyperlink w:anchor="_Toc111106654" w:history="1">
        <w:r w:rsidRPr="006B4842">
          <w:t>17</w:t>
        </w:r>
        <w:r>
          <w:rPr>
            <w:rFonts w:asciiTheme="minorHAnsi" w:hAnsiTheme="minorHAnsi" w:cstheme="minorBidi"/>
            <w:sz w:val="22"/>
            <w:szCs w:val="22"/>
            <w:lang w:eastAsia="en-AU"/>
          </w:rPr>
          <w:tab/>
        </w:r>
        <w:r w:rsidRPr="006B4842">
          <w:t>Chief executive may direct testing of consumer piping system</w:t>
        </w:r>
        <w:r>
          <w:tab/>
        </w:r>
        <w:r>
          <w:fldChar w:fldCharType="begin"/>
        </w:r>
        <w:r>
          <w:instrText xml:space="preserve"> PAGEREF _Toc111106654 \h </w:instrText>
        </w:r>
        <w:r>
          <w:fldChar w:fldCharType="separate"/>
        </w:r>
        <w:r>
          <w:t>9</w:t>
        </w:r>
        <w:r>
          <w:fldChar w:fldCharType="end"/>
        </w:r>
      </w:hyperlink>
    </w:p>
    <w:p w14:paraId="6DA36AA1" w14:textId="4A8A4A36" w:rsidR="003879E6" w:rsidRDefault="007C7787">
      <w:pPr>
        <w:pStyle w:val="TOC3"/>
        <w:rPr>
          <w:rFonts w:asciiTheme="minorHAnsi" w:hAnsiTheme="minorHAnsi" w:cstheme="minorBidi"/>
          <w:b w:val="0"/>
          <w:bCs w:val="0"/>
          <w:sz w:val="22"/>
          <w:szCs w:val="22"/>
          <w:lang w:eastAsia="en-AU"/>
        </w:rPr>
      </w:pPr>
      <w:hyperlink w:anchor="_Toc111106655" w:history="1">
        <w:r w:rsidR="003879E6" w:rsidRPr="006B4842">
          <w:t>Division 2.2</w:t>
        </w:r>
        <w:r w:rsidR="003879E6">
          <w:rPr>
            <w:rFonts w:asciiTheme="minorHAnsi" w:hAnsiTheme="minorHAnsi" w:cstheme="minorBidi"/>
            <w:b w:val="0"/>
            <w:bCs w:val="0"/>
            <w:sz w:val="22"/>
            <w:szCs w:val="22"/>
            <w:lang w:eastAsia="en-AU"/>
          </w:rPr>
          <w:tab/>
        </w:r>
        <w:r w:rsidR="003879E6" w:rsidRPr="006B4842">
          <w:t>Appliance work</w:t>
        </w:r>
        <w:r w:rsidR="003879E6" w:rsidRPr="003879E6">
          <w:rPr>
            <w:vanish/>
          </w:rPr>
          <w:tab/>
        </w:r>
        <w:r w:rsidR="003879E6" w:rsidRPr="003879E6">
          <w:rPr>
            <w:vanish/>
          </w:rPr>
          <w:fldChar w:fldCharType="begin"/>
        </w:r>
        <w:r w:rsidR="003879E6" w:rsidRPr="003879E6">
          <w:rPr>
            <w:vanish/>
          </w:rPr>
          <w:instrText xml:space="preserve"> PAGEREF _Toc111106655 \h </w:instrText>
        </w:r>
        <w:r w:rsidR="003879E6" w:rsidRPr="003879E6">
          <w:rPr>
            <w:vanish/>
          </w:rPr>
        </w:r>
        <w:r w:rsidR="003879E6" w:rsidRPr="003879E6">
          <w:rPr>
            <w:vanish/>
          </w:rPr>
          <w:fldChar w:fldCharType="separate"/>
        </w:r>
        <w:r w:rsidR="003879E6" w:rsidRPr="003879E6">
          <w:rPr>
            <w:vanish/>
          </w:rPr>
          <w:t>10</w:t>
        </w:r>
        <w:r w:rsidR="003879E6" w:rsidRPr="003879E6">
          <w:rPr>
            <w:vanish/>
          </w:rPr>
          <w:fldChar w:fldCharType="end"/>
        </w:r>
      </w:hyperlink>
    </w:p>
    <w:p w14:paraId="313E997A" w14:textId="7117AB63" w:rsidR="003879E6" w:rsidRDefault="003879E6">
      <w:pPr>
        <w:pStyle w:val="TOC5"/>
        <w:rPr>
          <w:rFonts w:asciiTheme="minorHAnsi" w:hAnsiTheme="minorHAnsi" w:cstheme="minorBidi"/>
          <w:sz w:val="22"/>
          <w:szCs w:val="22"/>
          <w:lang w:eastAsia="en-AU"/>
        </w:rPr>
      </w:pPr>
      <w:r>
        <w:tab/>
      </w:r>
      <w:hyperlink w:anchor="_Toc111106656" w:history="1">
        <w:r w:rsidRPr="006B4842">
          <w:t>17A</w:t>
        </w:r>
        <w:r>
          <w:rPr>
            <w:rFonts w:asciiTheme="minorHAnsi" w:hAnsiTheme="minorHAnsi" w:cstheme="minorBidi"/>
            <w:sz w:val="22"/>
            <w:szCs w:val="22"/>
            <w:lang w:eastAsia="en-AU"/>
          </w:rPr>
          <w:tab/>
        </w:r>
        <w:r w:rsidRPr="006B4842">
          <w:t>Accreditation to do appliance work</w:t>
        </w:r>
        <w:r>
          <w:tab/>
        </w:r>
        <w:r>
          <w:fldChar w:fldCharType="begin"/>
        </w:r>
        <w:r>
          <w:instrText xml:space="preserve"> PAGEREF _Toc111106656 \h </w:instrText>
        </w:r>
        <w:r>
          <w:fldChar w:fldCharType="separate"/>
        </w:r>
        <w:r>
          <w:t>10</w:t>
        </w:r>
        <w:r>
          <w:fldChar w:fldCharType="end"/>
        </w:r>
      </w:hyperlink>
    </w:p>
    <w:p w14:paraId="4992A1E1" w14:textId="3416DD31" w:rsidR="003879E6" w:rsidRDefault="003879E6">
      <w:pPr>
        <w:pStyle w:val="TOC5"/>
        <w:rPr>
          <w:rFonts w:asciiTheme="minorHAnsi" w:hAnsiTheme="minorHAnsi" w:cstheme="minorBidi"/>
          <w:sz w:val="22"/>
          <w:szCs w:val="22"/>
          <w:lang w:eastAsia="en-AU"/>
        </w:rPr>
      </w:pPr>
      <w:r>
        <w:tab/>
      </w:r>
      <w:hyperlink w:anchor="_Toc111106657" w:history="1">
        <w:r w:rsidRPr="006B4842">
          <w:t>17B</w:t>
        </w:r>
        <w:r>
          <w:rPr>
            <w:rFonts w:asciiTheme="minorHAnsi" w:hAnsiTheme="minorHAnsi" w:cstheme="minorBidi"/>
            <w:sz w:val="22"/>
            <w:szCs w:val="22"/>
            <w:lang w:eastAsia="en-AU"/>
          </w:rPr>
          <w:tab/>
        </w:r>
        <w:r w:rsidRPr="006B4842">
          <w:t>Certificate of accreditation</w:t>
        </w:r>
        <w:r>
          <w:tab/>
        </w:r>
        <w:r>
          <w:fldChar w:fldCharType="begin"/>
        </w:r>
        <w:r>
          <w:instrText xml:space="preserve"> PAGEREF _Toc111106657 \h </w:instrText>
        </w:r>
        <w:r>
          <w:fldChar w:fldCharType="separate"/>
        </w:r>
        <w:r>
          <w:t>11</w:t>
        </w:r>
        <w:r>
          <w:fldChar w:fldCharType="end"/>
        </w:r>
      </w:hyperlink>
    </w:p>
    <w:p w14:paraId="1959164C" w14:textId="6C306DC0" w:rsidR="003879E6" w:rsidRDefault="003879E6">
      <w:pPr>
        <w:pStyle w:val="TOC5"/>
        <w:rPr>
          <w:rFonts w:asciiTheme="minorHAnsi" w:hAnsiTheme="minorHAnsi" w:cstheme="minorBidi"/>
          <w:sz w:val="22"/>
          <w:szCs w:val="22"/>
          <w:lang w:eastAsia="en-AU"/>
        </w:rPr>
      </w:pPr>
      <w:r>
        <w:tab/>
      </w:r>
      <w:hyperlink w:anchor="_Toc111106658" w:history="1">
        <w:r w:rsidRPr="006B4842">
          <w:t>17C</w:t>
        </w:r>
        <w:r>
          <w:rPr>
            <w:rFonts w:asciiTheme="minorHAnsi" w:hAnsiTheme="minorHAnsi" w:cstheme="minorBidi"/>
            <w:sz w:val="22"/>
            <w:szCs w:val="22"/>
            <w:lang w:eastAsia="en-AU"/>
          </w:rPr>
          <w:tab/>
        </w:r>
        <w:r w:rsidRPr="006B4842">
          <w:t>Appliance work—testing</w:t>
        </w:r>
        <w:r>
          <w:tab/>
        </w:r>
        <w:r>
          <w:fldChar w:fldCharType="begin"/>
        </w:r>
        <w:r>
          <w:instrText xml:space="preserve"> PAGEREF _Toc111106658 \h </w:instrText>
        </w:r>
        <w:r>
          <w:fldChar w:fldCharType="separate"/>
        </w:r>
        <w:r>
          <w:t>11</w:t>
        </w:r>
        <w:r>
          <w:fldChar w:fldCharType="end"/>
        </w:r>
      </w:hyperlink>
    </w:p>
    <w:p w14:paraId="09B9281F" w14:textId="18EF4D7F" w:rsidR="003879E6" w:rsidRDefault="003879E6">
      <w:pPr>
        <w:pStyle w:val="TOC5"/>
        <w:rPr>
          <w:rFonts w:asciiTheme="minorHAnsi" w:hAnsiTheme="minorHAnsi" w:cstheme="minorBidi"/>
          <w:sz w:val="22"/>
          <w:szCs w:val="22"/>
          <w:lang w:eastAsia="en-AU"/>
        </w:rPr>
      </w:pPr>
      <w:r>
        <w:tab/>
      </w:r>
      <w:hyperlink w:anchor="_Toc111106659" w:history="1">
        <w:r w:rsidRPr="006B4842">
          <w:t>17D</w:t>
        </w:r>
        <w:r>
          <w:rPr>
            <w:rFonts w:asciiTheme="minorHAnsi" w:hAnsiTheme="minorHAnsi" w:cstheme="minorBidi"/>
            <w:sz w:val="22"/>
            <w:szCs w:val="22"/>
            <w:lang w:eastAsia="en-AU"/>
          </w:rPr>
          <w:tab/>
        </w:r>
        <w:r w:rsidRPr="006B4842">
          <w:t>Unsafe appliance</w:t>
        </w:r>
        <w:r>
          <w:tab/>
        </w:r>
        <w:r>
          <w:fldChar w:fldCharType="begin"/>
        </w:r>
        <w:r>
          <w:instrText xml:space="preserve"> PAGEREF _Toc111106659 \h </w:instrText>
        </w:r>
        <w:r>
          <w:fldChar w:fldCharType="separate"/>
        </w:r>
        <w:r>
          <w:t>12</w:t>
        </w:r>
        <w:r>
          <w:fldChar w:fldCharType="end"/>
        </w:r>
      </w:hyperlink>
    </w:p>
    <w:p w14:paraId="1F44DDD1" w14:textId="2F7CC699" w:rsidR="003879E6" w:rsidRDefault="003879E6">
      <w:pPr>
        <w:pStyle w:val="TOC5"/>
        <w:rPr>
          <w:rFonts w:asciiTheme="minorHAnsi" w:hAnsiTheme="minorHAnsi" w:cstheme="minorBidi"/>
          <w:sz w:val="22"/>
          <w:szCs w:val="22"/>
          <w:lang w:eastAsia="en-AU"/>
        </w:rPr>
      </w:pPr>
      <w:r>
        <w:tab/>
      </w:r>
      <w:hyperlink w:anchor="_Toc111106660" w:history="1">
        <w:r w:rsidRPr="006B4842">
          <w:t>17E</w:t>
        </w:r>
        <w:r>
          <w:rPr>
            <w:rFonts w:asciiTheme="minorHAnsi" w:hAnsiTheme="minorHAnsi" w:cstheme="minorBidi"/>
            <w:sz w:val="22"/>
            <w:szCs w:val="22"/>
            <w:lang w:eastAsia="en-AU"/>
          </w:rPr>
          <w:tab/>
        </w:r>
        <w:r w:rsidRPr="006B4842">
          <w:t>Interfering with defect tag</w:t>
        </w:r>
        <w:r>
          <w:tab/>
        </w:r>
        <w:r>
          <w:fldChar w:fldCharType="begin"/>
        </w:r>
        <w:r>
          <w:instrText xml:space="preserve"> PAGEREF _Toc111106660 \h </w:instrText>
        </w:r>
        <w:r>
          <w:fldChar w:fldCharType="separate"/>
        </w:r>
        <w:r>
          <w:t>14</w:t>
        </w:r>
        <w:r>
          <w:fldChar w:fldCharType="end"/>
        </w:r>
      </w:hyperlink>
    </w:p>
    <w:p w14:paraId="2FFE6961" w14:textId="4A6CFC1F" w:rsidR="003879E6" w:rsidRDefault="007C7787">
      <w:pPr>
        <w:pStyle w:val="TOC2"/>
        <w:rPr>
          <w:rFonts w:asciiTheme="minorHAnsi" w:hAnsiTheme="minorHAnsi" w:cstheme="minorBidi"/>
          <w:b w:val="0"/>
          <w:bCs w:val="0"/>
          <w:sz w:val="22"/>
          <w:szCs w:val="22"/>
          <w:lang w:eastAsia="en-AU"/>
        </w:rPr>
      </w:pPr>
      <w:hyperlink w:anchor="_Toc111106661" w:history="1">
        <w:r w:rsidR="003879E6" w:rsidRPr="006B4842">
          <w:t>Part 3</w:t>
        </w:r>
        <w:r w:rsidR="003879E6">
          <w:rPr>
            <w:rFonts w:asciiTheme="minorHAnsi" w:hAnsiTheme="minorHAnsi" w:cstheme="minorBidi"/>
            <w:b w:val="0"/>
            <w:bCs w:val="0"/>
            <w:sz w:val="22"/>
            <w:szCs w:val="22"/>
            <w:lang w:eastAsia="en-AU"/>
          </w:rPr>
          <w:tab/>
        </w:r>
        <w:r w:rsidR="003879E6" w:rsidRPr="006B4842">
          <w:t>Use of consumer piping systems and appliances</w:t>
        </w:r>
        <w:r w:rsidR="003879E6" w:rsidRPr="003879E6">
          <w:rPr>
            <w:vanish/>
          </w:rPr>
          <w:tab/>
        </w:r>
        <w:r w:rsidR="003879E6" w:rsidRPr="003879E6">
          <w:rPr>
            <w:vanish/>
          </w:rPr>
          <w:fldChar w:fldCharType="begin"/>
        </w:r>
        <w:r w:rsidR="003879E6" w:rsidRPr="003879E6">
          <w:rPr>
            <w:vanish/>
          </w:rPr>
          <w:instrText xml:space="preserve"> PAGEREF _Toc111106661 \h </w:instrText>
        </w:r>
        <w:r w:rsidR="003879E6" w:rsidRPr="003879E6">
          <w:rPr>
            <w:vanish/>
          </w:rPr>
        </w:r>
        <w:r w:rsidR="003879E6" w:rsidRPr="003879E6">
          <w:rPr>
            <w:vanish/>
          </w:rPr>
          <w:fldChar w:fldCharType="separate"/>
        </w:r>
        <w:r w:rsidR="003879E6" w:rsidRPr="003879E6">
          <w:rPr>
            <w:vanish/>
          </w:rPr>
          <w:t>15</w:t>
        </w:r>
        <w:r w:rsidR="003879E6" w:rsidRPr="003879E6">
          <w:rPr>
            <w:vanish/>
          </w:rPr>
          <w:fldChar w:fldCharType="end"/>
        </w:r>
      </w:hyperlink>
    </w:p>
    <w:p w14:paraId="4E1D6888" w14:textId="60DB9DAB" w:rsidR="003879E6" w:rsidRDefault="003879E6">
      <w:pPr>
        <w:pStyle w:val="TOC5"/>
        <w:rPr>
          <w:rFonts w:asciiTheme="minorHAnsi" w:hAnsiTheme="minorHAnsi" w:cstheme="minorBidi"/>
          <w:sz w:val="22"/>
          <w:szCs w:val="22"/>
          <w:lang w:eastAsia="en-AU"/>
        </w:rPr>
      </w:pPr>
      <w:r>
        <w:tab/>
      </w:r>
      <w:hyperlink w:anchor="_Toc111106662" w:history="1">
        <w:r w:rsidRPr="006B4842">
          <w:t>18</w:t>
        </w:r>
        <w:r>
          <w:rPr>
            <w:rFonts w:asciiTheme="minorHAnsi" w:hAnsiTheme="minorHAnsi" w:cstheme="minorBidi"/>
            <w:sz w:val="22"/>
            <w:szCs w:val="22"/>
            <w:lang w:eastAsia="en-AU"/>
          </w:rPr>
          <w:tab/>
        </w:r>
        <w:r w:rsidRPr="006B4842">
          <w:t>Consumer piping system not to be used unless certified safe</w:t>
        </w:r>
        <w:r>
          <w:tab/>
        </w:r>
        <w:r>
          <w:fldChar w:fldCharType="begin"/>
        </w:r>
        <w:r>
          <w:instrText xml:space="preserve"> PAGEREF _Toc111106662 \h </w:instrText>
        </w:r>
        <w:r>
          <w:fldChar w:fldCharType="separate"/>
        </w:r>
        <w:r>
          <w:t>15</w:t>
        </w:r>
        <w:r>
          <w:fldChar w:fldCharType="end"/>
        </w:r>
      </w:hyperlink>
    </w:p>
    <w:p w14:paraId="59400F62" w14:textId="6042C218" w:rsidR="003879E6" w:rsidRDefault="007C7787">
      <w:pPr>
        <w:pStyle w:val="TOC2"/>
        <w:rPr>
          <w:rFonts w:asciiTheme="minorHAnsi" w:hAnsiTheme="minorHAnsi" w:cstheme="minorBidi"/>
          <w:b w:val="0"/>
          <w:bCs w:val="0"/>
          <w:sz w:val="22"/>
          <w:szCs w:val="22"/>
          <w:lang w:eastAsia="en-AU"/>
        </w:rPr>
      </w:pPr>
      <w:hyperlink w:anchor="_Toc111106663" w:history="1">
        <w:r w:rsidR="003879E6" w:rsidRPr="006B4842">
          <w:t>Part 3A</w:t>
        </w:r>
        <w:r w:rsidR="003879E6">
          <w:rPr>
            <w:rFonts w:asciiTheme="minorHAnsi" w:hAnsiTheme="minorHAnsi" w:cstheme="minorBidi"/>
            <w:b w:val="0"/>
            <w:bCs w:val="0"/>
            <w:sz w:val="22"/>
            <w:szCs w:val="22"/>
            <w:lang w:eastAsia="en-AU"/>
          </w:rPr>
          <w:tab/>
        </w:r>
        <w:r w:rsidR="003879E6" w:rsidRPr="006B4842">
          <w:t>Regulation of appliances</w:t>
        </w:r>
        <w:r w:rsidR="003879E6" w:rsidRPr="003879E6">
          <w:rPr>
            <w:vanish/>
          </w:rPr>
          <w:tab/>
        </w:r>
        <w:r w:rsidR="003879E6" w:rsidRPr="003879E6">
          <w:rPr>
            <w:vanish/>
          </w:rPr>
          <w:fldChar w:fldCharType="begin"/>
        </w:r>
        <w:r w:rsidR="003879E6" w:rsidRPr="003879E6">
          <w:rPr>
            <w:vanish/>
          </w:rPr>
          <w:instrText xml:space="preserve"> PAGEREF _Toc111106663 \h </w:instrText>
        </w:r>
        <w:r w:rsidR="003879E6" w:rsidRPr="003879E6">
          <w:rPr>
            <w:vanish/>
          </w:rPr>
        </w:r>
        <w:r w:rsidR="003879E6" w:rsidRPr="003879E6">
          <w:rPr>
            <w:vanish/>
          </w:rPr>
          <w:fldChar w:fldCharType="separate"/>
        </w:r>
        <w:r w:rsidR="003879E6" w:rsidRPr="003879E6">
          <w:rPr>
            <w:vanish/>
          </w:rPr>
          <w:t>16</w:t>
        </w:r>
        <w:r w:rsidR="003879E6" w:rsidRPr="003879E6">
          <w:rPr>
            <w:vanish/>
          </w:rPr>
          <w:fldChar w:fldCharType="end"/>
        </w:r>
      </w:hyperlink>
    </w:p>
    <w:p w14:paraId="099B049D" w14:textId="643C8AE7" w:rsidR="003879E6" w:rsidRDefault="003879E6">
      <w:pPr>
        <w:pStyle w:val="TOC5"/>
        <w:rPr>
          <w:rFonts w:asciiTheme="minorHAnsi" w:hAnsiTheme="minorHAnsi" w:cstheme="minorBidi"/>
          <w:sz w:val="22"/>
          <w:szCs w:val="22"/>
          <w:lang w:eastAsia="en-AU"/>
        </w:rPr>
      </w:pPr>
      <w:r>
        <w:tab/>
      </w:r>
      <w:hyperlink w:anchor="_Toc111106664" w:history="1">
        <w:r w:rsidRPr="006B4842">
          <w:t>18B</w:t>
        </w:r>
        <w:r>
          <w:rPr>
            <w:rFonts w:asciiTheme="minorHAnsi" w:hAnsiTheme="minorHAnsi" w:cstheme="minorBidi"/>
            <w:sz w:val="22"/>
            <w:szCs w:val="22"/>
            <w:lang w:eastAsia="en-AU"/>
          </w:rPr>
          <w:tab/>
        </w:r>
        <w:r w:rsidRPr="006B4842">
          <w:t>Appliances declared to be approved—Act, s 20 (1)</w:t>
        </w:r>
        <w:r>
          <w:tab/>
        </w:r>
        <w:r>
          <w:fldChar w:fldCharType="begin"/>
        </w:r>
        <w:r>
          <w:instrText xml:space="preserve"> PAGEREF _Toc111106664 \h </w:instrText>
        </w:r>
        <w:r>
          <w:fldChar w:fldCharType="separate"/>
        </w:r>
        <w:r>
          <w:t>16</w:t>
        </w:r>
        <w:r>
          <w:fldChar w:fldCharType="end"/>
        </w:r>
      </w:hyperlink>
    </w:p>
    <w:p w14:paraId="1B0C9EA1" w14:textId="01A99B56" w:rsidR="003879E6" w:rsidRDefault="003879E6">
      <w:pPr>
        <w:pStyle w:val="TOC5"/>
        <w:rPr>
          <w:rFonts w:asciiTheme="minorHAnsi" w:hAnsiTheme="minorHAnsi" w:cstheme="minorBidi"/>
          <w:sz w:val="22"/>
          <w:szCs w:val="22"/>
          <w:lang w:eastAsia="en-AU"/>
        </w:rPr>
      </w:pPr>
      <w:r>
        <w:tab/>
      </w:r>
      <w:hyperlink w:anchor="_Toc111106665" w:history="1">
        <w:r w:rsidRPr="006B4842">
          <w:t>18C</w:t>
        </w:r>
        <w:r>
          <w:rPr>
            <w:rFonts w:asciiTheme="minorHAnsi" w:hAnsiTheme="minorHAnsi" w:cstheme="minorBidi"/>
            <w:sz w:val="22"/>
            <w:szCs w:val="22"/>
            <w:lang w:eastAsia="en-AU"/>
          </w:rPr>
          <w:tab/>
        </w:r>
        <w:r w:rsidRPr="006B4842">
          <w:t>Approval by chief executive, type A appliance—Act, s 21</w:t>
        </w:r>
        <w:r>
          <w:tab/>
        </w:r>
        <w:r>
          <w:fldChar w:fldCharType="begin"/>
        </w:r>
        <w:r>
          <w:instrText xml:space="preserve"> PAGEREF _Toc111106665 \h </w:instrText>
        </w:r>
        <w:r>
          <w:fldChar w:fldCharType="separate"/>
        </w:r>
        <w:r>
          <w:t>16</w:t>
        </w:r>
        <w:r>
          <w:fldChar w:fldCharType="end"/>
        </w:r>
      </w:hyperlink>
    </w:p>
    <w:p w14:paraId="4E2E44AE" w14:textId="62B8D66E" w:rsidR="003879E6" w:rsidRDefault="003879E6">
      <w:pPr>
        <w:pStyle w:val="TOC5"/>
        <w:rPr>
          <w:rFonts w:asciiTheme="minorHAnsi" w:hAnsiTheme="minorHAnsi" w:cstheme="minorBidi"/>
          <w:sz w:val="22"/>
          <w:szCs w:val="22"/>
          <w:lang w:eastAsia="en-AU"/>
        </w:rPr>
      </w:pPr>
      <w:r>
        <w:tab/>
      </w:r>
      <w:hyperlink w:anchor="_Toc111106666" w:history="1">
        <w:r w:rsidRPr="006B4842">
          <w:t>18D</w:t>
        </w:r>
        <w:r>
          <w:rPr>
            <w:rFonts w:asciiTheme="minorHAnsi" w:hAnsiTheme="minorHAnsi" w:cstheme="minorBidi"/>
            <w:sz w:val="22"/>
            <w:szCs w:val="22"/>
            <w:lang w:eastAsia="en-AU"/>
          </w:rPr>
          <w:tab/>
        </w:r>
        <w:r w:rsidRPr="006B4842">
          <w:t>Approval by chief executive, type B appliance—Act, s 21</w:t>
        </w:r>
        <w:r>
          <w:tab/>
        </w:r>
        <w:r>
          <w:fldChar w:fldCharType="begin"/>
        </w:r>
        <w:r>
          <w:instrText xml:space="preserve"> PAGEREF _Toc111106666 \h </w:instrText>
        </w:r>
        <w:r>
          <w:fldChar w:fldCharType="separate"/>
        </w:r>
        <w:r>
          <w:t>17</w:t>
        </w:r>
        <w:r>
          <w:fldChar w:fldCharType="end"/>
        </w:r>
      </w:hyperlink>
    </w:p>
    <w:p w14:paraId="600D97E8" w14:textId="68072FE6" w:rsidR="003879E6" w:rsidRDefault="003879E6">
      <w:pPr>
        <w:pStyle w:val="TOC5"/>
        <w:rPr>
          <w:rFonts w:asciiTheme="minorHAnsi" w:hAnsiTheme="minorHAnsi" w:cstheme="minorBidi"/>
          <w:sz w:val="22"/>
          <w:szCs w:val="22"/>
          <w:lang w:eastAsia="en-AU"/>
        </w:rPr>
      </w:pPr>
      <w:r>
        <w:tab/>
      </w:r>
      <w:hyperlink w:anchor="_Toc111106667" w:history="1">
        <w:r w:rsidRPr="006B4842">
          <w:t>18E</w:t>
        </w:r>
        <w:r>
          <w:rPr>
            <w:rFonts w:asciiTheme="minorHAnsi" w:hAnsiTheme="minorHAnsi" w:cstheme="minorBidi"/>
            <w:sz w:val="22"/>
            <w:szCs w:val="22"/>
            <w:lang w:eastAsia="en-AU"/>
          </w:rPr>
          <w:tab/>
        </w:r>
        <w:r w:rsidRPr="006B4842">
          <w:t>Application for approval of type B appliance</w:t>
        </w:r>
        <w:r>
          <w:tab/>
        </w:r>
        <w:r>
          <w:fldChar w:fldCharType="begin"/>
        </w:r>
        <w:r>
          <w:instrText xml:space="preserve"> PAGEREF _Toc111106667 \h </w:instrText>
        </w:r>
        <w:r>
          <w:fldChar w:fldCharType="separate"/>
        </w:r>
        <w:r>
          <w:t>17</w:t>
        </w:r>
        <w:r>
          <w:fldChar w:fldCharType="end"/>
        </w:r>
      </w:hyperlink>
    </w:p>
    <w:p w14:paraId="0489912D" w14:textId="76C56C1C" w:rsidR="003879E6" w:rsidRDefault="003879E6">
      <w:pPr>
        <w:pStyle w:val="TOC5"/>
        <w:rPr>
          <w:rFonts w:asciiTheme="minorHAnsi" w:hAnsiTheme="minorHAnsi" w:cstheme="minorBidi"/>
          <w:sz w:val="22"/>
          <w:szCs w:val="22"/>
          <w:lang w:eastAsia="en-AU"/>
        </w:rPr>
      </w:pPr>
      <w:r>
        <w:tab/>
      </w:r>
      <w:hyperlink w:anchor="_Toc111106668" w:history="1">
        <w:r w:rsidRPr="006B4842">
          <w:t>18F</w:t>
        </w:r>
        <w:r>
          <w:rPr>
            <w:rFonts w:asciiTheme="minorHAnsi" w:hAnsiTheme="minorHAnsi" w:cstheme="minorBidi"/>
            <w:sz w:val="22"/>
            <w:szCs w:val="22"/>
            <w:lang w:eastAsia="en-AU"/>
          </w:rPr>
          <w:tab/>
        </w:r>
        <w:r w:rsidRPr="006B4842">
          <w:t>Prescribed circumstances for unapproved appliances—Act, s 24 (4)</w:t>
        </w:r>
        <w:r>
          <w:tab/>
        </w:r>
        <w:r>
          <w:fldChar w:fldCharType="begin"/>
        </w:r>
        <w:r>
          <w:instrText xml:space="preserve"> PAGEREF _Toc111106668 \h </w:instrText>
        </w:r>
        <w:r>
          <w:fldChar w:fldCharType="separate"/>
        </w:r>
        <w:r>
          <w:t>18</w:t>
        </w:r>
        <w:r>
          <w:fldChar w:fldCharType="end"/>
        </w:r>
      </w:hyperlink>
    </w:p>
    <w:p w14:paraId="2C93226C" w14:textId="0ED15B0C" w:rsidR="003879E6" w:rsidRDefault="003879E6">
      <w:pPr>
        <w:pStyle w:val="TOC5"/>
        <w:rPr>
          <w:rFonts w:asciiTheme="minorHAnsi" w:hAnsiTheme="minorHAnsi" w:cstheme="minorBidi"/>
          <w:sz w:val="22"/>
          <w:szCs w:val="22"/>
          <w:lang w:eastAsia="en-AU"/>
        </w:rPr>
      </w:pPr>
      <w:r>
        <w:tab/>
      </w:r>
      <w:hyperlink w:anchor="_Toc111106669" w:history="1">
        <w:r w:rsidRPr="006B4842">
          <w:t>18G</w:t>
        </w:r>
        <w:r>
          <w:rPr>
            <w:rFonts w:asciiTheme="minorHAnsi" w:hAnsiTheme="minorHAnsi" w:cstheme="minorBidi"/>
            <w:sz w:val="22"/>
            <w:szCs w:val="22"/>
            <w:lang w:eastAsia="en-AU"/>
          </w:rPr>
          <w:tab/>
        </w:r>
        <w:r w:rsidRPr="006B4842">
          <w:t>Compliance indicators—Act, s 25</w:t>
        </w:r>
        <w:r>
          <w:tab/>
        </w:r>
        <w:r>
          <w:fldChar w:fldCharType="begin"/>
        </w:r>
        <w:r>
          <w:instrText xml:space="preserve"> PAGEREF _Toc111106669 \h </w:instrText>
        </w:r>
        <w:r>
          <w:fldChar w:fldCharType="separate"/>
        </w:r>
        <w:r>
          <w:t>19</w:t>
        </w:r>
        <w:r>
          <w:fldChar w:fldCharType="end"/>
        </w:r>
      </w:hyperlink>
    </w:p>
    <w:p w14:paraId="239C501E" w14:textId="109E8BFE" w:rsidR="003879E6" w:rsidRDefault="003879E6">
      <w:pPr>
        <w:pStyle w:val="TOC5"/>
        <w:rPr>
          <w:rFonts w:asciiTheme="minorHAnsi" w:hAnsiTheme="minorHAnsi" w:cstheme="minorBidi"/>
          <w:sz w:val="22"/>
          <w:szCs w:val="22"/>
          <w:lang w:eastAsia="en-AU"/>
        </w:rPr>
      </w:pPr>
      <w:r>
        <w:tab/>
      </w:r>
      <w:hyperlink w:anchor="_Toc111106670" w:history="1">
        <w:r w:rsidRPr="006B4842">
          <w:t>18H</w:t>
        </w:r>
        <w:r>
          <w:rPr>
            <w:rFonts w:asciiTheme="minorHAnsi" w:hAnsiTheme="minorHAnsi" w:cstheme="minorBidi"/>
            <w:sz w:val="22"/>
            <w:szCs w:val="22"/>
            <w:lang w:eastAsia="en-AU"/>
          </w:rPr>
          <w:tab/>
        </w:r>
        <w:r w:rsidRPr="006B4842">
          <w:t>Prescribed circumstances for prohibited appliances—Act, s 28 (4)</w:t>
        </w:r>
        <w:r>
          <w:tab/>
        </w:r>
        <w:r>
          <w:fldChar w:fldCharType="begin"/>
        </w:r>
        <w:r>
          <w:instrText xml:space="preserve"> PAGEREF _Toc111106670 \h </w:instrText>
        </w:r>
        <w:r>
          <w:fldChar w:fldCharType="separate"/>
        </w:r>
        <w:r>
          <w:t>20</w:t>
        </w:r>
        <w:r>
          <w:fldChar w:fldCharType="end"/>
        </w:r>
      </w:hyperlink>
    </w:p>
    <w:p w14:paraId="3EBA624B" w14:textId="13FC320C" w:rsidR="003879E6" w:rsidRDefault="007C7787">
      <w:pPr>
        <w:pStyle w:val="TOC2"/>
        <w:rPr>
          <w:rFonts w:asciiTheme="minorHAnsi" w:hAnsiTheme="minorHAnsi" w:cstheme="minorBidi"/>
          <w:b w:val="0"/>
          <w:bCs w:val="0"/>
          <w:sz w:val="22"/>
          <w:szCs w:val="22"/>
          <w:lang w:eastAsia="en-AU"/>
        </w:rPr>
      </w:pPr>
      <w:hyperlink w:anchor="_Toc111106671" w:history="1">
        <w:r w:rsidR="003879E6" w:rsidRPr="006B4842">
          <w:t>Part 4</w:t>
        </w:r>
        <w:r w:rsidR="003879E6">
          <w:rPr>
            <w:rFonts w:asciiTheme="minorHAnsi" w:hAnsiTheme="minorHAnsi" w:cstheme="minorBidi"/>
            <w:b w:val="0"/>
            <w:bCs w:val="0"/>
            <w:sz w:val="22"/>
            <w:szCs w:val="22"/>
            <w:lang w:eastAsia="en-AU"/>
          </w:rPr>
          <w:tab/>
        </w:r>
        <w:r w:rsidR="003879E6" w:rsidRPr="006B4842">
          <w:t>Miscellaneous</w:t>
        </w:r>
        <w:r w:rsidR="003879E6" w:rsidRPr="003879E6">
          <w:rPr>
            <w:vanish/>
          </w:rPr>
          <w:tab/>
        </w:r>
        <w:r w:rsidR="003879E6" w:rsidRPr="003879E6">
          <w:rPr>
            <w:vanish/>
          </w:rPr>
          <w:fldChar w:fldCharType="begin"/>
        </w:r>
        <w:r w:rsidR="003879E6" w:rsidRPr="003879E6">
          <w:rPr>
            <w:vanish/>
          </w:rPr>
          <w:instrText xml:space="preserve"> PAGEREF _Toc111106671 \h </w:instrText>
        </w:r>
        <w:r w:rsidR="003879E6" w:rsidRPr="003879E6">
          <w:rPr>
            <w:vanish/>
          </w:rPr>
        </w:r>
        <w:r w:rsidR="003879E6" w:rsidRPr="003879E6">
          <w:rPr>
            <w:vanish/>
          </w:rPr>
          <w:fldChar w:fldCharType="separate"/>
        </w:r>
        <w:r w:rsidR="003879E6" w:rsidRPr="003879E6">
          <w:rPr>
            <w:vanish/>
          </w:rPr>
          <w:t>21</w:t>
        </w:r>
        <w:r w:rsidR="003879E6" w:rsidRPr="003879E6">
          <w:rPr>
            <w:vanish/>
          </w:rPr>
          <w:fldChar w:fldCharType="end"/>
        </w:r>
      </w:hyperlink>
    </w:p>
    <w:p w14:paraId="0F59B775" w14:textId="2D6D3E54" w:rsidR="003879E6" w:rsidRDefault="003879E6">
      <w:pPr>
        <w:pStyle w:val="TOC5"/>
        <w:rPr>
          <w:rFonts w:asciiTheme="minorHAnsi" w:hAnsiTheme="minorHAnsi" w:cstheme="minorBidi"/>
          <w:sz w:val="22"/>
          <w:szCs w:val="22"/>
          <w:lang w:eastAsia="en-AU"/>
        </w:rPr>
      </w:pPr>
      <w:r>
        <w:tab/>
      </w:r>
      <w:hyperlink w:anchor="_Toc111106672" w:history="1">
        <w:r w:rsidRPr="006B4842">
          <w:t>19</w:t>
        </w:r>
        <w:r>
          <w:rPr>
            <w:rFonts w:asciiTheme="minorHAnsi" w:hAnsiTheme="minorHAnsi" w:cstheme="minorBidi"/>
            <w:sz w:val="22"/>
            <w:szCs w:val="22"/>
            <w:lang w:eastAsia="en-AU"/>
          </w:rPr>
          <w:tab/>
        </w:r>
        <w:r w:rsidRPr="006B4842">
          <w:t>Approved defect tags</w:t>
        </w:r>
        <w:r>
          <w:tab/>
        </w:r>
        <w:r>
          <w:fldChar w:fldCharType="begin"/>
        </w:r>
        <w:r>
          <w:instrText xml:space="preserve"> PAGEREF _Toc111106672 \h </w:instrText>
        </w:r>
        <w:r>
          <w:fldChar w:fldCharType="separate"/>
        </w:r>
        <w:r>
          <w:t>21</w:t>
        </w:r>
        <w:r>
          <w:fldChar w:fldCharType="end"/>
        </w:r>
      </w:hyperlink>
    </w:p>
    <w:p w14:paraId="7FDFBFAB" w14:textId="52FCF90D" w:rsidR="003879E6" w:rsidRDefault="003879E6">
      <w:pPr>
        <w:pStyle w:val="TOC5"/>
        <w:rPr>
          <w:rFonts w:asciiTheme="minorHAnsi" w:hAnsiTheme="minorHAnsi" w:cstheme="minorBidi"/>
          <w:sz w:val="22"/>
          <w:szCs w:val="22"/>
          <w:lang w:eastAsia="en-AU"/>
        </w:rPr>
      </w:pPr>
      <w:r>
        <w:tab/>
      </w:r>
      <w:hyperlink w:anchor="_Toc111106673" w:history="1">
        <w:r w:rsidRPr="006B4842">
          <w:t>19A</w:t>
        </w:r>
        <w:r>
          <w:rPr>
            <w:rFonts w:asciiTheme="minorHAnsi" w:hAnsiTheme="minorHAnsi" w:cstheme="minorBidi"/>
            <w:sz w:val="22"/>
            <w:szCs w:val="22"/>
            <w:lang w:eastAsia="en-AU"/>
          </w:rPr>
          <w:tab/>
        </w:r>
        <w:r w:rsidRPr="006B4842">
          <w:t>Approved compliance indicator</w:t>
        </w:r>
        <w:r>
          <w:tab/>
        </w:r>
        <w:r>
          <w:fldChar w:fldCharType="begin"/>
        </w:r>
        <w:r>
          <w:instrText xml:space="preserve"> PAGEREF _Toc111106673 \h </w:instrText>
        </w:r>
        <w:r>
          <w:fldChar w:fldCharType="separate"/>
        </w:r>
        <w:r>
          <w:t>21</w:t>
        </w:r>
        <w:r>
          <w:fldChar w:fldCharType="end"/>
        </w:r>
      </w:hyperlink>
    </w:p>
    <w:p w14:paraId="45C8FDDB" w14:textId="4DEB4E13" w:rsidR="003879E6" w:rsidRDefault="003879E6">
      <w:pPr>
        <w:pStyle w:val="TOC5"/>
        <w:rPr>
          <w:rFonts w:asciiTheme="minorHAnsi" w:hAnsiTheme="minorHAnsi" w:cstheme="minorBidi"/>
          <w:sz w:val="22"/>
          <w:szCs w:val="22"/>
          <w:lang w:eastAsia="en-AU"/>
        </w:rPr>
      </w:pPr>
      <w:r>
        <w:tab/>
      </w:r>
      <w:hyperlink w:anchor="_Toc111106674" w:history="1">
        <w:r w:rsidRPr="006B4842">
          <w:t>20</w:t>
        </w:r>
        <w:r>
          <w:rPr>
            <w:rFonts w:asciiTheme="minorHAnsi" w:hAnsiTheme="minorHAnsi" w:cstheme="minorBidi"/>
            <w:sz w:val="22"/>
            <w:szCs w:val="22"/>
            <w:lang w:eastAsia="en-AU"/>
          </w:rPr>
          <w:tab/>
        </w:r>
        <w:r w:rsidRPr="006B4842">
          <w:t>Serious gas accidents—prescribed amount</w:t>
        </w:r>
        <w:r>
          <w:tab/>
        </w:r>
        <w:r>
          <w:fldChar w:fldCharType="begin"/>
        </w:r>
        <w:r>
          <w:instrText xml:space="preserve"> PAGEREF _Toc111106674 \h </w:instrText>
        </w:r>
        <w:r>
          <w:fldChar w:fldCharType="separate"/>
        </w:r>
        <w:r>
          <w:t>21</w:t>
        </w:r>
        <w:r>
          <w:fldChar w:fldCharType="end"/>
        </w:r>
      </w:hyperlink>
    </w:p>
    <w:p w14:paraId="4ABF826A" w14:textId="571F0D63" w:rsidR="003879E6" w:rsidRDefault="003879E6">
      <w:pPr>
        <w:pStyle w:val="TOC5"/>
        <w:rPr>
          <w:rFonts w:asciiTheme="minorHAnsi" w:hAnsiTheme="minorHAnsi" w:cstheme="minorBidi"/>
          <w:sz w:val="22"/>
          <w:szCs w:val="22"/>
          <w:lang w:eastAsia="en-AU"/>
        </w:rPr>
      </w:pPr>
      <w:r>
        <w:tab/>
      </w:r>
      <w:hyperlink w:anchor="_Toc111106675" w:history="1">
        <w:r w:rsidRPr="006B4842">
          <w:t>20A</w:t>
        </w:r>
        <w:r>
          <w:rPr>
            <w:rFonts w:asciiTheme="minorHAnsi" w:hAnsiTheme="minorHAnsi" w:cstheme="minorBidi"/>
            <w:sz w:val="22"/>
            <w:szCs w:val="22"/>
            <w:lang w:eastAsia="en-AU"/>
          </w:rPr>
          <w:tab/>
        </w:r>
        <w:r w:rsidRPr="006B4842">
          <w:t>Review of decisions</w:t>
        </w:r>
        <w:r>
          <w:tab/>
        </w:r>
        <w:r>
          <w:fldChar w:fldCharType="begin"/>
        </w:r>
        <w:r>
          <w:instrText xml:space="preserve"> PAGEREF _Toc111106675 \h </w:instrText>
        </w:r>
        <w:r>
          <w:fldChar w:fldCharType="separate"/>
        </w:r>
        <w:r>
          <w:t>21</w:t>
        </w:r>
        <w:r>
          <w:fldChar w:fldCharType="end"/>
        </w:r>
      </w:hyperlink>
    </w:p>
    <w:p w14:paraId="2FFAFDC4" w14:textId="5D516AAD" w:rsidR="003879E6" w:rsidRDefault="003879E6">
      <w:pPr>
        <w:pStyle w:val="TOC5"/>
        <w:rPr>
          <w:rFonts w:asciiTheme="minorHAnsi" w:hAnsiTheme="minorHAnsi" w:cstheme="minorBidi"/>
          <w:sz w:val="22"/>
          <w:szCs w:val="22"/>
          <w:lang w:eastAsia="en-AU"/>
        </w:rPr>
      </w:pPr>
      <w:r>
        <w:tab/>
      </w:r>
      <w:hyperlink w:anchor="_Toc111106676" w:history="1">
        <w:r w:rsidRPr="006B4842">
          <w:t>20B</w:t>
        </w:r>
        <w:r>
          <w:rPr>
            <w:rFonts w:asciiTheme="minorHAnsi" w:hAnsiTheme="minorHAnsi" w:cstheme="minorBidi"/>
            <w:sz w:val="22"/>
            <w:szCs w:val="22"/>
            <w:lang w:eastAsia="en-AU"/>
          </w:rPr>
          <w:tab/>
        </w:r>
        <w:r w:rsidRPr="006B4842">
          <w:t>Notification of decisions</w:t>
        </w:r>
        <w:r>
          <w:tab/>
        </w:r>
        <w:r>
          <w:fldChar w:fldCharType="begin"/>
        </w:r>
        <w:r>
          <w:instrText xml:space="preserve"> PAGEREF _Toc111106676 \h </w:instrText>
        </w:r>
        <w:r>
          <w:fldChar w:fldCharType="separate"/>
        </w:r>
        <w:r>
          <w:t>22</w:t>
        </w:r>
        <w:r>
          <w:fldChar w:fldCharType="end"/>
        </w:r>
      </w:hyperlink>
    </w:p>
    <w:p w14:paraId="4AE61933" w14:textId="17765547" w:rsidR="003879E6" w:rsidRDefault="003879E6">
      <w:pPr>
        <w:pStyle w:val="TOC5"/>
        <w:rPr>
          <w:rFonts w:asciiTheme="minorHAnsi" w:hAnsiTheme="minorHAnsi" w:cstheme="minorBidi"/>
          <w:sz w:val="22"/>
          <w:szCs w:val="22"/>
          <w:lang w:eastAsia="en-AU"/>
        </w:rPr>
      </w:pPr>
      <w:r>
        <w:tab/>
      </w:r>
      <w:hyperlink w:anchor="_Toc111106677" w:history="1">
        <w:r w:rsidRPr="006B4842">
          <w:t>21</w:t>
        </w:r>
        <w:r>
          <w:rPr>
            <w:rFonts w:asciiTheme="minorHAnsi" w:hAnsiTheme="minorHAnsi" w:cstheme="minorBidi"/>
            <w:sz w:val="22"/>
            <w:szCs w:val="22"/>
            <w:lang w:eastAsia="en-AU"/>
          </w:rPr>
          <w:tab/>
        </w:r>
        <w:r w:rsidRPr="006B4842">
          <w:t>Place for keeping records—Act, s 19 (2) (b) and s 65 (5) (b)</w:t>
        </w:r>
        <w:r>
          <w:tab/>
        </w:r>
        <w:r>
          <w:fldChar w:fldCharType="begin"/>
        </w:r>
        <w:r>
          <w:instrText xml:space="preserve"> PAGEREF _Toc111106677 \h </w:instrText>
        </w:r>
        <w:r>
          <w:fldChar w:fldCharType="separate"/>
        </w:r>
        <w:r>
          <w:t>22</w:t>
        </w:r>
        <w:r>
          <w:fldChar w:fldCharType="end"/>
        </w:r>
      </w:hyperlink>
    </w:p>
    <w:p w14:paraId="7861A0ED" w14:textId="25B9009A" w:rsidR="003879E6" w:rsidRDefault="007C7787">
      <w:pPr>
        <w:pStyle w:val="TOC2"/>
        <w:rPr>
          <w:rFonts w:asciiTheme="minorHAnsi" w:hAnsiTheme="minorHAnsi" w:cstheme="minorBidi"/>
          <w:b w:val="0"/>
          <w:bCs w:val="0"/>
          <w:sz w:val="22"/>
          <w:szCs w:val="22"/>
          <w:lang w:eastAsia="en-AU"/>
        </w:rPr>
      </w:pPr>
      <w:hyperlink w:anchor="_Toc111106678" w:history="1">
        <w:r w:rsidR="003879E6" w:rsidRPr="006B4842">
          <w:t>Part 5</w:t>
        </w:r>
        <w:r w:rsidR="003879E6">
          <w:rPr>
            <w:rFonts w:asciiTheme="minorHAnsi" w:hAnsiTheme="minorHAnsi" w:cstheme="minorBidi"/>
            <w:b w:val="0"/>
            <w:bCs w:val="0"/>
            <w:sz w:val="22"/>
            <w:szCs w:val="22"/>
            <w:lang w:eastAsia="en-AU"/>
          </w:rPr>
          <w:tab/>
        </w:r>
        <w:r w:rsidR="003879E6" w:rsidRPr="006B4842">
          <w:t>Savings and transitional provisions</w:t>
        </w:r>
        <w:r w:rsidR="003879E6" w:rsidRPr="003879E6">
          <w:rPr>
            <w:vanish/>
          </w:rPr>
          <w:tab/>
        </w:r>
        <w:r w:rsidR="003879E6" w:rsidRPr="003879E6">
          <w:rPr>
            <w:vanish/>
          </w:rPr>
          <w:fldChar w:fldCharType="begin"/>
        </w:r>
        <w:r w:rsidR="003879E6" w:rsidRPr="003879E6">
          <w:rPr>
            <w:vanish/>
          </w:rPr>
          <w:instrText xml:space="preserve"> PAGEREF _Toc111106678 \h </w:instrText>
        </w:r>
        <w:r w:rsidR="003879E6" w:rsidRPr="003879E6">
          <w:rPr>
            <w:vanish/>
          </w:rPr>
        </w:r>
        <w:r w:rsidR="003879E6" w:rsidRPr="003879E6">
          <w:rPr>
            <w:vanish/>
          </w:rPr>
          <w:fldChar w:fldCharType="separate"/>
        </w:r>
        <w:r w:rsidR="003879E6" w:rsidRPr="003879E6">
          <w:rPr>
            <w:vanish/>
          </w:rPr>
          <w:t>23</w:t>
        </w:r>
        <w:r w:rsidR="003879E6" w:rsidRPr="003879E6">
          <w:rPr>
            <w:vanish/>
          </w:rPr>
          <w:fldChar w:fldCharType="end"/>
        </w:r>
      </w:hyperlink>
    </w:p>
    <w:p w14:paraId="54679769" w14:textId="31B243E2" w:rsidR="003879E6" w:rsidRDefault="003879E6">
      <w:pPr>
        <w:pStyle w:val="TOC5"/>
        <w:rPr>
          <w:rFonts w:asciiTheme="minorHAnsi" w:hAnsiTheme="minorHAnsi" w:cstheme="minorBidi"/>
          <w:sz w:val="22"/>
          <w:szCs w:val="22"/>
          <w:lang w:eastAsia="en-AU"/>
        </w:rPr>
      </w:pPr>
      <w:r>
        <w:tab/>
      </w:r>
      <w:hyperlink w:anchor="_Toc111106679" w:history="1">
        <w:r w:rsidRPr="006B4842">
          <w:t>22</w:t>
        </w:r>
        <w:r>
          <w:rPr>
            <w:rFonts w:asciiTheme="minorHAnsi" w:hAnsiTheme="minorHAnsi" w:cstheme="minorBidi"/>
            <w:sz w:val="22"/>
            <w:szCs w:val="22"/>
            <w:lang w:eastAsia="en-AU"/>
          </w:rPr>
          <w:tab/>
        </w:r>
        <w:r w:rsidRPr="006B4842">
          <w:t>Records of former certificate information to be kept</w:t>
        </w:r>
        <w:r>
          <w:tab/>
        </w:r>
        <w:r>
          <w:fldChar w:fldCharType="begin"/>
        </w:r>
        <w:r>
          <w:instrText xml:space="preserve"> PAGEREF _Toc111106679 \h </w:instrText>
        </w:r>
        <w:r>
          <w:fldChar w:fldCharType="separate"/>
        </w:r>
        <w:r>
          <w:t>23</w:t>
        </w:r>
        <w:r>
          <w:fldChar w:fldCharType="end"/>
        </w:r>
      </w:hyperlink>
    </w:p>
    <w:p w14:paraId="252885F7" w14:textId="1EE30CB2" w:rsidR="003879E6" w:rsidRDefault="003879E6">
      <w:pPr>
        <w:pStyle w:val="TOC5"/>
        <w:rPr>
          <w:rFonts w:asciiTheme="minorHAnsi" w:hAnsiTheme="minorHAnsi" w:cstheme="minorBidi"/>
          <w:sz w:val="22"/>
          <w:szCs w:val="22"/>
          <w:lang w:eastAsia="en-AU"/>
        </w:rPr>
      </w:pPr>
      <w:r>
        <w:tab/>
      </w:r>
      <w:hyperlink w:anchor="_Toc111106680" w:history="1">
        <w:r w:rsidRPr="006B4842">
          <w:t>23</w:t>
        </w:r>
        <w:r>
          <w:rPr>
            <w:rFonts w:asciiTheme="minorHAnsi" w:hAnsiTheme="minorHAnsi" w:cstheme="minorBidi"/>
            <w:sz w:val="22"/>
            <w:szCs w:val="22"/>
            <w:lang w:eastAsia="en-AU"/>
          </w:rPr>
          <w:tab/>
        </w:r>
        <w:r w:rsidRPr="006B4842">
          <w:t>Compliance indicators</w:t>
        </w:r>
        <w:r>
          <w:tab/>
        </w:r>
        <w:r>
          <w:fldChar w:fldCharType="begin"/>
        </w:r>
        <w:r>
          <w:instrText xml:space="preserve"> PAGEREF _Toc111106680 \h </w:instrText>
        </w:r>
        <w:r>
          <w:fldChar w:fldCharType="separate"/>
        </w:r>
        <w:r>
          <w:t>23</w:t>
        </w:r>
        <w:r>
          <w:fldChar w:fldCharType="end"/>
        </w:r>
      </w:hyperlink>
    </w:p>
    <w:p w14:paraId="1EA82103" w14:textId="076AC91B" w:rsidR="003879E6" w:rsidRDefault="003879E6">
      <w:pPr>
        <w:pStyle w:val="TOC5"/>
        <w:rPr>
          <w:rFonts w:asciiTheme="minorHAnsi" w:hAnsiTheme="minorHAnsi" w:cstheme="minorBidi"/>
          <w:sz w:val="22"/>
          <w:szCs w:val="22"/>
          <w:lang w:eastAsia="en-AU"/>
        </w:rPr>
      </w:pPr>
      <w:r>
        <w:tab/>
      </w:r>
      <w:hyperlink w:anchor="_Toc111106681" w:history="1">
        <w:r w:rsidRPr="006B4842">
          <w:t>24</w:t>
        </w:r>
        <w:r>
          <w:rPr>
            <w:rFonts w:asciiTheme="minorHAnsi" w:hAnsiTheme="minorHAnsi" w:cstheme="minorBidi"/>
            <w:sz w:val="22"/>
            <w:szCs w:val="22"/>
            <w:lang w:eastAsia="en-AU"/>
          </w:rPr>
          <w:tab/>
        </w:r>
        <w:r w:rsidRPr="006B4842">
          <w:t>Defect tags</w:t>
        </w:r>
        <w:r>
          <w:tab/>
        </w:r>
        <w:r>
          <w:fldChar w:fldCharType="begin"/>
        </w:r>
        <w:r>
          <w:instrText xml:space="preserve"> PAGEREF _Toc111106681 \h </w:instrText>
        </w:r>
        <w:r>
          <w:fldChar w:fldCharType="separate"/>
        </w:r>
        <w:r>
          <w:t>23</w:t>
        </w:r>
        <w:r>
          <w:fldChar w:fldCharType="end"/>
        </w:r>
      </w:hyperlink>
    </w:p>
    <w:p w14:paraId="3307201F" w14:textId="39D6827C" w:rsidR="003879E6" w:rsidRDefault="007C7787">
      <w:pPr>
        <w:pStyle w:val="TOC6"/>
        <w:rPr>
          <w:rFonts w:asciiTheme="minorHAnsi" w:hAnsiTheme="minorHAnsi" w:cstheme="minorBidi"/>
          <w:b w:val="0"/>
          <w:bCs w:val="0"/>
          <w:sz w:val="22"/>
          <w:szCs w:val="22"/>
          <w:lang w:eastAsia="en-AU"/>
        </w:rPr>
      </w:pPr>
      <w:hyperlink w:anchor="_Toc111106682" w:history="1">
        <w:r w:rsidR="003879E6" w:rsidRPr="006B4842">
          <w:t>Dictionary</w:t>
        </w:r>
        <w:r w:rsidR="003879E6">
          <w:tab/>
        </w:r>
        <w:r w:rsidR="003879E6">
          <w:tab/>
        </w:r>
        <w:r w:rsidR="003879E6" w:rsidRPr="003879E6">
          <w:rPr>
            <w:b w:val="0"/>
            <w:sz w:val="20"/>
          </w:rPr>
          <w:fldChar w:fldCharType="begin"/>
        </w:r>
        <w:r w:rsidR="003879E6" w:rsidRPr="003879E6">
          <w:rPr>
            <w:b w:val="0"/>
            <w:sz w:val="20"/>
          </w:rPr>
          <w:instrText xml:space="preserve"> PAGEREF _Toc111106682 \h </w:instrText>
        </w:r>
        <w:r w:rsidR="003879E6" w:rsidRPr="003879E6">
          <w:rPr>
            <w:b w:val="0"/>
            <w:sz w:val="20"/>
          </w:rPr>
        </w:r>
        <w:r w:rsidR="003879E6" w:rsidRPr="003879E6">
          <w:rPr>
            <w:b w:val="0"/>
            <w:sz w:val="20"/>
          </w:rPr>
          <w:fldChar w:fldCharType="separate"/>
        </w:r>
        <w:r w:rsidR="003879E6" w:rsidRPr="003879E6">
          <w:rPr>
            <w:b w:val="0"/>
            <w:sz w:val="20"/>
          </w:rPr>
          <w:t>24</w:t>
        </w:r>
        <w:r w:rsidR="003879E6" w:rsidRPr="003879E6">
          <w:rPr>
            <w:b w:val="0"/>
            <w:sz w:val="20"/>
          </w:rPr>
          <w:fldChar w:fldCharType="end"/>
        </w:r>
      </w:hyperlink>
    </w:p>
    <w:p w14:paraId="3368094C" w14:textId="47C81F3B" w:rsidR="003879E6" w:rsidRDefault="007C7787" w:rsidP="003879E6">
      <w:pPr>
        <w:pStyle w:val="TOC7"/>
        <w:spacing w:before="480"/>
        <w:rPr>
          <w:rFonts w:asciiTheme="minorHAnsi" w:hAnsiTheme="minorHAnsi" w:cstheme="minorBidi"/>
          <w:b w:val="0"/>
          <w:bCs w:val="0"/>
          <w:sz w:val="22"/>
          <w:szCs w:val="22"/>
          <w:lang w:eastAsia="en-AU"/>
        </w:rPr>
      </w:pPr>
      <w:hyperlink w:anchor="_Toc111106683" w:history="1">
        <w:r w:rsidR="003879E6">
          <w:t>Endnotes</w:t>
        </w:r>
        <w:r w:rsidR="003879E6" w:rsidRPr="003879E6">
          <w:rPr>
            <w:vanish/>
          </w:rPr>
          <w:tab/>
        </w:r>
        <w:r w:rsidR="003879E6">
          <w:rPr>
            <w:vanish/>
          </w:rPr>
          <w:tab/>
        </w:r>
        <w:r w:rsidR="003879E6" w:rsidRPr="003879E6">
          <w:rPr>
            <w:b w:val="0"/>
            <w:vanish/>
          </w:rPr>
          <w:fldChar w:fldCharType="begin"/>
        </w:r>
        <w:r w:rsidR="003879E6" w:rsidRPr="003879E6">
          <w:rPr>
            <w:b w:val="0"/>
            <w:vanish/>
          </w:rPr>
          <w:instrText xml:space="preserve"> PAGEREF _Toc111106683 \h </w:instrText>
        </w:r>
        <w:r w:rsidR="003879E6" w:rsidRPr="003879E6">
          <w:rPr>
            <w:b w:val="0"/>
            <w:vanish/>
          </w:rPr>
        </w:r>
        <w:r w:rsidR="003879E6" w:rsidRPr="003879E6">
          <w:rPr>
            <w:b w:val="0"/>
            <w:vanish/>
          </w:rPr>
          <w:fldChar w:fldCharType="separate"/>
        </w:r>
        <w:r w:rsidR="003879E6" w:rsidRPr="003879E6">
          <w:rPr>
            <w:b w:val="0"/>
            <w:vanish/>
          </w:rPr>
          <w:t>25</w:t>
        </w:r>
        <w:r w:rsidR="003879E6" w:rsidRPr="003879E6">
          <w:rPr>
            <w:b w:val="0"/>
            <w:vanish/>
          </w:rPr>
          <w:fldChar w:fldCharType="end"/>
        </w:r>
      </w:hyperlink>
    </w:p>
    <w:p w14:paraId="39397FC0" w14:textId="26B1CC61" w:rsidR="003879E6" w:rsidRDefault="003879E6">
      <w:pPr>
        <w:pStyle w:val="TOC5"/>
        <w:rPr>
          <w:rFonts w:asciiTheme="minorHAnsi" w:hAnsiTheme="minorHAnsi" w:cstheme="minorBidi"/>
          <w:sz w:val="22"/>
          <w:szCs w:val="22"/>
          <w:lang w:eastAsia="en-AU"/>
        </w:rPr>
      </w:pPr>
      <w:r>
        <w:tab/>
      </w:r>
      <w:hyperlink w:anchor="_Toc111106684" w:history="1">
        <w:r w:rsidRPr="006B4842">
          <w:t>1</w:t>
        </w:r>
        <w:r>
          <w:rPr>
            <w:rFonts w:asciiTheme="minorHAnsi" w:hAnsiTheme="minorHAnsi" w:cstheme="minorBidi"/>
            <w:sz w:val="22"/>
            <w:szCs w:val="22"/>
            <w:lang w:eastAsia="en-AU"/>
          </w:rPr>
          <w:tab/>
        </w:r>
        <w:r w:rsidRPr="006B4842">
          <w:t>About the endnotes</w:t>
        </w:r>
        <w:r>
          <w:tab/>
        </w:r>
        <w:r>
          <w:fldChar w:fldCharType="begin"/>
        </w:r>
        <w:r>
          <w:instrText xml:space="preserve"> PAGEREF _Toc111106684 \h </w:instrText>
        </w:r>
        <w:r>
          <w:fldChar w:fldCharType="separate"/>
        </w:r>
        <w:r>
          <w:t>25</w:t>
        </w:r>
        <w:r>
          <w:fldChar w:fldCharType="end"/>
        </w:r>
      </w:hyperlink>
    </w:p>
    <w:p w14:paraId="6DE6CC1A" w14:textId="0DFA683A" w:rsidR="003879E6" w:rsidRDefault="003879E6">
      <w:pPr>
        <w:pStyle w:val="TOC5"/>
        <w:rPr>
          <w:rFonts w:asciiTheme="minorHAnsi" w:hAnsiTheme="minorHAnsi" w:cstheme="minorBidi"/>
          <w:sz w:val="22"/>
          <w:szCs w:val="22"/>
          <w:lang w:eastAsia="en-AU"/>
        </w:rPr>
      </w:pPr>
      <w:r>
        <w:tab/>
      </w:r>
      <w:hyperlink w:anchor="_Toc111106685" w:history="1">
        <w:r w:rsidRPr="006B4842">
          <w:t>2</w:t>
        </w:r>
        <w:r>
          <w:rPr>
            <w:rFonts w:asciiTheme="minorHAnsi" w:hAnsiTheme="minorHAnsi" w:cstheme="minorBidi"/>
            <w:sz w:val="22"/>
            <w:szCs w:val="22"/>
            <w:lang w:eastAsia="en-AU"/>
          </w:rPr>
          <w:tab/>
        </w:r>
        <w:r w:rsidRPr="006B4842">
          <w:t>Abbreviation key</w:t>
        </w:r>
        <w:r>
          <w:tab/>
        </w:r>
        <w:r>
          <w:fldChar w:fldCharType="begin"/>
        </w:r>
        <w:r>
          <w:instrText xml:space="preserve"> PAGEREF _Toc111106685 \h </w:instrText>
        </w:r>
        <w:r>
          <w:fldChar w:fldCharType="separate"/>
        </w:r>
        <w:r>
          <w:t>25</w:t>
        </w:r>
        <w:r>
          <w:fldChar w:fldCharType="end"/>
        </w:r>
      </w:hyperlink>
    </w:p>
    <w:p w14:paraId="4A30FC1A" w14:textId="5A7D3B61" w:rsidR="003879E6" w:rsidRDefault="003879E6">
      <w:pPr>
        <w:pStyle w:val="TOC5"/>
        <w:rPr>
          <w:rFonts w:asciiTheme="minorHAnsi" w:hAnsiTheme="minorHAnsi" w:cstheme="minorBidi"/>
          <w:sz w:val="22"/>
          <w:szCs w:val="22"/>
          <w:lang w:eastAsia="en-AU"/>
        </w:rPr>
      </w:pPr>
      <w:r>
        <w:tab/>
      </w:r>
      <w:hyperlink w:anchor="_Toc111106686" w:history="1">
        <w:r w:rsidRPr="006B4842">
          <w:t>3</w:t>
        </w:r>
        <w:r>
          <w:rPr>
            <w:rFonts w:asciiTheme="minorHAnsi" w:hAnsiTheme="minorHAnsi" w:cstheme="minorBidi"/>
            <w:sz w:val="22"/>
            <w:szCs w:val="22"/>
            <w:lang w:eastAsia="en-AU"/>
          </w:rPr>
          <w:tab/>
        </w:r>
        <w:r w:rsidRPr="006B4842">
          <w:t>Legislation history</w:t>
        </w:r>
        <w:r>
          <w:tab/>
        </w:r>
        <w:r>
          <w:fldChar w:fldCharType="begin"/>
        </w:r>
        <w:r>
          <w:instrText xml:space="preserve"> PAGEREF _Toc111106686 \h </w:instrText>
        </w:r>
        <w:r>
          <w:fldChar w:fldCharType="separate"/>
        </w:r>
        <w:r>
          <w:t>26</w:t>
        </w:r>
        <w:r>
          <w:fldChar w:fldCharType="end"/>
        </w:r>
      </w:hyperlink>
    </w:p>
    <w:p w14:paraId="5444589F" w14:textId="115BEEEE" w:rsidR="003879E6" w:rsidRDefault="003879E6">
      <w:pPr>
        <w:pStyle w:val="TOC5"/>
        <w:rPr>
          <w:rFonts w:asciiTheme="minorHAnsi" w:hAnsiTheme="minorHAnsi" w:cstheme="minorBidi"/>
          <w:sz w:val="22"/>
          <w:szCs w:val="22"/>
          <w:lang w:eastAsia="en-AU"/>
        </w:rPr>
      </w:pPr>
      <w:r>
        <w:tab/>
      </w:r>
      <w:hyperlink w:anchor="_Toc111106687" w:history="1">
        <w:r w:rsidRPr="006B4842">
          <w:t>4</w:t>
        </w:r>
        <w:r>
          <w:rPr>
            <w:rFonts w:asciiTheme="minorHAnsi" w:hAnsiTheme="minorHAnsi" w:cstheme="minorBidi"/>
            <w:sz w:val="22"/>
            <w:szCs w:val="22"/>
            <w:lang w:eastAsia="en-AU"/>
          </w:rPr>
          <w:tab/>
        </w:r>
        <w:r w:rsidRPr="006B4842">
          <w:t>Amendment history</w:t>
        </w:r>
        <w:r>
          <w:tab/>
        </w:r>
        <w:r>
          <w:fldChar w:fldCharType="begin"/>
        </w:r>
        <w:r>
          <w:instrText xml:space="preserve"> PAGEREF _Toc111106687 \h </w:instrText>
        </w:r>
        <w:r>
          <w:fldChar w:fldCharType="separate"/>
        </w:r>
        <w:r>
          <w:t>26</w:t>
        </w:r>
        <w:r>
          <w:fldChar w:fldCharType="end"/>
        </w:r>
      </w:hyperlink>
    </w:p>
    <w:p w14:paraId="5D08AA2B" w14:textId="0EE9C926" w:rsidR="003879E6" w:rsidRDefault="003879E6">
      <w:pPr>
        <w:pStyle w:val="TOC5"/>
        <w:rPr>
          <w:rFonts w:asciiTheme="minorHAnsi" w:hAnsiTheme="minorHAnsi" w:cstheme="minorBidi"/>
          <w:sz w:val="22"/>
          <w:szCs w:val="22"/>
          <w:lang w:eastAsia="en-AU"/>
        </w:rPr>
      </w:pPr>
      <w:r>
        <w:tab/>
      </w:r>
      <w:hyperlink w:anchor="_Toc111106688" w:history="1">
        <w:r w:rsidRPr="006B4842">
          <w:t>5</w:t>
        </w:r>
        <w:r>
          <w:rPr>
            <w:rFonts w:asciiTheme="minorHAnsi" w:hAnsiTheme="minorHAnsi" w:cstheme="minorBidi"/>
            <w:sz w:val="22"/>
            <w:szCs w:val="22"/>
            <w:lang w:eastAsia="en-AU"/>
          </w:rPr>
          <w:tab/>
        </w:r>
        <w:r w:rsidRPr="006B4842">
          <w:t>Earlier republications</w:t>
        </w:r>
        <w:r>
          <w:tab/>
        </w:r>
        <w:r>
          <w:fldChar w:fldCharType="begin"/>
        </w:r>
        <w:r>
          <w:instrText xml:space="preserve"> PAGEREF _Toc111106688 \h </w:instrText>
        </w:r>
        <w:r>
          <w:fldChar w:fldCharType="separate"/>
        </w:r>
        <w:r>
          <w:t>29</w:t>
        </w:r>
        <w:r>
          <w:fldChar w:fldCharType="end"/>
        </w:r>
      </w:hyperlink>
    </w:p>
    <w:p w14:paraId="5101F2E6" w14:textId="30752EBB" w:rsidR="008511AB" w:rsidRDefault="003879E6">
      <w:pPr>
        <w:pStyle w:val="BillBasic"/>
      </w:pPr>
      <w:r>
        <w:fldChar w:fldCharType="end"/>
      </w:r>
    </w:p>
    <w:p w14:paraId="52D04848" w14:textId="77777777" w:rsidR="008511AB" w:rsidRDefault="008511AB"/>
    <w:p w14:paraId="1B71CD1F" w14:textId="77777777" w:rsidR="008511AB" w:rsidRDefault="008511AB">
      <w:pPr>
        <w:pStyle w:val="01Contents"/>
        <w:sectPr w:rsidR="008511AB">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14:paraId="77D6E55E" w14:textId="200CDD1C" w:rsidR="008511AB" w:rsidRDefault="004162FD">
      <w:pPr>
        <w:jc w:val="center"/>
      </w:pPr>
      <w:r>
        <w:rPr>
          <w:noProof/>
        </w:rPr>
        <w:lastRenderedPageBreak/>
        <w:drawing>
          <wp:inline distT="0" distB="0" distL="0" distR="0" wp14:anchorId="34EA4840" wp14:editId="2C8FB483">
            <wp:extent cx="1337310" cy="1178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310" cy="1178560"/>
                    </a:xfrm>
                    <a:prstGeom prst="rect">
                      <a:avLst/>
                    </a:prstGeom>
                    <a:noFill/>
                    <a:ln>
                      <a:noFill/>
                    </a:ln>
                  </pic:spPr>
                </pic:pic>
              </a:graphicData>
            </a:graphic>
          </wp:inline>
        </w:drawing>
      </w:r>
    </w:p>
    <w:p w14:paraId="0A2A2F74" w14:textId="77777777" w:rsidR="008511AB" w:rsidRDefault="00606D09">
      <w:pPr>
        <w:jc w:val="center"/>
        <w:rPr>
          <w:rFonts w:ascii="Arial" w:hAnsi="Arial" w:cs="Arial"/>
        </w:rPr>
      </w:pPr>
      <w:r>
        <w:rPr>
          <w:rFonts w:ascii="Arial" w:hAnsi="Arial" w:cs="Arial"/>
        </w:rPr>
        <w:t>Australian Capital Territory</w:t>
      </w:r>
    </w:p>
    <w:p w14:paraId="0F6B22A0" w14:textId="72221065" w:rsidR="008511AB" w:rsidRDefault="005404F2">
      <w:pPr>
        <w:pStyle w:val="Billname"/>
      </w:pPr>
      <w:bookmarkStart w:id="6" w:name="Citation"/>
      <w:r>
        <w:t>Gas Safety Regulation 2001</w:t>
      </w:r>
      <w:bookmarkEnd w:id="6"/>
      <w:r w:rsidR="00606D09">
        <w:t xml:space="preserve">     </w:t>
      </w:r>
    </w:p>
    <w:p w14:paraId="1C1C116B" w14:textId="77777777" w:rsidR="008511AB" w:rsidRDefault="008511AB">
      <w:pPr>
        <w:spacing w:before="240" w:after="60"/>
        <w:rPr>
          <w:rFonts w:ascii="Arial" w:hAnsi="Arial" w:cs="Arial"/>
        </w:rPr>
      </w:pPr>
    </w:p>
    <w:p w14:paraId="7BD4FFAC" w14:textId="77777777" w:rsidR="008511AB" w:rsidRDefault="008511AB">
      <w:pPr>
        <w:pStyle w:val="N-line3"/>
      </w:pPr>
    </w:p>
    <w:p w14:paraId="35616677" w14:textId="77777777" w:rsidR="008511AB" w:rsidRDefault="00606D09">
      <w:pPr>
        <w:pStyle w:val="CoverInForce"/>
      </w:pPr>
      <w:r>
        <w:t>made under the</w:t>
      </w:r>
    </w:p>
    <w:p w14:paraId="74A4BC2B" w14:textId="77777777" w:rsidR="008511AB" w:rsidRDefault="00606D09">
      <w:pPr>
        <w:pStyle w:val="CoverActName"/>
      </w:pPr>
      <w:bookmarkStart w:id="7" w:name="Actname"/>
      <w:r>
        <w:t>Gas Safety Act 2000</w:t>
      </w:r>
      <w:bookmarkEnd w:id="7"/>
    </w:p>
    <w:p w14:paraId="6ED3AEC3" w14:textId="77777777" w:rsidR="008511AB" w:rsidRDefault="008511AB">
      <w:pPr>
        <w:pStyle w:val="N-line3"/>
      </w:pPr>
    </w:p>
    <w:p w14:paraId="49E45378" w14:textId="77777777" w:rsidR="008511AB" w:rsidRDefault="00606D09">
      <w:pPr>
        <w:pStyle w:val="Placeholder"/>
      </w:pPr>
      <w:r>
        <w:rPr>
          <w:rStyle w:val="charContents"/>
          <w:sz w:val="16"/>
          <w:szCs w:val="16"/>
        </w:rPr>
        <w:t xml:space="preserve">  </w:t>
      </w:r>
      <w:r>
        <w:rPr>
          <w:rStyle w:val="charPage"/>
        </w:rPr>
        <w:t xml:space="preserve">  </w:t>
      </w:r>
    </w:p>
    <w:p w14:paraId="5762FA55" w14:textId="77777777" w:rsidR="008511AB" w:rsidRDefault="00606D09">
      <w:pPr>
        <w:pStyle w:val="Placeholder"/>
      </w:pPr>
      <w:r>
        <w:rPr>
          <w:rStyle w:val="CharChapNo"/>
        </w:rPr>
        <w:t xml:space="preserve">  </w:t>
      </w:r>
      <w:r>
        <w:rPr>
          <w:rStyle w:val="CharChapText"/>
        </w:rPr>
        <w:t xml:space="preserve">  </w:t>
      </w:r>
    </w:p>
    <w:p w14:paraId="0B2A839F" w14:textId="77777777" w:rsidR="008511AB" w:rsidRDefault="00606D09">
      <w:pPr>
        <w:pStyle w:val="Placeholder"/>
      </w:pPr>
      <w:r>
        <w:rPr>
          <w:rStyle w:val="CharPartNo"/>
        </w:rPr>
        <w:t xml:space="preserve">  </w:t>
      </w:r>
      <w:r>
        <w:rPr>
          <w:rStyle w:val="CharPartText"/>
        </w:rPr>
        <w:t xml:space="preserve">  </w:t>
      </w:r>
    </w:p>
    <w:p w14:paraId="79081E16" w14:textId="77777777" w:rsidR="008511AB" w:rsidRDefault="00606D09">
      <w:pPr>
        <w:pStyle w:val="Placeholder"/>
      </w:pPr>
      <w:r>
        <w:rPr>
          <w:rStyle w:val="CharDivNo"/>
        </w:rPr>
        <w:t xml:space="preserve">  </w:t>
      </w:r>
      <w:r>
        <w:rPr>
          <w:rStyle w:val="CharDivText"/>
        </w:rPr>
        <w:t xml:space="preserve">  </w:t>
      </w:r>
    </w:p>
    <w:p w14:paraId="47771C17" w14:textId="77777777" w:rsidR="008511AB" w:rsidRDefault="00606D09">
      <w:pPr>
        <w:pStyle w:val="Placeholder"/>
      </w:pPr>
      <w:r>
        <w:rPr>
          <w:rStyle w:val="CharSectNo"/>
        </w:rPr>
        <w:t xml:space="preserve">  </w:t>
      </w:r>
    </w:p>
    <w:p w14:paraId="3F7D7FFD" w14:textId="77777777" w:rsidR="008511AB" w:rsidRDefault="00606D09">
      <w:pPr>
        <w:pStyle w:val="PageBreak"/>
      </w:pPr>
      <w:r>
        <w:br w:type="page"/>
      </w:r>
    </w:p>
    <w:p w14:paraId="4CA3DA63" w14:textId="77777777" w:rsidR="008511AB" w:rsidRDefault="00606D09">
      <w:pPr>
        <w:pStyle w:val="AH2Part"/>
      </w:pPr>
      <w:bookmarkStart w:id="8" w:name="_Toc111106637"/>
      <w:r>
        <w:rPr>
          <w:rStyle w:val="CharPartNo"/>
        </w:rPr>
        <w:lastRenderedPageBreak/>
        <w:t>Part 1</w:t>
      </w:r>
      <w:r>
        <w:tab/>
      </w:r>
      <w:r>
        <w:rPr>
          <w:rStyle w:val="CharPartText"/>
        </w:rPr>
        <w:t>Preliminary</w:t>
      </w:r>
      <w:bookmarkEnd w:id="8"/>
    </w:p>
    <w:p w14:paraId="44FDDAC3" w14:textId="77777777" w:rsidR="008511AB" w:rsidRDefault="00606D09">
      <w:pPr>
        <w:pStyle w:val="Placeholder"/>
      </w:pPr>
      <w:r>
        <w:rPr>
          <w:rStyle w:val="CharDivNo"/>
        </w:rPr>
        <w:t xml:space="preserve">  </w:t>
      </w:r>
      <w:r>
        <w:rPr>
          <w:rStyle w:val="CharDivText"/>
        </w:rPr>
        <w:t xml:space="preserve">  </w:t>
      </w:r>
    </w:p>
    <w:p w14:paraId="59BE39AA" w14:textId="77777777" w:rsidR="008511AB" w:rsidRDefault="00606D09">
      <w:pPr>
        <w:pStyle w:val="AH5Sec"/>
      </w:pPr>
      <w:bookmarkStart w:id="9" w:name="_Toc111106638"/>
      <w:r>
        <w:rPr>
          <w:rStyle w:val="CharSectNo"/>
        </w:rPr>
        <w:t>1</w:t>
      </w:r>
      <w:r>
        <w:tab/>
        <w:t>Name of regulation</w:t>
      </w:r>
      <w:bookmarkEnd w:id="9"/>
    </w:p>
    <w:p w14:paraId="71B70BE4" w14:textId="77777777" w:rsidR="008511AB" w:rsidRDefault="00606D09">
      <w:pPr>
        <w:pStyle w:val="Amainreturn"/>
      </w:pPr>
      <w:r>
        <w:t xml:space="preserve">This regulation is the </w:t>
      </w:r>
      <w:r>
        <w:rPr>
          <w:rStyle w:val="charItals"/>
        </w:rPr>
        <w:t>Gas Safety Regulation 2001.</w:t>
      </w:r>
    </w:p>
    <w:p w14:paraId="16502191" w14:textId="77777777" w:rsidR="008511AB" w:rsidRDefault="00606D09">
      <w:pPr>
        <w:pStyle w:val="AH5Sec"/>
      </w:pPr>
      <w:bookmarkStart w:id="10" w:name="_Toc111106639"/>
      <w:r>
        <w:rPr>
          <w:rStyle w:val="CharSectNo"/>
        </w:rPr>
        <w:t>3</w:t>
      </w:r>
      <w:r>
        <w:tab/>
        <w:t>Dictionary</w:t>
      </w:r>
      <w:bookmarkEnd w:id="10"/>
    </w:p>
    <w:p w14:paraId="1B247558" w14:textId="77777777" w:rsidR="008511AB" w:rsidRDefault="00606D09">
      <w:pPr>
        <w:pStyle w:val="Amainreturn"/>
      </w:pPr>
      <w:r>
        <w:t>The dictionary at the end of this regulation is part of this regulation.</w:t>
      </w:r>
    </w:p>
    <w:p w14:paraId="60B67740" w14:textId="77777777" w:rsidR="008511AB" w:rsidRDefault="00606D09">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 or in other legislation.</w:t>
      </w:r>
    </w:p>
    <w:p w14:paraId="5309BAA0" w14:textId="77777777" w:rsidR="008511AB" w:rsidRDefault="00606D09">
      <w:pPr>
        <w:pStyle w:val="aNote"/>
      </w:pPr>
      <w:r>
        <w:tab/>
        <w:t>For example, the signpost definition ‘</w:t>
      </w:r>
      <w:r>
        <w:rPr>
          <w:rStyle w:val="charBoldItals"/>
        </w:rPr>
        <w:t>gas distributor</w:t>
      </w:r>
      <w:r>
        <w:t xml:space="preserve">—see the </w:t>
      </w:r>
      <w:r>
        <w:rPr>
          <w:rStyle w:val="charItals"/>
        </w:rPr>
        <w:t>Utilities Act 2000</w:t>
      </w:r>
      <w:r>
        <w:t>, dictionary.’ means that the term ‘gas distributor’ is defined in that dictionary and the definition applies to this regulation.</w:t>
      </w:r>
    </w:p>
    <w:p w14:paraId="374966F0" w14:textId="77777777" w:rsidR="008511AB" w:rsidRDefault="00606D09">
      <w:pPr>
        <w:pStyle w:val="aNote"/>
      </w:pPr>
      <w:r>
        <w:rPr>
          <w:i/>
          <w:iCs/>
        </w:rPr>
        <w:t>Note 2</w:t>
      </w:r>
      <w:r>
        <w:tab/>
        <w:t>A definition in the dictionary (including a signpost definition)</w:t>
      </w:r>
      <w:r>
        <w:rPr>
          <w:color w:val="FF0000"/>
        </w:rPr>
        <w:t xml:space="preserve"> </w:t>
      </w:r>
      <w:r>
        <w:t>applies to the entire regulation unless the definition, or another provision of the regulation, provides otherwise or the contrary intention otherwise appears (see Legislation Act, s 155 and s 156 (1)).</w:t>
      </w:r>
    </w:p>
    <w:p w14:paraId="15FEE4B9" w14:textId="77777777" w:rsidR="008511AB" w:rsidRDefault="00606D09">
      <w:pPr>
        <w:pStyle w:val="AH5Sec"/>
      </w:pPr>
      <w:bookmarkStart w:id="11" w:name="_Toc111106640"/>
      <w:r>
        <w:rPr>
          <w:rStyle w:val="CharSectNo"/>
        </w:rPr>
        <w:t>4</w:t>
      </w:r>
      <w:r>
        <w:tab/>
        <w:t>Notes</w:t>
      </w:r>
      <w:bookmarkEnd w:id="11"/>
    </w:p>
    <w:p w14:paraId="6E995762" w14:textId="77777777" w:rsidR="008511AB" w:rsidRDefault="00606D09">
      <w:pPr>
        <w:pStyle w:val="Amainreturn"/>
      </w:pPr>
      <w:r>
        <w:t>A note included in this regulation is explanatory and is not part of this regulation.</w:t>
      </w:r>
    </w:p>
    <w:p w14:paraId="0BBA4410" w14:textId="77777777" w:rsidR="008511AB" w:rsidRDefault="00606D09">
      <w:pPr>
        <w:pStyle w:val="aNote"/>
      </w:pPr>
      <w:r>
        <w:rPr>
          <w:i/>
          <w:iCs/>
        </w:rPr>
        <w:t>Note</w:t>
      </w:r>
      <w:r>
        <w:rPr>
          <w:i/>
          <w:iCs/>
        </w:rPr>
        <w:tab/>
      </w:r>
      <w:r>
        <w:t>See the Legislation Act, s 127 (1), (4) and (5) for the legal status of notes.</w:t>
      </w:r>
    </w:p>
    <w:p w14:paraId="03D1DE3A" w14:textId="77777777" w:rsidR="008511AB" w:rsidRDefault="00606D09">
      <w:pPr>
        <w:pStyle w:val="AH5Sec"/>
      </w:pPr>
      <w:bookmarkStart w:id="12" w:name="_Toc111106641"/>
      <w:r>
        <w:rPr>
          <w:rStyle w:val="CharSectNo"/>
        </w:rPr>
        <w:t>4AA</w:t>
      </w:r>
      <w:r>
        <w:tab/>
        <w:t>Offences against regulation—application of Criminal Code etc</w:t>
      </w:r>
      <w:bookmarkEnd w:id="12"/>
    </w:p>
    <w:p w14:paraId="25470454" w14:textId="77777777" w:rsidR="008511AB" w:rsidRDefault="00606D09">
      <w:pPr>
        <w:pStyle w:val="Amainreturn"/>
      </w:pPr>
      <w:r>
        <w:t>Other legislation applies in relation to offences against this regulation.</w:t>
      </w:r>
    </w:p>
    <w:p w14:paraId="307DD944" w14:textId="77777777" w:rsidR="008511AB" w:rsidRDefault="00606D09">
      <w:pPr>
        <w:pStyle w:val="aNote"/>
      </w:pPr>
      <w:r>
        <w:rPr>
          <w:rStyle w:val="charItals"/>
        </w:rPr>
        <w:t>Note 1</w:t>
      </w:r>
      <w:r>
        <w:tab/>
      </w:r>
      <w:r>
        <w:rPr>
          <w:rStyle w:val="charItals"/>
        </w:rPr>
        <w:t>Criminal Code</w:t>
      </w:r>
    </w:p>
    <w:p w14:paraId="6704DBDE" w14:textId="77777777" w:rsidR="008511AB" w:rsidRDefault="00606D09">
      <w:pPr>
        <w:pStyle w:val="aNoteTextss"/>
      </w:pPr>
      <w:r>
        <w:t>The Criminal Code, ch 2 applies to the following offences against this regulation (see Code, pt 2.1):</w:t>
      </w:r>
    </w:p>
    <w:p w14:paraId="4073CF81" w14:textId="77777777" w:rsidR="008511AB" w:rsidRDefault="00606D09">
      <w:pPr>
        <w:pStyle w:val="aNoteBulletss"/>
      </w:pPr>
      <w:r>
        <w:rPr>
          <w:rFonts w:ascii="Symbol" w:hAnsi="Symbol" w:cs="Symbol"/>
        </w:rPr>
        <w:t>·</w:t>
      </w:r>
      <w:r>
        <w:rPr>
          <w:rFonts w:ascii="Symbol" w:hAnsi="Symbol" w:cs="Symbol"/>
        </w:rPr>
        <w:tab/>
      </w:r>
      <w:r>
        <w:t>s 17D (2) and (4) (Unsafe appliance)</w:t>
      </w:r>
    </w:p>
    <w:p w14:paraId="35EC6B5E" w14:textId="77777777" w:rsidR="008511AB" w:rsidRDefault="00606D09">
      <w:pPr>
        <w:pStyle w:val="aNoteBulletss"/>
      </w:pPr>
      <w:r>
        <w:rPr>
          <w:rFonts w:ascii="Symbol" w:hAnsi="Symbol" w:cs="Symbol"/>
        </w:rPr>
        <w:t>·</w:t>
      </w:r>
      <w:r>
        <w:rPr>
          <w:rFonts w:ascii="Symbol" w:hAnsi="Symbol" w:cs="Symbol"/>
        </w:rPr>
        <w:tab/>
      </w:r>
      <w:r>
        <w:t>s 17E (1) (Interfering with defect tag)</w:t>
      </w:r>
    </w:p>
    <w:p w14:paraId="49DFD761" w14:textId="77777777" w:rsidR="008511AB" w:rsidRDefault="00606D09">
      <w:pPr>
        <w:pStyle w:val="aNoteBulletss"/>
      </w:pPr>
      <w:r>
        <w:rPr>
          <w:rFonts w:ascii="Symbol" w:hAnsi="Symbol" w:cs="Symbol"/>
        </w:rPr>
        <w:lastRenderedPageBreak/>
        <w:t>·</w:t>
      </w:r>
      <w:r>
        <w:rPr>
          <w:rFonts w:ascii="Symbol" w:hAnsi="Symbol" w:cs="Symbol"/>
        </w:rPr>
        <w:tab/>
      </w:r>
      <w:r>
        <w:t>s 18G (4) (Compliance indicators—Act, s 25)</w:t>
      </w:r>
    </w:p>
    <w:p w14:paraId="2B568319" w14:textId="77777777" w:rsidR="008511AB" w:rsidRDefault="00606D09">
      <w:pPr>
        <w:pStyle w:val="aNoteTexts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0F02E46" w14:textId="77777777" w:rsidR="008511AB" w:rsidRDefault="00606D09">
      <w:pPr>
        <w:pStyle w:val="aNote"/>
        <w:rPr>
          <w:rStyle w:val="charItals"/>
        </w:rPr>
      </w:pPr>
      <w:r>
        <w:rPr>
          <w:rStyle w:val="charItals"/>
        </w:rPr>
        <w:t>Note 2</w:t>
      </w:r>
      <w:r>
        <w:rPr>
          <w:rStyle w:val="charItals"/>
        </w:rPr>
        <w:tab/>
        <w:t>Penalty units</w:t>
      </w:r>
    </w:p>
    <w:p w14:paraId="092C0541" w14:textId="77777777" w:rsidR="008511AB" w:rsidRDefault="00606D09">
      <w:pPr>
        <w:pStyle w:val="aNoteTextss"/>
      </w:pPr>
      <w:r>
        <w:t>The Legislation Act, s 133 deals with the meaning of offence penalties that are expressed in penalty units.</w:t>
      </w:r>
    </w:p>
    <w:p w14:paraId="78D24F93" w14:textId="77777777" w:rsidR="008511AB" w:rsidRDefault="00606D09">
      <w:pPr>
        <w:pStyle w:val="AH5Sec"/>
      </w:pPr>
      <w:bookmarkStart w:id="13" w:name="_Toc111106642"/>
      <w:r>
        <w:rPr>
          <w:rStyle w:val="CharSectNo"/>
        </w:rPr>
        <w:t>4A</w:t>
      </w:r>
      <w:r>
        <w:tab/>
        <w:t>References to Australian Gas Association standards and codes</w:t>
      </w:r>
      <w:bookmarkEnd w:id="13"/>
    </w:p>
    <w:p w14:paraId="3743A6C0" w14:textId="77777777" w:rsidR="008511AB" w:rsidRDefault="00606D09">
      <w:pPr>
        <w:pStyle w:val="Amain"/>
      </w:pPr>
      <w:r>
        <w:tab/>
        <w:t>(1)</w:t>
      </w:r>
      <w:r>
        <w:tab/>
        <w:t xml:space="preserve">In this regulation, a reference consisting of the letters ‘AG’ followed by a number is a reference to the standard or code so numbered, published by or on behalf of the Australian Gas Association (a </w:t>
      </w:r>
      <w:r>
        <w:rPr>
          <w:rStyle w:val="charBoldItals"/>
        </w:rPr>
        <w:t>gas association standard or code</w:t>
      </w:r>
      <w:r>
        <w:t>).</w:t>
      </w:r>
    </w:p>
    <w:p w14:paraId="3960E067" w14:textId="77777777" w:rsidR="008511AB" w:rsidRDefault="00606D09">
      <w:pPr>
        <w:pStyle w:val="Amain"/>
      </w:pPr>
      <w:r>
        <w:tab/>
        <w:t>(2)</w:t>
      </w:r>
      <w:r>
        <w:tab/>
        <w:t>A gas association standard or code applied by this regulation is applied as in force from time to time.</w:t>
      </w:r>
    </w:p>
    <w:p w14:paraId="548DA24A" w14:textId="77777777" w:rsidR="008511AB" w:rsidRDefault="00606D09">
      <w:pPr>
        <w:pStyle w:val="PageBreak"/>
      </w:pPr>
      <w:r>
        <w:br w:type="page"/>
      </w:r>
    </w:p>
    <w:p w14:paraId="5897C6AD" w14:textId="77777777" w:rsidR="008511AB" w:rsidRDefault="00606D09">
      <w:pPr>
        <w:pStyle w:val="AH2Part"/>
      </w:pPr>
      <w:bookmarkStart w:id="14" w:name="_Toc111106643"/>
      <w:r>
        <w:rPr>
          <w:rStyle w:val="CharPartNo"/>
        </w:rPr>
        <w:lastRenderedPageBreak/>
        <w:t>Part 2</w:t>
      </w:r>
      <w:r>
        <w:tab/>
      </w:r>
      <w:r>
        <w:rPr>
          <w:rStyle w:val="CharPartText"/>
        </w:rPr>
        <w:t>Work safety and standards</w:t>
      </w:r>
      <w:bookmarkEnd w:id="14"/>
    </w:p>
    <w:p w14:paraId="51ADB3DD" w14:textId="77777777" w:rsidR="008511AB" w:rsidRDefault="00606D09">
      <w:pPr>
        <w:pStyle w:val="AH3Div"/>
      </w:pPr>
      <w:bookmarkStart w:id="15" w:name="_Toc111106644"/>
      <w:r>
        <w:rPr>
          <w:rStyle w:val="CharDivNo"/>
        </w:rPr>
        <w:t>Division 2.1</w:t>
      </w:r>
      <w:r>
        <w:tab/>
      </w:r>
      <w:r>
        <w:rPr>
          <w:rStyle w:val="CharDivText"/>
        </w:rPr>
        <w:t>Gasfitting work</w:t>
      </w:r>
      <w:bookmarkEnd w:id="15"/>
    </w:p>
    <w:p w14:paraId="0FD9F709" w14:textId="77777777" w:rsidR="008511AB" w:rsidRDefault="00606D09">
      <w:pPr>
        <w:pStyle w:val="AH5Sec"/>
      </w:pPr>
      <w:bookmarkStart w:id="16" w:name="_Toc111106645"/>
      <w:r>
        <w:rPr>
          <w:rStyle w:val="CharSectNo"/>
        </w:rPr>
        <w:t>6</w:t>
      </w:r>
      <w:r>
        <w:tab/>
        <w:t>Testing gasfitting work on consumer piping system—Act, s 8</w:t>
      </w:r>
      <w:bookmarkEnd w:id="16"/>
    </w:p>
    <w:p w14:paraId="37E6CE44" w14:textId="77777777" w:rsidR="008511AB" w:rsidRDefault="00606D09">
      <w:pPr>
        <w:pStyle w:val="Amainreturn"/>
      </w:pPr>
      <w:r>
        <w:t>Immediately after completing gasfitting work on a consumer piping system, the responsible gasfitter must—</w:t>
      </w:r>
    </w:p>
    <w:p w14:paraId="2C83D0CF" w14:textId="77777777" w:rsidR="008511AB" w:rsidRDefault="00606D09">
      <w:pPr>
        <w:pStyle w:val="Apara"/>
      </w:pPr>
      <w:r>
        <w:tab/>
        <w:t>(a)</w:t>
      </w:r>
      <w:r>
        <w:tab/>
        <w:t>cap any appliance outlet from the system that does not have an appliance connected to it; and</w:t>
      </w:r>
    </w:p>
    <w:p w14:paraId="57EE6153" w14:textId="77777777" w:rsidR="008511AB" w:rsidRDefault="00606D09">
      <w:pPr>
        <w:pStyle w:val="Apara"/>
      </w:pPr>
      <w:r>
        <w:tab/>
        <w:t>(b)</w:t>
      </w:r>
      <w:r>
        <w:tab/>
        <w:t>if the work included the installation of a system—test the system for defects and ensure that it is safe; and</w:t>
      </w:r>
    </w:p>
    <w:p w14:paraId="6F189BF8" w14:textId="77777777" w:rsidR="008511AB" w:rsidRDefault="00606D09">
      <w:pPr>
        <w:pStyle w:val="Apara"/>
        <w:keepNext/>
      </w:pPr>
      <w:r>
        <w:tab/>
        <w:t>(c)</w:t>
      </w:r>
      <w:r>
        <w:tab/>
        <w:t>if the work was done on part of the system—test the part for defects and ensure that the system is safe.</w:t>
      </w:r>
    </w:p>
    <w:p w14:paraId="1E246BBD" w14:textId="77777777" w:rsidR="008511AB" w:rsidRDefault="00606D09">
      <w:pPr>
        <w:pStyle w:val="Penalty"/>
        <w:keepNext/>
      </w:pPr>
      <w:r>
        <w:t>Maximum penalty: 10 penalty units.</w:t>
      </w:r>
    </w:p>
    <w:p w14:paraId="7645E1D6" w14:textId="77777777" w:rsidR="008511AB" w:rsidRDefault="00606D09">
      <w:pPr>
        <w:pStyle w:val="AH5Sec"/>
      </w:pPr>
      <w:bookmarkStart w:id="17" w:name="_Toc111106646"/>
      <w:r>
        <w:rPr>
          <w:rStyle w:val="CharSectNo"/>
        </w:rPr>
        <w:t>7</w:t>
      </w:r>
      <w:r>
        <w:tab/>
        <w:t>Testing gas connection service</w:t>
      </w:r>
      <w:bookmarkEnd w:id="17"/>
    </w:p>
    <w:p w14:paraId="71F5C713" w14:textId="77777777" w:rsidR="008511AB" w:rsidRDefault="00606D09">
      <w:pPr>
        <w:pStyle w:val="Amain"/>
      </w:pPr>
      <w:r>
        <w:tab/>
        <w:t>(1)</w:t>
      </w:r>
      <w:r>
        <w:tab/>
        <w:t>A person who connects a consumer piping system to a gas distribution network must—</w:t>
      </w:r>
    </w:p>
    <w:p w14:paraId="7CE31950" w14:textId="77777777" w:rsidR="008511AB" w:rsidRDefault="00606D09">
      <w:pPr>
        <w:pStyle w:val="Apara"/>
      </w:pPr>
      <w:r>
        <w:tab/>
        <w:t>(a)</w:t>
      </w:r>
      <w:r>
        <w:tab/>
        <w:t>ensure that the system and the installation of each appliance comply with all relevant codes; and</w:t>
      </w:r>
    </w:p>
    <w:p w14:paraId="2F4F042E" w14:textId="77777777" w:rsidR="008511AB" w:rsidRDefault="00606D09" w:rsidP="005404F2">
      <w:pPr>
        <w:pStyle w:val="Apara"/>
      </w:pPr>
      <w:r>
        <w:tab/>
        <w:t>(b)</w:t>
      </w:r>
      <w:r>
        <w:tab/>
        <w:t>inspect and test each appliance connected to the system to ensure that it operates in accordance with the manufacturer’s instructions and specifications and that its installation complies with any condition of an exemption under subsection (2) or section 9 (2).</w:t>
      </w:r>
    </w:p>
    <w:p w14:paraId="056024C4" w14:textId="77777777" w:rsidR="008511AB" w:rsidRDefault="00606D09">
      <w:pPr>
        <w:pStyle w:val="Penalty"/>
        <w:keepNext/>
      </w:pPr>
      <w:r>
        <w:t>Maximum penalty: 10 penalty units.</w:t>
      </w:r>
    </w:p>
    <w:p w14:paraId="546F34B1" w14:textId="77777777" w:rsidR="008511AB" w:rsidRDefault="00606D09" w:rsidP="005404F2">
      <w:pPr>
        <w:pStyle w:val="aNote"/>
      </w:pPr>
      <w:r>
        <w:rPr>
          <w:rStyle w:val="charItals"/>
        </w:rPr>
        <w:t>Note</w:t>
      </w:r>
      <w:r>
        <w:rPr>
          <w:rStyle w:val="charItals"/>
        </w:rPr>
        <w:tab/>
      </w:r>
      <w:r>
        <w:rPr>
          <w:rStyle w:val="charBoldItals"/>
        </w:rPr>
        <w:t>Code</w:t>
      </w:r>
      <w:r>
        <w:t xml:space="preserve"> is defined in the Act, dict, as a code of practice approved under the Act, s 65 (Codes of practice) as varied and in force from time to time.</w:t>
      </w:r>
    </w:p>
    <w:p w14:paraId="49453AB3" w14:textId="77777777" w:rsidR="008511AB" w:rsidRDefault="00606D09">
      <w:pPr>
        <w:pStyle w:val="Amain"/>
      </w:pPr>
      <w:r>
        <w:lastRenderedPageBreak/>
        <w:tab/>
        <w:t>(2)</w:t>
      </w:r>
      <w:r>
        <w:tab/>
        <w:t>The chief executive may exempt a person from the application of subsection (1) (a) to the installation of an appliance if the chief executive believes on reasonable grounds that—</w:t>
      </w:r>
    </w:p>
    <w:p w14:paraId="7FE9BB0B" w14:textId="77777777" w:rsidR="008511AB" w:rsidRDefault="00606D09">
      <w:pPr>
        <w:pStyle w:val="Apara"/>
      </w:pPr>
      <w:r>
        <w:tab/>
        <w:t>(a)</w:t>
      </w:r>
      <w:r>
        <w:tab/>
        <w:t>compliance with the relevant codes does not justify the cost of compliance; and</w:t>
      </w:r>
    </w:p>
    <w:p w14:paraId="44B982EA" w14:textId="77777777" w:rsidR="008511AB" w:rsidRDefault="00606D09">
      <w:pPr>
        <w:pStyle w:val="Apara"/>
      </w:pPr>
      <w:r>
        <w:tab/>
        <w:t>(b)</w:t>
      </w:r>
      <w:r>
        <w:tab/>
        <w:t>the degree of safety reached in other ways is acceptable.</w:t>
      </w:r>
    </w:p>
    <w:p w14:paraId="1BE036D5" w14:textId="77777777" w:rsidR="008511AB" w:rsidRDefault="00606D09">
      <w:pPr>
        <w:pStyle w:val="Amain"/>
      </w:pPr>
      <w:r>
        <w:tab/>
        <w:t>(3)</w:t>
      </w:r>
      <w:r>
        <w:tab/>
        <w:t>The chief executive must give the person written notice of the exemption.</w:t>
      </w:r>
    </w:p>
    <w:p w14:paraId="03A44B78" w14:textId="77777777" w:rsidR="008511AB" w:rsidRDefault="00606D09">
      <w:pPr>
        <w:pStyle w:val="Amain"/>
      </w:pPr>
      <w:r>
        <w:tab/>
        <w:t>(4)</w:t>
      </w:r>
      <w:r>
        <w:tab/>
        <w:t>An exemption under this section is subject to any condition stated in the exemption.</w:t>
      </w:r>
    </w:p>
    <w:p w14:paraId="50EFF603" w14:textId="77777777" w:rsidR="008511AB" w:rsidRDefault="00606D09">
      <w:pPr>
        <w:pStyle w:val="AH5Sec"/>
      </w:pPr>
      <w:bookmarkStart w:id="18" w:name="_Toc111106647"/>
      <w:r>
        <w:rPr>
          <w:rStyle w:val="CharSectNo"/>
        </w:rPr>
        <w:t>9</w:t>
      </w:r>
      <w:r>
        <w:tab/>
        <w:t>Testing appliance connection</w:t>
      </w:r>
      <w:bookmarkEnd w:id="18"/>
    </w:p>
    <w:p w14:paraId="20BDAC81" w14:textId="77777777" w:rsidR="008511AB" w:rsidRDefault="00606D09">
      <w:pPr>
        <w:pStyle w:val="Amain"/>
      </w:pPr>
      <w:r>
        <w:tab/>
        <w:t>(1)</w:t>
      </w:r>
      <w:r>
        <w:tab/>
        <w:t>Immediately after connecting an appliance to a gas outlet in a consumer piping system that is connected to a gas distribution network, the responsible gasfitter must—</w:t>
      </w:r>
    </w:p>
    <w:p w14:paraId="278F9B6B" w14:textId="77777777" w:rsidR="008511AB" w:rsidRDefault="00606D09">
      <w:pPr>
        <w:pStyle w:val="Apara"/>
      </w:pPr>
      <w:r>
        <w:tab/>
        <w:t>(a)</w:t>
      </w:r>
      <w:r>
        <w:tab/>
        <w:t>ensure that the installation of the appliance complies with all relevant codes; and</w:t>
      </w:r>
    </w:p>
    <w:p w14:paraId="4B4A2772" w14:textId="77777777" w:rsidR="008511AB" w:rsidRDefault="00606D09">
      <w:pPr>
        <w:pStyle w:val="Apara"/>
        <w:keepNext/>
      </w:pPr>
      <w:r>
        <w:tab/>
        <w:t>(b)</w:t>
      </w:r>
      <w:r>
        <w:tab/>
        <w:t>inspect and test the appliance to ensure that it operates in accordance with the manufacturer’s instructions and specifications and that its installation complies with any condition of an exemption under subsection (2) or section 7 (2).</w:t>
      </w:r>
    </w:p>
    <w:p w14:paraId="76D81681" w14:textId="77777777" w:rsidR="008511AB" w:rsidRDefault="00606D09">
      <w:pPr>
        <w:pStyle w:val="Penalty"/>
        <w:keepNext/>
      </w:pPr>
      <w:r>
        <w:t>Maximum penalty: 10 penalty units.</w:t>
      </w:r>
    </w:p>
    <w:p w14:paraId="5AE447C0" w14:textId="77777777" w:rsidR="008511AB" w:rsidRDefault="00606D09">
      <w:pPr>
        <w:pStyle w:val="Amain"/>
      </w:pPr>
      <w:r>
        <w:tab/>
        <w:t>(2)</w:t>
      </w:r>
      <w:r>
        <w:tab/>
        <w:t>The chief executive may exempt a person from the application of subsection (1) (a) to the installation of an appliance if the chief executive believes on reasonable grounds that—</w:t>
      </w:r>
    </w:p>
    <w:p w14:paraId="02A17861" w14:textId="77777777" w:rsidR="008511AB" w:rsidRDefault="00606D09">
      <w:pPr>
        <w:pStyle w:val="Apara"/>
      </w:pPr>
      <w:r>
        <w:tab/>
        <w:t>(a)</w:t>
      </w:r>
      <w:r>
        <w:tab/>
        <w:t>compliance with the relevant codes does not justify the cost of compliance; and</w:t>
      </w:r>
    </w:p>
    <w:p w14:paraId="0793DCBC" w14:textId="77777777" w:rsidR="008511AB" w:rsidRDefault="00606D09">
      <w:pPr>
        <w:pStyle w:val="Apara"/>
      </w:pPr>
      <w:r>
        <w:tab/>
        <w:t>(b)</w:t>
      </w:r>
      <w:r>
        <w:tab/>
        <w:t>the degree of safety reached in other ways is acceptable.</w:t>
      </w:r>
    </w:p>
    <w:p w14:paraId="4E87D451" w14:textId="77777777" w:rsidR="008511AB" w:rsidRDefault="00606D09">
      <w:pPr>
        <w:pStyle w:val="Amain"/>
      </w:pPr>
      <w:r>
        <w:lastRenderedPageBreak/>
        <w:tab/>
        <w:t>(3)</w:t>
      </w:r>
      <w:r>
        <w:tab/>
        <w:t>The chief executive must give the person written notice of the exemption.</w:t>
      </w:r>
    </w:p>
    <w:p w14:paraId="4BE904DA" w14:textId="77777777" w:rsidR="008511AB" w:rsidRDefault="00606D09">
      <w:pPr>
        <w:pStyle w:val="Amain"/>
      </w:pPr>
      <w:r>
        <w:tab/>
        <w:t>(4)</w:t>
      </w:r>
      <w:r>
        <w:tab/>
        <w:t>An exemption under this section is subject to any condition stated in the exemption.</w:t>
      </w:r>
    </w:p>
    <w:p w14:paraId="456BFD28" w14:textId="77777777" w:rsidR="008511AB" w:rsidRDefault="00606D09">
      <w:pPr>
        <w:pStyle w:val="AH5Sec"/>
      </w:pPr>
      <w:bookmarkStart w:id="19" w:name="_Toc111106648"/>
      <w:r>
        <w:rPr>
          <w:rStyle w:val="CharSectNo"/>
        </w:rPr>
        <w:t>10</w:t>
      </w:r>
      <w:r>
        <w:tab/>
        <w:t>Testing appliance disconnection etc</w:t>
      </w:r>
      <w:bookmarkEnd w:id="19"/>
    </w:p>
    <w:p w14:paraId="5ADBB8D4" w14:textId="77777777" w:rsidR="008511AB" w:rsidRDefault="00606D09">
      <w:pPr>
        <w:pStyle w:val="Amain"/>
      </w:pPr>
      <w:r>
        <w:tab/>
        <w:t>(1)</w:t>
      </w:r>
      <w:r>
        <w:tab/>
        <w:t>This section applies to gasfitting work if—</w:t>
      </w:r>
    </w:p>
    <w:p w14:paraId="3A4E79ED" w14:textId="77777777" w:rsidR="008511AB" w:rsidRDefault="00606D09">
      <w:pPr>
        <w:pStyle w:val="Apara"/>
      </w:pPr>
      <w:r>
        <w:tab/>
        <w:t>(a)</w:t>
      </w:r>
      <w:r>
        <w:tab/>
        <w:t xml:space="preserve">in the course of the work an appliance (the </w:t>
      </w:r>
      <w:r>
        <w:rPr>
          <w:rStyle w:val="charBoldItals"/>
        </w:rPr>
        <w:t>original appliance</w:t>
      </w:r>
      <w:r>
        <w:t xml:space="preserve">) is disconnected from a consumer piping system; and </w:t>
      </w:r>
    </w:p>
    <w:p w14:paraId="6FA85BED" w14:textId="77777777" w:rsidR="008511AB" w:rsidRDefault="00606D09">
      <w:pPr>
        <w:pStyle w:val="Apara"/>
      </w:pPr>
      <w:r>
        <w:tab/>
        <w:t>(b)</w:t>
      </w:r>
      <w:r>
        <w:tab/>
        <w:t>the original appliance has not been reconnected; and</w:t>
      </w:r>
    </w:p>
    <w:p w14:paraId="28DB8358" w14:textId="77777777" w:rsidR="008511AB" w:rsidRDefault="00606D09">
      <w:pPr>
        <w:pStyle w:val="Apara"/>
      </w:pPr>
      <w:r>
        <w:tab/>
        <w:t>(c)</w:t>
      </w:r>
      <w:r>
        <w:tab/>
        <w:t>another appliance has not been connected in place of the original appliance.</w:t>
      </w:r>
    </w:p>
    <w:p w14:paraId="084A7E58" w14:textId="77777777" w:rsidR="008511AB" w:rsidRDefault="00606D09">
      <w:pPr>
        <w:pStyle w:val="Amain"/>
      </w:pPr>
      <w:r>
        <w:tab/>
        <w:t>(2)</w:t>
      </w:r>
      <w:r>
        <w:tab/>
        <w:t>This section applies to gasfitting work whether or not other gasfitting work is performed on the same consumer piping system.</w:t>
      </w:r>
    </w:p>
    <w:p w14:paraId="2CDDB25D" w14:textId="77777777" w:rsidR="008511AB" w:rsidRDefault="00606D09">
      <w:pPr>
        <w:pStyle w:val="Amain"/>
      </w:pPr>
      <w:r>
        <w:tab/>
        <w:t>(3)</w:t>
      </w:r>
      <w:r>
        <w:tab/>
        <w:t>As soon as possible after the gasfitting work is performed and before leaving the premises where, at the time of the disconnection, the original appliance was located, the person must—</w:t>
      </w:r>
    </w:p>
    <w:p w14:paraId="50105CB2" w14:textId="77777777" w:rsidR="008511AB" w:rsidRDefault="00606D09">
      <w:pPr>
        <w:pStyle w:val="Apara"/>
      </w:pPr>
      <w:r>
        <w:tab/>
        <w:t>(a)</w:t>
      </w:r>
      <w:r>
        <w:tab/>
        <w:t xml:space="preserve">cap the system outlet for the appliance; and </w:t>
      </w:r>
    </w:p>
    <w:p w14:paraId="1EC0FA5F" w14:textId="77777777" w:rsidR="008511AB" w:rsidRDefault="00606D09">
      <w:pPr>
        <w:pStyle w:val="Apara"/>
        <w:keepNext/>
      </w:pPr>
      <w:r>
        <w:tab/>
        <w:t>(b)</w:t>
      </w:r>
      <w:r>
        <w:tab/>
        <w:t>test the system and ensure that there are no leaks.</w:t>
      </w:r>
    </w:p>
    <w:p w14:paraId="6C51E2F4" w14:textId="77777777" w:rsidR="008511AB" w:rsidRDefault="00606D09">
      <w:pPr>
        <w:pStyle w:val="Penalty"/>
        <w:keepNext/>
      </w:pPr>
      <w:r>
        <w:t>Maximum penalty: 10 penalty units.</w:t>
      </w:r>
    </w:p>
    <w:p w14:paraId="1C7C9FAE" w14:textId="77777777" w:rsidR="008511AB" w:rsidRDefault="00606D09">
      <w:pPr>
        <w:pStyle w:val="AH5Sec"/>
      </w:pPr>
      <w:bookmarkStart w:id="20" w:name="_Toc111106649"/>
      <w:r>
        <w:rPr>
          <w:rStyle w:val="CharSectNo"/>
        </w:rPr>
        <w:t>11</w:t>
      </w:r>
      <w:r>
        <w:tab/>
        <w:t>Compliance indicators</w:t>
      </w:r>
      <w:bookmarkEnd w:id="20"/>
    </w:p>
    <w:p w14:paraId="7406A58F" w14:textId="77777777" w:rsidR="008511AB" w:rsidRDefault="00606D09">
      <w:pPr>
        <w:pStyle w:val="Amain"/>
      </w:pPr>
      <w:r>
        <w:tab/>
        <w:t>(1)</w:t>
      </w:r>
      <w:r>
        <w:tab/>
        <w:t>For the Act, section 9 (1), a compliance indicator must be fixed in a conspicuous place to a permanent structure near the meter through which gas is conveyed to the consumer piping system.</w:t>
      </w:r>
    </w:p>
    <w:p w14:paraId="3E0A4680" w14:textId="77777777" w:rsidR="008511AB" w:rsidRDefault="00606D09">
      <w:pPr>
        <w:pStyle w:val="Amain"/>
      </w:pPr>
      <w:r>
        <w:tab/>
        <w:t>(2)</w:t>
      </w:r>
      <w:r>
        <w:tab/>
        <w:t>For the Act, section 9 (2), a compliance indicator must contain sufficient details to identify the consumer piping system that it refers to and the certificate of compliance given for the work.</w:t>
      </w:r>
    </w:p>
    <w:p w14:paraId="2B3F778A" w14:textId="77777777" w:rsidR="008511AB" w:rsidRDefault="00606D09">
      <w:pPr>
        <w:pStyle w:val="AH5Sec"/>
      </w:pPr>
      <w:bookmarkStart w:id="21" w:name="_Toc111106650"/>
      <w:r>
        <w:rPr>
          <w:rStyle w:val="CharSectNo"/>
        </w:rPr>
        <w:lastRenderedPageBreak/>
        <w:t>12</w:t>
      </w:r>
      <w:r>
        <w:tab/>
        <w:t>Certificates of compliance</w:t>
      </w:r>
      <w:bookmarkEnd w:id="21"/>
    </w:p>
    <w:p w14:paraId="3CD9B735" w14:textId="77777777" w:rsidR="008511AB" w:rsidRDefault="00606D09">
      <w:pPr>
        <w:pStyle w:val="Amain"/>
      </w:pPr>
      <w:r>
        <w:tab/>
        <w:t>(1)</w:t>
      </w:r>
      <w:r>
        <w:tab/>
        <w:t>For the Act, section 9 (1), the certificate of compliance must be signed by the gasfitter and given to the owner or occupier of the premises where the gasfitting work is completed, either—</w:t>
      </w:r>
    </w:p>
    <w:p w14:paraId="07565070" w14:textId="77777777" w:rsidR="008511AB" w:rsidRDefault="00606D09">
      <w:pPr>
        <w:pStyle w:val="Apara"/>
      </w:pPr>
      <w:r>
        <w:tab/>
        <w:t>(a)</w:t>
      </w:r>
      <w:r>
        <w:tab/>
        <w:t>by giving it to the owner or occupier personally; or</w:t>
      </w:r>
    </w:p>
    <w:p w14:paraId="1558868C" w14:textId="77777777" w:rsidR="008511AB" w:rsidRDefault="00606D09">
      <w:pPr>
        <w:pStyle w:val="Apara"/>
      </w:pPr>
      <w:r>
        <w:tab/>
        <w:t>(b)</w:t>
      </w:r>
      <w:r>
        <w:tab/>
        <w:t>by leaving it, addressed to the owner or occupier, in a conspicuous place on the premises.</w:t>
      </w:r>
    </w:p>
    <w:p w14:paraId="002E62A2" w14:textId="77777777" w:rsidR="008511AB" w:rsidRDefault="00606D09">
      <w:pPr>
        <w:pStyle w:val="Amain"/>
        <w:keepNext/>
      </w:pPr>
      <w:r>
        <w:tab/>
        <w:t>(2)</w:t>
      </w:r>
      <w:r>
        <w:tab/>
        <w:t>A gasfitter who gives a certificate of compliance in relation to gasfitting work must give a copy of the certificate to the chief executive.</w:t>
      </w:r>
    </w:p>
    <w:p w14:paraId="0E8A960E" w14:textId="77777777" w:rsidR="008511AB" w:rsidRDefault="00606D09">
      <w:pPr>
        <w:pStyle w:val="Penalty"/>
        <w:keepNext/>
      </w:pPr>
      <w:r>
        <w:t>Maximum penalty: 10 penalty units.</w:t>
      </w:r>
    </w:p>
    <w:p w14:paraId="75AB4936" w14:textId="77777777" w:rsidR="008511AB" w:rsidRDefault="00606D09">
      <w:pPr>
        <w:pStyle w:val="Amain"/>
        <w:keepNext/>
      </w:pPr>
      <w:r>
        <w:tab/>
        <w:t>(3)</w:t>
      </w:r>
      <w:r>
        <w:tab/>
        <w:t>A gasfitter who gives a certificate of compliance must keep a copy of the certificate for at least 2 years after the day it was signed.</w:t>
      </w:r>
    </w:p>
    <w:p w14:paraId="472498AE" w14:textId="77777777" w:rsidR="008511AB" w:rsidRDefault="00606D09">
      <w:pPr>
        <w:pStyle w:val="Penalty"/>
        <w:keepNext/>
      </w:pPr>
      <w:r>
        <w:t>Maximum penalty: 10 penalty units.</w:t>
      </w:r>
    </w:p>
    <w:p w14:paraId="62022533" w14:textId="77777777" w:rsidR="008511AB" w:rsidRDefault="00606D09">
      <w:pPr>
        <w:pStyle w:val="Amain"/>
      </w:pPr>
      <w:r>
        <w:tab/>
        <w:t>(4)</w:t>
      </w:r>
      <w:r>
        <w:tab/>
        <w:t>The chief executive must keep a record of the information in a certificate received under subsection (2) for at least 10 years after the day of receipt.</w:t>
      </w:r>
    </w:p>
    <w:p w14:paraId="0759F524" w14:textId="77777777" w:rsidR="008511AB" w:rsidRDefault="00606D09">
      <w:pPr>
        <w:pStyle w:val="AH5Sec"/>
      </w:pPr>
      <w:bookmarkStart w:id="22" w:name="_Toc111106651"/>
      <w:r>
        <w:rPr>
          <w:rStyle w:val="CharSectNo"/>
        </w:rPr>
        <w:t>13</w:t>
      </w:r>
      <w:r>
        <w:tab/>
        <w:t>Interfering with compliance indicators</w:t>
      </w:r>
      <w:bookmarkEnd w:id="22"/>
    </w:p>
    <w:p w14:paraId="211E10DD" w14:textId="77777777" w:rsidR="008511AB" w:rsidRDefault="00606D09">
      <w:pPr>
        <w:pStyle w:val="Amain"/>
        <w:keepNext/>
      </w:pPr>
      <w:r>
        <w:tab/>
        <w:t>(1)</w:t>
      </w:r>
      <w:r>
        <w:tab/>
        <w:t>A person must not, without reasonable excuse, remove, alter, damage or deface a compliance indicator attached to a consumer piping system.</w:t>
      </w:r>
    </w:p>
    <w:p w14:paraId="1979BD43" w14:textId="77777777" w:rsidR="008511AB" w:rsidRDefault="00606D09">
      <w:pPr>
        <w:pStyle w:val="Penalty"/>
        <w:keepNext/>
      </w:pPr>
      <w:r>
        <w:t>Maximum penalty: 10 penalty units.</w:t>
      </w:r>
    </w:p>
    <w:p w14:paraId="6E5E780C" w14:textId="77777777" w:rsidR="008511AB" w:rsidRDefault="00606D09">
      <w:pPr>
        <w:pStyle w:val="Amain"/>
      </w:pPr>
      <w:r>
        <w:tab/>
        <w:t>(2)</w:t>
      </w:r>
      <w:r>
        <w:tab/>
        <w:t>Subsection (1) does not apply to the removal of a compliance indicator by the person who attached it to the consumer piping system, or by an inspector, if the person or the inspector believes on reasonable grounds that the system is safe.</w:t>
      </w:r>
    </w:p>
    <w:p w14:paraId="393053DA" w14:textId="77777777" w:rsidR="008511AB" w:rsidRDefault="00606D09">
      <w:pPr>
        <w:pStyle w:val="Amain"/>
      </w:pPr>
      <w:r>
        <w:lastRenderedPageBreak/>
        <w:tab/>
        <w:t>(3)</w:t>
      </w:r>
      <w:r>
        <w:tab/>
        <w:t>An inspector who removes a compliance indicator under subsection (2) must, as soon as practicable, notify, in writing, the person who had attached the indicator of the removal.</w:t>
      </w:r>
    </w:p>
    <w:p w14:paraId="0E0DB6D4" w14:textId="77777777" w:rsidR="008511AB" w:rsidRDefault="00606D09">
      <w:pPr>
        <w:pStyle w:val="AH5Sec"/>
      </w:pPr>
      <w:bookmarkStart w:id="23" w:name="_Toc111106652"/>
      <w:r>
        <w:rPr>
          <w:rStyle w:val="CharSectNo"/>
        </w:rPr>
        <w:t>15</w:t>
      </w:r>
      <w:r>
        <w:tab/>
        <w:t>Unsafe consumer piping system—Act, s 12</w:t>
      </w:r>
      <w:bookmarkEnd w:id="23"/>
    </w:p>
    <w:p w14:paraId="3F2B9452" w14:textId="77777777" w:rsidR="008511AB" w:rsidRDefault="00606D09">
      <w:pPr>
        <w:pStyle w:val="Amain"/>
      </w:pPr>
      <w:r>
        <w:tab/>
        <w:t>(1)</w:t>
      </w:r>
      <w:r>
        <w:tab/>
        <w:t>For the Act, section 12 (2), the responsible gasfitter must, immediately on discovering that a consumer piping system is unsafe—</w:t>
      </w:r>
    </w:p>
    <w:p w14:paraId="05E5D533" w14:textId="77777777" w:rsidR="008511AB" w:rsidRDefault="00606D09">
      <w:pPr>
        <w:pStyle w:val="Apara"/>
      </w:pPr>
      <w:r>
        <w:tab/>
        <w:t>(a)</w:t>
      </w:r>
      <w:r>
        <w:tab/>
        <w:t>isolate the system from the gas supply; and</w:t>
      </w:r>
    </w:p>
    <w:p w14:paraId="5D30BCF9" w14:textId="77777777" w:rsidR="008511AB" w:rsidRDefault="00606D09">
      <w:pPr>
        <w:pStyle w:val="Apara"/>
        <w:keepNext/>
      </w:pPr>
      <w:r>
        <w:tab/>
        <w:t>(b)</w:t>
      </w:r>
      <w:r>
        <w:tab/>
        <w:t>securely attach, in a conspicuous place to an appropriate meter control or isolation valve in the system, a defect tag that indicates that the system has been isolated because it is unsafe.</w:t>
      </w:r>
    </w:p>
    <w:p w14:paraId="31CE862F" w14:textId="77777777" w:rsidR="008511AB" w:rsidRDefault="00606D09">
      <w:pPr>
        <w:pStyle w:val="aNote"/>
      </w:pPr>
      <w:r>
        <w:rPr>
          <w:rStyle w:val="charItals"/>
        </w:rPr>
        <w:t>Note</w:t>
      </w:r>
      <w:r>
        <w:rPr>
          <w:rStyle w:val="charItals"/>
        </w:rPr>
        <w:tab/>
      </w:r>
      <w:r>
        <w:t>If a defect tag is approved under s 19 (Approved defect tags) for this section, the tag must be used.</w:t>
      </w:r>
    </w:p>
    <w:p w14:paraId="5AFE77DD" w14:textId="77777777" w:rsidR="008511AB" w:rsidRDefault="00606D09">
      <w:pPr>
        <w:pStyle w:val="Amain"/>
      </w:pPr>
      <w:r>
        <w:tab/>
        <w:t>(2)</w:t>
      </w:r>
      <w:r>
        <w:tab/>
        <w:t>For the Act, section 12 (2), the notice of the unsafe system and the action necessary to make it safe must be given to the owner or occupier of the premises and to an inspector.</w:t>
      </w:r>
    </w:p>
    <w:p w14:paraId="6F493B5D" w14:textId="77777777" w:rsidR="008511AB" w:rsidRDefault="00606D09">
      <w:pPr>
        <w:pStyle w:val="Amain"/>
        <w:keepNext/>
      </w:pPr>
      <w:r>
        <w:tab/>
        <w:t>(3)</w:t>
      </w:r>
      <w:r>
        <w:tab/>
        <w:t>A gasfitter who gives a notice under subsection (2) must keep for at least 5 years a record of the notice sufficient to identify the premises where the system is located and when the notice was given.</w:t>
      </w:r>
    </w:p>
    <w:p w14:paraId="67775612" w14:textId="77777777" w:rsidR="008511AB" w:rsidRDefault="00606D09" w:rsidP="005404F2">
      <w:pPr>
        <w:pStyle w:val="Penalty"/>
      </w:pPr>
      <w:r>
        <w:t>Maximum penalty: 10 penalty units.</w:t>
      </w:r>
    </w:p>
    <w:p w14:paraId="682DD0F8" w14:textId="77777777" w:rsidR="008511AB" w:rsidRDefault="00606D09">
      <w:pPr>
        <w:pStyle w:val="Amain"/>
        <w:keepNext/>
      </w:pPr>
      <w:r>
        <w:tab/>
        <w:t>(4)</w:t>
      </w:r>
      <w:r>
        <w:tab/>
        <w:t>A gasfitter who keeps a record under subsection (3) must not, without reasonable excuse, fail to produce the record if requested to do so by an inspector.</w:t>
      </w:r>
    </w:p>
    <w:p w14:paraId="40B6B188" w14:textId="77777777" w:rsidR="008511AB" w:rsidRDefault="00606D09" w:rsidP="005404F2">
      <w:pPr>
        <w:pStyle w:val="Penalty"/>
      </w:pPr>
      <w:r>
        <w:t>Maximum penalty:  10 penalty units.</w:t>
      </w:r>
    </w:p>
    <w:p w14:paraId="3BC5766A" w14:textId="77777777" w:rsidR="008511AB" w:rsidRDefault="00606D09">
      <w:pPr>
        <w:pStyle w:val="AH5Sec"/>
      </w:pPr>
      <w:bookmarkStart w:id="24" w:name="_Toc111106653"/>
      <w:r>
        <w:rPr>
          <w:rStyle w:val="CharSectNo"/>
        </w:rPr>
        <w:t>16</w:t>
      </w:r>
      <w:r>
        <w:tab/>
        <w:t>Interfering with defect tags</w:t>
      </w:r>
      <w:bookmarkEnd w:id="24"/>
    </w:p>
    <w:p w14:paraId="215C8957" w14:textId="77777777" w:rsidR="008511AB" w:rsidRDefault="00606D09">
      <w:pPr>
        <w:pStyle w:val="Amain"/>
        <w:keepNext/>
      </w:pPr>
      <w:r>
        <w:tab/>
        <w:t>(1)</w:t>
      </w:r>
      <w:r>
        <w:tab/>
        <w:t>A person must not, without reasonable excuse, remove, alter, damage or deface a defect tag attached to a consumer piping system.</w:t>
      </w:r>
    </w:p>
    <w:p w14:paraId="760D975C" w14:textId="77777777" w:rsidR="008511AB" w:rsidRDefault="00606D09" w:rsidP="005404F2">
      <w:pPr>
        <w:pStyle w:val="Penalty"/>
      </w:pPr>
      <w:r>
        <w:t>Maximum penalty: 10 penalty units.</w:t>
      </w:r>
    </w:p>
    <w:p w14:paraId="02748C94" w14:textId="77777777" w:rsidR="008511AB" w:rsidRDefault="00606D09">
      <w:pPr>
        <w:pStyle w:val="Amain"/>
      </w:pPr>
      <w:r>
        <w:lastRenderedPageBreak/>
        <w:tab/>
        <w:t>(2)</w:t>
      </w:r>
      <w:r>
        <w:tab/>
        <w:t>Subsection (1) does not apply to the removal of a defect tag by the person who attached it to the consumer piping system, or by an inspector, if the person or the inspector believes on reasonable grounds that the system is safe.</w:t>
      </w:r>
    </w:p>
    <w:p w14:paraId="4C41A976" w14:textId="77777777" w:rsidR="008511AB" w:rsidRDefault="00606D09">
      <w:pPr>
        <w:pStyle w:val="Amain"/>
      </w:pPr>
      <w:r>
        <w:tab/>
        <w:t>(3)</w:t>
      </w:r>
      <w:r>
        <w:tab/>
        <w:t>An inspector who removes a defect tag under subsection (2) must, as soon as practicable, notify, in writing, the person who had attached the tag of the removal.</w:t>
      </w:r>
    </w:p>
    <w:p w14:paraId="0E0EE758" w14:textId="77777777" w:rsidR="008511AB" w:rsidRDefault="00606D09">
      <w:pPr>
        <w:pStyle w:val="AH5Sec"/>
      </w:pPr>
      <w:bookmarkStart w:id="25" w:name="_Toc111106654"/>
      <w:r>
        <w:rPr>
          <w:rStyle w:val="CharSectNo"/>
        </w:rPr>
        <w:t>17</w:t>
      </w:r>
      <w:r>
        <w:tab/>
        <w:t>Chief executive may direct testing of consumer piping system</w:t>
      </w:r>
      <w:bookmarkEnd w:id="25"/>
    </w:p>
    <w:p w14:paraId="6CCDCC6B" w14:textId="77777777" w:rsidR="008511AB" w:rsidRDefault="00606D09">
      <w:pPr>
        <w:pStyle w:val="Amain"/>
        <w:keepNext/>
      </w:pPr>
      <w:r>
        <w:tab/>
        <w:t>(1)</w:t>
      </w:r>
      <w:r>
        <w:tab/>
        <w:t>This section applies if the chief executive believes on reasonable grounds that a consumer piping system is not safe, or may not be safe, having regard to all or any of the following matters:</w:t>
      </w:r>
    </w:p>
    <w:p w14:paraId="2E282094" w14:textId="77777777" w:rsidR="008511AB" w:rsidRDefault="00606D09">
      <w:pPr>
        <w:pStyle w:val="Apara"/>
      </w:pPr>
      <w:r>
        <w:tab/>
        <w:t>(a)</w:t>
      </w:r>
      <w:r>
        <w:tab/>
        <w:t>the period since the system was tested;</w:t>
      </w:r>
    </w:p>
    <w:p w14:paraId="5476A368" w14:textId="77777777" w:rsidR="008511AB" w:rsidRDefault="00606D09">
      <w:pPr>
        <w:pStyle w:val="Apara"/>
      </w:pPr>
      <w:r>
        <w:tab/>
        <w:t>(b)</w:t>
      </w:r>
      <w:r>
        <w:tab/>
        <w:t>the age of the system;</w:t>
      </w:r>
    </w:p>
    <w:p w14:paraId="6667BE38" w14:textId="77777777" w:rsidR="008511AB" w:rsidRDefault="00606D09">
      <w:pPr>
        <w:pStyle w:val="Apara"/>
      </w:pPr>
      <w:r>
        <w:tab/>
        <w:t>(c)</w:t>
      </w:r>
      <w:r>
        <w:tab/>
        <w:t>the number of times work has been done on the system;</w:t>
      </w:r>
    </w:p>
    <w:p w14:paraId="34F96AB2" w14:textId="77777777" w:rsidR="008511AB" w:rsidRDefault="00606D09">
      <w:pPr>
        <w:pStyle w:val="Apara"/>
      </w:pPr>
      <w:r>
        <w:tab/>
        <w:t>(d)</w:t>
      </w:r>
      <w:r>
        <w:tab/>
        <w:t>an accident, a natural disaster, the alteration of the premises or some other act that may have adversely affected the system.</w:t>
      </w:r>
    </w:p>
    <w:p w14:paraId="5F7F0E45" w14:textId="77777777" w:rsidR="008511AB" w:rsidRDefault="00606D09">
      <w:pPr>
        <w:pStyle w:val="Amain"/>
      </w:pPr>
      <w:r>
        <w:tab/>
        <w:t>(2)</w:t>
      </w:r>
      <w:r>
        <w:tab/>
        <w:t>The chief executive may, by written notice, direct the owner of premises where the system is installed to arrange for the system to be tested to find out if it is safe.</w:t>
      </w:r>
    </w:p>
    <w:p w14:paraId="28536494" w14:textId="77777777" w:rsidR="008511AB" w:rsidRDefault="00606D09">
      <w:pPr>
        <w:pStyle w:val="Amain"/>
      </w:pPr>
      <w:r>
        <w:tab/>
        <w:t>(3)</w:t>
      </w:r>
      <w:r>
        <w:tab/>
        <w:t>The direction may state that the period within which the testing is to be completed.</w:t>
      </w:r>
    </w:p>
    <w:p w14:paraId="224650BE" w14:textId="77777777" w:rsidR="008511AB" w:rsidRDefault="00606D09">
      <w:pPr>
        <w:pStyle w:val="Amain"/>
        <w:keepNext/>
      </w:pPr>
      <w:r>
        <w:tab/>
        <w:t>(4)</w:t>
      </w:r>
      <w:r>
        <w:tab/>
        <w:t>A person must not, without reasonable excuse, contravene a direction under subsection (2).</w:t>
      </w:r>
    </w:p>
    <w:p w14:paraId="7E944DBB" w14:textId="77777777" w:rsidR="008511AB" w:rsidRDefault="00606D09" w:rsidP="005404F2">
      <w:pPr>
        <w:pStyle w:val="Penalty"/>
      </w:pPr>
      <w:r>
        <w:t>Maximum penalty (subsection (4)): 10 penalty units.</w:t>
      </w:r>
    </w:p>
    <w:p w14:paraId="1A76EE6E" w14:textId="77777777" w:rsidR="008511AB" w:rsidRDefault="00606D09">
      <w:pPr>
        <w:pStyle w:val="AH3Div"/>
      </w:pPr>
      <w:bookmarkStart w:id="26" w:name="_Toc111106655"/>
      <w:r>
        <w:rPr>
          <w:rStyle w:val="CharDivNo"/>
        </w:rPr>
        <w:lastRenderedPageBreak/>
        <w:t>Division 2.2</w:t>
      </w:r>
      <w:r>
        <w:tab/>
      </w:r>
      <w:r>
        <w:rPr>
          <w:rStyle w:val="CharDivText"/>
        </w:rPr>
        <w:t>Appliance work</w:t>
      </w:r>
      <w:bookmarkEnd w:id="26"/>
    </w:p>
    <w:p w14:paraId="5FA5B03A" w14:textId="77777777" w:rsidR="008511AB" w:rsidRDefault="00606D09">
      <w:pPr>
        <w:pStyle w:val="AH5Sec"/>
      </w:pPr>
      <w:bookmarkStart w:id="27" w:name="_Toc111106656"/>
      <w:r>
        <w:rPr>
          <w:rStyle w:val="CharSectNo"/>
        </w:rPr>
        <w:t>17A</w:t>
      </w:r>
      <w:r>
        <w:tab/>
        <w:t>Accreditation to do appliance work</w:t>
      </w:r>
      <w:bookmarkEnd w:id="27"/>
    </w:p>
    <w:p w14:paraId="726678BC" w14:textId="77777777" w:rsidR="008511AB" w:rsidRDefault="00606D09">
      <w:pPr>
        <w:pStyle w:val="Amain"/>
        <w:keepNext/>
      </w:pPr>
      <w:r>
        <w:tab/>
        <w:t>(1)</w:t>
      </w:r>
      <w:r>
        <w:tab/>
        <w:t>The chief executive must approve a code in relation to the accreditation of people to do appliance work.</w:t>
      </w:r>
    </w:p>
    <w:p w14:paraId="6032B211" w14:textId="77777777" w:rsidR="008511AB" w:rsidRDefault="00606D09">
      <w:pPr>
        <w:pStyle w:val="aNote"/>
      </w:pPr>
      <w:r>
        <w:rPr>
          <w:rStyle w:val="charItals"/>
        </w:rPr>
        <w:t>Note</w:t>
      </w:r>
      <w:r>
        <w:rPr>
          <w:rStyle w:val="charItals"/>
        </w:rPr>
        <w:tab/>
      </w:r>
      <w:r>
        <w:t>A person must not do appliance work of a particular kind unless accredited to do work of that kind (see Act, s 13).</w:t>
      </w:r>
    </w:p>
    <w:p w14:paraId="13E61410" w14:textId="77777777" w:rsidR="008511AB" w:rsidRDefault="00606D09">
      <w:pPr>
        <w:pStyle w:val="Amain"/>
      </w:pPr>
      <w:r>
        <w:tab/>
        <w:t>(2)</w:t>
      </w:r>
      <w:r>
        <w:tab/>
        <w:t>The code may make provision in relation to accreditation, including provision for—</w:t>
      </w:r>
    </w:p>
    <w:p w14:paraId="7C9C7423" w14:textId="77777777" w:rsidR="008511AB" w:rsidRDefault="00606D09">
      <w:pPr>
        <w:pStyle w:val="Apara"/>
      </w:pPr>
      <w:r>
        <w:tab/>
        <w:t>(a)</w:t>
      </w:r>
      <w:r>
        <w:tab/>
        <w:t>the qualifications and practical experience required for accreditation; and</w:t>
      </w:r>
    </w:p>
    <w:p w14:paraId="19206A1D" w14:textId="77777777" w:rsidR="008511AB" w:rsidRDefault="00606D09">
      <w:pPr>
        <w:pStyle w:val="Apara"/>
      </w:pPr>
      <w:r>
        <w:tab/>
        <w:t>(b)</w:t>
      </w:r>
      <w:r>
        <w:tab/>
        <w:t>the imposition of conditions on accreditation; and</w:t>
      </w:r>
    </w:p>
    <w:p w14:paraId="0B9396B5" w14:textId="77777777" w:rsidR="008511AB" w:rsidRDefault="00606D09">
      <w:pPr>
        <w:pStyle w:val="Apara"/>
      </w:pPr>
      <w:r>
        <w:tab/>
        <w:t>(c)</w:t>
      </w:r>
      <w:r>
        <w:tab/>
        <w:t>the duration and renewal of accreditation; and</w:t>
      </w:r>
    </w:p>
    <w:p w14:paraId="38094BC3" w14:textId="77777777" w:rsidR="008511AB" w:rsidRDefault="00606D09">
      <w:pPr>
        <w:pStyle w:val="Apara"/>
      </w:pPr>
      <w:r>
        <w:tab/>
        <w:t>(d)</w:t>
      </w:r>
      <w:r>
        <w:tab/>
        <w:t>the suspension or cancellation of accreditation.</w:t>
      </w:r>
    </w:p>
    <w:p w14:paraId="57AC3F8C" w14:textId="77777777" w:rsidR="008511AB" w:rsidRDefault="00606D09">
      <w:pPr>
        <w:pStyle w:val="Amain"/>
        <w:keepNext/>
      </w:pPr>
      <w:r>
        <w:tab/>
        <w:t>(3)</w:t>
      </w:r>
      <w:r>
        <w:tab/>
        <w:t>A code approved under subsection (1) is a disallowable instrument.</w:t>
      </w:r>
    </w:p>
    <w:p w14:paraId="060EB12F" w14:textId="77777777" w:rsidR="008511AB" w:rsidRDefault="00606D09">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val="0"/>
        </w:rPr>
        <w:t>Legislation Act</w:t>
      </w:r>
      <w:r>
        <w:t>.</w:t>
      </w:r>
    </w:p>
    <w:p w14:paraId="7CB00AF2" w14:textId="77777777" w:rsidR="008511AB" w:rsidRDefault="00606D09">
      <w:pPr>
        <w:pStyle w:val="Amain"/>
      </w:pPr>
      <w:r>
        <w:tab/>
        <w:t>(4)</w:t>
      </w:r>
      <w:r>
        <w:tab/>
        <w:t>The chief executive must keep a register of people accredited to do appliance work.</w:t>
      </w:r>
    </w:p>
    <w:p w14:paraId="08A0F2EF" w14:textId="77777777" w:rsidR="008511AB" w:rsidRDefault="00606D09">
      <w:pPr>
        <w:pStyle w:val="Amain"/>
      </w:pPr>
      <w:r>
        <w:tab/>
        <w:t>(5)</w:t>
      </w:r>
      <w:r>
        <w:tab/>
        <w:t>The register must contain the following details in relation to each person accredited to do appliance work—</w:t>
      </w:r>
    </w:p>
    <w:p w14:paraId="2194689C" w14:textId="77777777" w:rsidR="008511AB" w:rsidRDefault="00606D09">
      <w:pPr>
        <w:pStyle w:val="Apara"/>
      </w:pPr>
      <w:r>
        <w:tab/>
        <w:t>(a)</w:t>
      </w:r>
      <w:r>
        <w:tab/>
        <w:t>the type of appliance work the person is accredited to do;</w:t>
      </w:r>
    </w:p>
    <w:p w14:paraId="557DDB79" w14:textId="77777777" w:rsidR="008511AB" w:rsidRDefault="00606D09">
      <w:pPr>
        <w:pStyle w:val="Apara"/>
      </w:pPr>
      <w:r>
        <w:tab/>
        <w:t>(b)</w:t>
      </w:r>
      <w:r>
        <w:tab/>
        <w:t>the period of the person’s accreditation;</w:t>
      </w:r>
    </w:p>
    <w:p w14:paraId="585990A4" w14:textId="77777777" w:rsidR="008511AB" w:rsidRDefault="00606D09">
      <w:pPr>
        <w:pStyle w:val="Apara"/>
      </w:pPr>
      <w:r>
        <w:tab/>
        <w:t>(c)</w:t>
      </w:r>
      <w:r>
        <w:tab/>
        <w:t>any conditions imposed on the person’s accreditation.</w:t>
      </w:r>
    </w:p>
    <w:p w14:paraId="7F0EBBB1" w14:textId="77777777" w:rsidR="008511AB" w:rsidRDefault="00606D09">
      <w:pPr>
        <w:pStyle w:val="Amain"/>
      </w:pPr>
      <w:r>
        <w:tab/>
        <w:t>(6)</w:t>
      </w:r>
      <w:r>
        <w:tab/>
        <w:t>The chief executive must make a copy of the register available for public inspection during ordinary office hours at the office of the chief executive and at any other place decided by the chief executive.</w:t>
      </w:r>
    </w:p>
    <w:p w14:paraId="73436684" w14:textId="77777777" w:rsidR="008511AB" w:rsidRDefault="00606D09">
      <w:pPr>
        <w:pStyle w:val="AH5Sec"/>
      </w:pPr>
      <w:bookmarkStart w:id="28" w:name="_Toc111106657"/>
      <w:r>
        <w:rPr>
          <w:rStyle w:val="CharSectNo"/>
        </w:rPr>
        <w:lastRenderedPageBreak/>
        <w:t>17B</w:t>
      </w:r>
      <w:r>
        <w:tab/>
        <w:t>Certificate of accreditation</w:t>
      </w:r>
      <w:bookmarkEnd w:id="28"/>
    </w:p>
    <w:p w14:paraId="7BC0C179" w14:textId="77777777" w:rsidR="008511AB" w:rsidRDefault="00606D09">
      <w:pPr>
        <w:pStyle w:val="Amain"/>
      </w:pPr>
      <w:r>
        <w:tab/>
        <w:t>(1)</w:t>
      </w:r>
      <w:r>
        <w:tab/>
        <w:t>An accredited appliance worker must not, without reasonable excuse, fail to produce his or her certificate of accreditation if asked to do so by—</w:t>
      </w:r>
    </w:p>
    <w:p w14:paraId="2CCB31F9" w14:textId="77777777" w:rsidR="008511AB" w:rsidRDefault="00606D09">
      <w:pPr>
        <w:pStyle w:val="Apara"/>
      </w:pPr>
      <w:r>
        <w:tab/>
        <w:t>(a)</w:t>
      </w:r>
      <w:r>
        <w:tab/>
        <w:t>an inspector; or</w:t>
      </w:r>
    </w:p>
    <w:p w14:paraId="0A48F068" w14:textId="77777777" w:rsidR="008511AB" w:rsidRDefault="00606D09">
      <w:pPr>
        <w:pStyle w:val="Apara"/>
      </w:pPr>
      <w:r>
        <w:tab/>
        <w:t>(b)</w:t>
      </w:r>
      <w:r>
        <w:tab/>
        <w:t>the owner or occupier of premises where the appliance worker is carrying out appliance work.</w:t>
      </w:r>
    </w:p>
    <w:p w14:paraId="2B3B7C2E" w14:textId="77777777" w:rsidR="008511AB" w:rsidRDefault="00606D09">
      <w:pPr>
        <w:pStyle w:val="Amain"/>
      </w:pPr>
      <w:r>
        <w:tab/>
        <w:t>(2)</w:t>
      </w:r>
      <w:r>
        <w:tab/>
        <w:t>If a person’s accreditation is suspended or cancelled, the person must not, without reasonable excuse, fail to return his or her certificate of accreditation to the chief executive within 7 days after the day when the suspension or cancellation takes effect.</w:t>
      </w:r>
    </w:p>
    <w:p w14:paraId="2417C59B" w14:textId="77777777" w:rsidR="008511AB" w:rsidRDefault="00606D09">
      <w:pPr>
        <w:pStyle w:val="Amain"/>
      </w:pPr>
      <w:r>
        <w:tab/>
        <w:t>(3)</w:t>
      </w:r>
      <w:r>
        <w:tab/>
        <w:t>After the end of a period of suspension of a person’s accreditation, the chief executive must, on request, return the person’s certificate of accreditation unless—</w:t>
      </w:r>
    </w:p>
    <w:p w14:paraId="3F049D6E" w14:textId="77777777" w:rsidR="008511AB" w:rsidRDefault="00606D09">
      <w:pPr>
        <w:pStyle w:val="Apara"/>
      </w:pPr>
      <w:r>
        <w:tab/>
        <w:t>(a)</w:t>
      </w:r>
      <w:r>
        <w:tab/>
        <w:t>the accreditation has been earlier cancelled or is further suspended; or</w:t>
      </w:r>
    </w:p>
    <w:p w14:paraId="2F1861CC" w14:textId="77777777" w:rsidR="008511AB" w:rsidRDefault="00606D09">
      <w:pPr>
        <w:pStyle w:val="Apara"/>
      </w:pPr>
      <w:r>
        <w:tab/>
        <w:t>(b)</w:t>
      </w:r>
      <w:r>
        <w:tab/>
        <w:t>the period of accreditation has ended.</w:t>
      </w:r>
    </w:p>
    <w:p w14:paraId="556CAAF8" w14:textId="77777777" w:rsidR="008511AB" w:rsidRDefault="00606D09">
      <w:pPr>
        <w:pStyle w:val="AH5Sec"/>
      </w:pPr>
      <w:bookmarkStart w:id="29" w:name="_Toc111106658"/>
      <w:r>
        <w:rPr>
          <w:rStyle w:val="CharSectNo"/>
        </w:rPr>
        <w:t>17C</w:t>
      </w:r>
      <w:r>
        <w:tab/>
        <w:t>Appliance work—testing</w:t>
      </w:r>
      <w:bookmarkEnd w:id="29"/>
      <w:r>
        <w:t xml:space="preserve"> </w:t>
      </w:r>
    </w:p>
    <w:p w14:paraId="44E7E075" w14:textId="77777777" w:rsidR="008511AB" w:rsidRDefault="00606D09">
      <w:pPr>
        <w:pStyle w:val="Amain"/>
      </w:pPr>
      <w:r>
        <w:tab/>
        <w:t>(1)</w:t>
      </w:r>
      <w:r>
        <w:tab/>
        <w:t>Immediately after completing appliance work, an accredited appliance worker must—</w:t>
      </w:r>
    </w:p>
    <w:p w14:paraId="0E9AC5B8" w14:textId="77777777" w:rsidR="008511AB" w:rsidRDefault="00606D09">
      <w:pPr>
        <w:pStyle w:val="Apara"/>
      </w:pPr>
      <w:r>
        <w:tab/>
        <w:t>(a)</w:t>
      </w:r>
      <w:r>
        <w:tab/>
        <w:t>inspect and test the appliance; and</w:t>
      </w:r>
    </w:p>
    <w:p w14:paraId="629FD5D2" w14:textId="77777777" w:rsidR="008511AB" w:rsidRDefault="00606D09">
      <w:pPr>
        <w:pStyle w:val="Apara"/>
      </w:pPr>
      <w:r>
        <w:tab/>
        <w:t>(b)</w:t>
      </w:r>
      <w:r>
        <w:tab/>
        <w:t xml:space="preserve">ensure that the appliance operates in accordance with the manufacturer’s instructions and specifications. </w:t>
      </w:r>
    </w:p>
    <w:p w14:paraId="28DAB90D" w14:textId="77777777" w:rsidR="008511AB" w:rsidRDefault="00606D09">
      <w:pPr>
        <w:pStyle w:val="Amain"/>
      </w:pPr>
      <w:r>
        <w:tab/>
        <w:t>(2)</w:t>
      </w:r>
      <w:r>
        <w:tab/>
        <w:t>An accredited appliance worker must keep, for at least 5 years, a record of appliance work done sufficient to identify the appliance worked on, the premises where the appliance is located and when the work was completed.</w:t>
      </w:r>
    </w:p>
    <w:p w14:paraId="69F9E071" w14:textId="77777777" w:rsidR="008511AB" w:rsidRDefault="00606D09">
      <w:pPr>
        <w:pStyle w:val="Amain"/>
      </w:pPr>
      <w:r>
        <w:lastRenderedPageBreak/>
        <w:tab/>
        <w:t>(3)</w:t>
      </w:r>
      <w:r>
        <w:tab/>
        <w:t>An accredited appliance worker who keeps a record under subsection (2) must not, without reasonable excuse, fail to produce the record if asked to do so by an inspector.</w:t>
      </w:r>
    </w:p>
    <w:p w14:paraId="32243C26" w14:textId="77777777" w:rsidR="008511AB" w:rsidRDefault="00606D09">
      <w:pPr>
        <w:pStyle w:val="AH5Sec"/>
      </w:pPr>
      <w:bookmarkStart w:id="30" w:name="_Toc111106659"/>
      <w:r>
        <w:rPr>
          <w:rStyle w:val="CharSectNo"/>
        </w:rPr>
        <w:t>17D</w:t>
      </w:r>
      <w:r>
        <w:tab/>
        <w:t>Unsafe appliance</w:t>
      </w:r>
      <w:bookmarkEnd w:id="30"/>
    </w:p>
    <w:p w14:paraId="33244344" w14:textId="77777777" w:rsidR="008511AB" w:rsidRDefault="00606D09">
      <w:pPr>
        <w:pStyle w:val="Amain"/>
      </w:pPr>
      <w:r>
        <w:tab/>
        <w:t>(1)</w:t>
      </w:r>
      <w:r>
        <w:tab/>
        <w:t>This section applies if an accredited appliance worker—</w:t>
      </w:r>
    </w:p>
    <w:p w14:paraId="113549CB" w14:textId="77777777" w:rsidR="008511AB" w:rsidRDefault="00606D09">
      <w:pPr>
        <w:pStyle w:val="Apara"/>
      </w:pPr>
      <w:r>
        <w:tab/>
        <w:t>(a)</w:t>
      </w:r>
      <w:r>
        <w:tab/>
        <w:t>inspects and tests an appliance under section 17C or at the request of the owner or occupier of the premises where the appliance is located; and</w:t>
      </w:r>
    </w:p>
    <w:p w14:paraId="445CAC2A" w14:textId="77777777" w:rsidR="008511AB" w:rsidRDefault="00606D09">
      <w:pPr>
        <w:pStyle w:val="Apara"/>
      </w:pPr>
      <w:r>
        <w:tab/>
        <w:t>(b)</w:t>
      </w:r>
      <w:r>
        <w:tab/>
        <w:t>believes on reasonable grounds the appliance is unsafe.</w:t>
      </w:r>
    </w:p>
    <w:p w14:paraId="3245A2AC" w14:textId="77777777" w:rsidR="008511AB" w:rsidRDefault="00606D09">
      <w:pPr>
        <w:pStyle w:val="Amain"/>
      </w:pPr>
      <w:r>
        <w:tab/>
        <w:t>(2)</w:t>
      </w:r>
      <w:r>
        <w:tab/>
        <w:t>The appliance worker must immediately—</w:t>
      </w:r>
    </w:p>
    <w:p w14:paraId="347E6B0A" w14:textId="77777777" w:rsidR="008511AB" w:rsidRDefault="00606D09">
      <w:pPr>
        <w:pStyle w:val="Apara"/>
      </w:pPr>
      <w:r>
        <w:tab/>
        <w:t>(a)</w:t>
      </w:r>
      <w:r>
        <w:tab/>
        <w:t>isolate the appliance from gas and electricity supplies; and</w:t>
      </w:r>
    </w:p>
    <w:p w14:paraId="70DD2E34" w14:textId="77777777" w:rsidR="008511AB" w:rsidRDefault="00606D09">
      <w:pPr>
        <w:pStyle w:val="Apara"/>
      </w:pPr>
      <w:r>
        <w:tab/>
        <w:t>(b)</w:t>
      </w:r>
      <w:r>
        <w:tab/>
        <w:t>if necessary, disconnect the appliance from the consumer piping system or the electricity supply; and</w:t>
      </w:r>
    </w:p>
    <w:p w14:paraId="70427D58" w14:textId="77777777" w:rsidR="008511AB" w:rsidRDefault="00606D09">
      <w:pPr>
        <w:pStyle w:val="Apara"/>
      </w:pPr>
      <w:r>
        <w:tab/>
        <w:t>(c)</w:t>
      </w:r>
      <w:r>
        <w:tab/>
        <w:t>securely attach, in a conspicuous place on the appliance, a defect tag that—</w:t>
      </w:r>
    </w:p>
    <w:p w14:paraId="41CF8DEF" w14:textId="77777777" w:rsidR="008511AB" w:rsidRDefault="00606D09">
      <w:pPr>
        <w:pStyle w:val="Asubpara"/>
        <w:keepNext/>
      </w:pPr>
      <w:r>
        <w:tab/>
        <w:t>(i)</w:t>
      </w:r>
      <w:r>
        <w:tab/>
        <w:t>indicates that the appliance is unsafe and should not be operated; and</w:t>
      </w:r>
    </w:p>
    <w:p w14:paraId="5284D221" w14:textId="77777777" w:rsidR="008511AB" w:rsidRDefault="00606D09">
      <w:pPr>
        <w:pStyle w:val="aExamHdgsubpar"/>
      </w:pPr>
      <w:r>
        <w:t>Example</w:t>
      </w:r>
    </w:p>
    <w:p w14:paraId="4C7E20B1" w14:textId="77777777" w:rsidR="008511AB" w:rsidRDefault="00606D09">
      <w:pPr>
        <w:pStyle w:val="aExamsubpar"/>
      </w:pPr>
      <w:r>
        <w:t>‘danger, do not operate’</w:t>
      </w:r>
    </w:p>
    <w:p w14:paraId="1DB904F0" w14:textId="77777777" w:rsidR="008511AB" w:rsidRDefault="00606D09">
      <w:pPr>
        <w:pStyle w:val="aExamsubpar"/>
        <w:ind w:left="2880" w:hanging="740"/>
      </w:pPr>
      <w:r>
        <w:rPr>
          <w:i/>
          <w:iCs/>
        </w:rPr>
        <w:t>Note</w:t>
      </w:r>
      <w:r>
        <w:tab/>
        <w:t>An example is part of the regulation, is not exhaustive and may extend, but does not limit, the meaning of the provision in which it appears (see Legislation Act, s 126 and s 132).</w:t>
      </w:r>
    </w:p>
    <w:p w14:paraId="5DFF2E79" w14:textId="77777777" w:rsidR="008511AB" w:rsidRDefault="00606D09">
      <w:pPr>
        <w:pStyle w:val="Asubpara"/>
      </w:pPr>
      <w:r>
        <w:tab/>
        <w:t>(ii)</w:t>
      </w:r>
      <w:r>
        <w:tab/>
        <w:t>indicates that the appliance has been isolated or disconnected; and</w:t>
      </w:r>
    </w:p>
    <w:p w14:paraId="21A6B625" w14:textId="77777777" w:rsidR="008511AB" w:rsidRDefault="00606D09">
      <w:pPr>
        <w:pStyle w:val="Asubpara"/>
      </w:pPr>
      <w:r>
        <w:tab/>
        <w:t>(iii)</w:t>
      </w:r>
      <w:r>
        <w:tab/>
        <w:t>states the reason for the isolation or disconnection; and</w:t>
      </w:r>
    </w:p>
    <w:p w14:paraId="13A66949" w14:textId="77777777" w:rsidR="008511AB" w:rsidRDefault="00606D09">
      <w:pPr>
        <w:pStyle w:val="Asubpara"/>
        <w:keepNext/>
      </w:pPr>
      <w:r>
        <w:lastRenderedPageBreak/>
        <w:tab/>
        <w:t>(iv)</w:t>
      </w:r>
      <w:r>
        <w:tab/>
        <w:t xml:space="preserve">states the name, accreditation number and telephone number of the appliance worker. </w:t>
      </w:r>
    </w:p>
    <w:p w14:paraId="7221BFB4" w14:textId="77777777" w:rsidR="008511AB" w:rsidRDefault="00606D09">
      <w:pPr>
        <w:pStyle w:val="Penalty"/>
        <w:keepNext/>
      </w:pPr>
      <w:r>
        <w:t xml:space="preserve">Maximum penalty:  10 penalty units. </w:t>
      </w:r>
    </w:p>
    <w:p w14:paraId="13C44059" w14:textId="77777777" w:rsidR="008511AB" w:rsidRDefault="00606D09">
      <w:pPr>
        <w:pStyle w:val="aNote"/>
      </w:pPr>
      <w:r>
        <w:rPr>
          <w:rStyle w:val="charItals"/>
        </w:rPr>
        <w:t>Note</w:t>
      </w:r>
      <w:r>
        <w:rPr>
          <w:rStyle w:val="charItals"/>
        </w:rPr>
        <w:tab/>
      </w:r>
      <w:r>
        <w:t>If a defect tag is approved under s 19 (Approved defect tags) for this section, the tag must be used.</w:t>
      </w:r>
    </w:p>
    <w:p w14:paraId="6AE555CB" w14:textId="77777777" w:rsidR="008511AB" w:rsidRDefault="00606D09">
      <w:pPr>
        <w:pStyle w:val="Amain"/>
      </w:pPr>
      <w:r>
        <w:tab/>
        <w:t>(3)</w:t>
      </w:r>
      <w:r>
        <w:tab/>
        <w:t xml:space="preserve">An appliance worker meets the requirements of subsection (2) (a) if the appliance worker engages a qualified person to undertake necessary work for which the appliance worker is not qualified under the Act or the </w:t>
      </w:r>
      <w:r>
        <w:rPr>
          <w:rStyle w:val="charItals"/>
        </w:rPr>
        <w:t>Electricity Safety Act 1971</w:t>
      </w:r>
      <w:r>
        <w:t>.</w:t>
      </w:r>
    </w:p>
    <w:p w14:paraId="7B19472D" w14:textId="77777777" w:rsidR="008511AB" w:rsidRDefault="00606D09">
      <w:pPr>
        <w:pStyle w:val="Amain"/>
      </w:pPr>
      <w:r>
        <w:tab/>
        <w:t>(4)</w:t>
      </w:r>
      <w:r>
        <w:tab/>
        <w:t>The appliance worker must give the owner or occupier of the premises written notice of the unsafe appliance—</w:t>
      </w:r>
    </w:p>
    <w:p w14:paraId="13CC820F" w14:textId="77777777" w:rsidR="008511AB" w:rsidRDefault="00606D09">
      <w:pPr>
        <w:pStyle w:val="Apara"/>
      </w:pPr>
      <w:r>
        <w:tab/>
        <w:t>(a)</w:t>
      </w:r>
      <w:r>
        <w:tab/>
        <w:t>identifying the appliance and its location; and</w:t>
      </w:r>
    </w:p>
    <w:p w14:paraId="27A644E7" w14:textId="77777777" w:rsidR="008511AB" w:rsidRDefault="00606D09">
      <w:pPr>
        <w:pStyle w:val="Apara"/>
      </w:pPr>
      <w:r>
        <w:tab/>
        <w:t>(b)</w:t>
      </w:r>
      <w:r>
        <w:tab/>
        <w:t>stating the date when the notice is given; and</w:t>
      </w:r>
    </w:p>
    <w:p w14:paraId="30AE2863" w14:textId="77777777" w:rsidR="008511AB" w:rsidRDefault="00606D09">
      <w:pPr>
        <w:pStyle w:val="Apara"/>
      </w:pPr>
      <w:r>
        <w:tab/>
        <w:t>(c)</w:t>
      </w:r>
      <w:r>
        <w:tab/>
        <w:t>setting out the reason for the isolation of the appliance and the action necessary to make it safe; and</w:t>
      </w:r>
    </w:p>
    <w:p w14:paraId="245028F8" w14:textId="77777777" w:rsidR="008511AB" w:rsidRDefault="00606D09">
      <w:pPr>
        <w:pStyle w:val="Apara"/>
      </w:pPr>
      <w:r>
        <w:tab/>
        <w:t>(d)</w:t>
      </w:r>
      <w:r>
        <w:tab/>
        <w:t>stating the name, accreditation number and telephone number of the appliance worker.</w:t>
      </w:r>
    </w:p>
    <w:p w14:paraId="3240851E" w14:textId="77777777" w:rsidR="008511AB" w:rsidRDefault="00606D09">
      <w:pPr>
        <w:pStyle w:val="Penalty"/>
      </w:pPr>
      <w:r>
        <w:t xml:space="preserve">Maximum penalty:  10 penalty units. </w:t>
      </w:r>
    </w:p>
    <w:p w14:paraId="703F8D43" w14:textId="77777777" w:rsidR="008511AB" w:rsidRDefault="00606D09">
      <w:pPr>
        <w:pStyle w:val="Amain"/>
      </w:pPr>
      <w:r>
        <w:tab/>
        <w:t>(5)</w:t>
      </w:r>
      <w:r>
        <w:tab/>
        <w:t>The appliance worker must also tell an inspector about the unsafe appliance and the action taken under subsection (2).</w:t>
      </w:r>
    </w:p>
    <w:p w14:paraId="511B3A7A" w14:textId="77777777" w:rsidR="008511AB" w:rsidRDefault="00606D09">
      <w:pPr>
        <w:pStyle w:val="Amain"/>
      </w:pPr>
      <w:r>
        <w:tab/>
        <w:t>(6)</w:t>
      </w:r>
      <w:r>
        <w:tab/>
        <w:t>An appliance worker who gives a notice under subsection (4) must keep, for at least 5 years, a record of the notice sufficient to identify the unsafe appliance, the premises where the appliance is located and when the notice was given.</w:t>
      </w:r>
    </w:p>
    <w:p w14:paraId="1C9F2CF8" w14:textId="77777777" w:rsidR="008511AB" w:rsidRDefault="00606D09">
      <w:pPr>
        <w:pStyle w:val="Amain"/>
      </w:pPr>
      <w:r>
        <w:tab/>
        <w:t>(7)</w:t>
      </w:r>
      <w:r>
        <w:tab/>
        <w:t>An appliance worker who keeps a record under subsection (5) must not, without reasonable excuse, fail to produce the record if asked to do so by an inspector.</w:t>
      </w:r>
    </w:p>
    <w:p w14:paraId="218CE6FC" w14:textId="77777777" w:rsidR="008511AB" w:rsidRDefault="00606D09">
      <w:pPr>
        <w:pStyle w:val="Amain"/>
      </w:pPr>
      <w:r>
        <w:tab/>
        <w:t>(8)</w:t>
      </w:r>
      <w:r>
        <w:tab/>
        <w:t>An offence against this section is a strict liability offence.</w:t>
      </w:r>
    </w:p>
    <w:p w14:paraId="35861090" w14:textId="77777777" w:rsidR="008511AB" w:rsidRDefault="00606D09">
      <w:pPr>
        <w:pStyle w:val="AH5Sec"/>
      </w:pPr>
      <w:bookmarkStart w:id="31" w:name="_Toc111106660"/>
      <w:r>
        <w:rPr>
          <w:rStyle w:val="CharSectNo"/>
        </w:rPr>
        <w:lastRenderedPageBreak/>
        <w:t>17E</w:t>
      </w:r>
      <w:r>
        <w:tab/>
        <w:t>Interfering with defect tag</w:t>
      </w:r>
      <w:bookmarkEnd w:id="31"/>
    </w:p>
    <w:p w14:paraId="733634EF" w14:textId="77777777" w:rsidR="008511AB" w:rsidRDefault="00606D09">
      <w:pPr>
        <w:pStyle w:val="Amain"/>
      </w:pPr>
      <w:r>
        <w:tab/>
        <w:t>(1)</w:t>
      </w:r>
      <w:r>
        <w:tab/>
        <w:t>A person must not remove, alter, damage or deface a defect tag attached to an appliance.</w:t>
      </w:r>
    </w:p>
    <w:p w14:paraId="01999FC0" w14:textId="77777777" w:rsidR="008511AB" w:rsidRDefault="00606D09">
      <w:pPr>
        <w:pStyle w:val="Penalty"/>
        <w:rPr>
          <w:b/>
          <w:bCs/>
        </w:rPr>
      </w:pPr>
      <w:r>
        <w:t>Maximum penalty:  10 penalty units.</w:t>
      </w:r>
    </w:p>
    <w:p w14:paraId="7D924404" w14:textId="77777777" w:rsidR="008511AB" w:rsidRDefault="00606D09">
      <w:pPr>
        <w:pStyle w:val="Amain"/>
      </w:pPr>
      <w:r>
        <w:tab/>
        <w:t>(2)</w:t>
      </w:r>
      <w:r>
        <w:tab/>
        <w:t>Subsection (1) does not apply to the removal of a defect tag by the person who attached it to the appliance, or by an inspector, if the person or inspector believes on reasonable grounds that the appliance is safe.</w:t>
      </w:r>
    </w:p>
    <w:p w14:paraId="6F48414A" w14:textId="77777777" w:rsidR="008511AB" w:rsidRDefault="00606D09">
      <w:pPr>
        <w:pStyle w:val="Amain"/>
      </w:pPr>
      <w:r>
        <w:tab/>
        <w:t>(3)</w:t>
      </w:r>
      <w:r>
        <w:tab/>
        <w:t>An inspector who removes a defect tag under subsection (2) must, as soon as practicable, tell the person who attached the tag about the removal.</w:t>
      </w:r>
    </w:p>
    <w:p w14:paraId="41FDB895" w14:textId="77777777" w:rsidR="008511AB" w:rsidRDefault="00606D09">
      <w:pPr>
        <w:pStyle w:val="Amain"/>
        <w:keepNext/>
      </w:pPr>
      <w:r>
        <w:tab/>
        <w:t>(4)</w:t>
      </w:r>
      <w:r>
        <w:tab/>
        <w:t>Also, subsection (1) does not apply to a person who has a reasonable excuse for removing, altering, damaging or defacing the tag.</w:t>
      </w:r>
    </w:p>
    <w:p w14:paraId="3D9EF9FB" w14:textId="77777777" w:rsidR="008511AB" w:rsidRDefault="00606D09">
      <w:pPr>
        <w:pStyle w:val="aExamHdgss"/>
      </w:pPr>
      <w:r>
        <w:t>Example of reasonable excuse</w:t>
      </w:r>
    </w:p>
    <w:p w14:paraId="16E8E176" w14:textId="77777777" w:rsidR="008511AB" w:rsidRDefault="00606D09">
      <w:pPr>
        <w:pStyle w:val="aExamss"/>
      </w:pPr>
      <w:r>
        <w:t>removing a tag from an appliance to use the appliance as scrap</w:t>
      </w:r>
    </w:p>
    <w:p w14:paraId="7F1E2615" w14:textId="77777777" w:rsidR="008511AB" w:rsidRDefault="00606D09">
      <w:pPr>
        <w:pStyle w:val="aNote"/>
      </w:pPr>
      <w:r>
        <w:rPr>
          <w:rStyle w:val="charItals"/>
        </w:rPr>
        <w:t>Note</w:t>
      </w:r>
      <w:r>
        <w:tab/>
        <w:t>An example is part of the regulation, is not exhaustive and may extend, but does not limit, the meaning of the provision in which it appears (see Legislation Act, s 126 and s 132).</w:t>
      </w:r>
    </w:p>
    <w:p w14:paraId="42A7F900" w14:textId="77777777" w:rsidR="008511AB" w:rsidRDefault="00606D09">
      <w:pPr>
        <w:pStyle w:val="Amain"/>
      </w:pPr>
      <w:r>
        <w:tab/>
        <w:t>(5)</w:t>
      </w:r>
      <w:r>
        <w:tab/>
        <w:t>An offence against this section is a strict liability offence.</w:t>
      </w:r>
    </w:p>
    <w:p w14:paraId="41085B21" w14:textId="77777777" w:rsidR="008511AB" w:rsidRDefault="00606D09">
      <w:pPr>
        <w:pStyle w:val="PageBreak"/>
      </w:pPr>
      <w:r>
        <w:br w:type="page"/>
      </w:r>
    </w:p>
    <w:p w14:paraId="789CCA91" w14:textId="77777777" w:rsidR="008511AB" w:rsidRDefault="00606D09">
      <w:pPr>
        <w:pStyle w:val="AH2Part"/>
      </w:pPr>
      <w:bookmarkStart w:id="32" w:name="_Toc111106661"/>
      <w:r>
        <w:rPr>
          <w:rStyle w:val="CharPartNo"/>
        </w:rPr>
        <w:lastRenderedPageBreak/>
        <w:t>Part 3</w:t>
      </w:r>
      <w:r>
        <w:tab/>
      </w:r>
      <w:r>
        <w:rPr>
          <w:rStyle w:val="CharPartText"/>
        </w:rPr>
        <w:t>Use of consumer piping systems and appliances</w:t>
      </w:r>
      <w:bookmarkEnd w:id="32"/>
    </w:p>
    <w:p w14:paraId="321404C1" w14:textId="77777777" w:rsidR="008511AB" w:rsidRDefault="00606D09">
      <w:pPr>
        <w:pStyle w:val="Placeholder"/>
      </w:pPr>
      <w:r>
        <w:rPr>
          <w:rStyle w:val="CharDivNo"/>
        </w:rPr>
        <w:t xml:space="preserve">  </w:t>
      </w:r>
      <w:r>
        <w:rPr>
          <w:rStyle w:val="CharDivText"/>
        </w:rPr>
        <w:t xml:space="preserve">  </w:t>
      </w:r>
    </w:p>
    <w:p w14:paraId="45071F21" w14:textId="77777777" w:rsidR="008511AB" w:rsidRDefault="00606D09">
      <w:pPr>
        <w:pStyle w:val="AH5Sec"/>
      </w:pPr>
      <w:bookmarkStart w:id="33" w:name="_Toc111106662"/>
      <w:r>
        <w:rPr>
          <w:rStyle w:val="CharSectNo"/>
        </w:rPr>
        <w:t>18</w:t>
      </w:r>
      <w:r>
        <w:tab/>
        <w:t>Consumer piping system not to be used unless certified safe</w:t>
      </w:r>
      <w:bookmarkEnd w:id="33"/>
    </w:p>
    <w:p w14:paraId="3D42059D" w14:textId="77777777" w:rsidR="008511AB" w:rsidRDefault="00606D09">
      <w:pPr>
        <w:pStyle w:val="Amain"/>
      </w:pPr>
      <w:r>
        <w:tab/>
        <w:t>(1)</w:t>
      </w:r>
      <w:r>
        <w:tab/>
        <w:t>This section applies to a consumer piping system on which gasfitting work is done after the commencement of this regulation, whether the work involves—</w:t>
      </w:r>
    </w:p>
    <w:p w14:paraId="28DE1C99" w14:textId="77777777" w:rsidR="008511AB" w:rsidRDefault="00606D09">
      <w:pPr>
        <w:pStyle w:val="Apara"/>
      </w:pPr>
      <w:r>
        <w:tab/>
        <w:t>(a)</w:t>
      </w:r>
      <w:r>
        <w:tab/>
        <w:t>installation of the system as new; or</w:t>
      </w:r>
    </w:p>
    <w:p w14:paraId="6BFBD4C6" w14:textId="77777777" w:rsidR="008511AB" w:rsidRDefault="00606D09">
      <w:pPr>
        <w:pStyle w:val="Apara"/>
      </w:pPr>
      <w:r>
        <w:tab/>
        <w:t>(b)</w:t>
      </w:r>
      <w:r>
        <w:tab/>
        <w:t>work on a previously existing system.</w:t>
      </w:r>
    </w:p>
    <w:p w14:paraId="371E9CCD" w14:textId="77777777" w:rsidR="008511AB" w:rsidRDefault="00606D09">
      <w:pPr>
        <w:pStyle w:val="Amain"/>
      </w:pPr>
      <w:r>
        <w:tab/>
        <w:t>(2)</w:t>
      </w:r>
      <w:r>
        <w:tab/>
        <w:t>The owner of the system must not, without reasonable excuse, use gas supplied through the system, or allow gas supplied through the system to be used, unless, in relation to the gasfitting work done after the commencement—</w:t>
      </w:r>
    </w:p>
    <w:p w14:paraId="2C723B77" w14:textId="77777777" w:rsidR="008511AB" w:rsidRDefault="00606D09">
      <w:pPr>
        <w:pStyle w:val="Apara"/>
      </w:pPr>
      <w:r>
        <w:tab/>
        <w:t>(a)</w:t>
      </w:r>
      <w:r>
        <w:tab/>
        <w:t>a compliance indicator is attached in accordance with section 11 (Compliance indicators); and</w:t>
      </w:r>
    </w:p>
    <w:p w14:paraId="356019A6" w14:textId="77777777" w:rsidR="008511AB" w:rsidRDefault="00606D09">
      <w:pPr>
        <w:pStyle w:val="Apara"/>
        <w:keepNext/>
      </w:pPr>
      <w:r>
        <w:tab/>
        <w:t>(b)</w:t>
      </w:r>
      <w:r>
        <w:tab/>
        <w:t>a certificate of compliance has been given in accordance with section 12 (Certificates of compliance).</w:t>
      </w:r>
    </w:p>
    <w:p w14:paraId="42C4D1D7" w14:textId="77777777" w:rsidR="008511AB" w:rsidRDefault="00606D09">
      <w:pPr>
        <w:pStyle w:val="Penalty"/>
        <w:keepNext/>
      </w:pPr>
      <w:r>
        <w:t>Maximum penalty: 10 penalty units.</w:t>
      </w:r>
    </w:p>
    <w:p w14:paraId="13B30B76" w14:textId="77777777" w:rsidR="008511AB" w:rsidRDefault="00606D09">
      <w:pPr>
        <w:pStyle w:val="Amain"/>
      </w:pPr>
      <w:r>
        <w:tab/>
        <w:t>(3)</w:t>
      </w:r>
      <w:r>
        <w:tab/>
        <w:t>Subsection (1) does not apply to the testing of the system by the responsible gasfitter in relation to the gasfitting work.</w:t>
      </w:r>
    </w:p>
    <w:p w14:paraId="56CB65FD" w14:textId="77777777" w:rsidR="008511AB" w:rsidRDefault="00606D09">
      <w:pPr>
        <w:pStyle w:val="PageBreak"/>
      </w:pPr>
      <w:r>
        <w:br w:type="page"/>
      </w:r>
    </w:p>
    <w:p w14:paraId="5414769F" w14:textId="77777777" w:rsidR="008511AB" w:rsidRDefault="00606D09">
      <w:pPr>
        <w:pStyle w:val="AH2Part"/>
      </w:pPr>
      <w:bookmarkStart w:id="34" w:name="_Toc111106663"/>
      <w:r>
        <w:rPr>
          <w:rStyle w:val="CharPartNo"/>
        </w:rPr>
        <w:lastRenderedPageBreak/>
        <w:t>Part 3A</w:t>
      </w:r>
      <w:r>
        <w:tab/>
      </w:r>
      <w:r>
        <w:rPr>
          <w:rStyle w:val="CharPartText"/>
        </w:rPr>
        <w:t>Regulation of appliances</w:t>
      </w:r>
      <w:bookmarkEnd w:id="34"/>
    </w:p>
    <w:p w14:paraId="30179831" w14:textId="77777777" w:rsidR="008511AB" w:rsidRDefault="00606D09">
      <w:pPr>
        <w:pStyle w:val="Placeholder"/>
      </w:pPr>
      <w:r>
        <w:rPr>
          <w:rStyle w:val="CharDivNo"/>
        </w:rPr>
        <w:t xml:space="preserve">  </w:t>
      </w:r>
      <w:r>
        <w:rPr>
          <w:rStyle w:val="CharDivText"/>
        </w:rPr>
        <w:t xml:space="preserve">  </w:t>
      </w:r>
    </w:p>
    <w:p w14:paraId="14364EE5" w14:textId="77777777" w:rsidR="008511AB" w:rsidRDefault="00606D09">
      <w:pPr>
        <w:pStyle w:val="AH5Sec"/>
      </w:pPr>
      <w:bookmarkStart w:id="35" w:name="_Toc111106664"/>
      <w:r>
        <w:rPr>
          <w:rStyle w:val="CharSectNo"/>
        </w:rPr>
        <w:t>18B</w:t>
      </w:r>
      <w:r>
        <w:tab/>
        <w:t>Appliances declared to be approved—Act, s 20 (1)</w:t>
      </w:r>
      <w:bookmarkEnd w:id="35"/>
    </w:p>
    <w:p w14:paraId="027D586C" w14:textId="77777777" w:rsidR="008511AB" w:rsidRDefault="00606D09">
      <w:pPr>
        <w:pStyle w:val="Amain"/>
        <w:keepNext/>
      </w:pPr>
      <w:r>
        <w:tab/>
      </w:r>
      <w:r>
        <w:tab/>
        <w:t>The following kinds of appliances are approved:</w:t>
      </w:r>
    </w:p>
    <w:p w14:paraId="1DB5E7AD" w14:textId="77777777" w:rsidR="008511AB" w:rsidRDefault="00606D09">
      <w:pPr>
        <w:pStyle w:val="Apara"/>
      </w:pPr>
      <w:r>
        <w:tab/>
        <w:t>(a)</w:t>
      </w:r>
      <w:r>
        <w:tab/>
        <w:t xml:space="preserve">an appliance listed in the </w:t>
      </w:r>
      <w:r>
        <w:rPr>
          <w:rStyle w:val="charItals"/>
        </w:rPr>
        <w:t>Australian Gas Association Directory of Certified Gas Appliances and Components</w:t>
      </w:r>
      <w:r>
        <w:t xml:space="preserve">, as in force from time to time; </w:t>
      </w:r>
    </w:p>
    <w:p w14:paraId="6685936A" w14:textId="77777777" w:rsidR="008511AB" w:rsidRDefault="00606D09">
      <w:pPr>
        <w:pStyle w:val="Apara"/>
        <w:rPr>
          <w:b/>
          <w:bCs/>
        </w:rPr>
      </w:pPr>
      <w:r>
        <w:tab/>
        <w:t>(b)</w:t>
      </w:r>
      <w:r>
        <w:tab/>
        <w:t>an appliance approved under the Australian Gas Association Second Tier Appliance Scheme (Individual Compliance Approval) before 20 December 2001 that meets the requirements of that scheme as in force when the appliance was approved;</w:t>
      </w:r>
    </w:p>
    <w:p w14:paraId="2D7549DD" w14:textId="77777777" w:rsidR="008511AB" w:rsidRDefault="00606D09">
      <w:pPr>
        <w:pStyle w:val="Apara"/>
      </w:pPr>
      <w:r>
        <w:tab/>
        <w:t>(c)</w:t>
      </w:r>
      <w:r>
        <w:tab/>
        <w:t>a type B appliance approved under the procedures for the approval of industrial and commercial appliances set out in the Australian Gas Association</w:t>
      </w:r>
      <w:r>
        <w:rPr>
          <w:rStyle w:val="charItals"/>
        </w:rPr>
        <w:t xml:space="preserve"> </w:t>
      </w:r>
      <w:r>
        <w:t>Standard 501 (Australian Standard 3814)</w:t>
      </w:r>
      <w:r>
        <w:rPr>
          <w:rStyle w:val="charItals"/>
        </w:rPr>
        <w:t xml:space="preserve"> </w:t>
      </w:r>
      <w:r>
        <w:t xml:space="preserve">before 20 December 2001 that meets the requirements of that standard as in force when the appliance was approved. </w:t>
      </w:r>
    </w:p>
    <w:p w14:paraId="079F5C89" w14:textId="77777777" w:rsidR="008511AB" w:rsidRDefault="00606D09">
      <w:pPr>
        <w:pStyle w:val="AH5Sec"/>
      </w:pPr>
      <w:bookmarkStart w:id="36" w:name="_Toc111106665"/>
      <w:r>
        <w:rPr>
          <w:rStyle w:val="CharSectNo"/>
        </w:rPr>
        <w:t>18C</w:t>
      </w:r>
      <w:r>
        <w:tab/>
        <w:t>Approval by chief executive, type A appliance—Act, s 21</w:t>
      </w:r>
      <w:bookmarkEnd w:id="36"/>
    </w:p>
    <w:p w14:paraId="07AD9E8F" w14:textId="77777777" w:rsidR="008511AB" w:rsidRDefault="00606D09">
      <w:pPr>
        <w:pStyle w:val="Amain"/>
      </w:pPr>
      <w:r>
        <w:tab/>
        <w:t>(1)</w:t>
      </w:r>
      <w:r>
        <w:tab/>
        <w:t>For the Act, section 21 (1) (a), the relevant examinations and tests for a type A appliance are—</w:t>
      </w:r>
    </w:p>
    <w:p w14:paraId="2AA87C90" w14:textId="77777777" w:rsidR="008511AB" w:rsidRDefault="00606D09">
      <w:pPr>
        <w:pStyle w:val="Apara"/>
      </w:pPr>
      <w:r>
        <w:tab/>
        <w:t>(a)</w:t>
      </w:r>
      <w:r>
        <w:tab/>
        <w:t>for an appliance to which a certification scheme under an Australian Gas Association code applies—the examinations and tests required by the scheme; and</w:t>
      </w:r>
    </w:p>
    <w:p w14:paraId="1CBF6506" w14:textId="77777777" w:rsidR="008511AB" w:rsidRDefault="00606D09">
      <w:pPr>
        <w:pStyle w:val="Apara"/>
      </w:pPr>
      <w:r>
        <w:tab/>
        <w:t>(b)</w:t>
      </w:r>
      <w:r>
        <w:tab/>
        <w:t>any other examinations and tests stated by the chief executive in a written notice given to the applicant.</w:t>
      </w:r>
    </w:p>
    <w:p w14:paraId="7593604F" w14:textId="77777777" w:rsidR="008511AB" w:rsidRDefault="00606D09" w:rsidP="005404F2">
      <w:pPr>
        <w:pStyle w:val="Amain"/>
        <w:keepNext/>
      </w:pPr>
      <w:r>
        <w:lastRenderedPageBreak/>
        <w:tab/>
        <w:t>(2)</w:t>
      </w:r>
      <w:r>
        <w:tab/>
        <w:t>For the Act, section 21 (1) (b), the relevant requirements for a type A appliance are—</w:t>
      </w:r>
    </w:p>
    <w:p w14:paraId="31E29B54" w14:textId="77777777" w:rsidR="008511AB" w:rsidRDefault="00606D09">
      <w:pPr>
        <w:pStyle w:val="Apara"/>
      </w:pPr>
      <w:r>
        <w:tab/>
        <w:t>(a)</w:t>
      </w:r>
      <w:r>
        <w:tab/>
        <w:t>for an appliance to which a certification scheme under an Australian Gas Association code applies—the approval requirements of the scheme; and</w:t>
      </w:r>
    </w:p>
    <w:p w14:paraId="5D6DBD41" w14:textId="77777777" w:rsidR="008511AB" w:rsidRDefault="00606D09">
      <w:pPr>
        <w:pStyle w:val="Apara"/>
      </w:pPr>
      <w:r>
        <w:tab/>
        <w:t>(b)</w:t>
      </w:r>
      <w:r>
        <w:tab/>
        <w:t>any other requirements stated by the chief executive in a written notice given to the applicant.</w:t>
      </w:r>
    </w:p>
    <w:p w14:paraId="56025B5A" w14:textId="77777777" w:rsidR="008511AB" w:rsidRDefault="00606D09">
      <w:pPr>
        <w:pStyle w:val="AH5Sec"/>
      </w:pPr>
      <w:bookmarkStart w:id="37" w:name="_Toc111106666"/>
      <w:r>
        <w:rPr>
          <w:rStyle w:val="CharSectNo"/>
        </w:rPr>
        <w:t>18D</w:t>
      </w:r>
      <w:r>
        <w:tab/>
        <w:t>Approval by chief executive, type B appliance—Act, s 21</w:t>
      </w:r>
      <w:bookmarkEnd w:id="37"/>
    </w:p>
    <w:p w14:paraId="33776563" w14:textId="77777777" w:rsidR="008511AB" w:rsidRDefault="00606D09">
      <w:pPr>
        <w:pStyle w:val="Amain"/>
      </w:pPr>
      <w:r>
        <w:tab/>
        <w:t>(1)</w:t>
      </w:r>
      <w:r>
        <w:tab/>
        <w:t>For the Act, section 21 (1) (a), the relevant examinations and tests for a type B appliance are—</w:t>
      </w:r>
    </w:p>
    <w:p w14:paraId="06794AB4" w14:textId="77777777" w:rsidR="008511AB" w:rsidRDefault="00606D09">
      <w:pPr>
        <w:pStyle w:val="Apara"/>
      </w:pPr>
      <w:r>
        <w:tab/>
        <w:t>(a)</w:t>
      </w:r>
      <w:r>
        <w:tab/>
        <w:t>the examinations and tests set out in the</w:t>
      </w:r>
      <w:r>
        <w:rPr>
          <w:rStyle w:val="charItals"/>
        </w:rPr>
        <w:t xml:space="preserve"> </w:t>
      </w:r>
      <w:r>
        <w:t>Australian Gas Association Standard AG 501 (Australian Standard 3814); and</w:t>
      </w:r>
    </w:p>
    <w:p w14:paraId="763396A8" w14:textId="77777777" w:rsidR="008511AB" w:rsidRDefault="00606D09">
      <w:pPr>
        <w:pStyle w:val="Apara"/>
      </w:pPr>
      <w:r>
        <w:tab/>
        <w:t>(b)</w:t>
      </w:r>
      <w:r>
        <w:tab/>
        <w:t>any other examinations and tests stated by the chief executive in a written notice given to the applicant.</w:t>
      </w:r>
    </w:p>
    <w:p w14:paraId="34279EDF" w14:textId="77777777" w:rsidR="008511AB" w:rsidRDefault="00606D09">
      <w:pPr>
        <w:pStyle w:val="Amain"/>
      </w:pPr>
      <w:r>
        <w:tab/>
        <w:t>(2)</w:t>
      </w:r>
      <w:r>
        <w:tab/>
        <w:t>For the Act, section 21 (1) (b), the relevant requirements for a type B appliance are—</w:t>
      </w:r>
    </w:p>
    <w:p w14:paraId="6F06A3F4" w14:textId="77777777" w:rsidR="008511AB" w:rsidRDefault="00606D09">
      <w:pPr>
        <w:pStyle w:val="Apara"/>
      </w:pPr>
      <w:r>
        <w:tab/>
        <w:t>(a)</w:t>
      </w:r>
      <w:r>
        <w:tab/>
        <w:t>the requirements for approval of industrial and commercial appliances set out in the</w:t>
      </w:r>
      <w:r>
        <w:rPr>
          <w:rStyle w:val="charItals"/>
        </w:rPr>
        <w:t xml:space="preserve"> </w:t>
      </w:r>
      <w:r>
        <w:t>Australian Gas Association Standard AG 501 (Australian Standard 3814); and</w:t>
      </w:r>
    </w:p>
    <w:p w14:paraId="6CCCCAC3" w14:textId="77777777" w:rsidR="008511AB" w:rsidRDefault="00606D09">
      <w:pPr>
        <w:pStyle w:val="Apara"/>
      </w:pPr>
      <w:r>
        <w:tab/>
        <w:t>(b)</w:t>
      </w:r>
      <w:r>
        <w:tab/>
        <w:t>any other requirements stated by the chief executive in a written notice given to the applicant.</w:t>
      </w:r>
    </w:p>
    <w:p w14:paraId="078B9640" w14:textId="77777777" w:rsidR="008511AB" w:rsidRDefault="00606D09">
      <w:pPr>
        <w:pStyle w:val="AH5Sec"/>
      </w:pPr>
      <w:bookmarkStart w:id="38" w:name="_Toc111106667"/>
      <w:r>
        <w:rPr>
          <w:rStyle w:val="CharSectNo"/>
        </w:rPr>
        <w:t>18E</w:t>
      </w:r>
      <w:r>
        <w:tab/>
        <w:t>Application for approval of type B appliance</w:t>
      </w:r>
      <w:bookmarkEnd w:id="38"/>
    </w:p>
    <w:p w14:paraId="110FCF06" w14:textId="77777777" w:rsidR="008511AB" w:rsidRDefault="00606D09">
      <w:pPr>
        <w:pStyle w:val="Amain"/>
      </w:pPr>
      <w:r>
        <w:tab/>
        <w:t>(1)</w:t>
      </w:r>
      <w:r>
        <w:tab/>
        <w:t>An application under the Act, section 22 for approval of a type B appliance must be given to the chief executive before the appliance is installed.</w:t>
      </w:r>
    </w:p>
    <w:p w14:paraId="2685CE61" w14:textId="77777777" w:rsidR="008511AB" w:rsidRDefault="00606D09" w:rsidP="005404F2">
      <w:pPr>
        <w:pStyle w:val="Amain"/>
        <w:keepLines/>
      </w:pPr>
      <w:r>
        <w:lastRenderedPageBreak/>
        <w:tab/>
        <w:t>(2)</w:t>
      </w:r>
      <w:r>
        <w:tab/>
        <w:t>The application must comply with the procedures for the approval of industrial and commercial appliances set out in the</w:t>
      </w:r>
      <w:r>
        <w:rPr>
          <w:rStyle w:val="charItals"/>
        </w:rPr>
        <w:t xml:space="preserve"> </w:t>
      </w:r>
      <w:r>
        <w:t>Australian Gas Association Standard AG 501 (Australian Standard 3814), Appendix B, to the extent that they are not inconsistent with this section.</w:t>
      </w:r>
    </w:p>
    <w:p w14:paraId="764B37BA" w14:textId="77777777" w:rsidR="008511AB" w:rsidRDefault="00606D09">
      <w:pPr>
        <w:pStyle w:val="Amain"/>
      </w:pPr>
      <w:r>
        <w:tab/>
        <w:t>(3)</w:t>
      </w:r>
      <w:r>
        <w:tab/>
        <w:t>The chief executive must, within 20 days after receiving an application—</w:t>
      </w:r>
    </w:p>
    <w:p w14:paraId="3EA5C844" w14:textId="77777777" w:rsidR="008511AB" w:rsidRDefault="00606D09">
      <w:pPr>
        <w:pStyle w:val="Apara"/>
        <w:keepNext/>
      </w:pPr>
      <w:r>
        <w:tab/>
        <w:t>(a)</w:t>
      </w:r>
      <w:r>
        <w:tab/>
        <w:t>approve the commissioning of the appliance (with or without conditions); or</w:t>
      </w:r>
    </w:p>
    <w:p w14:paraId="7900AF8B" w14:textId="77777777" w:rsidR="008511AB" w:rsidRDefault="00606D09">
      <w:pPr>
        <w:pStyle w:val="aExamHdgpar"/>
      </w:pPr>
      <w:r>
        <w:t>Example</w:t>
      </w:r>
    </w:p>
    <w:p w14:paraId="2A5B5558" w14:textId="77777777" w:rsidR="008511AB" w:rsidRDefault="00606D09">
      <w:pPr>
        <w:pStyle w:val="aExampar"/>
      </w:pPr>
      <w:r>
        <w:t>It may be a condition of commissioning that the appliance be operated only in the presence of an accredited appliance worker.</w:t>
      </w:r>
    </w:p>
    <w:p w14:paraId="0CE5CF8A" w14:textId="77777777" w:rsidR="008511AB" w:rsidRDefault="00606D09">
      <w:pPr>
        <w:pStyle w:val="aNotepar"/>
      </w:pPr>
      <w:r>
        <w:rPr>
          <w:rStyle w:val="charItals"/>
        </w:rPr>
        <w:t>Note</w:t>
      </w:r>
      <w:r>
        <w:rPr>
          <w:rStyle w:val="charItals"/>
        </w:rPr>
        <w:tab/>
      </w:r>
      <w:r>
        <w:t xml:space="preserve">An example is part of the regulation, is not exhaustive and may extend, but does not limit, the meaning of the provision in which it appears (see </w:t>
      </w:r>
      <w:r>
        <w:rPr>
          <w:rStyle w:val="charItals"/>
          <w:i w:val="0"/>
          <w:iCs w:val="0"/>
        </w:rPr>
        <w:t>Legislation Act</w:t>
      </w:r>
      <w:r>
        <w:t>, s 126 and s 132).</w:t>
      </w:r>
    </w:p>
    <w:p w14:paraId="675787F2" w14:textId="77777777" w:rsidR="008511AB" w:rsidRDefault="00606D09">
      <w:pPr>
        <w:pStyle w:val="Apara"/>
      </w:pPr>
      <w:r>
        <w:tab/>
        <w:t>(b)</w:t>
      </w:r>
      <w:r>
        <w:tab/>
        <w:t>refuse to approve the application; or</w:t>
      </w:r>
    </w:p>
    <w:p w14:paraId="24072C34" w14:textId="77777777" w:rsidR="008511AB" w:rsidRDefault="00606D09">
      <w:pPr>
        <w:pStyle w:val="Apara"/>
      </w:pPr>
      <w:r>
        <w:tab/>
        <w:t>(c)</w:t>
      </w:r>
      <w:r>
        <w:tab/>
        <w:t>extend the time for giving approval for commissioning of the appliance.</w:t>
      </w:r>
    </w:p>
    <w:p w14:paraId="42377FD6" w14:textId="77777777" w:rsidR="008511AB" w:rsidRDefault="00606D09">
      <w:pPr>
        <w:pStyle w:val="Amain"/>
      </w:pPr>
      <w:r>
        <w:tab/>
        <w:t>(4)</w:t>
      </w:r>
      <w:r>
        <w:tab/>
        <w:t>The chief executive must, as soon as practicable—</w:t>
      </w:r>
    </w:p>
    <w:p w14:paraId="66301061" w14:textId="77777777" w:rsidR="008511AB" w:rsidRDefault="00606D09">
      <w:pPr>
        <w:pStyle w:val="Apara"/>
      </w:pPr>
      <w:r>
        <w:tab/>
        <w:t>(a)</w:t>
      </w:r>
      <w:r>
        <w:tab/>
        <w:t>tell the applicant in writing of the decision under subsection (3); and</w:t>
      </w:r>
    </w:p>
    <w:p w14:paraId="5CF138B2" w14:textId="77777777" w:rsidR="008511AB" w:rsidRDefault="00606D09">
      <w:pPr>
        <w:pStyle w:val="Apara"/>
      </w:pPr>
      <w:r>
        <w:tab/>
        <w:t>(b)</w:t>
      </w:r>
      <w:r>
        <w:tab/>
        <w:t>if the application is refused or the time for giving approval extended—give reasons for the decision.</w:t>
      </w:r>
    </w:p>
    <w:p w14:paraId="2D18EE3D" w14:textId="77777777" w:rsidR="008511AB" w:rsidRDefault="00606D09">
      <w:pPr>
        <w:pStyle w:val="AH5Sec"/>
      </w:pPr>
      <w:bookmarkStart w:id="39" w:name="_Toc111106668"/>
      <w:r>
        <w:rPr>
          <w:rStyle w:val="CharSectNo"/>
        </w:rPr>
        <w:t>18F</w:t>
      </w:r>
      <w:r>
        <w:tab/>
        <w:t>Prescribed circumstances for unapproved appliances—Act, s 24 (4)</w:t>
      </w:r>
      <w:bookmarkEnd w:id="39"/>
      <w:r>
        <w:t xml:space="preserve"> </w:t>
      </w:r>
    </w:p>
    <w:p w14:paraId="30787161" w14:textId="77777777" w:rsidR="008511AB" w:rsidRDefault="00606D09">
      <w:pPr>
        <w:pStyle w:val="Amainreturn"/>
        <w:keepNext/>
      </w:pPr>
      <w:r>
        <w:t>The Act, section 24 does not apply in the following circumstances:</w:t>
      </w:r>
    </w:p>
    <w:p w14:paraId="17A25A33" w14:textId="77777777" w:rsidR="008511AB" w:rsidRDefault="00606D09">
      <w:pPr>
        <w:pStyle w:val="Apara"/>
      </w:pPr>
      <w:r>
        <w:tab/>
        <w:t>(a)</w:t>
      </w:r>
      <w:r>
        <w:tab/>
        <w:t xml:space="preserve">the connection of an appliance to a consumer piping system or its use, in accordance with approval for commissioning, under section 18E; </w:t>
      </w:r>
    </w:p>
    <w:p w14:paraId="4A6B26B3" w14:textId="77777777" w:rsidR="008511AB" w:rsidRDefault="00606D09">
      <w:pPr>
        <w:pStyle w:val="Apara"/>
      </w:pPr>
      <w:r>
        <w:lastRenderedPageBreak/>
        <w:tab/>
        <w:t>(b)</w:t>
      </w:r>
      <w:r>
        <w:tab/>
        <w:t xml:space="preserve">the connection of an appliance to a consumer piping system, or its use, with the chief executive’s approval, for product testing, product development or experimental purposes; </w:t>
      </w:r>
    </w:p>
    <w:p w14:paraId="0BB88882" w14:textId="77777777" w:rsidR="008511AB" w:rsidRDefault="00606D09">
      <w:pPr>
        <w:pStyle w:val="Apara"/>
      </w:pPr>
      <w:r>
        <w:tab/>
        <w:t>(c)</w:t>
      </w:r>
      <w:r>
        <w:tab/>
        <w:t>the sale, for scrap material, of an appliance that has been disabled for the use of gas.</w:t>
      </w:r>
    </w:p>
    <w:p w14:paraId="415990C9" w14:textId="77777777" w:rsidR="008511AB" w:rsidRDefault="00606D09">
      <w:pPr>
        <w:pStyle w:val="AH5Sec"/>
      </w:pPr>
      <w:bookmarkStart w:id="40" w:name="_Toc111106669"/>
      <w:r>
        <w:rPr>
          <w:rStyle w:val="CharSectNo"/>
        </w:rPr>
        <w:t>18G</w:t>
      </w:r>
      <w:r>
        <w:tab/>
        <w:t>Compliance indicators—Act, s 25</w:t>
      </w:r>
      <w:bookmarkEnd w:id="40"/>
    </w:p>
    <w:p w14:paraId="24143348" w14:textId="77777777" w:rsidR="008511AB" w:rsidRDefault="00606D09">
      <w:pPr>
        <w:pStyle w:val="Amain"/>
      </w:pPr>
      <w:r>
        <w:tab/>
        <w:t>(1)</w:t>
      </w:r>
      <w:r>
        <w:tab/>
        <w:t xml:space="preserve">A compliance indicator must be attached in a conspicuous place to an appliance declared to be approved under section 18B. </w:t>
      </w:r>
    </w:p>
    <w:p w14:paraId="360016D7" w14:textId="77777777" w:rsidR="008511AB" w:rsidRDefault="00606D09">
      <w:pPr>
        <w:pStyle w:val="Amain"/>
      </w:pPr>
      <w:r>
        <w:tab/>
        <w:t>(2)</w:t>
      </w:r>
      <w:r>
        <w:tab/>
        <w:t>If an appliance is approved by the chief executive under the Act, section 20, the applicant for approval must attach a compliance indicator to the appliance, in a conspicuous place, as soon as practicable after it is approved.</w:t>
      </w:r>
    </w:p>
    <w:p w14:paraId="3C790D19" w14:textId="77777777" w:rsidR="008511AB" w:rsidRDefault="00606D09">
      <w:pPr>
        <w:pStyle w:val="Amain"/>
        <w:keepNext/>
      </w:pPr>
      <w:r>
        <w:tab/>
        <w:t>(3)</w:t>
      </w:r>
      <w:r>
        <w:tab/>
        <w:t>For this section, a compliance indicator for a type B appliance must be of durable material and contain at least the following information:</w:t>
      </w:r>
    </w:p>
    <w:p w14:paraId="0AF84D81" w14:textId="77777777" w:rsidR="008511AB" w:rsidRDefault="00606D09">
      <w:pPr>
        <w:pStyle w:val="Apara"/>
      </w:pPr>
      <w:r>
        <w:tab/>
        <w:t>(a)</w:t>
      </w:r>
      <w:r>
        <w:tab/>
        <w:t>a description of the appliance;</w:t>
      </w:r>
    </w:p>
    <w:p w14:paraId="72C20409" w14:textId="77777777" w:rsidR="008511AB" w:rsidRDefault="00606D09">
      <w:pPr>
        <w:pStyle w:val="Apara"/>
      </w:pPr>
      <w:r>
        <w:tab/>
        <w:t>(b)</w:t>
      </w:r>
      <w:r>
        <w:tab/>
        <w:t>the name and licence number of the gasfitter who connects the appliance to the consumer piping system;</w:t>
      </w:r>
    </w:p>
    <w:p w14:paraId="1821B3A0" w14:textId="77777777" w:rsidR="008511AB" w:rsidRDefault="00606D09">
      <w:pPr>
        <w:pStyle w:val="Apara"/>
      </w:pPr>
      <w:r>
        <w:tab/>
        <w:t>(c)</w:t>
      </w:r>
      <w:r>
        <w:tab/>
        <w:t>the name of the commissioning agent;</w:t>
      </w:r>
    </w:p>
    <w:p w14:paraId="5FF4B965" w14:textId="77777777" w:rsidR="008511AB" w:rsidRDefault="00606D09">
      <w:pPr>
        <w:pStyle w:val="Apara"/>
      </w:pPr>
      <w:r>
        <w:tab/>
        <w:t>(d)</w:t>
      </w:r>
      <w:r>
        <w:tab/>
        <w:t xml:space="preserve">the name and accreditation number of the accredited appliance worker who carries out the commissioning; </w:t>
      </w:r>
    </w:p>
    <w:p w14:paraId="4A794157" w14:textId="77777777" w:rsidR="008511AB" w:rsidRDefault="00606D09">
      <w:pPr>
        <w:pStyle w:val="Apara"/>
      </w:pPr>
      <w:r>
        <w:tab/>
        <w:t>(e)</w:t>
      </w:r>
      <w:r>
        <w:tab/>
        <w:t>the date of approval;</w:t>
      </w:r>
    </w:p>
    <w:p w14:paraId="28CC84CB" w14:textId="77777777" w:rsidR="008511AB" w:rsidRDefault="00606D09">
      <w:pPr>
        <w:pStyle w:val="Apara"/>
      </w:pPr>
      <w:r>
        <w:tab/>
        <w:t>(f)</w:t>
      </w:r>
      <w:r>
        <w:tab/>
        <w:t>the approval number;</w:t>
      </w:r>
    </w:p>
    <w:p w14:paraId="490F1F96" w14:textId="77777777" w:rsidR="008511AB" w:rsidRDefault="00606D09">
      <w:pPr>
        <w:pStyle w:val="Apara"/>
        <w:keepNext/>
      </w:pPr>
      <w:r>
        <w:tab/>
        <w:t>(g)</w:t>
      </w:r>
      <w:r>
        <w:tab/>
        <w:t>the following information expressed in kPa:</w:t>
      </w:r>
    </w:p>
    <w:p w14:paraId="643B8E0A" w14:textId="77777777" w:rsidR="008511AB" w:rsidRDefault="00606D09">
      <w:pPr>
        <w:pStyle w:val="Asubpara"/>
      </w:pPr>
      <w:r>
        <w:tab/>
        <w:t>(i)</w:t>
      </w:r>
      <w:r>
        <w:tab/>
        <w:t xml:space="preserve">the designed inlet pressure; </w:t>
      </w:r>
    </w:p>
    <w:p w14:paraId="5BC4F996" w14:textId="77777777" w:rsidR="008511AB" w:rsidRDefault="00606D09">
      <w:pPr>
        <w:pStyle w:val="Asubpara"/>
      </w:pPr>
      <w:r>
        <w:tab/>
        <w:t>(ii)</w:t>
      </w:r>
      <w:r>
        <w:tab/>
        <w:t xml:space="preserve">the maximum inlet pressure; </w:t>
      </w:r>
    </w:p>
    <w:p w14:paraId="2EA7D52C" w14:textId="77777777" w:rsidR="008511AB" w:rsidRDefault="00606D09">
      <w:pPr>
        <w:pStyle w:val="Asubpara"/>
      </w:pPr>
      <w:r>
        <w:tab/>
        <w:t>(iii)</w:t>
      </w:r>
      <w:r>
        <w:tab/>
        <w:t xml:space="preserve">the outlet pressure; </w:t>
      </w:r>
    </w:p>
    <w:p w14:paraId="77A9BF1D" w14:textId="77777777" w:rsidR="008511AB" w:rsidRDefault="00606D09">
      <w:pPr>
        <w:pStyle w:val="Asubpara"/>
      </w:pPr>
      <w:r>
        <w:tab/>
        <w:t>(iv)</w:t>
      </w:r>
      <w:r>
        <w:tab/>
        <w:t xml:space="preserve">the over pressure protection limit; </w:t>
      </w:r>
    </w:p>
    <w:p w14:paraId="4615BC56" w14:textId="77777777" w:rsidR="008511AB" w:rsidRDefault="00606D09">
      <w:pPr>
        <w:pStyle w:val="Asubpara"/>
      </w:pPr>
      <w:r>
        <w:lastRenderedPageBreak/>
        <w:tab/>
        <w:t>(v)</w:t>
      </w:r>
      <w:r>
        <w:tab/>
        <w:t xml:space="preserve">the over pressure set point; </w:t>
      </w:r>
    </w:p>
    <w:p w14:paraId="4AE7125F" w14:textId="77777777" w:rsidR="008511AB" w:rsidRDefault="00606D09">
      <w:pPr>
        <w:pStyle w:val="Asubpara"/>
        <w:keepNext/>
      </w:pPr>
      <w:r>
        <w:tab/>
        <w:t>(vi)</w:t>
      </w:r>
      <w:r>
        <w:tab/>
        <w:t>the high gas pressure switch (HGPS) setting.</w:t>
      </w:r>
    </w:p>
    <w:p w14:paraId="1DB8AC44" w14:textId="77777777" w:rsidR="008511AB" w:rsidRDefault="00606D09">
      <w:pPr>
        <w:pStyle w:val="aNote"/>
        <w:keepNext/>
      </w:pPr>
      <w:r>
        <w:rPr>
          <w:rStyle w:val="charItals"/>
        </w:rPr>
        <w:t>Note 1</w:t>
      </w:r>
      <w:r>
        <w:rPr>
          <w:rStyle w:val="charItals"/>
        </w:rPr>
        <w:tab/>
      </w:r>
      <w:r>
        <w:t>If a compliance indicator is approved under s 19A (Approved compliance indicator) for this section, the approved indicator must be used.</w:t>
      </w:r>
    </w:p>
    <w:p w14:paraId="50B579CE" w14:textId="77777777" w:rsidR="008511AB" w:rsidRDefault="00606D09">
      <w:pPr>
        <w:pStyle w:val="aNote"/>
      </w:pPr>
      <w:r>
        <w:rPr>
          <w:rStyle w:val="charItals"/>
        </w:rPr>
        <w:t>Note 2</w:t>
      </w:r>
      <w:r>
        <w:tab/>
        <w:t>There is a penalty for attaching a compliance indicator to an appliance that is not approved (see Act, s 26 (2)).</w:t>
      </w:r>
    </w:p>
    <w:p w14:paraId="5D0EAA27" w14:textId="77777777" w:rsidR="008511AB" w:rsidRDefault="00606D09">
      <w:pPr>
        <w:pStyle w:val="aNote"/>
      </w:pPr>
      <w:r>
        <w:rPr>
          <w:rStyle w:val="charItals"/>
        </w:rPr>
        <w:t>Note 3</w:t>
      </w:r>
      <w:r>
        <w:tab/>
        <w:t>There is a penalty for attaching to an appliance anything that falsely purports to be a compliance indicator (see Act, s 26 (3)).</w:t>
      </w:r>
    </w:p>
    <w:p w14:paraId="16A27D9A" w14:textId="77777777" w:rsidR="008511AB" w:rsidRDefault="00606D09">
      <w:pPr>
        <w:pStyle w:val="Amain"/>
        <w:keepNext/>
      </w:pPr>
      <w:r>
        <w:tab/>
        <w:t>(4)</w:t>
      </w:r>
      <w:r>
        <w:tab/>
        <w:t>A person must not remove, alter, damage or deface a compliance indicator attached to an appliance.</w:t>
      </w:r>
    </w:p>
    <w:p w14:paraId="72B931D8" w14:textId="77777777" w:rsidR="008511AB" w:rsidRDefault="00606D09">
      <w:pPr>
        <w:pStyle w:val="Penalty"/>
        <w:keepNext/>
      </w:pPr>
      <w:r>
        <w:t>Maximum penalty:  10 penalty units.</w:t>
      </w:r>
    </w:p>
    <w:p w14:paraId="45BA0E73" w14:textId="77777777" w:rsidR="008511AB" w:rsidRDefault="00606D09">
      <w:pPr>
        <w:pStyle w:val="Amain"/>
        <w:keepNext/>
      </w:pPr>
      <w:r>
        <w:tab/>
        <w:t>(5)</w:t>
      </w:r>
      <w:r>
        <w:tab/>
        <w:t>Subsection (4) does not apply to a person who has a reasonable excuse for removing, altering, damaging or defacing the compliance indicator.</w:t>
      </w:r>
    </w:p>
    <w:p w14:paraId="0DC929AC" w14:textId="77777777" w:rsidR="008511AB" w:rsidRDefault="00606D09">
      <w:pPr>
        <w:pStyle w:val="aExamHdgss"/>
      </w:pPr>
      <w:r>
        <w:t>Example of reasonable excuse</w:t>
      </w:r>
    </w:p>
    <w:p w14:paraId="7950616E" w14:textId="77777777" w:rsidR="008511AB" w:rsidRDefault="00606D09">
      <w:pPr>
        <w:pStyle w:val="aExamss"/>
      </w:pPr>
      <w:r>
        <w:t>removing a compliance indicator to use the appliance as scrap</w:t>
      </w:r>
    </w:p>
    <w:p w14:paraId="1BB6B0C6" w14:textId="77777777" w:rsidR="008511AB" w:rsidRDefault="00606D09">
      <w:pPr>
        <w:pStyle w:val="aNote"/>
      </w:pPr>
      <w:r>
        <w:rPr>
          <w:rStyle w:val="charItals"/>
        </w:rPr>
        <w:t>Note</w:t>
      </w:r>
      <w:r>
        <w:tab/>
        <w:t>An example is part of the regulation, is not exhaustive and may extend, but does not limit, the meaning of the provision in which it appears (see Legislation Act, s 126 and s 132).</w:t>
      </w:r>
    </w:p>
    <w:p w14:paraId="4AA8607D" w14:textId="77777777" w:rsidR="008511AB" w:rsidRDefault="00606D09">
      <w:pPr>
        <w:pStyle w:val="Amain"/>
      </w:pPr>
      <w:r>
        <w:tab/>
        <w:t>(6)</w:t>
      </w:r>
      <w:r>
        <w:tab/>
        <w:t>An offence against this section is a strict liability offence.</w:t>
      </w:r>
    </w:p>
    <w:p w14:paraId="388A7CF8" w14:textId="77777777" w:rsidR="008511AB" w:rsidRDefault="00606D09">
      <w:pPr>
        <w:pStyle w:val="AH5Sec"/>
      </w:pPr>
      <w:bookmarkStart w:id="41" w:name="_Toc111106670"/>
      <w:r>
        <w:rPr>
          <w:rStyle w:val="CharSectNo"/>
        </w:rPr>
        <w:t>18H</w:t>
      </w:r>
      <w:r>
        <w:tab/>
        <w:t>Prescribed circumstances for prohibited appliances—Act, s 28 (4)</w:t>
      </w:r>
      <w:bookmarkEnd w:id="41"/>
    </w:p>
    <w:p w14:paraId="33E8FC9A" w14:textId="77777777" w:rsidR="008511AB" w:rsidRDefault="00606D09">
      <w:pPr>
        <w:pStyle w:val="Amainreturn"/>
        <w:keepNext/>
      </w:pPr>
      <w:r>
        <w:t>The Act, section 28 does not apply in the following circumstances:</w:t>
      </w:r>
    </w:p>
    <w:p w14:paraId="0C2F76DE" w14:textId="77777777" w:rsidR="008511AB" w:rsidRDefault="00606D09">
      <w:pPr>
        <w:pStyle w:val="Apara"/>
      </w:pPr>
      <w:r>
        <w:tab/>
        <w:t>(a)</w:t>
      </w:r>
      <w:r>
        <w:tab/>
        <w:t xml:space="preserve">the connection of an appliance to a consumer piping system, or its use, with the chief executive’s approval, for product testing, product development or experimental purposes; </w:t>
      </w:r>
    </w:p>
    <w:p w14:paraId="13EFCABD" w14:textId="77777777" w:rsidR="008511AB" w:rsidRDefault="00606D09">
      <w:pPr>
        <w:pStyle w:val="Apara"/>
      </w:pPr>
      <w:r>
        <w:tab/>
        <w:t>(b)</w:t>
      </w:r>
      <w:r>
        <w:tab/>
        <w:t>the sale, for scrap material, of an appliance that has been disabled for the use of gas.</w:t>
      </w:r>
    </w:p>
    <w:p w14:paraId="71416EF4" w14:textId="77777777" w:rsidR="008511AB" w:rsidRDefault="00606D09">
      <w:pPr>
        <w:pStyle w:val="PageBreak"/>
      </w:pPr>
      <w:r>
        <w:br w:type="page"/>
      </w:r>
    </w:p>
    <w:p w14:paraId="764A6C9D" w14:textId="77777777" w:rsidR="008511AB" w:rsidRDefault="00606D09">
      <w:pPr>
        <w:pStyle w:val="AH2Part"/>
      </w:pPr>
      <w:bookmarkStart w:id="42" w:name="_Toc111106671"/>
      <w:r>
        <w:rPr>
          <w:rStyle w:val="CharPartNo"/>
        </w:rPr>
        <w:lastRenderedPageBreak/>
        <w:t>Part 4</w:t>
      </w:r>
      <w:r>
        <w:tab/>
      </w:r>
      <w:r>
        <w:rPr>
          <w:rStyle w:val="CharPartText"/>
        </w:rPr>
        <w:t>Miscellaneous</w:t>
      </w:r>
      <w:bookmarkEnd w:id="42"/>
    </w:p>
    <w:p w14:paraId="2035CB7B" w14:textId="77777777" w:rsidR="008511AB" w:rsidRDefault="00606D09">
      <w:pPr>
        <w:pStyle w:val="Placeholder"/>
      </w:pPr>
      <w:r>
        <w:rPr>
          <w:rStyle w:val="CharDivNo"/>
        </w:rPr>
        <w:t xml:space="preserve">  </w:t>
      </w:r>
      <w:r>
        <w:rPr>
          <w:rStyle w:val="CharDivText"/>
        </w:rPr>
        <w:t xml:space="preserve">  </w:t>
      </w:r>
    </w:p>
    <w:p w14:paraId="4ACBFEAE" w14:textId="77777777" w:rsidR="008511AB" w:rsidRDefault="00606D09">
      <w:pPr>
        <w:pStyle w:val="AH5Sec"/>
      </w:pPr>
      <w:bookmarkStart w:id="43" w:name="_Toc111106672"/>
      <w:r>
        <w:rPr>
          <w:rStyle w:val="CharSectNo"/>
        </w:rPr>
        <w:t>19</w:t>
      </w:r>
      <w:r>
        <w:tab/>
        <w:t>Approved defect tags</w:t>
      </w:r>
      <w:bookmarkEnd w:id="43"/>
    </w:p>
    <w:p w14:paraId="0EF6409E" w14:textId="77777777" w:rsidR="008511AB" w:rsidRDefault="00606D09">
      <w:pPr>
        <w:pStyle w:val="Amain"/>
      </w:pPr>
      <w:r>
        <w:tab/>
        <w:t>(1)</w:t>
      </w:r>
      <w:r>
        <w:tab/>
        <w:t>The chief executive may approve defect tags for this regulation.</w:t>
      </w:r>
    </w:p>
    <w:p w14:paraId="181993FD" w14:textId="77777777" w:rsidR="008511AB" w:rsidRDefault="00606D09">
      <w:pPr>
        <w:pStyle w:val="Amain"/>
      </w:pPr>
      <w:r>
        <w:tab/>
        <w:t>(2)</w:t>
      </w:r>
      <w:r>
        <w:tab/>
        <w:t>If the chief executive approves a defect tag for a particular purpose, the defect tag must be used for that purpose.</w:t>
      </w:r>
    </w:p>
    <w:p w14:paraId="284F194B" w14:textId="77777777" w:rsidR="008511AB" w:rsidRDefault="00606D09">
      <w:pPr>
        <w:pStyle w:val="AH5Sec"/>
      </w:pPr>
      <w:bookmarkStart w:id="44" w:name="_Toc111106673"/>
      <w:r>
        <w:rPr>
          <w:rStyle w:val="CharSectNo"/>
        </w:rPr>
        <w:t>19A</w:t>
      </w:r>
      <w:r>
        <w:tab/>
        <w:t>Approved compliance indicator</w:t>
      </w:r>
      <w:bookmarkEnd w:id="44"/>
    </w:p>
    <w:p w14:paraId="7D8A178D" w14:textId="77777777" w:rsidR="008511AB" w:rsidRDefault="00606D09">
      <w:pPr>
        <w:pStyle w:val="Amain"/>
      </w:pPr>
      <w:r>
        <w:tab/>
        <w:t>(1)</w:t>
      </w:r>
      <w:r>
        <w:tab/>
        <w:t xml:space="preserve">The chief executive may approve compliance indicators for this regulation. </w:t>
      </w:r>
    </w:p>
    <w:p w14:paraId="35B67D1A" w14:textId="77777777" w:rsidR="008511AB" w:rsidRDefault="00606D09">
      <w:pPr>
        <w:pStyle w:val="Amain"/>
      </w:pPr>
      <w:r>
        <w:tab/>
        <w:t>(2)</w:t>
      </w:r>
      <w:r>
        <w:tab/>
        <w:t>If the chief executive approves a compliance indicator for a purpose, the compliance indicator must be used for that purpose.</w:t>
      </w:r>
    </w:p>
    <w:p w14:paraId="34EA121B" w14:textId="77777777" w:rsidR="008511AB" w:rsidRDefault="00606D09">
      <w:pPr>
        <w:pStyle w:val="AH5Sec"/>
      </w:pPr>
      <w:bookmarkStart w:id="45" w:name="_Toc111106674"/>
      <w:r>
        <w:rPr>
          <w:rStyle w:val="CharSectNo"/>
        </w:rPr>
        <w:t>20</w:t>
      </w:r>
      <w:r>
        <w:tab/>
        <w:t>Serious gas accidents—prescribed amount</w:t>
      </w:r>
      <w:bookmarkEnd w:id="45"/>
    </w:p>
    <w:p w14:paraId="12C5707A" w14:textId="77777777" w:rsidR="008511AB" w:rsidRDefault="00606D09">
      <w:pPr>
        <w:pStyle w:val="Amainreturn"/>
      </w:pPr>
      <w:r>
        <w:t xml:space="preserve">For the Act, dictionary, definition of </w:t>
      </w:r>
      <w:r>
        <w:rPr>
          <w:rStyle w:val="charBoldItals"/>
        </w:rPr>
        <w:t>serious gas accident</w:t>
      </w:r>
      <w:r>
        <w:t>, paragraph (c), the prescribed amount is $2 000.</w:t>
      </w:r>
    </w:p>
    <w:p w14:paraId="3B78A38E" w14:textId="77777777" w:rsidR="008511AB" w:rsidRDefault="00606D09">
      <w:pPr>
        <w:pStyle w:val="AH5Sec"/>
      </w:pPr>
      <w:bookmarkStart w:id="46" w:name="_Toc111106675"/>
      <w:r>
        <w:rPr>
          <w:rStyle w:val="CharSectNo"/>
        </w:rPr>
        <w:t>20A</w:t>
      </w:r>
      <w:r>
        <w:tab/>
        <w:t>Review of decisions</w:t>
      </w:r>
      <w:bookmarkEnd w:id="46"/>
    </w:p>
    <w:p w14:paraId="1E275102" w14:textId="77777777" w:rsidR="008511AB" w:rsidRDefault="00606D09">
      <w:pPr>
        <w:pStyle w:val="Amain"/>
        <w:keepNext/>
      </w:pPr>
      <w:r>
        <w:tab/>
        <w:t>(1)</w:t>
      </w:r>
      <w:r>
        <w:tab/>
        <w:t>Application may be made to the administrative appeals tribunal for review of the following decisions:</w:t>
      </w:r>
    </w:p>
    <w:p w14:paraId="655B8C12" w14:textId="77777777" w:rsidR="008511AB" w:rsidRDefault="00606D09">
      <w:pPr>
        <w:pStyle w:val="Apara"/>
      </w:pPr>
      <w:r>
        <w:tab/>
        <w:t>(a)</w:t>
      </w:r>
      <w:r>
        <w:tab/>
        <w:t>refusing to exempt a person under section 7 (2) (Testing gas connection service);</w:t>
      </w:r>
    </w:p>
    <w:p w14:paraId="04198049" w14:textId="77777777" w:rsidR="008511AB" w:rsidRDefault="00606D09">
      <w:pPr>
        <w:pStyle w:val="Apara"/>
      </w:pPr>
      <w:r>
        <w:tab/>
        <w:t>(b)</w:t>
      </w:r>
      <w:r>
        <w:tab/>
        <w:t>exempting a person under section 7 (2) subject to a condition;</w:t>
      </w:r>
    </w:p>
    <w:p w14:paraId="615B19A7" w14:textId="77777777" w:rsidR="008511AB" w:rsidRDefault="00606D09">
      <w:pPr>
        <w:pStyle w:val="Apara"/>
      </w:pPr>
      <w:r>
        <w:tab/>
        <w:t>(c)</w:t>
      </w:r>
      <w:r>
        <w:tab/>
        <w:t>refusing to exempt a person under section 9 (2) (Testing appliance connection);</w:t>
      </w:r>
    </w:p>
    <w:p w14:paraId="7EF41127" w14:textId="77777777" w:rsidR="008511AB" w:rsidRDefault="00606D09">
      <w:pPr>
        <w:pStyle w:val="Apara"/>
      </w:pPr>
      <w:r>
        <w:tab/>
        <w:t>(d)</w:t>
      </w:r>
      <w:r>
        <w:tab/>
        <w:t>exempting a person under section 9 (2) subject to a condition;</w:t>
      </w:r>
    </w:p>
    <w:p w14:paraId="7442FE2D" w14:textId="77777777" w:rsidR="008511AB" w:rsidRDefault="00606D09">
      <w:pPr>
        <w:pStyle w:val="Apara"/>
      </w:pPr>
      <w:r>
        <w:tab/>
        <w:t>(e)</w:t>
      </w:r>
      <w:r>
        <w:tab/>
        <w:t>refusing to approve an appliance for commissioning under section 18E (Application for approval of type B appliance);</w:t>
      </w:r>
    </w:p>
    <w:p w14:paraId="491DEBAC" w14:textId="77777777" w:rsidR="008511AB" w:rsidRDefault="00606D09">
      <w:pPr>
        <w:pStyle w:val="Apara"/>
      </w:pPr>
      <w:r>
        <w:lastRenderedPageBreak/>
        <w:tab/>
        <w:t>(f)</w:t>
      </w:r>
      <w:r>
        <w:tab/>
        <w:t>refusing to approve the connection of an appliance, or its use, for product testing, product development or experimental purposes under section 18F (Prescribed circumstances for unapproved appliances—Act, s 24 (4));</w:t>
      </w:r>
    </w:p>
    <w:p w14:paraId="1BE711E8" w14:textId="77777777" w:rsidR="008511AB" w:rsidRDefault="00606D09">
      <w:pPr>
        <w:pStyle w:val="Apara"/>
      </w:pPr>
      <w:r>
        <w:tab/>
        <w:t>(g)</w:t>
      </w:r>
      <w:r>
        <w:tab/>
        <w:t>refusing to approve the connection of an appliance, or its use, for product testing, product development or experimental purposes under section 18H (Prescribed circumstances for prohibited appliances—Act, s 28 (4)).</w:t>
      </w:r>
    </w:p>
    <w:p w14:paraId="0AA6C4C1" w14:textId="77777777" w:rsidR="008511AB" w:rsidRDefault="00606D09">
      <w:pPr>
        <w:pStyle w:val="Amain"/>
      </w:pPr>
      <w:r>
        <w:tab/>
        <w:t>(2)</w:t>
      </w:r>
      <w:r>
        <w:tab/>
        <w:t>Application may be made to the administrative appeals tribunal for review of a decision under a code approved for section 17A (1)—</w:t>
      </w:r>
    </w:p>
    <w:p w14:paraId="3AD6E0ED" w14:textId="77777777" w:rsidR="008511AB" w:rsidRDefault="00606D09">
      <w:pPr>
        <w:pStyle w:val="Apara"/>
      </w:pPr>
      <w:r>
        <w:tab/>
        <w:t>(a)</w:t>
      </w:r>
      <w:r>
        <w:tab/>
        <w:t>refusing to accredit a person to do appliance work; or</w:t>
      </w:r>
    </w:p>
    <w:p w14:paraId="607FC281" w14:textId="77777777" w:rsidR="008511AB" w:rsidRDefault="00606D09">
      <w:pPr>
        <w:pStyle w:val="Apara"/>
      </w:pPr>
      <w:r>
        <w:tab/>
        <w:t>(b)</w:t>
      </w:r>
      <w:r>
        <w:tab/>
        <w:t>imposing a condition on a person’s accreditation; or</w:t>
      </w:r>
    </w:p>
    <w:p w14:paraId="2055C9F9" w14:textId="77777777" w:rsidR="008511AB" w:rsidRDefault="00606D09">
      <w:pPr>
        <w:pStyle w:val="Apara"/>
      </w:pPr>
      <w:r>
        <w:tab/>
        <w:t>(c)</w:t>
      </w:r>
      <w:r>
        <w:tab/>
        <w:t>refusing to renew a person’s accreditation; or</w:t>
      </w:r>
    </w:p>
    <w:p w14:paraId="163219A5" w14:textId="77777777" w:rsidR="008511AB" w:rsidRDefault="00606D09">
      <w:pPr>
        <w:pStyle w:val="Apara"/>
      </w:pPr>
      <w:r>
        <w:tab/>
        <w:t>(d)</w:t>
      </w:r>
      <w:r>
        <w:tab/>
        <w:t>suspending a person’s accreditation; or</w:t>
      </w:r>
    </w:p>
    <w:p w14:paraId="1B0E8DA9" w14:textId="77777777" w:rsidR="008511AB" w:rsidRDefault="00606D09">
      <w:pPr>
        <w:pStyle w:val="Apara"/>
      </w:pPr>
      <w:r>
        <w:tab/>
        <w:t>(e)</w:t>
      </w:r>
      <w:r>
        <w:tab/>
        <w:t>cancelling a person’s accreditation.</w:t>
      </w:r>
    </w:p>
    <w:p w14:paraId="185D4126" w14:textId="77777777" w:rsidR="008511AB" w:rsidRDefault="00606D09">
      <w:pPr>
        <w:pStyle w:val="AH5Sec"/>
      </w:pPr>
      <w:bookmarkStart w:id="47" w:name="_Toc111106676"/>
      <w:r>
        <w:rPr>
          <w:rStyle w:val="CharSectNo"/>
        </w:rPr>
        <w:t>20B</w:t>
      </w:r>
      <w:r>
        <w:tab/>
        <w:t>Notification of decisions</w:t>
      </w:r>
      <w:bookmarkEnd w:id="47"/>
    </w:p>
    <w:p w14:paraId="4C98FD7C" w14:textId="77777777" w:rsidR="008511AB" w:rsidRDefault="00606D09">
      <w:pPr>
        <w:pStyle w:val="Amain"/>
      </w:pPr>
      <w:r>
        <w:tab/>
        <w:t>(1)</w:t>
      </w:r>
      <w:r>
        <w:tab/>
        <w:t>A person who makes a decision mentioned in section 20A must give written notice of the decision to the person affected by the decision.</w:t>
      </w:r>
    </w:p>
    <w:p w14:paraId="24415E1B" w14:textId="77777777" w:rsidR="008511AB" w:rsidRDefault="00606D09">
      <w:pPr>
        <w:pStyle w:val="Amain"/>
      </w:pPr>
      <w:r>
        <w:tab/>
        <w:t>(2)</w:t>
      </w:r>
      <w:r>
        <w:tab/>
        <w:t xml:space="preserve">A notice under subsection (1) must be in accordance with the code of practice in force under the </w:t>
      </w:r>
      <w:r>
        <w:rPr>
          <w:rStyle w:val="charItals"/>
        </w:rPr>
        <w:t>Administrative Appeals Tribunal Act 1989</w:t>
      </w:r>
      <w:r>
        <w:rPr>
          <w:rStyle w:val="charItals"/>
          <w:i w:val="0"/>
          <w:iCs w:val="0"/>
        </w:rPr>
        <w:t xml:space="preserve">, </w:t>
      </w:r>
      <w:r>
        <w:t>section 25B (1).</w:t>
      </w:r>
    </w:p>
    <w:p w14:paraId="7AC40666" w14:textId="77777777" w:rsidR="008511AB" w:rsidRDefault="00606D09">
      <w:pPr>
        <w:pStyle w:val="AH5Sec"/>
      </w:pPr>
      <w:bookmarkStart w:id="48" w:name="_Toc111106677"/>
      <w:r>
        <w:rPr>
          <w:rStyle w:val="CharSectNo"/>
        </w:rPr>
        <w:t>21</w:t>
      </w:r>
      <w:r>
        <w:rPr>
          <w:rStyle w:val="CharSectNo"/>
        </w:rPr>
        <w:tab/>
      </w:r>
      <w:r>
        <w:t>Place for keeping records—Act, s 19 (2) (b) and s 65 (5) (b)</w:t>
      </w:r>
      <w:bookmarkEnd w:id="48"/>
    </w:p>
    <w:p w14:paraId="4D367A07" w14:textId="77777777" w:rsidR="008511AB" w:rsidRDefault="00606D09">
      <w:pPr>
        <w:pStyle w:val="Amainreturn"/>
      </w:pPr>
      <w:r>
        <w:t>The office of ACT Workcover is prescribed.</w:t>
      </w:r>
    </w:p>
    <w:p w14:paraId="3DF44BDD" w14:textId="77777777" w:rsidR="008511AB" w:rsidRDefault="00606D09">
      <w:pPr>
        <w:pStyle w:val="PageBreak"/>
      </w:pPr>
      <w:r>
        <w:br w:type="page"/>
      </w:r>
    </w:p>
    <w:p w14:paraId="600F37A6" w14:textId="77777777" w:rsidR="008511AB" w:rsidRDefault="00606D09">
      <w:pPr>
        <w:pStyle w:val="AH2Part"/>
      </w:pPr>
      <w:bookmarkStart w:id="49" w:name="_Toc111106678"/>
      <w:r>
        <w:rPr>
          <w:rStyle w:val="CharPartNo"/>
        </w:rPr>
        <w:lastRenderedPageBreak/>
        <w:t>Part 5</w:t>
      </w:r>
      <w:r>
        <w:tab/>
      </w:r>
      <w:r>
        <w:rPr>
          <w:rStyle w:val="CharPartText"/>
        </w:rPr>
        <w:t>Savings and transitional provisions</w:t>
      </w:r>
      <w:bookmarkEnd w:id="49"/>
    </w:p>
    <w:p w14:paraId="42D6B764" w14:textId="77777777" w:rsidR="008511AB" w:rsidRDefault="00606D09">
      <w:pPr>
        <w:pStyle w:val="Placeholder"/>
      </w:pPr>
      <w:r>
        <w:rPr>
          <w:rStyle w:val="CharDivNo"/>
        </w:rPr>
        <w:t xml:space="preserve">  </w:t>
      </w:r>
      <w:r>
        <w:rPr>
          <w:rStyle w:val="CharDivText"/>
        </w:rPr>
        <w:t xml:space="preserve">  </w:t>
      </w:r>
    </w:p>
    <w:p w14:paraId="42465A3C" w14:textId="77777777" w:rsidR="008511AB" w:rsidRDefault="00606D09">
      <w:pPr>
        <w:pStyle w:val="AH5Sec"/>
      </w:pPr>
      <w:bookmarkStart w:id="50" w:name="_Toc111106679"/>
      <w:r>
        <w:rPr>
          <w:rStyle w:val="CharSectNo"/>
        </w:rPr>
        <w:t>22</w:t>
      </w:r>
      <w:r>
        <w:tab/>
        <w:t>Records of former certificate information to be kept</w:t>
      </w:r>
      <w:bookmarkEnd w:id="50"/>
    </w:p>
    <w:p w14:paraId="200080A6" w14:textId="77777777" w:rsidR="008511AB" w:rsidRDefault="00606D09">
      <w:pPr>
        <w:pStyle w:val="Amain"/>
      </w:pPr>
      <w:r>
        <w:tab/>
        <w:t>(1)</w:t>
      </w:r>
      <w:r>
        <w:tab/>
        <w:t>Despite the repeal of the</w:t>
      </w:r>
      <w:r>
        <w:rPr>
          <w:rStyle w:val="charItals"/>
        </w:rPr>
        <w:t xml:space="preserve"> Gas Supply Regulations 1999</w:t>
      </w:r>
      <w:r>
        <w:t>, the provisions of that regulation, section 17 (2) continues to apply in relation to the owner or operator of a distribution pipeline who, under the repealed regulation, received information contained in a certificate of compliance.</w:t>
      </w:r>
    </w:p>
    <w:p w14:paraId="4E541368" w14:textId="77777777" w:rsidR="008511AB" w:rsidRDefault="00606D09">
      <w:pPr>
        <w:pStyle w:val="Amain"/>
      </w:pPr>
      <w:r>
        <w:tab/>
        <w:t>(2)</w:t>
      </w:r>
      <w:r>
        <w:tab/>
        <w:t>This section expires 10 years after its commencement.</w:t>
      </w:r>
    </w:p>
    <w:p w14:paraId="0A7951FA" w14:textId="77777777" w:rsidR="008511AB" w:rsidRDefault="00606D09">
      <w:pPr>
        <w:pStyle w:val="AH5Sec"/>
      </w:pPr>
      <w:bookmarkStart w:id="51" w:name="_Toc111106680"/>
      <w:r>
        <w:rPr>
          <w:rStyle w:val="CharSectNo"/>
        </w:rPr>
        <w:t>23</w:t>
      </w:r>
      <w:r>
        <w:rPr>
          <w:rStyle w:val="CharSectNo"/>
        </w:rPr>
        <w:tab/>
      </w:r>
      <w:r>
        <w:t>Compliance indicators</w:t>
      </w:r>
      <w:bookmarkEnd w:id="51"/>
    </w:p>
    <w:p w14:paraId="6B4AAB73" w14:textId="77777777" w:rsidR="008511AB" w:rsidRDefault="00606D09">
      <w:pPr>
        <w:pStyle w:val="Amain"/>
        <w:keepNext/>
      </w:pPr>
      <w:r>
        <w:tab/>
        <w:t>(1)</w:t>
      </w:r>
      <w:r>
        <w:tab/>
        <w:t>In this regulation:</w:t>
      </w:r>
    </w:p>
    <w:p w14:paraId="2AA04D7F" w14:textId="77777777" w:rsidR="008511AB" w:rsidRDefault="00606D09">
      <w:pPr>
        <w:pStyle w:val="aDef"/>
      </w:pPr>
      <w:r>
        <w:rPr>
          <w:rStyle w:val="charBoldItals"/>
        </w:rPr>
        <w:t>compliance indicator</w:t>
      </w:r>
      <w:r>
        <w:t xml:space="preserve"> includes a compliance plate attached in relation to a consumer piping system under the </w:t>
      </w:r>
      <w:r>
        <w:rPr>
          <w:rStyle w:val="charItals"/>
        </w:rPr>
        <w:t>Gas Supply Regulations 1999</w:t>
      </w:r>
      <w:r>
        <w:t xml:space="preserve"> (repealed), section 15 (2).</w:t>
      </w:r>
    </w:p>
    <w:p w14:paraId="62C9B835" w14:textId="77777777" w:rsidR="008511AB" w:rsidRDefault="00606D09">
      <w:pPr>
        <w:pStyle w:val="Amain"/>
      </w:pPr>
      <w:r>
        <w:tab/>
        <w:t>(2)</w:t>
      </w:r>
      <w:r>
        <w:tab/>
        <w:t>This section expires on 1 July 2005.</w:t>
      </w:r>
    </w:p>
    <w:p w14:paraId="6FACB67F" w14:textId="77777777" w:rsidR="008511AB" w:rsidRDefault="00606D09">
      <w:pPr>
        <w:pStyle w:val="AH5Sec"/>
      </w:pPr>
      <w:bookmarkStart w:id="52" w:name="_Toc111106681"/>
      <w:r>
        <w:rPr>
          <w:rStyle w:val="CharSectNo"/>
        </w:rPr>
        <w:t>24</w:t>
      </w:r>
      <w:r>
        <w:rPr>
          <w:rStyle w:val="CharSectNo"/>
        </w:rPr>
        <w:tab/>
      </w:r>
      <w:r>
        <w:t>Defect tags</w:t>
      </w:r>
      <w:bookmarkEnd w:id="52"/>
    </w:p>
    <w:p w14:paraId="4FE21FE5" w14:textId="77777777" w:rsidR="008511AB" w:rsidRDefault="00606D09">
      <w:pPr>
        <w:pStyle w:val="Amain"/>
        <w:keepNext/>
      </w:pPr>
      <w:r>
        <w:tab/>
        <w:t>(1)</w:t>
      </w:r>
      <w:r>
        <w:tab/>
        <w:t>In this regulation:</w:t>
      </w:r>
    </w:p>
    <w:p w14:paraId="30EE747A" w14:textId="77777777" w:rsidR="008511AB" w:rsidRDefault="00606D09">
      <w:pPr>
        <w:pStyle w:val="aDef"/>
      </w:pPr>
      <w:r>
        <w:rPr>
          <w:rStyle w:val="charBoldItals"/>
        </w:rPr>
        <w:t>defect tag</w:t>
      </w:r>
      <w:r>
        <w:t xml:space="preserve"> includes an approved tag attached in relation to a consumer piping system under the </w:t>
      </w:r>
      <w:r>
        <w:rPr>
          <w:rStyle w:val="charItals"/>
        </w:rPr>
        <w:t>Gas Supply Regulations 1999</w:t>
      </w:r>
      <w:r>
        <w:t xml:space="preserve"> (repealed), section 14 (2).</w:t>
      </w:r>
    </w:p>
    <w:p w14:paraId="46F72F75" w14:textId="77777777" w:rsidR="008511AB" w:rsidRDefault="00606D09">
      <w:pPr>
        <w:pStyle w:val="Amain"/>
      </w:pPr>
      <w:r>
        <w:tab/>
        <w:t>(2)</w:t>
      </w:r>
      <w:r>
        <w:tab/>
        <w:t>This section expires on 1 July 2005.</w:t>
      </w:r>
    </w:p>
    <w:p w14:paraId="13E46BC1" w14:textId="77777777" w:rsidR="008511AB" w:rsidRDefault="008511AB">
      <w:pPr>
        <w:pStyle w:val="02Text"/>
        <w:sectPr w:rsidR="008511AB">
          <w:headerReference w:type="even" r:id="rId19"/>
          <w:headerReference w:type="default" r:id="rId20"/>
          <w:footerReference w:type="even" r:id="rId21"/>
          <w:footerReference w:type="default" r:id="rId22"/>
          <w:footerReference w:type="first" r:id="rId23"/>
          <w:pgSz w:w="11907" w:h="16839" w:code="9"/>
          <w:pgMar w:top="3000" w:right="1900" w:bottom="2500" w:left="2300" w:header="2480" w:footer="2100" w:gutter="0"/>
          <w:pgNumType w:start="1"/>
          <w:cols w:space="720"/>
          <w:titlePg/>
          <w:docGrid w:linePitch="254"/>
        </w:sectPr>
      </w:pPr>
    </w:p>
    <w:p w14:paraId="3D069332" w14:textId="77777777" w:rsidR="008511AB" w:rsidRDefault="00606D09">
      <w:pPr>
        <w:pStyle w:val="PageBreak"/>
      </w:pPr>
      <w:r>
        <w:br w:type="page"/>
      </w:r>
    </w:p>
    <w:p w14:paraId="4049B4F7" w14:textId="77777777" w:rsidR="008511AB" w:rsidRDefault="00606D09">
      <w:pPr>
        <w:pStyle w:val="Dict-Heading"/>
      </w:pPr>
      <w:bookmarkStart w:id="53" w:name="_Toc111106682"/>
      <w:r>
        <w:lastRenderedPageBreak/>
        <w:t>Dictionary</w:t>
      </w:r>
      <w:bookmarkEnd w:id="53"/>
    </w:p>
    <w:p w14:paraId="66B02C5D" w14:textId="77777777" w:rsidR="008511AB" w:rsidRDefault="00606D09">
      <w:pPr>
        <w:pStyle w:val="ref"/>
        <w:keepNext/>
      </w:pPr>
      <w:r>
        <w:t>(see s 3)</w:t>
      </w:r>
    </w:p>
    <w:p w14:paraId="0FA2D450" w14:textId="77777777" w:rsidR="008511AB" w:rsidRDefault="00606D09">
      <w:pPr>
        <w:pStyle w:val="aNote"/>
        <w:keepNext/>
      </w:pPr>
      <w:r>
        <w:rPr>
          <w:rStyle w:val="charItals"/>
        </w:rPr>
        <w:t>Note 1</w:t>
      </w:r>
      <w:r>
        <w:rPr>
          <w:rStyle w:val="charItals"/>
        </w:rPr>
        <w:tab/>
      </w:r>
      <w:r>
        <w:t>The Legislation Act contains definitions and other provisions relevant to this Act.</w:t>
      </w:r>
    </w:p>
    <w:p w14:paraId="74B7C372" w14:textId="77777777" w:rsidR="008511AB" w:rsidRDefault="00606D09">
      <w:pPr>
        <w:pStyle w:val="aNote"/>
        <w:keepNext/>
      </w:pPr>
      <w:r>
        <w:rPr>
          <w:rStyle w:val="charItals"/>
        </w:rPr>
        <w:t>Note 2</w:t>
      </w:r>
      <w:r>
        <w:rPr>
          <w:rStyle w:val="charItals"/>
        </w:rPr>
        <w:tab/>
      </w:r>
      <w:r>
        <w:t>For example, the Legislation Act, dict, pt 1, defines the following terms:</w:t>
      </w:r>
    </w:p>
    <w:p w14:paraId="48D1EA12" w14:textId="77777777" w:rsidR="008511AB" w:rsidRDefault="00606D09">
      <w:pPr>
        <w:pStyle w:val="aNoteBulletss"/>
      </w:pPr>
      <w:r>
        <w:rPr>
          <w:rFonts w:ascii="Symbol" w:hAnsi="Symbol" w:cs="Symbol"/>
        </w:rPr>
        <w:t>·</w:t>
      </w:r>
      <w:r>
        <w:rPr>
          <w:rFonts w:ascii="Symbol" w:hAnsi="Symbol" w:cs="Symbol"/>
        </w:rPr>
        <w:tab/>
      </w:r>
      <w:r>
        <w:t>function</w:t>
      </w:r>
    </w:p>
    <w:p w14:paraId="380D7F8B" w14:textId="77777777" w:rsidR="008511AB" w:rsidRDefault="00606D09">
      <w:pPr>
        <w:pStyle w:val="aNoteBulletss"/>
      </w:pPr>
      <w:r>
        <w:rPr>
          <w:rFonts w:ascii="Symbol" w:hAnsi="Symbol" w:cs="Symbol"/>
        </w:rPr>
        <w:t>·</w:t>
      </w:r>
      <w:r>
        <w:rPr>
          <w:rFonts w:ascii="Symbol" w:hAnsi="Symbol" w:cs="Symbol"/>
        </w:rPr>
        <w:tab/>
      </w:r>
      <w:r>
        <w:t>under.</w:t>
      </w:r>
    </w:p>
    <w:p w14:paraId="78E2CA83" w14:textId="77777777" w:rsidR="008511AB" w:rsidRDefault="00606D09">
      <w:pPr>
        <w:pStyle w:val="aNote"/>
        <w:keepNext/>
      </w:pPr>
      <w:r>
        <w:rPr>
          <w:rStyle w:val="charItals"/>
        </w:rPr>
        <w:t>Note 3</w:t>
      </w:r>
      <w:r>
        <w:rPr>
          <w:rStyle w:val="charItals"/>
          <w:i w:val="0"/>
          <w:iCs w:val="0"/>
          <w:sz w:val="18"/>
          <w:szCs w:val="18"/>
        </w:rPr>
        <w:tab/>
      </w:r>
      <w:r>
        <w:t xml:space="preserve">Terms used in this regulation have the same meaning that they have in the </w:t>
      </w:r>
      <w:r>
        <w:rPr>
          <w:rStyle w:val="charItals"/>
        </w:rPr>
        <w:t>Gas Safety Act 2000</w:t>
      </w:r>
      <w:r>
        <w:t xml:space="preserve"> (see Legislation Act, s 148).  For example, the following term is defined in the </w:t>
      </w:r>
      <w:r>
        <w:rPr>
          <w:rStyle w:val="charItals"/>
        </w:rPr>
        <w:t>Gas Safety Act 2000</w:t>
      </w:r>
      <w:r>
        <w:t>, dict:</w:t>
      </w:r>
    </w:p>
    <w:p w14:paraId="2F800DAF" w14:textId="77777777" w:rsidR="008511AB" w:rsidRDefault="00606D09">
      <w:pPr>
        <w:pStyle w:val="aNoteBulletss"/>
      </w:pPr>
      <w:r>
        <w:rPr>
          <w:rFonts w:ascii="Symbol" w:hAnsi="Symbol" w:cs="Symbol"/>
        </w:rPr>
        <w:t>·</w:t>
      </w:r>
      <w:r>
        <w:rPr>
          <w:rFonts w:ascii="Symbol" w:hAnsi="Symbol" w:cs="Symbol"/>
        </w:rPr>
        <w:tab/>
      </w:r>
      <w:r>
        <w:t>premises.</w:t>
      </w:r>
    </w:p>
    <w:p w14:paraId="5E99C36C" w14:textId="77777777" w:rsidR="008511AB" w:rsidRDefault="00606D09">
      <w:pPr>
        <w:pStyle w:val="aDef"/>
      </w:pPr>
      <w:r>
        <w:rPr>
          <w:rStyle w:val="charBoldItals"/>
        </w:rPr>
        <w:t>appliance</w:t>
      </w:r>
      <w:r>
        <w:t>, in part 2 (Work safety and standards), does not include an appliance designed to be portable by users.</w:t>
      </w:r>
    </w:p>
    <w:p w14:paraId="4BEADFB3" w14:textId="77777777" w:rsidR="008511AB" w:rsidRDefault="00606D09">
      <w:pPr>
        <w:pStyle w:val="aDef"/>
        <w:rPr>
          <w:rStyle w:val="charBoldItals"/>
        </w:rPr>
      </w:pPr>
      <w:r>
        <w:rPr>
          <w:rStyle w:val="charBoldItals"/>
        </w:rPr>
        <w:t>Australian Gas Association</w:t>
      </w:r>
      <w:r>
        <w:t xml:space="preserve"> means the company named The Australian Gas Association (ACN 004206044).</w:t>
      </w:r>
      <w:r>
        <w:rPr>
          <w:rStyle w:val="charBoldItals"/>
        </w:rPr>
        <w:t xml:space="preserve"> </w:t>
      </w:r>
    </w:p>
    <w:p w14:paraId="0C94AB39" w14:textId="77777777" w:rsidR="008511AB" w:rsidRDefault="00606D09">
      <w:pPr>
        <w:pStyle w:val="aDef"/>
        <w:rPr>
          <w:rStyle w:val="charBoldItals"/>
        </w:rPr>
      </w:pPr>
      <w:r>
        <w:rPr>
          <w:rStyle w:val="charBoldItals"/>
        </w:rPr>
        <w:t>certificate of accreditation</w:t>
      </w:r>
      <w:r>
        <w:t xml:space="preserve"> means a certificate of accreditation under the accreditation code approved under section 17A.</w:t>
      </w:r>
    </w:p>
    <w:p w14:paraId="3E797157" w14:textId="77777777" w:rsidR="008511AB" w:rsidRDefault="00606D09">
      <w:pPr>
        <w:pStyle w:val="aDef"/>
        <w:keepNext/>
      </w:pPr>
      <w:r>
        <w:rPr>
          <w:rStyle w:val="charBoldItals"/>
        </w:rPr>
        <w:t>defect tag</w:t>
      </w:r>
      <w:r>
        <w:t>––</w:t>
      </w:r>
    </w:p>
    <w:p w14:paraId="53FDE2F5" w14:textId="77777777" w:rsidR="008511AB" w:rsidRDefault="00606D09">
      <w:pPr>
        <w:pStyle w:val="aDefpara"/>
      </w:pPr>
      <w:r>
        <w:tab/>
        <w:t>(a)</w:t>
      </w:r>
      <w:r>
        <w:tab/>
        <w:t>for a consumer piping system––see section 15 (1);</w:t>
      </w:r>
    </w:p>
    <w:p w14:paraId="4DF8AE5D" w14:textId="77777777" w:rsidR="008511AB" w:rsidRDefault="00606D09">
      <w:pPr>
        <w:pStyle w:val="aDefpara"/>
      </w:pPr>
      <w:r>
        <w:tab/>
        <w:t>(b)</w:t>
      </w:r>
      <w:r>
        <w:tab/>
        <w:t>for an appliance––see section 17D.</w:t>
      </w:r>
    </w:p>
    <w:p w14:paraId="58460C10" w14:textId="77777777" w:rsidR="008511AB" w:rsidRDefault="00606D09">
      <w:pPr>
        <w:pStyle w:val="aDef"/>
      </w:pPr>
      <w:r>
        <w:rPr>
          <w:rStyle w:val="charBoldItals"/>
        </w:rPr>
        <w:t>gas distribution network</w:t>
      </w:r>
      <w:r>
        <w:t xml:space="preserve"> means a gas distribution network under the</w:t>
      </w:r>
      <w:r>
        <w:rPr>
          <w:rStyle w:val="charItals"/>
        </w:rPr>
        <w:t xml:space="preserve"> Utilities Act 2000</w:t>
      </w:r>
      <w:r>
        <w:t>, section 10 (2).</w:t>
      </w:r>
    </w:p>
    <w:p w14:paraId="12499955" w14:textId="77777777" w:rsidR="008511AB" w:rsidRDefault="00606D09">
      <w:pPr>
        <w:pStyle w:val="aDef"/>
      </w:pPr>
      <w:r>
        <w:rPr>
          <w:rStyle w:val="charBoldItals"/>
        </w:rPr>
        <w:t>gas distributor</w:t>
      </w:r>
      <w:r>
        <w:t>—see the</w:t>
      </w:r>
      <w:r>
        <w:rPr>
          <w:rStyle w:val="charItals"/>
        </w:rPr>
        <w:t xml:space="preserve"> Utilities Act 2000</w:t>
      </w:r>
      <w:r>
        <w:t>, dictionary.</w:t>
      </w:r>
    </w:p>
    <w:p w14:paraId="2C8C0B5A" w14:textId="77777777" w:rsidR="008511AB" w:rsidRDefault="00606D09">
      <w:pPr>
        <w:pStyle w:val="aDef"/>
      </w:pPr>
      <w:r>
        <w:rPr>
          <w:rStyle w:val="charBoldItals"/>
        </w:rPr>
        <w:t>type A appliance</w:t>
      </w:r>
      <w:r>
        <w:t>—see Australian Gas Association Standard AG 601 (Australian Standard 5601).</w:t>
      </w:r>
    </w:p>
    <w:p w14:paraId="139C3B63" w14:textId="77777777" w:rsidR="008511AB" w:rsidRDefault="00606D09">
      <w:pPr>
        <w:pStyle w:val="aDef"/>
      </w:pPr>
      <w:r>
        <w:rPr>
          <w:rStyle w:val="charBoldItals"/>
        </w:rPr>
        <w:t>type B appliance</w:t>
      </w:r>
      <w:r>
        <w:t>—see Australian Gas Association Standard AG 601 (Australian Standard 5601).</w:t>
      </w:r>
    </w:p>
    <w:p w14:paraId="6B9F0793" w14:textId="77777777" w:rsidR="008511AB" w:rsidRDefault="008511AB">
      <w:pPr>
        <w:pStyle w:val="04Dictionary"/>
        <w:sectPr w:rsidR="008511AB">
          <w:headerReference w:type="even" r:id="rId24"/>
          <w:headerReference w:type="default" r:id="rId25"/>
          <w:footerReference w:type="even" r:id="rId26"/>
          <w:footerReference w:type="default" r:id="rId27"/>
          <w:type w:val="continuous"/>
          <w:pgSz w:w="11907" w:h="16839" w:code="9"/>
          <w:pgMar w:top="3000" w:right="1900" w:bottom="2500" w:left="2300" w:header="2480" w:footer="2100" w:gutter="0"/>
          <w:cols w:space="720"/>
          <w:docGrid w:linePitch="254"/>
        </w:sectPr>
      </w:pPr>
    </w:p>
    <w:p w14:paraId="4EF27E99" w14:textId="77777777" w:rsidR="008511AB" w:rsidRDefault="00606D09">
      <w:pPr>
        <w:pStyle w:val="Endnote10"/>
      </w:pPr>
      <w:bookmarkStart w:id="54" w:name="_Toc111106683"/>
      <w:r>
        <w:lastRenderedPageBreak/>
        <w:t>Endnotes</w:t>
      </w:r>
      <w:bookmarkEnd w:id="54"/>
    </w:p>
    <w:p w14:paraId="47EF9883" w14:textId="77777777" w:rsidR="008511AB" w:rsidRDefault="00606D09">
      <w:pPr>
        <w:pStyle w:val="Endnote20"/>
      </w:pPr>
      <w:bookmarkStart w:id="55" w:name="_Toc111106684"/>
      <w:r>
        <w:rPr>
          <w:rStyle w:val="charTableNo"/>
        </w:rPr>
        <w:t>1</w:t>
      </w:r>
      <w:r>
        <w:tab/>
      </w:r>
      <w:r>
        <w:rPr>
          <w:rStyle w:val="charTableText"/>
        </w:rPr>
        <w:t>About the endnotes</w:t>
      </w:r>
      <w:bookmarkEnd w:id="55"/>
    </w:p>
    <w:p w14:paraId="4DBAA6C4" w14:textId="77777777" w:rsidR="008511AB" w:rsidRDefault="00606D09">
      <w:pPr>
        <w:pStyle w:val="EndNoteTextPub"/>
      </w:pPr>
      <w:r>
        <w:t>Amending and modifying laws are annotated in the legislation history and the amendment history.  Current modifications are not included in the republished law but are set out in the endnotes.</w:t>
      </w:r>
    </w:p>
    <w:p w14:paraId="0C9C8A7E" w14:textId="77777777" w:rsidR="008511AB" w:rsidRDefault="00606D09">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6C79BCB7" w14:textId="77777777" w:rsidR="008511AB" w:rsidRDefault="00606D09">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14:paraId="1549BA7C" w14:textId="77777777" w:rsidR="008511AB" w:rsidRDefault="00606D09">
      <w:pPr>
        <w:pStyle w:val="EndNoteTextPub"/>
      </w:pPr>
      <w:r>
        <w:t xml:space="preserve">If all the provisions of the law have been renumbered, a table of renumbered provisions gives details of previous and current numbering.  </w:t>
      </w:r>
    </w:p>
    <w:p w14:paraId="4883E038" w14:textId="77777777" w:rsidR="008511AB" w:rsidRDefault="00606D09">
      <w:pPr>
        <w:pStyle w:val="EndNoteTextPub"/>
      </w:pPr>
      <w:r>
        <w:t>The endnotes also include a table of earlier republications.</w:t>
      </w:r>
    </w:p>
    <w:p w14:paraId="063D8E87" w14:textId="77777777" w:rsidR="008511AB" w:rsidRDefault="00606D09">
      <w:pPr>
        <w:pStyle w:val="Endnote20"/>
      </w:pPr>
      <w:bookmarkStart w:id="56" w:name="_Toc111106685"/>
      <w:r>
        <w:rPr>
          <w:rStyle w:val="charTableNo"/>
        </w:rPr>
        <w:t>2</w:t>
      </w:r>
      <w:r>
        <w:tab/>
      </w:r>
      <w:r>
        <w:rPr>
          <w:rStyle w:val="charTableText"/>
        </w:rPr>
        <w:t>Abbreviation key</w:t>
      </w:r>
      <w:bookmarkEnd w:id="56"/>
    </w:p>
    <w:p w14:paraId="02917DC7" w14:textId="77777777" w:rsidR="008511AB" w:rsidRDefault="008511AB">
      <w:pPr>
        <w:rPr>
          <w:sz w:val="4"/>
          <w:szCs w:val="4"/>
        </w:rPr>
      </w:pPr>
    </w:p>
    <w:tbl>
      <w:tblPr>
        <w:tblW w:w="7056" w:type="dxa"/>
        <w:tblInd w:w="1100" w:type="dxa"/>
        <w:tblLayout w:type="fixed"/>
        <w:tblLook w:val="0000" w:firstRow="0" w:lastRow="0" w:firstColumn="0" w:lastColumn="0" w:noHBand="0" w:noVBand="0"/>
      </w:tblPr>
      <w:tblGrid>
        <w:gridCol w:w="3720"/>
        <w:gridCol w:w="3336"/>
      </w:tblGrid>
      <w:tr w:rsidR="008511AB" w14:paraId="5F579EF3" w14:textId="77777777">
        <w:tc>
          <w:tcPr>
            <w:tcW w:w="3720" w:type="dxa"/>
            <w:tcBorders>
              <w:top w:val="nil"/>
              <w:left w:val="nil"/>
              <w:bottom w:val="nil"/>
              <w:right w:val="nil"/>
            </w:tcBorders>
          </w:tcPr>
          <w:p w14:paraId="2292FFA1" w14:textId="77777777" w:rsidR="008511AB" w:rsidRDefault="00606D09">
            <w:pPr>
              <w:pStyle w:val="EndnotesAbbrev"/>
            </w:pPr>
            <w:r>
              <w:t>am = amended</w:t>
            </w:r>
          </w:p>
        </w:tc>
        <w:tc>
          <w:tcPr>
            <w:tcW w:w="3336" w:type="dxa"/>
            <w:tcBorders>
              <w:top w:val="nil"/>
              <w:left w:val="nil"/>
              <w:bottom w:val="nil"/>
              <w:right w:val="nil"/>
            </w:tcBorders>
          </w:tcPr>
          <w:p w14:paraId="7C659024" w14:textId="77777777" w:rsidR="008511AB" w:rsidRDefault="00606D09">
            <w:pPr>
              <w:pStyle w:val="EndnotesAbbrev"/>
            </w:pPr>
            <w:r>
              <w:t>ord = ordinance</w:t>
            </w:r>
          </w:p>
        </w:tc>
      </w:tr>
      <w:tr w:rsidR="008511AB" w14:paraId="1A4D137A" w14:textId="77777777">
        <w:tc>
          <w:tcPr>
            <w:tcW w:w="3720" w:type="dxa"/>
            <w:tcBorders>
              <w:top w:val="nil"/>
              <w:left w:val="nil"/>
              <w:bottom w:val="nil"/>
              <w:right w:val="nil"/>
            </w:tcBorders>
          </w:tcPr>
          <w:p w14:paraId="3F79C371" w14:textId="77777777" w:rsidR="008511AB" w:rsidRDefault="00606D09">
            <w:pPr>
              <w:pStyle w:val="EndnotesAbbrev"/>
            </w:pPr>
            <w:r>
              <w:t>amdt = amendment</w:t>
            </w:r>
          </w:p>
        </w:tc>
        <w:tc>
          <w:tcPr>
            <w:tcW w:w="3336" w:type="dxa"/>
            <w:tcBorders>
              <w:top w:val="nil"/>
              <w:left w:val="nil"/>
              <w:bottom w:val="nil"/>
              <w:right w:val="nil"/>
            </w:tcBorders>
          </w:tcPr>
          <w:p w14:paraId="3D4BA6DC" w14:textId="77777777" w:rsidR="008511AB" w:rsidRDefault="00606D09">
            <w:pPr>
              <w:pStyle w:val="EndnotesAbbrev"/>
            </w:pPr>
            <w:r>
              <w:t>orig = original</w:t>
            </w:r>
          </w:p>
        </w:tc>
      </w:tr>
      <w:tr w:rsidR="008511AB" w14:paraId="4F54D128" w14:textId="77777777">
        <w:tc>
          <w:tcPr>
            <w:tcW w:w="3720" w:type="dxa"/>
            <w:tcBorders>
              <w:top w:val="nil"/>
              <w:left w:val="nil"/>
              <w:bottom w:val="nil"/>
              <w:right w:val="nil"/>
            </w:tcBorders>
          </w:tcPr>
          <w:p w14:paraId="19F0E2B9" w14:textId="77777777" w:rsidR="008511AB" w:rsidRDefault="00606D09">
            <w:pPr>
              <w:pStyle w:val="EndnotesAbbrev"/>
            </w:pPr>
            <w:r>
              <w:t>ch = chapter</w:t>
            </w:r>
          </w:p>
        </w:tc>
        <w:tc>
          <w:tcPr>
            <w:tcW w:w="3336" w:type="dxa"/>
            <w:tcBorders>
              <w:top w:val="nil"/>
              <w:left w:val="nil"/>
              <w:bottom w:val="nil"/>
              <w:right w:val="nil"/>
            </w:tcBorders>
          </w:tcPr>
          <w:p w14:paraId="49369DE9" w14:textId="77777777" w:rsidR="008511AB" w:rsidRDefault="00606D09">
            <w:pPr>
              <w:pStyle w:val="EndnotesAbbrev"/>
            </w:pPr>
            <w:r>
              <w:t>par = paragraph/subparagraph</w:t>
            </w:r>
          </w:p>
        </w:tc>
      </w:tr>
      <w:tr w:rsidR="008511AB" w14:paraId="722D78F4" w14:textId="77777777">
        <w:tc>
          <w:tcPr>
            <w:tcW w:w="3720" w:type="dxa"/>
            <w:tcBorders>
              <w:top w:val="nil"/>
              <w:left w:val="nil"/>
              <w:bottom w:val="nil"/>
              <w:right w:val="nil"/>
            </w:tcBorders>
          </w:tcPr>
          <w:p w14:paraId="03E8B963" w14:textId="77777777" w:rsidR="008511AB" w:rsidRDefault="00606D09">
            <w:pPr>
              <w:pStyle w:val="EndnotesAbbrev"/>
            </w:pPr>
            <w:r>
              <w:t>def = definition</w:t>
            </w:r>
          </w:p>
        </w:tc>
        <w:tc>
          <w:tcPr>
            <w:tcW w:w="3336" w:type="dxa"/>
            <w:tcBorders>
              <w:top w:val="nil"/>
              <w:left w:val="nil"/>
              <w:bottom w:val="nil"/>
              <w:right w:val="nil"/>
            </w:tcBorders>
          </w:tcPr>
          <w:p w14:paraId="121CB3E1" w14:textId="77777777" w:rsidR="008511AB" w:rsidRDefault="00606D09">
            <w:pPr>
              <w:pStyle w:val="EndnotesAbbrev"/>
            </w:pPr>
            <w:r>
              <w:t>pres = present</w:t>
            </w:r>
          </w:p>
        </w:tc>
      </w:tr>
      <w:tr w:rsidR="008511AB" w14:paraId="7274A0EC" w14:textId="77777777">
        <w:tc>
          <w:tcPr>
            <w:tcW w:w="3720" w:type="dxa"/>
            <w:tcBorders>
              <w:top w:val="nil"/>
              <w:left w:val="nil"/>
              <w:bottom w:val="nil"/>
              <w:right w:val="nil"/>
            </w:tcBorders>
          </w:tcPr>
          <w:p w14:paraId="55862E03" w14:textId="77777777" w:rsidR="008511AB" w:rsidRDefault="00606D09">
            <w:pPr>
              <w:pStyle w:val="EndnotesAbbrev"/>
            </w:pPr>
            <w:r>
              <w:t>dict = dictionary</w:t>
            </w:r>
          </w:p>
        </w:tc>
        <w:tc>
          <w:tcPr>
            <w:tcW w:w="3336" w:type="dxa"/>
            <w:tcBorders>
              <w:top w:val="nil"/>
              <w:left w:val="nil"/>
              <w:bottom w:val="nil"/>
              <w:right w:val="nil"/>
            </w:tcBorders>
          </w:tcPr>
          <w:p w14:paraId="17A00F38" w14:textId="77777777" w:rsidR="008511AB" w:rsidRDefault="00606D09">
            <w:pPr>
              <w:pStyle w:val="EndnotesAbbrev"/>
            </w:pPr>
            <w:r>
              <w:t>prev = previous</w:t>
            </w:r>
          </w:p>
        </w:tc>
      </w:tr>
      <w:tr w:rsidR="008511AB" w14:paraId="2EF14D77" w14:textId="77777777">
        <w:tc>
          <w:tcPr>
            <w:tcW w:w="3720" w:type="dxa"/>
            <w:tcBorders>
              <w:top w:val="nil"/>
              <w:left w:val="nil"/>
              <w:bottom w:val="nil"/>
              <w:right w:val="nil"/>
            </w:tcBorders>
          </w:tcPr>
          <w:p w14:paraId="7F4E65CE" w14:textId="77777777" w:rsidR="008511AB" w:rsidRDefault="00606D09">
            <w:pPr>
              <w:pStyle w:val="EndnotesAbbrev"/>
            </w:pPr>
            <w:r>
              <w:t xml:space="preserve">disallowed = disallowed by the Legislative </w:t>
            </w:r>
          </w:p>
        </w:tc>
        <w:tc>
          <w:tcPr>
            <w:tcW w:w="3336" w:type="dxa"/>
            <w:tcBorders>
              <w:top w:val="nil"/>
              <w:left w:val="nil"/>
              <w:bottom w:val="nil"/>
              <w:right w:val="nil"/>
            </w:tcBorders>
          </w:tcPr>
          <w:p w14:paraId="7DA49B93" w14:textId="77777777" w:rsidR="008511AB" w:rsidRDefault="00606D09">
            <w:pPr>
              <w:pStyle w:val="EndnotesAbbrev"/>
            </w:pPr>
            <w:r>
              <w:t>(prev...) = previously</w:t>
            </w:r>
          </w:p>
        </w:tc>
      </w:tr>
      <w:tr w:rsidR="008511AB" w14:paraId="4E3635C8" w14:textId="77777777">
        <w:tc>
          <w:tcPr>
            <w:tcW w:w="3720" w:type="dxa"/>
            <w:tcBorders>
              <w:top w:val="nil"/>
              <w:left w:val="nil"/>
              <w:bottom w:val="nil"/>
              <w:right w:val="nil"/>
            </w:tcBorders>
          </w:tcPr>
          <w:p w14:paraId="7A3599D4" w14:textId="77777777" w:rsidR="008511AB" w:rsidRDefault="00606D09">
            <w:pPr>
              <w:pStyle w:val="EndnotesAbbrev"/>
              <w:ind w:left="972"/>
            </w:pPr>
            <w:r>
              <w:t>Assembly</w:t>
            </w:r>
          </w:p>
        </w:tc>
        <w:tc>
          <w:tcPr>
            <w:tcW w:w="3336" w:type="dxa"/>
            <w:tcBorders>
              <w:top w:val="nil"/>
              <w:left w:val="nil"/>
              <w:bottom w:val="nil"/>
              <w:right w:val="nil"/>
            </w:tcBorders>
          </w:tcPr>
          <w:p w14:paraId="755B64C8" w14:textId="77777777" w:rsidR="008511AB" w:rsidRDefault="00606D09">
            <w:pPr>
              <w:pStyle w:val="EndnotesAbbrev"/>
            </w:pPr>
            <w:r>
              <w:t>pt = part</w:t>
            </w:r>
          </w:p>
        </w:tc>
      </w:tr>
      <w:tr w:rsidR="008511AB" w14:paraId="69128755" w14:textId="77777777">
        <w:tc>
          <w:tcPr>
            <w:tcW w:w="3720" w:type="dxa"/>
            <w:tcBorders>
              <w:top w:val="nil"/>
              <w:left w:val="nil"/>
              <w:bottom w:val="nil"/>
              <w:right w:val="nil"/>
            </w:tcBorders>
          </w:tcPr>
          <w:p w14:paraId="10BA0D81" w14:textId="77777777" w:rsidR="008511AB" w:rsidRDefault="00606D09">
            <w:pPr>
              <w:pStyle w:val="EndnotesAbbrev"/>
            </w:pPr>
            <w:r>
              <w:t>div = division</w:t>
            </w:r>
          </w:p>
        </w:tc>
        <w:tc>
          <w:tcPr>
            <w:tcW w:w="3336" w:type="dxa"/>
            <w:tcBorders>
              <w:top w:val="nil"/>
              <w:left w:val="nil"/>
              <w:bottom w:val="nil"/>
              <w:right w:val="nil"/>
            </w:tcBorders>
          </w:tcPr>
          <w:p w14:paraId="4CA4CB27" w14:textId="77777777" w:rsidR="008511AB" w:rsidRDefault="00606D09">
            <w:pPr>
              <w:pStyle w:val="EndnotesAbbrev"/>
            </w:pPr>
            <w:r>
              <w:t>r = rule/subrule</w:t>
            </w:r>
          </w:p>
        </w:tc>
      </w:tr>
      <w:tr w:rsidR="008511AB" w14:paraId="5F4E5D10" w14:textId="77777777">
        <w:tc>
          <w:tcPr>
            <w:tcW w:w="3720" w:type="dxa"/>
            <w:tcBorders>
              <w:top w:val="nil"/>
              <w:left w:val="nil"/>
              <w:bottom w:val="nil"/>
              <w:right w:val="nil"/>
            </w:tcBorders>
          </w:tcPr>
          <w:p w14:paraId="06DEC4DD" w14:textId="77777777" w:rsidR="008511AB" w:rsidRDefault="00606D09">
            <w:pPr>
              <w:pStyle w:val="EndnotesAbbrev"/>
            </w:pPr>
            <w:r>
              <w:t>exp = expires/expired</w:t>
            </w:r>
          </w:p>
        </w:tc>
        <w:tc>
          <w:tcPr>
            <w:tcW w:w="3336" w:type="dxa"/>
            <w:tcBorders>
              <w:top w:val="nil"/>
              <w:left w:val="nil"/>
              <w:bottom w:val="nil"/>
              <w:right w:val="nil"/>
            </w:tcBorders>
          </w:tcPr>
          <w:p w14:paraId="2B3304DD" w14:textId="77777777" w:rsidR="008511AB" w:rsidRDefault="00606D09">
            <w:pPr>
              <w:pStyle w:val="EndnotesAbbrev"/>
            </w:pPr>
            <w:r>
              <w:t>renum = renumbered</w:t>
            </w:r>
          </w:p>
        </w:tc>
      </w:tr>
      <w:tr w:rsidR="008511AB" w14:paraId="7EA35F77" w14:textId="77777777">
        <w:tc>
          <w:tcPr>
            <w:tcW w:w="3720" w:type="dxa"/>
            <w:tcBorders>
              <w:top w:val="nil"/>
              <w:left w:val="nil"/>
              <w:bottom w:val="nil"/>
              <w:right w:val="nil"/>
            </w:tcBorders>
          </w:tcPr>
          <w:p w14:paraId="5C55134A" w14:textId="77777777" w:rsidR="008511AB" w:rsidRDefault="00606D09">
            <w:pPr>
              <w:pStyle w:val="EndnotesAbbrev"/>
            </w:pPr>
            <w:r>
              <w:t>Gaz = gazette</w:t>
            </w:r>
          </w:p>
        </w:tc>
        <w:tc>
          <w:tcPr>
            <w:tcW w:w="3336" w:type="dxa"/>
            <w:tcBorders>
              <w:top w:val="nil"/>
              <w:left w:val="nil"/>
              <w:bottom w:val="nil"/>
              <w:right w:val="nil"/>
            </w:tcBorders>
          </w:tcPr>
          <w:p w14:paraId="46D1EDFA" w14:textId="77777777" w:rsidR="008511AB" w:rsidRDefault="00606D09">
            <w:pPr>
              <w:pStyle w:val="EndnotesAbbrev"/>
            </w:pPr>
            <w:r>
              <w:t>reloc = relocated</w:t>
            </w:r>
          </w:p>
        </w:tc>
      </w:tr>
      <w:tr w:rsidR="008511AB" w14:paraId="3BB07811" w14:textId="77777777">
        <w:tc>
          <w:tcPr>
            <w:tcW w:w="3720" w:type="dxa"/>
            <w:tcBorders>
              <w:top w:val="nil"/>
              <w:left w:val="nil"/>
              <w:bottom w:val="nil"/>
              <w:right w:val="nil"/>
            </w:tcBorders>
          </w:tcPr>
          <w:p w14:paraId="5C925BA7" w14:textId="77777777" w:rsidR="008511AB" w:rsidRDefault="00606D09">
            <w:pPr>
              <w:pStyle w:val="EndnotesAbbrev"/>
            </w:pPr>
            <w:r>
              <w:t>hdg = heading</w:t>
            </w:r>
          </w:p>
        </w:tc>
        <w:tc>
          <w:tcPr>
            <w:tcW w:w="3336" w:type="dxa"/>
            <w:tcBorders>
              <w:top w:val="nil"/>
              <w:left w:val="nil"/>
              <w:bottom w:val="nil"/>
              <w:right w:val="nil"/>
            </w:tcBorders>
          </w:tcPr>
          <w:p w14:paraId="75D30695" w14:textId="77777777" w:rsidR="008511AB" w:rsidRDefault="00606D09">
            <w:pPr>
              <w:pStyle w:val="EndnotesAbbrev"/>
            </w:pPr>
            <w:r>
              <w:t>R[X] = Republication No</w:t>
            </w:r>
          </w:p>
        </w:tc>
      </w:tr>
      <w:tr w:rsidR="008511AB" w14:paraId="67371769" w14:textId="77777777">
        <w:tc>
          <w:tcPr>
            <w:tcW w:w="3720" w:type="dxa"/>
            <w:tcBorders>
              <w:top w:val="nil"/>
              <w:left w:val="nil"/>
              <w:bottom w:val="nil"/>
              <w:right w:val="nil"/>
            </w:tcBorders>
          </w:tcPr>
          <w:p w14:paraId="7BFAFA6A" w14:textId="77777777" w:rsidR="008511AB" w:rsidRDefault="00606D09">
            <w:pPr>
              <w:pStyle w:val="EndnotesAbbrev"/>
            </w:pPr>
            <w:r>
              <w:t>IA = Interpretation Act 1967</w:t>
            </w:r>
          </w:p>
        </w:tc>
        <w:tc>
          <w:tcPr>
            <w:tcW w:w="3336" w:type="dxa"/>
            <w:tcBorders>
              <w:top w:val="nil"/>
              <w:left w:val="nil"/>
              <w:bottom w:val="nil"/>
              <w:right w:val="nil"/>
            </w:tcBorders>
          </w:tcPr>
          <w:p w14:paraId="6665B755" w14:textId="77777777" w:rsidR="008511AB" w:rsidRDefault="00606D09">
            <w:pPr>
              <w:pStyle w:val="EndnotesAbbrev"/>
            </w:pPr>
            <w:r>
              <w:t>RI = reissue</w:t>
            </w:r>
          </w:p>
        </w:tc>
      </w:tr>
      <w:tr w:rsidR="008511AB" w14:paraId="1568239B" w14:textId="77777777">
        <w:tc>
          <w:tcPr>
            <w:tcW w:w="3720" w:type="dxa"/>
            <w:tcBorders>
              <w:top w:val="nil"/>
              <w:left w:val="nil"/>
              <w:bottom w:val="nil"/>
              <w:right w:val="nil"/>
            </w:tcBorders>
          </w:tcPr>
          <w:p w14:paraId="478A07B0" w14:textId="77777777" w:rsidR="008511AB" w:rsidRDefault="00606D09">
            <w:pPr>
              <w:pStyle w:val="EndnotesAbbrev"/>
            </w:pPr>
            <w:r>
              <w:t>ins = inserted/added</w:t>
            </w:r>
          </w:p>
        </w:tc>
        <w:tc>
          <w:tcPr>
            <w:tcW w:w="3336" w:type="dxa"/>
            <w:tcBorders>
              <w:top w:val="nil"/>
              <w:left w:val="nil"/>
              <w:bottom w:val="nil"/>
              <w:right w:val="nil"/>
            </w:tcBorders>
          </w:tcPr>
          <w:p w14:paraId="1555BE09" w14:textId="77777777" w:rsidR="008511AB" w:rsidRDefault="00606D09">
            <w:pPr>
              <w:pStyle w:val="EndnotesAbbrev"/>
            </w:pPr>
            <w:r>
              <w:t>s = section/subsection</w:t>
            </w:r>
          </w:p>
        </w:tc>
      </w:tr>
      <w:tr w:rsidR="008511AB" w14:paraId="5D5A4EF4" w14:textId="77777777">
        <w:tc>
          <w:tcPr>
            <w:tcW w:w="3720" w:type="dxa"/>
            <w:tcBorders>
              <w:top w:val="nil"/>
              <w:left w:val="nil"/>
              <w:bottom w:val="nil"/>
              <w:right w:val="nil"/>
            </w:tcBorders>
          </w:tcPr>
          <w:p w14:paraId="572ABDF6" w14:textId="77777777" w:rsidR="008511AB" w:rsidRDefault="00606D09">
            <w:pPr>
              <w:pStyle w:val="EndnotesAbbrev"/>
            </w:pPr>
            <w:r>
              <w:t>LA = Legislation Act 2001</w:t>
            </w:r>
          </w:p>
        </w:tc>
        <w:tc>
          <w:tcPr>
            <w:tcW w:w="3336" w:type="dxa"/>
            <w:tcBorders>
              <w:top w:val="nil"/>
              <w:left w:val="nil"/>
              <w:bottom w:val="nil"/>
              <w:right w:val="nil"/>
            </w:tcBorders>
          </w:tcPr>
          <w:p w14:paraId="1DC6593E" w14:textId="77777777" w:rsidR="008511AB" w:rsidRDefault="00606D09">
            <w:pPr>
              <w:pStyle w:val="EndnotesAbbrev"/>
            </w:pPr>
            <w:r>
              <w:t>sch = schedule</w:t>
            </w:r>
          </w:p>
        </w:tc>
      </w:tr>
      <w:tr w:rsidR="008511AB" w14:paraId="70AFEFB9" w14:textId="77777777">
        <w:tc>
          <w:tcPr>
            <w:tcW w:w="3720" w:type="dxa"/>
            <w:tcBorders>
              <w:top w:val="nil"/>
              <w:left w:val="nil"/>
              <w:bottom w:val="nil"/>
              <w:right w:val="nil"/>
            </w:tcBorders>
          </w:tcPr>
          <w:p w14:paraId="6C93BFA7" w14:textId="77777777" w:rsidR="008511AB" w:rsidRDefault="00606D09">
            <w:pPr>
              <w:pStyle w:val="EndnotesAbbrev"/>
            </w:pPr>
            <w:r>
              <w:t>LR = legislation register</w:t>
            </w:r>
          </w:p>
        </w:tc>
        <w:tc>
          <w:tcPr>
            <w:tcW w:w="3336" w:type="dxa"/>
            <w:tcBorders>
              <w:top w:val="nil"/>
              <w:left w:val="nil"/>
              <w:bottom w:val="nil"/>
              <w:right w:val="nil"/>
            </w:tcBorders>
          </w:tcPr>
          <w:p w14:paraId="7B2C61C6" w14:textId="77777777" w:rsidR="008511AB" w:rsidRDefault="00606D09">
            <w:pPr>
              <w:pStyle w:val="EndnotesAbbrev"/>
            </w:pPr>
            <w:r>
              <w:t>sdiv = subdivision</w:t>
            </w:r>
          </w:p>
        </w:tc>
      </w:tr>
      <w:tr w:rsidR="008511AB" w14:paraId="474A34DE" w14:textId="77777777">
        <w:tc>
          <w:tcPr>
            <w:tcW w:w="3720" w:type="dxa"/>
            <w:tcBorders>
              <w:top w:val="nil"/>
              <w:left w:val="nil"/>
              <w:bottom w:val="nil"/>
              <w:right w:val="nil"/>
            </w:tcBorders>
          </w:tcPr>
          <w:p w14:paraId="288C83B8" w14:textId="77777777" w:rsidR="008511AB" w:rsidRDefault="00606D09">
            <w:pPr>
              <w:pStyle w:val="EndnotesAbbrev"/>
            </w:pPr>
            <w:r>
              <w:t>LRA = Legislation (Republication) Act 1996</w:t>
            </w:r>
          </w:p>
        </w:tc>
        <w:tc>
          <w:tcPr>
            <w:tcW w:w="3336" w:type="dxa"/>
            <w:tcBorders>
              <w:top w:val="nil"/>
              <w:left w:val="nil"/>
              <w:bottom w:val="nil"/>
              <w:right w:val="nil"/>
            </w:tcBorders>
          </w:tcPr>
          <w:p w14:paraId="31A5F8E5" w14:textId="77777777" w:rsidR="008511AB" w:rsidRDefault="00606D09">
            <w:pPr>
              <w:pStyle w:val="EndnotesAbbrev"/>
            </w:pPr>
            <w:r>
              <w:t>sub = substituted</w:t>
            </w:r>
          </w:p>
        </w:tc>
      </w:tr>
      <w:tr w:rsidR="008511AB" w14:paraId="6F3F946E" w14:textId="77777777">
        <w:tc>
          <w:tcPr>
            <w:tcW w:w="3720" w:type="dxa"/>
            <w:tcBorders>
              <w:top w:val="nil"/>
              <w:left w:val="nil"/>
              <w:bottom w:val="nil"/>
              <w:right w:val="nil"/>
            </w:tcBorders>
          </w:tcPr>
          <w:p w14:paraId="04DB1406" w14:textId="77777777" w:rsidR="008511AB" w:rsidRDefault="00606D09">
            <w:pPr>
              <w:pStyle w:val="EndnotesAbbrev"/>
            </w:pPr>
            <w:r>
              <w:t>mod = modified/modification</w:t>
            </w:r>
          </w:p>
        </w:tc>
        <w:tc>
          <w:tcPr>
            <w:tcW w:w="3336" w:type="dxa"/>
            <w:tcBorders>
              <w:top w:val="nil"/>
              <w:left w:val="nil"/>
              <w:bottom w:val="nil"/>
              <w:right w:val="nil"/>
            </w:tcBorders>
          </w:tcPr>
          <w:p w14:paraId="639BE8D1" w14:textId="77777777" w:rsidR="008511AB" w:rsidRDefault="00606D09">
            <w:pPr>
              <w:pStyle w:val="EndnotesAbbrev"/>
            </w:pPr>
            <w:r>
              <w:t>SL = Subordinate Law</w:t>
            </w:r>
          </w:p>
        </w:tc>
      </w:tr>
      <w:tr w:rsidR="008511AB" w14:paraId="4D65F6A6" w14:textId="77777777">
        <w:tc>
          <w:tcPr>
            <w:tcW w:w="3720" w:type="dxa"/>
            <w:tcBorders>
              <w:top w:val="nil"/>
              <w:left w:val="nil"/>
              <w:bottom w:val="nil"/>
              <w:right w:val="nil"/>
            </w:tcBorders>
          </w:tcPr>
          <w:p w14:paraId="752E3F7C" w14:textId="77777777" w:rsidR="008511AB" w:rsidRDefault="00606D09">
            <w:pPr>
              <w:pStyle w:val="EndnotesAbbrev"/>
            </w:pPr>
            <w:r>
              <w:t>o = order</w:t>
            </w:r>
          </w:p>
        </w:tc>
        <w:tc>
          <w:tcPr>
            <w:tcW w:w="3336" w:type="dxa"/>
            <w:tcBorders>
              <w:top w:val="nil"/>
              <w:left w:val="nil"/>
              <w:bottom w:val="nil"/>
              <w:right w:val="nil"/>
            </w:tcBorders>
          </w:tcPr>
          <w:p w14:paraId="0A467E3F" w14:textId="77777777" w:rsidR="008511AB" w:rsidRDefault="00606D09">
            <w:pPr>
              <w:pStyle w:val="EndnotesAbbrev"/>
            </w:pPr>
            <w:r>
              <w:rPr>
                <w:u w:val="single"/>
              </w:rPr>
              <w:t>underlining</w:t>
            </w:r>
            <w:r>
              <w:t xml:space="preserve"> = whole or part not commenced</w:t>
            </w:r>
          </w:p>
        </w:tc>
      </w:tr>
      <w:tr w:rsidR="008511AB" w14:paraId="1BCDD8AC" w14:textId="77777777">
        <w:tc>
          <w:tcPr>
            <w:tcW w:w="3720" w:type="dxa"/>
            <w:tcBorders>
              <w:top w:val="nil"/>
              <w:left w:val="nil"/>
              <w:bottom w:val="nil"/>
              <w:right w:val="nil"/>
            </w:tcBorders>
          </w:tcPr>
          <w:p w14:paraId="5BB42E3F" w14:textId="77777777" w:rsidR="008511AB" w:rsidRDefault="00606D09">
            <w:pPr>
              <w:pStyle w:val="EndnotesAbbrev"/>
            </w:pPr>
            <w:r>
              <w:t>om = omitted/repealed</w:t>
            </w:r>
          </w:p>
        </w:tc>
        <w:tc>
          <w:tcPr>
            <w:tcW w:w="3336" w:type="dxa"/>
            <w:tcBorders>
              <w:top w:val="nil"/>
              <w:left w:val="nil"/>
              <w:bottom w:val="nil"/>
              <w:right w:val="nil"/>
            </w:tcBorders>
          </w:tcPr>
          <w:p w14:paraId="2A5F0EF7" w14:textId="77777777" w:rsidR="008511AB" w:rsidRDefault="00606D09">
            <w:pPr>
              <w:pStyle w:val="EndnotesAbbrev"/>
              <w:ind w:left="972"/>
            </w:pPr>
            <w:r>
              <w:t>or to be expired</w:t>
            </w:r>
          </w:p>
        </w:tc>
      </w:tr>
    </w:tbl>
    <w:p w14:paraId="42FE0824" w14:textId="77777777" w:rsidR="008511AB" w:rsidRDefault="00606D09">
      <w:pPr>
        <w:pStyle w:val="Endnote20"/>
      </w:pPr>
      <w:bookmarkStart w:id="57" w:name="_Toc111106686"/>
      <w:r>
        <w:rPr>
          <w:rStyle w:val="charTableNo"/>
        </w:rPr>
        <w:lastRenderedPageBreak/>
        <w:t>3</w:t>
      </w:r>
      <w:r>
        <w:tab/>
      </w:r>
      <w:r>
        <w:rPr>
          <w:rStyle w:val="charTableText"/>
        </w:rPr>
        <w:t>Legislation history</w:t>
      </w:r>
      <w:bookmarkEnd w:id="57"/>
    </w:p>
    <w:p w14:paraId="268B15C3" w14:textId="77777777" w:rsidR="008511AB" w:rsidRDefault="00606D09">
      <w:pPr>
        <w:pStyle w:val="EndNoteTextEPS"/>
        <w:keepNext/>
      </w:pPr>
      <w:r>
        <w:t xml:space="preserve">This regulation was originally the </w:t>
      </w:r>
      <w:r>
        <w:rPr>
          <w:rStyle w:val="charItals"/>
        </w:rPr>
        <w:t>Gas Safety Regulations 2001</w:t>
      </w:r>
      <w:r>
        <w:t xml:space="preserve">.  It was renamed under the </w:t>
      </w:r>
      <w:r>
        <w:rPr>
          <w:rStyle w:val="charItals"/>
        </w:rPr>
        <w:t>Legislation Act 2001</w:t>
      </w:r>
      <w:r>
        <w:t>.</w:t>
      </w:r>
    </w:p>
    <w:p w14:paraId="40CE94A9" w14:textId="77777777" w:rsidR="008511AB" w:rsidRDefault="00606D09">
      <w:pPr>
        <w:pStyle w:val="NewReg"/>
      </w:pPr>
      <w:r>
        <w:t>Gas Safety Regulation 2001 No 18</w:t>
      </w:r>
    </w:p>
    <w:p w14:paraId="5029E16C" w14:textId="77777777" w:rsidR="008511AB" w:rsidRDefault="00606D09">
      <w:pPr>
        <w:pStyle w:val="Actdetails"/>
        <w:keepNext/>
      </w:pPr>
      <w:r>
        <w:t>notified 21 June 2001 (Gaz 2001 No S37)</w:t>
      </w:r>
    </w:p>
    <w:p w14:paraId="71B9D7C1" w14:textId="77777777" w:rsidR="008511AB" w:rsidRDefault="00606D09">
      <w:pPr>
        <w:pStyle w:val="Actdetails"/>
      </w:pPr>
      <w:r>
        <w:t>commenced 21 June 2001 (s 2)</w:t>
      </w:r>
    </w:p>
    <w:p w14:paraId="0196FA0F" w14:textId="77777777" w:rsidR="008511AB" w:rsidRDefault="00606D09">
      <w:pPr>
        <w:pStyle w:val="Asamby"/>
      </w:pPr>
      <w:r>
        <w:t>as amended by</w:t>
      </w:r>
    </w:p>
    <w:p w14:paraId="1803B724" w14:textId="77777777" w:rsidR="008511AB" w:rsidRDefault="00606D09">
      <w:pPr>
        <w:pStyle w:val="NewReg"/>
      </w:pPr>
      <w:r>
        <w:t>Gas Safety Amendment Regulations 2002 (No 1) SL2002-30</w:t>
      </w:r>
    </w:p>
    <w:p w14:paraId="6195A191" w14:textId="77777777" w:rsidR="008511AB" w:rsidRDefault="00606D09">
      <w:pPr>
        <w:pStyle w:val="Actdetails"/>
        <w:keepNext/>
      </w:pPr>
      <w:r>
        <w:t>notified LR 29 October 2002</w:t>
      </w:r>
    </w:p>
    <w:p w14:paraId="44641393" w14:textId="77777777" w:rsidR="008511AB" w:rsidRDefault="00606D09">
      <w:pPr>
        <w:pStyle w:val="Actdetails"/>
        <w:keepNext/>
      </w:pPr>
      <w:r>
        <w:t>s 1, s 2 commenced 29 October 2002 (LA s 75)</w:t>
      </w:r>
    </w:p>
    <w:p w14:paraId="4E4FD31B" w14:textId="77777777" w:rsidR="008511AB" w:rsidRDefault="00606D09">
      <w:pPr>
        <w:pStyle w:val="Actdetails"/>
      </w:pPr>
      <w:r>
        <w:t>remainder commenced 1 January 2003 (s 2)</w:t>
      </w:r>
    </w:p>
    <w:p w14:paraId="67629171" w14:textId="77777777" w:rsidR="008511AB" w:rsidRDefault="00606D09">
      <w:pPr>
        <w:pStyle w:val="NewReg"/>
      </w:pPr>
      <w:r>
        <w:t>Urban Services (Application of Criminal Code) Amendment Regulations 2002 SL2003-1 pt 2</w:t>
      </w:r>
    </w:p>
    <w:p w14:paraId="4B7285B3" w14:textId="77777777" w:rsidR="008511AB" w:rsidRDefault="00606D09">
      <w:pPr>
        <w:pStyle w:val="Actdetails"/>
        <w:keepNext/>
      </w:pPr>
      <w:r>
        <w:t>notified LR 9 January 2003</w:t>
      </w:r>
    </w:p>
    <w:p w14:paraId="03800237" w14:textId="77777777" w:rsidR="008511AB" w:rsidRDefault="00606D09">
      <w:pPr>
        <w:pStyle w:val="Actdetails"/>
        <w:keepNext/>
      </w:pPr>
      <w:r>
        <w:t>s 1, s 2 commenced 9 January 2003 (LA s 75 (1))</w:t>
      </w:r>
    </w:p>
    <w:p w14:paraId="60E1B7D1" w14:textId="77777777" w:rsidR="008511AB" w:rsidRDefault="00606D09">
      <w:pPr>
        <w:pStyle w:val="Actdetails"/>
      </w:pPr>
      <w:r>
        <w:t>pt 2 commenced 10 January 2003 (s 2 (1) (b))</w:t>
      </w:r>
    </w:p>
    <w:p w14:paraId="4E55C3D6" w14:textId="77777777" w:rsidR="008511AB" w:rsidRDefault="00606D09">
      <w:pPr>
        <w:pStyle w:val="NewAct"/>
      </w:pPr>
      <w:r>
        <w:t>Construction Occupations Legislation Amendment Act 2004 A2004</w:t>
      </w:r>
      <w:r>
        <w:noBreakHyphen/>
        <w:t>13 sch 1 pt 1.2, sch 2 pt 2.15</w:t>
      </w:r>
    </w:p>
    <w:p w14:paraId="4B46CCB2" w14:textId="77777777" w:rsidR="008511AB" w:rsidRDefault="00606D09">
      <w:pPr>
        <w:pStyle w:val="Actdetails"/>
        <w:keepNext/>
      </w:pPr>
      <w:r>
        <w:t>notified LR 26 March 2004</w:t>
      </w:r>
      <w:r>
        <w:br/>
        <w:t>s 1, s 2 commenced 26 March 2004 (LA s 75 (1))</w:t>
      </w:r>
      <w:r>
        <w:br/>
        <w:t>sch 1 pt 1.2, sch 2 pt 2.15 commenced 1 September 2004 (s 2 and see Construction Occupations (Licensing) Act 2004 A2004-12, s 2 and CN2004-8)</w:t>
      </w:r>
    </w:p>
    <w:p w14:paraId="7627AE57" w14:textId="77777777" w:rsidR="008511AB" w:rsidRDefault="00606D09">
      <w:pPr>
        <w:pStyle w:val="NewAct"/>
      </w:pPr>
      <w:r>
        <w:t>Criminal Code (Theft, Fraud, Bribery and Related Offences) Amendment Act 2004 A2004-15 sch 2 pt 2.42</w:t>
      </w:r>
    </w:p>
    <w:p w14:paraId="6B582C19" w14:textId="77777777" w:rsidR="008511AB" w:rsidRDefault="00606D09">
      <w:pPr>
        <w:pStyle w:val="Actdetails"/>
      </w:pPr>
      <w:r>
        <w:t>notified LR 26 March 2004</w:t>
      </w:r>
      <w:r>
        <w:br/>
        <w:t>s 1, s 2 commenced 26 March 2004 (LA s 75 (1))</w:t>
      </w:r>
      <w:r>
        <w:br/>
        <w:t>sch 2 pt 2.42 commenced 9 April 2004 (s 2 (1))</w:t>
      </w:r>
    </w:p>
    <w:p w14:paraId="30A0BBE3" w14:textId="77777777" w:rsidR="008511AB" w:rsidRDefault="00606D09">
      <w:pPr>
        <w:pStyle w:val="Endnote20"/>
      </w:pPr>
      <w:bookmarkStart w:id="58" w:name="_Toc111106687"/>
      <w:r>
        <w:rPr>
          <w:rStyle w:val="charTableNo"/>
        </w:rPr>
        <w:t>4</w:t>
      </w:r>
      <w:r>
        <w:tab/>
      </w:r>
      <w:r>
        <w:rPr>
          <w:rStyle w:val="charTableText"/>
        </w:rPr>
        <w:t>Amendment history</w:t>
      </w:r>
      <w:bookmarkEnd w:id="58"/>
    </w:p>
    <w:p w14:paraId="2154B03C" w14:textId="77777777" w:rsidR="008511AB" w:rsidRDefault="00606D09">
      <w:pPr>
        <w:pStyle w:val="AmdtsEntryHd"/>
      </w:pPr>
      <w:r>
        <w:t>Name of regulation</w:t>
      </w:r>
    </w:p>
    <w:p w14:paraId="48F9AD30" w14:textId="77777777" w:rsidR="008511AB" w:rsidRDefault="00606D09">
      <w:pPr>
        <w:pStyle w:val="AmdtsEntries"/>
      </w:pPr>
      <w:r>
        <w:t>s 1</w:t>
      </w:r>
      <w:r>
        <w:tab/>
        <w:t>am R7 LA</w:t>
      </w:r>
    </w:p>
    <w:p w14:paraId="2D75D78A" w14:textId="77777777" w:rsidR="008511AB" w:rsidRDefault="00606D09">
      <w:pPr>
        <w:pStyle w:val="AmdtsEntryHd"/>
      </w:pPr>
      <w:r>
        <w:t>Commencement</w:t>
      </w:r>
    </w:p>
    <w:p w14:paraId="1CDA9F74" w14:textId="77777777" w:rsidR="008511AB" w:rsidRDefault="00606D09">
      <w:pPr>
        <w:pStyle w:val="AmdtsEntries"/>
      </w:pPr>
      <w:r>
        <w:t>s 2</w:t>
      </w:r>
      <w:r>
        <w:tab/>
        <w:t>om R1 (IA s 43 (4))</w:t>
      </w:r>
    </w:p>
    <w:p w14:paraId="0A23E236" w14:textId="77777777" w:rsidR="008511AB" w:rsidRDefault="00606D09">
      <w:pPr>
        <w:pStyle w:val="AmdtsEntryHd"/>
      </w:pPr>
      <w:r>
        <w:lastRenderedPageBreak/>
        <w:t>Offences against regulation—application of Criminal Code etc</w:t>
      </w:r>
    </w:p>
    <w:p w14:paraId="1DA9E685" w14:textId="77777777" w:rsidR="008511AB" w:rsidRDefault="00606D09">
      <w:pPr>
        <w:pStyle w:val="AmdtsEntries"/>
      </w:pPr>
      <w:r>
        <w:t>s 4AA</w:t>
      </w:r>
      <w:r>
        <w:tab/>
        <w:t>ins SL2003-1 s 4</w:t>
      </w:r>
    </w:p>
    <w:p w14:paraId="19FD38F0" w14:textId="77777777" w:rsidR="008511AB" w:rsidRDefault="00606D09">
      <w:pPr>
        <w:pStyle w:val="AmdtsEntryHd"/>
      </w:pPr>
      <w:r>
        <w:t>References to Australian Gas Association standards and codes</w:t>
      </w:r>
    </w:p>
    <w:p w14:paraId="227E00A4" w14:textId="77777777" w:rsidR="008511AB" w:rsidRDefault="00606D09">
      <w:pPr>
        <w:pStyle w:val="AmdtsEntries"/>
        <w:keepNext/>
      </w:pPr>
      <w:r>
        <w:t>s 4A</w:t>
      </w:r>
      <w:r>
        <w:tab/>
        <w:t>ins 2002 No 30 s 4</w:t>
      </w:r>
    </w:p>
    <w:p w14:paraId="56EB68EC" w14:textId="77777777" w:rsidR="008511AB" w:rsidRDefault="00606D09">
      <w:pPr>
        <w:pStyle w:val="AmdtsEntries"/>
      </w:pPr>
      <w:r>
        <w:tab/>
        <w:t>sub SL2003-1 s 4</w:t>
      </w:r>
    </w:p>
    <w:p w14:paraId="2024FB4E" w14:textId="77777777" w:rsidR="008511AB" w:rsidRDefault="00606D09">
      <w:pPr>
        <w:pStyle w:val="AmdtsEntryHd"/>
      </w:pPr>
      <w:r>
        <w:t>Gasfitting work</w:t>
      </w:r>
    </w:p>
    <w:p w14:paraId="45C9A372" w14:textId="77777777" w:rsidR="008511AB" w:rsidRDefault="00606D09">
      <w:pPr>
        <w:pStyle w:val="AmdtsEntries"/>
      </w:pPr>
      <w:r>
        <w:t>div 2.1 hdg</w:t>
      </w:r>
      <w:r>
        <w:tab/>
        <w:t>ins 2002 No 30 s 5</w:t>
      </w:r>
    </w:p>
    <w:p w14:paraId="63902A86" w14:textId="77777777" w:rsidR="008511AB" w:rsidRDefault="00606D09">
      <w:pPr>
        <w:pStyle w:val="AmdtsEntryHd"/>
      </w:pPr>
      <w:r>
        <w:t xml:space="preserve">Work declared to be gasfitting work—Act, dict, def </w:t>
      </w:r>
      <w:r>
        <w:rPr>
          <w:rStyle w:val="charItals"/>
        </w:rPr>
        <w:t>gasfitting work</w:t>
      </w:r>
      <w:r>
        <w:t>, par (c)</w:t>
      </w:r>
    </w:p>
    <w:p w14:paraId="2CBC35EA" w14:textId="77777777" w:rsidR="008511AB" w:rsidRDefault="00606D09">
      <w:pPr>
        <w:pStyle w:val="AmdtsEntries"/>
        <w:keepNext/>
      </w:pPr>
      <w:r>
        <w:t>s 4B</w:t>
      </w:r>
      <w:r>
        <w:tab/>
        <w:t>ins 2002 No 30 s 6</w:t>
      </w:r>
    </w:p>
    <w:p w14:paraId="4B6D26AD" w14:textId="77777777" w:rsidR="008511AB" w:rsidRDefault="00606D09">
      <w:pPr>
        <w:pStyle w:val="AmdtsEntries"/>
      </w:pPr>
      <w:r>
        <w:tab/>
        <w:t>om A2004-13 amdt 2.61</w:t>
      </w:r>
    </w:p>
    <w:p w14:paraId="35719E6E" w14:textId="77777777" w:rsidR="008511AB" w:rsidRDefault="00606D09">
      <w:pPr>
        <w:pStyle w:val="AmdtsEntryHd"/>
      </w:pPr>
      <w:r>
        <w:t>People qualified to do gasfitting work—Act, s 7</w:t>
      </w:r>
    </w:p>
    <w:p w14:paraId="62D7A4CC" w14:textId="77777777" w:rsidR="008511AB" w:rsidRDefault="00606D09">
      <w:pPr>
        <w:pStyle w:val="AmdtsEntries"/>
      </w:pPr>
      <w:r>
        <w:t>s 5</w:t>
      </w:r>
      <w:r>
        <w:tab/>
        <w:t>om A2004-13 amdt 2.62</w:t>
      </w:r>
    </w:p>
    <w:p w14:paraId="05DA00DA" w14:textId="77777777" w:rsidR="008511AB" w:rsidRDefault="00606D09">
      <w:pPr>
        <w:pStyle w:val="AmdtsEntryHd"/>
      </w:pPr>
      <w:r>
        <w:t>Testing gas connection service</w:t>
      </w:r>
    </w:p>
    <w:p w14:paraId="175F5D66" w14:textId="77777777" w:rsidR="008511AB" w:rsidRDefault="00606D09">
      <w:pPr>
        <w:pStyle w:val="AmdtsEntries"/>
      </w:pPr>
      <w:r>
        <w:t>s 7</w:t>
      </w:r>
      <w:r>
        <w:tab/>
        <w:t>am 2002 No 30 ss 7-10</w:t>
      </w:r>
    </w:p>
    <w:p w14:paraId="408EE05B" w14:textId="77777777" w:rsidR="008511AB" w:rsidRDefault="00606D09">
      <w:pPr>
        <w:pStyle w:val="AmdtsEntryHd"/>
      </w:pPr>
      <w:r>
        <w:t>Appliances to be certified safe</w:t>
      </w:r>
    </w:p>
    <w:p w14:paraId="4441D5C8" w14:textId="77777777" w:rsidR="008511AB" w:rsidRDefault="00606D09">
      <w:pPr>
        <w:pStyle w:val="AmdtsEntries"/>
      </w:pPr>
      <w:r>
        <w:t>s 8</w:t>
      </w:r>
      <w:r>
        <w:tab/>
        <w:t>om 2002 No 30 s 11</w:t>
      </w:r>
    </w:p>
    <w:p w14:paraId="2CB32184" w14:textId="77777777" w:rsidR="008511AB" w:rsidRDefault="00606D09">
      <w:pPr>
        <w:pStyle w:val="AmdtsEntryHd"/>
      </w:pPr>
      <w:r>
        <w:t>Testing appliance connection</w:t>
      </w:r>
    </w:p>
    <w:p w14:paraId="6F197FD8" w14:textId="77777777" w:rsidR="008511AB" w:rsidRDefault="00606D09">
      <w:pPr>
        <w:pStyle w:val="AmdtsEntries"/>
      </w:pPr>
      <w:r>
        <w:t>s 9</w:t>
      </w:r>
      <w:r>
        <w:tab/>
        <w:t>am 2002 No 30 ss 12-14</w:t>
      </w:r>
    </w:p>
    <w:p w14:paraId="404A78D4" w14:textId="77777777" w:rsidR="008511AB" w:rsidRDefault="00606D09">
      <w:pPr>
        <w:pStyle w:val="AmdtsEntryHd"/>
      </w:pPr>
      <w:r>
        <w:t>Interfering with compliance indicators</w:t>
      </w:r>
    </w:p>
    <w:p w14:paraId="040A447F" w14:textId="77777777" w:rsidR="008511AB" w:rsidRDefault="00606D09">
      <w:pPr>
        <w:pStyle w:val="AmdtsEntries"/>
      </w:pPr>
      <w:r>
        <w:t>s 13</w:t>
      </w:r>
      <w:r>
        <w:tab/>
        <w:t>am A2004-13 amdt 2.63, amdt 2.64</w:t>
      </w:r>
    </w:p>
    <w:p w14:paraId="18F269B2" w14:textId="77777777" w:rsidR="008511AB" w:rsidRDefault="00606D09">
      <w:pPr>
        <w:pStyle w:val="AmdtsEntryHd"/>
      </w:pPr>
      <w:r>
        <w:t>False information on compliance indicators</w:t>
      </w:r>
    </w:p>
    <w:p w14:paraId="26CD95ED" w14:textId="77777777" w:rsidR="008511AB" w:rsidRDefault="00606D09">
      <w:pPr>
        <w:pStyle w:val="AmdtsEntries"/>
        <w:keepNext/>
      </w:pPr>
      <w:r>
        <w:t>s 14</w:t>
      </w:r>
      <w:r>
        <w:tab/>
        <w:t>om A2004-15 amdt 2.94</w:t>
      </w:r>
    </w:p>
    <w:p w14:paraId="37FD6AC8" w14:textId="77777777" w:rsidR="008511AB" w:rsidRDefault="00606D09">
      <w:pPr>
        <w:pStyle w:val="AmdtsEntryHd"/>
      </w:pPr>
      <w:r>
        <w:t>Unsafe consumer piping system—Act, s 12</w:t>
      </w:r>
    </w:p>
    <w:p w14:paraId="0FF651A7" w14:textId="77777777" w:rsidR="008511AB" w:rsidRDefault="00606D09">
      <w:pPr>
        <w:pStyle w:val="AmdtsEntries"/>
      </w:pPr>
      <w:r>
        <w:t>s 15</w:t>
      </w:r>
      <w:r>
        <w:tab/>
        <w:t>am 2002 No 30 s 15, s 16; A2004-13 amdt 2.67</w:t>
      </w:r>
    </w:p>
    <w:p w14:paraId="77A722B8" w14:textId="77777777" w:rsidR="008511AB" w:rsidRDefault="00606D09">
      <w:pPr>
        <w:pStyle w:val="AmdtsEntryHd"/>
      </w:pPr>
      <w:r>
        <w:t>Interfering with defect tags</w:t>
      </w:r>
    </w:p>
    <w:p w14:paraId="61EBEFBE" w14:textId="77777777" w:rsidR="008511AB" w:rsidRDefault="00606D09">
      <w:pPr>
        <w:pStyle w:val="AmdtsEntries"/>
      </w:pPr>
      <w:r>
        <w:t>s 16</w:t>
      </w:r>
      <w:r>
        <w:tab/>
        <w:t>am A2004-13 amdt 2.68</w:t>
      </w:r>
    </w:p>
    <w:p w14:paraId="33593274" w14:textId="77777777" w:rsidR="008511AB" w:rsidRDefault="00606D09">
      <w:pPr>
        <w:pStyle w:val="AmdtsEntryHd"/>
      </w:pPr>
      <w:r>
        <w:t>Appliance work</w:t>
      </w:r>
    </w:p>
    <w:p w14:paraId="7FF14B3A" w14:textId="77777777" w:rsidR="008511AB" w:rsidRDefault="00606D09">
      <w:pPr>
        <w:pStyle w:val="AmdtsEntries"/>
      </w:pPr>
      <w:r>
        <w:t>div 2.2 hdg</w:t>
      </w:r>
      <w:r>
        <w:tab/>
        <w:t>ins 2002 No 30 s 17</w:t>
      </w:r>
    </w:p>
    <w:p w14:paraId="66DFEE06" w14:textId="77777777" w:rsidR="008511AB" w:rsidRDefault="00606D09">
      <w:pPr>
        <w:pStyle w:val="AmdtsEntryHd"/>
      </w:pPr>
      <w:r>
        <w:t>Accreditation to do appliance work</w:t>
      </w:r>
    </w:p>
    <w:p w14:paraId="37BB430F" w14:textId="77777777" w:rsidR="008511AB" w:rsidRDefault="00606D09">
      <w:pPr>
        <w:pStyle w:val="AmdtsEntries"/>
      </w:pPr>
      <w:r>
        <w:t>s 17A</w:t>
      </w:r>
      <w:r>
        <w:tab/>
        <w:t>ins 2002 No 30 s 17</w:t>
      </w:r>
    </w:p>
    <w:p w14:paraId="260858FD" w14:textId="77777777" w:rsidR="008511AB" w:rsidRDefault="00606D09">
      <w:pPr>
        <w:pStyle w:val="AmdtsEntryHd"/>
      </w:pPr>
      <w:r>
        <w:t>Certificate of accreditation</w:t>
      </w:r>
    </w:p>
    <w:p w14:paraId="294AA0C7" w14:textId="77777777" w:rsidR="008511AB" w:rsidRDefault="00606D09">
      <w:pPr>
        <w:pStyle w:val="AmdtsEntries"/>
      </w:pPr>
      <w:r>
        <w:t>s 17B</w:t>
      </w:r>
      <w:r>
        <w:tab/>
        <w:t>ins 2002 No 30 s 17</w:t>
      </w:r>
    </w:p>
    <w:p w14:paraId="2F06B4FB" w14:textId="77777777" w:rsidR="008511AB" w:rsidRDefault="00606D09">
      <w:pPr>
        <w:pStyle w:val="AmdtsEntryHd"/>
      </w:pPr>
      <w:r>
        <w:t>Appliance work—testing</w:t>
      </w:r>
    </w:p>
    <w:p w14:paraId="2F59CDFD" w14:textId="77777777" w:rsidR="008511AB" w:rsidRDefault="00606D09">
      <w:pPr>
        <w:pStyle w:val="AmdtsEntries"/>
      </w:pPr>
      <w:r>
        <w:t>s 17C</w:t>
      </w:r>
      <w:r>
        <w:tab/>
        <w:t>ins 2002 No 30 s 17</w:t>
      </w:r>
    </w:p>
    <w:p w14:paraId="23401D5B" w14:textId="77777777" w:rsidR="008511AB" w:rsidRDefault="00606D09">
      <w:pPr>
        <w:pStyle w:val="AmdtsEntryHd"/>
      </w:pPr>
      <w:r>
        <w:t>Unsafe appliance</w:t>
      </w:r>
    </w:p>
    <w:p w14:paraId="6DB2F99B" w14:textId="77777777" w:rsidR="008511AB" w:rsidRDefault="00606D09">
      <w:pPr>
        <w:pStyle w:val="AmdtsEntries"/>
        <w:keepNext/>
      </w:pPr>
      <w:r>
        <w:t>s 17D</w:t>
      </w:r>
      <w:r>
        <w:tab/>
        <w:t>ins 2002 No 30 s 17</w:t>
      </w:r>
    </w:p>
    <w:p w14:paraId="061EAF71" w14:textId="77777777" w:rsidR="008511AB" w:rsidRDefault="00606D09">
      <w:pPr>
        <w:pStyle w:val="AmdtsEntries"/>
      </w:pPr>
      <w:r>
        <w:tab/>
        <w:t>am SL2003-1 s 5; pars renum R7 LA</w:t>
      </w:r>
    </w:p>
    <w:p w14:paraId="623D268A" w14:textId="77777777" w:rsidR="008511AB" w:rsidRDefault="00606D09">
      <w:pPr>
        <w:pStyle w:val="AmdtsEntryHd"/>
      </w:pPr>
      <w:r>
        <w:lastRenderedPageBreak/>
        <w:t>Interfering with defect tag</w:t>
      </w:r>
    </w:p>
    <w:p w14:paraId="5EFC6794" w14:textId="77777777" w:rsidR="008511AB" w:rsidRDefault="00606D09">
      <w:pPr>
        <w:pStyle w:val="AmdtsEntries"/>
        <w:keepNext/>
      </w:pPr>
      <w:r>
        <w:t>s 17E</w:t>
      </w:r>
      <w:r>
        <w:tab/>
        <w:t>ins 2002 No 30 s 17</w:t>
      </w:r>
    </w:p>
    <w:p w14:paraId="141E84BE" w14:textId="77777777" w:rsidR="008511AB" w:rsidRDefault="00606D09">
      <w:pPr>
        <w:pStyle w:val="AmdtsEntries"/>
        <w:keepNext/>
      </w:pPr>
      <w:r>
        <w:tab/>
        <w:t>sub SL2003-1 s 6</w:t>
      </w:r>
    </w:p>
    <w:p w14:paraId="71D716AE" w14:textId="77777777" w:rsidR="008511AB" w:rsidRDefault="00606D09">
      <w:pPr>
        <w:pStyle w:val="AmdtsEntries"/>
      </w:pPr>
      <w:r>
        <w:tab/>
        <w:t>am A2004-13 amdt 2.69</w:t>
      </w:r>
    </w:p>
    <w:p w14:paraId="638E111D" w14:textId="77777777" w:rsidR="008511AB" w:rsidRDefault="00606D09">
      <w:pPr>
        <w:pStyle w:val="AmdtsEntryHd"/>
      </w:pPr>
      <w:r>
        <w:t>Regulation of appliances</w:t>
      </w:r>
    </w:p>
    <w:p w14:paraId="5C3361C5" w14:textId="77777777" w:rsidR="008511AB" w:rsidRDefault="00606D09">
      <w:pPr>
        <w:pStyle w:val="AmdtsEntries"/>
      </w:pPr>
      <w:r>
        <w:t>pt 3A hdg</w:t>
      </w:r>
      <w:r>
        <w:tab/>
        <w:t>ins 2002 No 30 s 18</w:t>
      </w:r>
    </w:p>
    <w:p w14:paraId="3A3AB369" w14:textId="77777777" w:rsidR="008511AB" w:rsidRDefault="00606D09">
      <w:pPr>
        <w:pStyle w:val="AmdtsEntryHd"/>
      </w:pPr>
      <w:r>
        <w:t>Instruments applied by pt 3A</w:t>
      </w:r>
    </w:p>
    <w:p w14:paraId="79018BBF" w14:textId="77777777" w:rsidR="008511AB" w:rsidRDefault="00606D09">
      <w:pPr>
        <w:pStyle w:val="AmdtsEntries"/>
        <w:keepNext/>
      </w:pPr>
      <w:r>
        <w:t>s 18A</w:t>
      </w:r>
      <w:r>
        <w:tab/>
        <w:t>ins 2002 No 30 s 18</w:t>
      </w:r>
    </w:p>
    <w:p w14:paraId="4B5B1EF7" w14:textId="77777777" w:rsidR="008511AB" w:rsidRDefault="00606D09">
      <w:pPr>
        <w:pStyle w:val="AmdtsEntries"/>
      </w:pPr>
      <w:r>
        <w:tab/>
        <w:t>om SL2003-1 s 7</w:t>
      </w:r>
    </w:p>
    <w:p w14:paraId="01BFB7E3" w14:textId="77777777" w:rsidR="008511AB" w:rsidRDefault="00606D09">
      <w:pPr>
        <w:pStyle w:val="AmdtsEntryHd"/>
      </w:pPr>
      <w:r>
        <w:t>Appliances declared to be approved—Act, s 20 (1)</w:t>
      </w:r>
    </w:p>
    <w:p w14:paraId="32FE1DE3" w14:textId="77777777" w:rsidR="008511AB" w:rsidRDefault="00606D09">
      <w:pPr>
        <w:pStyle w:val="AmdtsEntries"/>
      </w:pPr>
      <w:r>
        <w:t>s 18B</w:t>
      </w:r>
      <w:r>
        <w:tab/>
        <w:t>ins 2002 No 30 s 18</w:t>
      </w:r>
    </w:p>
    <w:p w14:paraId="59CD5D90" w14:textId="77777777" w:rsidR="008511AB" w:rsidRDefault="00606D09">
      <w:pPr>
        <w:pStyle w:val="AmdtsEntryHd"/>
      </w:pPr>
      <w:r>
        <w:t>Approval by chief executive, type A appliance—Act, s 21</w:t>
      </w:r>
    </w:p>
    <w:p w14:paraId="368B54D3" w14:textId="77777777" w:rsidR="008511AB" w:rsidRDefault="00606D09">
      <w:pPr>
        <w:pStyle w:val="AmdtsEntries"/>
      </w:pPr>
      <w:r>
        <w:t>s 18C</w:t>
      </w:r>
      <w:r>
        <w:tab/>
        <w:t>ins 2002 No 30 s 18</w:t>
      </w:r>
    </w:p>
    <w:p w14:paraId="1A41F1A1" w14:textId="77777777" w:rsidR="008511AB" w:rsidRDefault="00606D09">
      <w:pPr>
        <w:pStyle w:val="AmdtsEntryHd"/>
      </w:pPr>
      <w:r>
        <w:t>Approval by chief executive, type B appliance—Act, s 21</w:t>
      </w:r>
    </w:p>
    <w:p w14:paraId="6EDF7232" w14:textId="77777777" w:rsidR="008511AB" w:rsidRDefault="00606D09">
      <w:pPr>
        <w:pStyle w:val="AmdtsEntries"/>
      </w:pPr>
      <w:r>
        <w:t>s 18D</w:t>
      </w:r>
      <w:r>
        <w:tab/>
        <w:t>ins 2002 No 30 s 18</w:t>
      </w:r>
    </w:p>
    <w:p w14:paraId="0D2CD7A9" w14:textId="77777777" w:rsidR="008511AB" w:rsidRDefault="00606D09">
      <w:pPr>
        <w:pStyle w:val="AmdtsEntryHd"/>
      </w:pPr>
      <w:r>
        <w:t>Application for approval of type B appliance</w:t>
      </w:r>
    </w:p>
    <w:p w14:paraId="0C5A2CAA" w14:textId="77777777" w:rsidR="008511AB" w:rsidRDefault="00606D09">
      <w:pPr>
        <w:pStyle w:val="AmdtsEntries"/>
      </w:pPr>
      <w:r>
        <w:t>s 18E</w:t>
      </w:r>
      <w:r>
        <w:tab/>
        <w:t>ins 2002 No 30 s 18</w:t>
      </w:r>
    </w:p>
    <w:p w14:paraId="7A70270F" w14:textId="77777777" w:rsidR="008511AB" w:rsidRDefault="00606D09">
      <w:pPr>
        <w:pStyle w:val="AmdtsEntryHd"/>
      </w:pPr>
      <w:r>
        <w:t>Prescribed circumstances for unapproved appliances—Act, s 24 (4)</w:t>
      </w:r>
    </w:p>
    <w:p w14:paraId="3B975838" w14:textId="77777777" w:rsidR="008511AB" w:rsidRDefault="00606D09">
      <w:pPr>
        <w:pStyle w:val="AmdtsEntries"/>
      </w:pPr>
      <w:r>
        <w:t>s 18F</w:t>
      </w:r>
      <w:r>
        <w:tab/>
        <w:t>ins 2002 No 30 s 18</w:t>
      </w:r>
    </w:p>
    <w:p w14:paraId="38203A3B" w14:textId="77777777" w:rsidR="008511AB" w:rsidRDefault="00606D09">
      <w:pPr>
        <w:pStyle w:val="AmdtsEntryHd"/>
      </w:pPr>
      <w:r>
        <w:t>Compliance indicators—Act, s 25</w:t>
      </w:r>
    </w:p>
    <w:p w14:paraId="4766B3C3" w14:textId="77777777" w:rsidR="008511AB" w:rsidRDefault="00606D09">
      <w:pPr>
        <w:pStyle w:val="AmdtsEntries"/>
        <w:keepNext/>
      </w:pPr>
      <w:r>
        <w:t>s 18G</w:t>
      </w:r>
      <w:r>
        <w:tab/>
        <w:t>ins 2002 No 30 s 18</w:t>
      </w:r>
    </w:p>
    <w:p w14:paraId="4A0B20DF" w14:textId="77777777" w:rsidR="008511AB" w:rsidRDefault="00606D09">
      <w:pPr>
        <w:pStyle w:val="AmdtsEntries"/>
      </w:pPr>
      <w:r>
        <w:tab/>
        <w:t>am SL2003-1 s 8</w:t>
      </w:r>
    </w:p>
    <w:p w14:paraId="27F8ED78" w14:textId="77777777" w:rsidR="008511AB" w:rsidRDefault="00606D09">
      <w:pPr>
        <w:pStyle w:val="AmdtsEntryHd"/>
      </w:pPr>
      <w:r>
        <w:t>Prescribed circumstances for prohibited appliances—Act, s 28 (4)</w:t>
      </w:r>
    </w:p>
    <w:p w14:paraId="13BAE1FF" w14:textId="77777777" w:rsidR="008511AB" w:rsidRDefault="00606D09">
      <w:pPr>
        <w:pStyle w:val="AmdtsEntries"/>
      </w:pPr>
      <w:r>
        <w:t>s 18H</w:t>
      </w:r>
      <w:r>
        <w:tab/>
        <w:t>ins 2002 No 30 s 18</w:t>
      </w:r>
    </w:p>
    <w:p w14:paraId="037CBF78" w14:textId="77777777" w:rsidR="008511AB" w:rsidRDefault="00606D09">
      <w:pPr>
        <w:pStyle w:val="AmdtsEntryHd"/>
      </w:pPr>
      <w:r>
        <w:t>Approved compliance indicator</w:t>
      </w:r>
    </w:p>
    <w:p w14:paraId="63CA0B2D" w14:textId="77777777" w:rsidR="008511AB" w:rsidRDefault="00606D09">
      <w:pPr>
        <w:pStyle w:val="AmdtsEntries"/>
      </w:pPr>
      <w:r>
        <w:t>s 19A</w:t>
      </w:r>
      <w:r>
        <w:tab/>
        <w:t>ins 2002 No 30 s 19</w:t>
      </w:r>
    </w:p>
    <w:p w14:paraId="591B9A1C" w14:textId="77777777" w:rsidR="008511AB" w:rsidRDefault="00606D09">
      <w:pPr>
        <w:pStyle w:val="AmdtsEntryHd"/>
      </w:pPr>
      <w:r>
        <w:t>Review of decisions</w:t>
      </w:r>
    </w:p>
    <w:p w14:paraId="12F3F912" w14:textId="77777777" w:rsidR="008511AB" w:rsidRDefault="00606D09">
      <w:pPr>
        <w:pStyle w:val="AmdtsEntries"/>
      </w:pPr>
      <w:r>
        <w:t>s 20A</w:t>
      </w:r>
      <w:r>
        <w:tab/>
        <w:t>ins 2002 No 30 s 20</w:t>
      </w:r>
    </w:p>
    <w:p w14:paraId="34A6D34C" w14:textId="77777777" w:rsidR="008511AB" w:rsidRDefault="00606D09">
      <w:pPr>
        <w:pStyle w:val="AmdtsEntryHd"/>
      </w:pPr>
      <w:r>
        <w:t>Notification of decisions</w:t>
      </w:r>
    </w:p>
    <w:p w14:paraId="7F04E771" w14:textId="77777777" w:rsidR="008511AB" w:rsidRDefault="00606D09">
      <w:pPr>
        <w:pStyle w:val="AmdtsEntries"/>
      </w:pPr>
      <w:r>
        <w:t>s 20B</w:t>
      </w:r>
      <w:r>
        <w:tab/>
        <w:t>ins 2002 No 30 s 20</w:t>
      </w:r>
    </w:p>
    <w:p w14:paraId="7A2FDC46" w14:textId="77777777" w:rsidR="008511AB" w:rsidRDefault="00606D09">
      <w:pPr>
        <w:pStyle w:val="AmdtsEntryHd"/>
      </w:pPr>
      <w:r>
        <w:t>Place for keeping records—Act, s 19 (2) (b) and s 65 (5) (b)</w:t>
      </w:r>
    </w:p>
    <w:p w14:paraId="19225DF2" w14:textId="77777777" w:rsidR="008511AB" w:rsidRDefault="00606D09">
      <w:pPr>
        <w:pStyle w:val="AmdtsEntries"/>
        <w:keepNext/>
      </w:pPr>
      <w:r>
        <w:t>s 21</w:t>
      </w:r>
      <w:r>
        <w:tab/>
        <w:t>exp 21 June 2003 (s 21 (2))</w:t>
      </w:r>
    </w:p>
    <w:p w14:paraId="567AD1C6" w14:textId="77777777" w:rsidR="008511AB" w:rsidRDefault="00606D09">
      <w:pPr>
        <w:pStyle w:val="AmdtsEntries"/>
      </w:pPr>
      <w:r>
        <w:tab/>
        <w:t>ins A2004-13 amdt 1.6</w:t>
      </w:r>
    </w:p>
    <w:p w14:paraId="40CE6FFF" w14:textId="77777777" w:rsidR="008511AB" w:rsidRDefault="00606D09">
      <w:pPr>
        <w:pStyle w:val="AmdtsEntryHd"/>
      </w:pPr>
      <w:r>
        <w:t>Records of former certificate information to be kept</w:t>
      </w:r>
    </w:p>
    <w:p w14:paraId="4AAB6606" w14:textId="77777777" w:rsidR="008511AB" w:rsidRDefault="00606D09">
      <w:pPr>
        <w:pStyle w:val="AmdtsEntries"/>
      </w:pPr>
      <w:r>
        <w:t>s 22</w:t>
      </w:r>
      <w:r>
        <w:tab/>
      </w:r>
      <w:r>
        <w:rPr>
          <w:rStyle w:val="charUnderline"/>
        </w:rPr>
        <w:t>exp 21 June 2011 (s 22 (2))</w:t>
      </w:r>
    </w:p>
    <w:p w14:paraId="2C75CC99" w14:textId="77777777" w:rsidR="008511AB" w:rsidRDefault="00606D09">
      <w:pPr>
        <w:pStyle w:val="AmdtsEntryHd"/>
      </w:pPr>
      <w:r>
        <w:t>Compliance indicators</w:t>
      </w:r>
    </w:p>
    <w:p w14:paraId="3E36C9F2" w14:textId="77777777" w:rsidR="008511AB" w:rsidRDefault="00606D09">
      <w:pPr>
        <w:pStyle w:val="AmdtsEntries"/>
        <w:keepNext/>
      </w:pPr>
      <w:r>
        <w:t>s 23</w:t>
      </w:r>
      <w:r>
        <w:tab/>
        <w:t>ins A2004-13 amdt 2.70</w:t>
      </w:r>
    </w:p>
    <w:p w14:paraId="56EE23E0" w14:textId="77777777" w:rsidR="008511AB" w:rsidRDefault="00606D09">
      <w:pPr>
        <w:pStyle w:val="AmdtsEntries"/>
      </w:pPr>
      <w:r>
        <w:tab/>
      </w:r>
      <w:r>
        <w:rPr>
          <w:u w:val="single"/>
        </w:rPr>
        <w:t>exp 1 July 2005 (s 23 (2))</w:t>
      </w:r>
    </w:p>
    <w:p w14:paraId="08E335D9" w14:textId="77777777" w:rsidR="008511AB" w:rsidRDefault="00606D09">
      <w:pPr>
        <w:pStyle w:val="AmdtsEntryHd"/>
      </w:pPr>
      <w:r>
        <w:lastRenderedPageBreak/>
        <w:t>Defect tags</w:t>
      </w:r>
    </w:p>
    <w:p w14:paraId="0F9587C6" w14:textId="77777777" w:rsidR="008511AB" w:rsidRDefault="00606D09">
      <w:pPr>
        <w:pStyle w:val="AmdtsEntries"/>
        <w:keepNext/>
      </w:pPr>
      <w:r>
        <w:t>s 24</w:t>
      </w:r>
      <w:r>
        <w:tab/>
        <w:t>ins A2004-13 amdt 2.70</w:t>
      </w:r>
    </w:p>
    <w:p w14:paraId="76866468" w14:textId="77777777" w:rsidR="008511AB" w:rsidRDefault="00606D09">
      <w:pPr>
        <w:pStyle w:val="AmdtsEntries"/>
      </w:pPr>
      <w:r>
        <w:tab/>
      </w:r>
      <w:r>
        <w:rPr>
          <w:u w:val="single"/>
        </w:rPr>
        <w:t>exp 1 July 2005 (s 24 (2))</w:t>
      </w:r>
    </w:p>
    <w:p w14:paraId="1CC6F3CD" w14:textId="77777777" w:rsidR="008511AB" w:rsidRDefault="00606D09">
      <w:pPr>
        <w:pStyle w:val="AmdtsEntryHd"/>
      </w:pPr>
      <w:r>
        <w:t>Dictionary</w:t>
      </w:r>
    </w:p>
    <w:p w14:paraId="1783C96E" w14:textId="77777777" w:rsidR="008511AB" w:rsidRDefault="00606D09">
      <w:pPr>
        <w:pStyle w:val="AmdtsEntries"/>
        <w:keepNext/>
      </w:pPr>
      <w:r>
        <w:t>dict</w:t>
      </w:r>
      <w:r>
        <w:tab/>
        <w:t>am A2004-13 amdt 2.71</w:t>
      </w:r>
    </w:p>
    <w:p w14:paraId="35D33F27" w14:textId="77777777" w:rsidR="008511AB" w:rsidRDefault="00606D09">
      <w:pPr>
        <w:pStyle w:val="AmdtsEntries"/>
        <w:keepNext/>
      </w:pPr>
      <w:r>
        <w:tab/>
        <w:t xml:space="preserve">def </w:t>
      </w:r>
      <w:r>
        <w:rPr>
          <w:rStyle w:val="charBoldItals"/>
        </w:rPr>
        <w:t xml:space="preserve">Australian Gas Association </w:t>
      </w:r>
      <w:r>
        <w:t>ins 2002 No 30 s 21</w:t>
      </w:r>
    </w:p>
    <w:p w14:paraId="042A8BDF" w14:textId="77777777" w:rsidR="008511AB" w:rsidRDefault="00606D09">
      <w:pPr>
        <w:pStyle w:val="AmdtsEntries"/>
        <w:keepNext/>
      </w:pPr>
      <w:r>
        <w:tab/>
        <w:t xml:space="preserve">def </w:t>
      </w:r>
      <w:r>
        <w:rPr>
          <w:rStyle w:val="charBoldItals"/>
        </w:rPr>
        <w:t>certificate of accreditation</w:t>
      </w:r>
      <w:r>
        <w:t xml:space="preserve"> ins 2002 No 30 s 22</w:t>
      </w:r>
    </w:p>
    <w:p w14:paraId="6F448F2C" w14:textId="77777777" w:rsidR="008511AB" w:rsidRDefault="00606D09">
      <w:pPr>
        <w:pStyle w:val="AmdtsEntries"/>
        <w:keepNext/>
      </w:pPr>
      <w:r>
        <w:tab/>
        <w:t xml:space="preserve">def </w:t>
      </w:r>
      <w:r>
        <w:rPr>
          <w:rStyle w:val="charBoldItals"/>
        </w:rPr>
        <w:t>defect tag</w:t>
      </w:r>
      <w:r>
        <w:t xml:space="preserve"> sub 2002 No 30 s 23</w:t>
      </w:r>
    </w:p>
    <w:p w14:paraId="34358EC9" w14:textId="77777777" w:rsidR="008511AB" w:rsidRDefault="00606D09">
      <w:pPr>
        <w:pStyle w:val="AmdtsEntries"/>
        <w:keepNext/>
      </w:pPr>
      <w:r>
        <w:tab/>
        <w:t xml:space="preserve">def </w:t>
      </w:r>
      <w:r>
        <w:rPr>
          <w:b/>
          <w:bCs/>
          <w:i/>
          <w:iCs/>
        </w:rPr>
        <w:t>repealed Gas Supply Regulation</w:t>
      </w:r>
      <w:r>
        <w:t xml:space="preserve"> om A2004-13 amdt 2.72</w:t>
      </w:r>
    </w:p>
    <w:p w14:paraId="05B37BFB" w14:textId="77777777" w:rsidR="008511AB" w:rsidRDefault="00606D09">
      <w:pPr>
        <w:pStyle w:val="AmdtsEntries"/>
        <w:keepNext/>
      </w:pPr>
      <w:r>
        <w:tab/>
        <w:t xml:space="preserve">def </w:t>
      </w:r>
      <w:r>
        <w:rPr>
          <w:rStyle w:val="charBoldItals"/>
        </w:rPr>
        <w:t>type A appliance</w:t>
      </w:r>
      <w:r>
        <w:t xml:space="preserve"> ins 2002 No 30 s 24</w:t>
      </w:r>
    </w:p>
    <w:p w14:paraId="51A8002F" w14:textId="77777777" w:rsidR="008511AB" w:rsidRDefault="00606D09">
      <w:pPr>
        <w:pStyle w:val="AmdtsEntries"/>
      </w:pPr>
      <w:r>
        <w:tab/>
        <w:t xml:space="preserve">def </w:t>
      </w:r>
      <w:r>
        <w:rPr>
          <w:rStyle w:val="charBoldItals"/>
        </w:rPr>
        <w:t>type B appliance</w:t>
      </w:r>
      <w:r>
        <w:t xml:space="preserve"> ins 2002 No 30 s 24</w:t>
      </w:r>
    </w:p>
    <w:p w14:paraId="351BE729" w14:textId="77777777" w:rsidR="008511AB" w:rsidRDefault="00606D09">
      <w:pPr>
        <w:pStyle w:val="Endnote20"/>
      </w:pPr>
      <w:bookmarkStart w:id="59" w:name="_Toc111106688"/>
      <w:r>
        <w:rPr>
          <w:rStyle w:val="charTableNo"/>
        </w:rPr>
        <w:t>5</w:t>
      </w:r>
      <w:r>
        <w:tab/>
      </w:r>
      <w:r>
        <w:rPr>
          <w:rStyle w:val="charTableText"/>
        </w:rPr>
        <w:t>Earlier republications</w:t>
      </w:r>
      <w:bookmarkEnd w:id="59"/>
    </w:p>
    <w:p w14:paraId="0A7FF2CE" w14:textId="77777777" w:rsidR="008511AB" w:rsidRDefault="00606D09">
      <w:pPr>
        <w:pStyle w:val="EndNoteTextEPS"/>
        <w:keepNext/>
      </w:pPr>
      <w:r>
        <w:t xml:space="preserve">Some earlier republications were not numbered. The number in column 1 refers to the publication order.  </w:t>
      </w:r>
    </w:p>
    <w:p w14:paraId="69927351" w14:textId="77777777" w:rsidR="008511AB" w:rsidRDefault="00606D0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325EEA41" w14:textId="77777777" w:rsidR="008511AB" w:rsidRDefault="008511AB">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8511AB" w14:paraId="0BB46E4D" w14:textId="77777777">
        <w:trPr>
          <w:tblHeader/>
        </w:trPr>
        <w:tc>
          <w:tcPr>
            <w:tcW w:w="1930" w:type="dxa"/>
            <w:tcBorders>
              <w:top w:val="nil"/>
              <w:left w:val="nil"/>
              <w:bottom w:val="nil"/>
              <w:right w:val="nil"/>
            </w:tcBorders>
          </w:tcPr>
          <w:p w14:paraId="7E4D94CE" w14:textId="77777777" w:rsidR="008511AB" w:rsidRDefault="00606D09">
            <w:pPr>
              <w:pStyle w:val="EarlierRepubHdg"/>
            </w:pPr>
            <w:r>
              <w:t>Republication No</w:t>
            </w:r>
          </w:p>
        </w:tc>
        <w:tc>
          <w:tcPr>
            <w:tcW w:w="2350" w:type="dxa"/>
            <w:tcBorders>
              <w:top w:val="nil"/>
              <w:left w:val="nil"/>
              <w:bottom w:val="nil"/>
              <w:right w:val="nil"/>
            </w:tcBorders>
          </w:tcPr>
          <w:p w14:paraId="015290D6" w14:textId="77777777" w:rsidR="008511AB" w:rsidRDefault="00606D09">
            <w:pPr>
              <w:pStyle w:val="EarlierRepubHdg"/>
            </w:pPr>
            <w:r>
              <w:t>Amendments to</w:t>
            </w:r>
          </w:p>
        </w:tc>
        <w:tc>
          <w:tcPr>
            <w:tcW w:w="2350" w:type="dxa"/>
            <w:tcBorders>
              <w:top w:val="nil"/>
              <w:left w:val="nil"/>
              <w:bottom w:val="nil"/>
              <w:right w:val="nil"/>
            </w:tcBorders>
          </w:tcPr>
          <w:p w14:paraId="578B07BB" w14:textId="77777777" w:rsidR="008511AB" w:rsidRDefault="00606D09">
            <w:pPr>
              <w:pStyle w:val="EarlierRepubHdg"/>
            </w:pPr>
            <w:r>
              <w:t>Republication date</w:t>
            </w:r>
          </w:p>
        </w:tc>
      </w:tr>
      <w:tr w:rsidR="008511AB" w14:paraId="41789DB7" w14:textId="77777777">
        <w:tc>
          <w:tcPr>
            <w:tcW w:w="1930" w:type="dxa"/>
            <w:tcBorders>
              <w:top w:val="nil"/>
              <w:left w:val="nil"/>
              <w:bottom w:val="nil"/>
              <w:right w:val="nil"/>
            </w:tcBorders>
          </w:tcPr>
          <w:p w14:paraId="23F824FD" w14:textId="77777777" w:rsidR="008511AB" w:rsidRDefault="00606D09">
            <w:pPr>
              <w:pStyle w:val="EarlierRepubEntries"/>
            </w:pPr>
            <w:r>
              <w:t>1</w:t>
            </w:r>
          </w:p>
        </w:tc>
        <w:tc>
          <w:tcPr>
            <w:tcW w:w="2350" w:type="dxa"/>
            <w:tcBorders>
              <w:top w:val="nil"/>
              <w:left w:val="nil"/>
              <w:bottom w:val="nil"/>
              <w:right w:val="nil"/>
            </w:tcBorders>
          </w:tcPr>
          <w:p w14:paraId="01AFCD6A" w14:textId="77777777" w:rsidR="008511AB" w:rsidRDefault="00606D09">
            <w:pPr>
              <w:pStyle w:val="EarlierRepubEntries"/>
            </w:pPr>
            <w:r>
              <w:t>not amended</w:t>
            </w:r>
          </w:p>
        </w:tc>
        <w:tc>
          <w:tcPr>
            <w:tcW w:w="2350" w:type="dxa"/>
            <w:tcBorders>
              <w:top w:val="nil"/>
              <w:left w:val="nil"/>
              <w:bottom w:val="nil"/>
              <w:right w:val="nil"/>
            </w:tcBorders>
          </w:tcPr>
          <w:p w14:paraId="50680445" w14:textId="77777777" w:rsidR="008511AB" w:rsidRDefault="00606D09">
            <w:pPr>
              <w:pStyle w:val="EarlierRepubEntries"/>
            </w:pPr>
            <w:r>
              <w:t>12 September 2001</w:t>
            </w:r>
          </w:p>
        </w:tc>
      </w:tr>
      <w:tr w:rsidR="008511AB" w14:paraId="675FB2ED" w14:textId="77777777">
        <w:tc>
          <w:tcPr>
            <w:tcW w:w="1930" w:type="dxa"/>
            <w:tcBorders>
              <w:top w:val="nil"/>
              <w:left w:val="nil"/>
              <w:bottom w:val="nil"/>
              <w:right w:val="nil"/>
            </w:tcBorders>
          </w:tcPr>
          <w:p w14:paraId="4B474D5F" w14:textId="77777777" w:rsidR="008511AB" w:rsidRDefault="00606D09">
            <w:pPr>
              <w:pStyle w:val="EarlierRepubEntries"/>
            </w:pPr>
            <w:r>
              <w:t>2</w:t>
            </w:r>
          </w:p>
        </w:tc>
        <w:tc>
          <w:tcPr>
            <w:tcW w:w="2350" w:type="dxa"/>
            <w:tcBorders>
              <w:top w:val="nil"/>
              <w:left w:val="nil"/>
              <w:bottom w:val="nil"/>
              <w:right w:val="nil"/>
            </w:tcBorders>
          </w:tcPr>
          <w:p w14:paraId="097011D4" w14:textId="77777777" w:rsidR="008511AB" w:rsidRDefault="00606D09">
            <w:pPr>
              <w:pStyle w:val="EarlierRepubEntries"/>
            </w:pPr>
            <w:r>
              <w:t>SL2002-30</w:t>
            </w:r>
          </w:p>
        </w:tc>
        <w:tc>
          <w:tcPr>
            <w:tcW w:w="2350" w:type="dxa"/>
            <w:tcBorders>
              <w:top w:val="nil"/>
              <w:left w:val="nil"/>
              <w:bottom w:val="nil"/>
              <w:right w:val="nil"/>
            </w:tcBorders>
          </w:tcPr>
          <w:p w14:paraId="2B689D1A" w14:textId="77777777" w:rsidR="008511AB" w:rsidRDefault="00606D09">
            <w:pPr>
              <w:pStyle w:val="EarlierRepubEntries"/>
            </w:pPr>
            <w:r>
              <w:t>1 January 2003</w:t>
            </w:r>
          </w:p>
        </w:tc>
      </w:tr>
      <w:tr w:rsidR="008511AB" w14:paraId="33AC6D22" w14:textId="77777777">
        <w:tc>
          <w:tcPr>
            <w:tcW w:w="1930" w:type="dxa"/>
            <w:tcBorders>
              <w:top w:val="nil"/>
              <w:left w:val="nil"/>
              <w:bottom w:val="nil"/>
              <w:right w:val="nil"/>
            </w:tcBorders>
          </w:tcPr>
          <w:p w14:paraId="5D602F0C" w14:textId="77777777" w:rsidR="008511AB" w:rsidRDefault="00606D09">
            <w:pPr>
              <w:pStyle w:val="EarlierRepubEntries"/>
            </w:pPr>
            <w:r>
              <w:t>3</w:t>
            </w:r>
          </w:p>
        </w:tc>
        <w:tc>
          <w:tcPr>
            <w:tcW w:w="2350" w:type="dxa"/>
            <w:tcBorders>
              <w:top w:val="nil"/>
              <w:left w:val="nil"/>
              <w:bottom w:val="nil"/>
              <w:right w:val="nil"/>
            </w:tcBorders>
          </w:tcPr>
          <w:p w14:paraId="4DF9D05A" w14:textId="77777777" w:rsidR="008511AB" w:rsidRDefault="00606D09">
            <w:pPr>
              <w:pStyle w:val="EarlierRepubEntries"/>
            </w:pPr>
            <w:r>
              <w:t>SL2003-1</w:t>
            </w:r>
          </w:p>
        </w:tc>
        <w:tc>
          <w:tcPr>
            <w:tcW w:w="2350" w:type="dxa"/>
            <w:tcBorders>
              <w:top w:val="nil"/>
              <w:left w:val="nil"/>
              <w:bottom w:val="nil"/>
              <w:right w:val="nil"/>
            </w:tcBorders>
          </w:tcPr>
          <w:p w14:paraId="03BAE33E" w14:textId="77777777" w:rsidR="008511AB" w:rsidRDefault="00606D09">
            <w:pPr>
              <w:pStyle w:val="EarlierRepubEntries"/>
            </w:pPr>
            <w:r>
              <w:t>10 January 2003</w:t>
            </w:r>
          </w:p>
        </w:tc>
      </w:tr>
      <w:tr w:rsidR="008511AB" w14:paraId="1B3A7DF5" w14:textId="77777777">
        <w:tc>
          <w:tcPr>
            <w:tcW w:w="1930" w:type="dxa"/>
            <w:tcBorders>
              <w:top w:val="nil"/>
              <w:left w:val="nil"/>
              <w:bottom w:val="nil"/>
              <w:right w:val="nil"/>
            </w:tcBorders>
          </w:tcPr>
          <w:p w14:paraId="78E3803F" w14:textId="77777777" w:rsidR="008511AB" w:rsidRDefault="00606D09">
            <w:pPr>
              <w:pStyle w:val="EarlierRepubEntries"/>
            </w:pPr>
            <w:r>
              <w:t>4</w:t>
            </w:r>
          </w:p>
        </w:tc>
        <w:tc>
          <w:tcPr>
            <w:tcW w:w="2350" w:type="dxa"/>
            <w:tcBorders>
              <w:top w:val="nil"/>
              <w:left w:val="nil"/>
              <w:bottom w:val="nil"/>
              <w:right w:val="nil"/>
            </w:tcBorders>
          </w:tcPr>
          <w:p w14:paraId="4ABBFB5B" w14:textId="77777777" w:rsidR="008511AB" w:rsidRDefault="00606D09">
            <w:pPr>
              <w:pStyle w:val="EarlierRepubEntries"/>
            </w:pPr>
            <w:r>
              <w:t>SL2003-1</w:t>
            </w:r>
          </w:p>
        </w:tc>
        <w:tc>
          <w:tcPr>
            <w:tcW w:w="2350" w:type="dxa"/>
            <w:tcBorders>
              <w:top w:val="nil"/>
              <w:left w:val="nil"/>
              <w:bottom w:val="nil"/>
              <w:right w:val="nil"/>
            </w:tcBorders>
          </w:tcPr>
          <w:p w14:paraId="28A69F50" w14:textId="77777777" w:rsidR="008511AB" w:rsidRDefault="00606D09">
            <w:pPr>
              <w:pStyle w:val="EarlierRepubEntries"/>
            </w:pPr>
            <w:r>
              <w:t>22 June 2003</w:t>
            </w:r>
          </w:p>
        </w:tc>
      </w:tr>
      <w:tr w:rsidR="008511AB" w14:paraId="1F1E18A8" w14:textId="77777777">
        <w:tc>
          <w:tcPr>
            <w:tcW w:w="1930" w:type="dxa"/>
            <w:tcBorders>
              <w:top w:val="nil"/>
              <w:left w:val="nil"/>
              <w:bottom w:val="nil"/>
              <w:right w:val="nil"/>
            </w:tcBorders>
          </w:tcPr>
          <w:p w14:paraId="2DFED4D4" w14:textId="77777777" w:rsidR="008511AB" w:rsidRDefault="00606D09">
            <w:pPr>
              <w:pStyle w:val="EarlierRepubEntries"/>
            </w:pPr>
            <w:r>
              <w:t>5</w:t>
            </w:r>
          </w:p>
        </w:tc>
        <w:tc>
          <w:tcPr>
            <w:tcW w:w="2350" w:type="dxa"/>
            <w:tcBorders>
              <w:top w:val="nil"/>
              <w:left w:val="nil"/>
              <w:bottom w:val="nil"/>
              <w:right w:val="nil"/>
            </w:tcBorders>
          </w:tcPr>
          <w:p w14:paraId="2437A508" w14:textId="77777777" w:rsidR="008511AB" w:rsidRDefault="00606D09">
            <w:pPr>
              <w:pStyle w:val="EarlierRepubEntries"/>
            </w:pPr>
            <w:r>
              <w:t>A2004-15</w:t>
            </w:r>
          </w:p>
        </w:tc>
        <w:tc>
          <w:tcPr>
            <w:tcW w:w="2350" w:type="dxa"/>
            <w:tcBorders>
              <w:top w:val="nil"/>
              <w:left w:val="nil"/>
              <w:bottom w:val="nil"/>
              <w:right w:val="nil"/>
            </w:tcBorders>
          </w:tcPr>
          <w:p w14:paraId="05C2D97C" w14:textId="77777777" w:rsidR="008511AB" w:rsidRDefault="00606D09">
            <w:pPr>
              <w:pStyle w:val="EarlierRepubEntries"/>
            </w:pPr>
            <w:r>
              <w:t>9 April 2004</w:t>
            </w:r>
          </w:p>
        </w:tc>
      </w:tr>
      <w:tr w:rsidR="008511AB" w14:paraId="7AB4A41C" w14:textId="77777777">
        <w:tc>
          <w:tcPr>
            <w:tcW w:w="1930" w:type="dxa"/>
            <w:tcBorders>
              <w:top w:val="nil"/>
              <w:left w:val="nil"/>
              <w:bottom w:val="nil"/>
              <w:right w:val="nil"/>
            </w:tcBorders>
          </w:tcPr>
          <w:p w14:paraId="60A497C2" w14:textId="77777777" w:rsidR="008511AB" w:rsidRDefault="00606D09">
            <w:pPr>
              <w:pStyle w:val="EarlierRepubEntries"/>
            </w:pPr>
            <w:r>
              <w:t>6</w:t>
            </w:r>
          </w:p>
        </w:tc>
        <w:tc>
          <w:tcPr>
            <w:tcW w:w="2350" w:type="dxa"/>
            <w:tcBorders>
              <w:top w:val="nil"/>
              <w:left w:val="nil"/>
              <w:bottom w:val="nil"/>
              <w:right w:val="nil"/>
            </w:tcBorders>
          </w:tcPr>
          <w:p w14:paraId="255EC632" w14:textId="77777777" w:rsidR="008511AB" w:rsidRDefault="00606D09">
            <w:pPr>
              <w:pStyle w:val="EarlierRepubEntries"/>
            </w:pPr>
            <w:r>
              <w:t>A2004-15</w:t>
            </w:r>
          </w:p>
        </w:tc>
        <w:tc>
          <w:tcPr>
            <w:tcW w:w="2350" w:type="dxa"/>
            <w:tcBorders>
              <w:top w:val="nil"/>
              <w:left w:val="nil"/>
              <w:bottom w:val="nil"/>
              <w:right w:val="nil"/>
            </w:tcBorders>
          </w:tcPr>
          <w:p w14:paraId="3FE6220A" w14:textId="77777777" w:rsidR="008511AB" w:rsidRDefault="00606D09">
            <w:pPr>
              <w:pStyle w:val="EarlierRepubEntries"/>
            </w:pPr>
            <w:r>
              <w:t>1 September 2004</w:t>
            </w:r>
          </w:p>
        </w:tc>
      </w:tr>
    </w:tbl>
    <w:p w14:paraId="7F08B523" w14:textId="77777777" w:rsidR="008511AB" w:rsidRDefault="008511AB">
      <w:pPr>
        <w:pStyle w:val="05EndNote"/>
        <w:sectPr w:rsidR="008511AB">
          <w:headerReference w:type="even" r:id="rId28"/>
          <w:headerReference w:type="default" r:id="rId29"/>
          <w:footerReference w:type="even" r:id="rId30"/>
          <w:footerReference w:type="default" r:id="rId31"/>
          <w:pgSz w:w="11907" w:h="16839" w:code="9"/>
          <w:pgMar w:top="3000" w:right="1900" w:bottom="2500" w:left="2300" w:header="2480" w:footer="2100" w:gutter="0"/>
          <w:cols w:space="720"/>
          <w:docGrid w:linePitch="254"/>
        </w:sectPr>
      </w:pPr>
    </w:p>
    <w:p w14:paraId="0C1A005F" w14:textId="77777777" w:rsidR="008511AB" w:rsidRDefault="008511AB"/>
    <w:p w14:paraId="5C8CEB57" w14:textId="77777777" w:rsidR="008511AB" w:rsidRDefault="008511AB"/>
    <w:p w14:paraId="1D7726F9" w14:textId="77777777" w:rsidR="008511AB" w:rsidRDefault="008511AB">
      <w:pPr>
        <w:rPr>
          <w:color w:val="000000"/>
          <w:sz w:val="22"/>
          <w:szCs w:val="22"/>
        </w:rPr>
      </w:pPr>
    </w:p>
    <w:p w14:paraId="7F1EDE5E" w14:textId="77777777" w:rsidR="008511AB" w:rsidRDefault="008511AB">
      <w:pPr>
        <w:rPr>
          <w:color w:val="000000"/>
          <w:sz w:val="22"/>
          <w:szCs w:val="22"/>
        </w:rPr>
      </w:pPr>
    </w:p>
    <w:p w14:paraId="5E45BA07" w14:textId="77777777" w:rsidR="008511AB" w:rsidRDefault="00606D09">
      <w:pPr>
        <w:rPr>
          <w:color w:val="000000"/>
          <w:sz w:val="22"/>
          <w:szCs w:val="22"/>
        </w:rPr>
      </w:pPr>
      <w:r>
        <w:rPr>
          <w:color w:val="000000"/>
          <w:sz w:val="22"/>
          <w:szCs w:val="22"/>
        </w:rPr>
        <w:t xml:space="preserve">©  Australian Capital Territory </w:t>
      </w:r>
      <w:r>
        <w:rPr>
          <w:noProof/>
          <w:color w:val="000000"/>
          <w:sz w:val="22"/>
          <w:szCs w:val="22"/>
        </w:rPr>
        <w:t>2004</w:t>
      </w:r>
    </w:p>
    <w:p w14:paraId="33FE7E61" w14:textId="77777777" w:rsidR="008511AB" w:rsidRDefault="008511AB"/>
    <w:p w14:paraId="45430EED" w14:textId="77777777" w:rsidR="008511AB" w:rsidRDefault="008511AB">
      <w:pPr>
        <w:pStyle w:val="06Copyright"/>
        <w:sectPr w:rsidR="008511AB">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3000" w:right="1900" w:bottom="2500" w:left="2300" w:header="2480" w:footer="2100" w:gutter="0"/>
          <w:pgNumType w:fmt="lowerRoman"/>
          <w:cols w:space="720"/>
          <w:titlePg/>
          <w:docGrid w:linePitch="254"/>
        </w:sectPr>
      </w:pPr>
    </w:p>
    <w:p w14:paraId="38A08313" w14:textId="77777777" w:rsidR="008511AB" w:rsidRDefault="008511AB"/>
    <w:sectPr w:rsidR="008511AB">
      <w:headerReference w:type="first" r:id="rId38"/>
      <w:footerReference w:type="first" r:id="rId39"/>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F03A" w14:textId="77777777" w:rsidR="008511AB" w:rsidRDefault="00606D09">
      <w:r>
        <w:separator/>
      </w:r>
    </w:p>
  </w:endnote>
  <w:endnote w:type="continuationSeparator" w:id="0">
    <w:p w14:paraId="4ABE43CD" w14:textId="77777777" w:rsidR="008511AB" w:rsidRDefault="0060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057" w14:textId="007673F5" w:rsidR="008511AB" w:rsidRPr="007C7787" w:rsidRDefault="00606D09" w:rsidP="007C7787">
    <w:pPr>
      <w:pStyle w:val="Footer"/>
      <w:jc w:val="center"/>
      <w:rPr>
        <w:sz w:val="14"/>
        <w:szCs w:val="14"/>
      </w:rPr>
    </w:pPr>
    <w:r w:rsidRPr="007C7787">
      <w:rPr>
        <w:sz w:val="14"/>
        <w:szCs w:val="14"/>
      </w:rPr>
      <w:fldChar w:fldCharType="begin"/>
    </w:r>
    <w:r w:rsidRPr="007C7787">
      <w:rPr>
        <w:sz w:val="14"/>
        <w:szCs w:val="14"/>
      </w:rPr>
      <w:instrText xml:space="preserve"> DOCPROPERTY "Status" </w:instrText>
    </w:r>
    <w:r w:rsidRPr="007C7787">
      <w:rPr>
        <w:sz w:val="14"/>
        <w:szCs w:val="14"/>
      </w:rPr>
      <w:fldChar w:fldCharType="separate"/>
    </w:r>
    <w:r w:rsidR="005404F2" w:rsidRPr="007C7787">
      <w:rPr>
        <w:sz w:val="14"/>
        <w:szCs w:val="14"/>
      </w:rPr>
      <w:t xml:space="preserve"> </w:t>
    </w:r>
    <w:r w:rsidRPr="007C7787">
      <w:rPr>
        <w:sz w:val="14"/>
        <w:szCs w:val="14"/>
      </w:rPr>
      <w:fldChar w:fldCharType="end"/>
    </w:r>
    <w:r w:rsidR="007C7787" w:rsidRPr="007C7787">
      <w:rPr>
        <w:sz w:val="14"/>
        <w:szCs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D12E" w14:textId="77777777" w:rsidR="008511AB" w:rsidRDefault="008511A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11AB" w14:paraId="736953A5" w14:textId="77777777">
      <w:tc>
        <w:tcPr>
          <w:tcW w:w="847" w:type="pct"/>
          <w:tcBorders>
            <w:top w:val="single" w:sz="4" w:space="0" w:color="auto"/>
            <w:left w:val="nil"/>
            <w:bottom w:val="nil"/>
            <w:right w:val="nil"/>
          </w:tcBorders>
        </w:tcPr>
        <w:p w14:paraId="17039633" w14:textId="77777777" w:rsidR="008511AB" w:rsidRDefault="00606D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Borders>
            <w:top w:val="single" w:sz="4" w:space="0" w:color="auto"/>
            <w:left w:val="nil"/>
            <w:bottom w:val="nil"/>
            <w:right w:val="nil"/>
          </w:tcBorders>
        </w:tcPr>
        <w:p w14:paraId="7FA5D6C0" w14:textId="5280FBFB" w:rsidR="008511AB" w:rsidRDefault="003879E6">
          <w:pPr>
            <w:pStyle w:val="Footer"/>
            <w:jc w:val="center"/>
          </w:pPr>
          <w:fldSimple w:instr=" REF Citation *\charformat ">
            <w:r w:rsidR="005404F2">
              <w:t>Gas Safety Regulation 2001</w:t>
            </w:r>
          </w:fldSimple>
        </w:p>
        <w:p w14:paraId="182C74BF" w14:textId="71BA7B9F"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1061" w:type="pct"/>
          <w:tcBorders>
            <w:top w:val="single" w:sz="4" w:space="0" w:color="auto"/>
            <w:left w:val="nil"/>
            <w:bottom w:val="nil"/>
            <w:right w:val="nil"/>
          </w:tcBorders>
        </w:tcPr>
        <w:p w14:paraId="7C877390" w14:textId="21D49AAA" w:rsidR="008511AB" w:rsidRDefault="003879E6">
          <w:pPr>
            <w:pStyle w:val="Footer"/>
            <w:jc w:val="right"/>
          </w:pPr>
          <w:fldSimple w:instr=" DOCPROPERTY &quot;Category&quot;  *\charformat  ">
            <w:r w:rsidR="005404F2">
              <w:t>R7</w:t>
            </w:r>
          </w:fldSimple>
          <w:r w:rsidR="00606D09">
            <w:br/>
          </w:r>
          <w:fldSimple w:instr=" DOCPROPERTY &quot;RepubDt&quot;  *\charformat  ">
            <w:r w:rsidR="005404F2">
              <w:t>04/11/04</w:t>
            </w:r>
          </w:fldSimple>
        </w:p>
      </w:tc>
    </w:tr>
  </w:tbl>
  <w:p w14:paraId="2ABAD65B" w14:textId="6CB95E66"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F38B" w14:textId="77777777" w:rsidR="008511AB" w:rsidRDefault="008511AB">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35"/>
      <w:gridCol w:w="4766"/>
      <w:gridCol w:w="1306"/>
    </w:tblGrid>
    <w:tr w:rsidR="008511AB" w14:paraId="48828BAB" w14:textId="77777777">
      <w:tc>
        <w:tcPr>
          <w:tcW w:w="1061" w:type="pct"/>
          <w:tcBorders>
            <w:top w:val="single" w:sz="4" w:space="0" w:color="auto"/>
            <w:left w:val="nil"/>
            <w:bottom w:val="nil"/>
            <w:right w:val="nil"/>
          </w:tcBorders>
        </w:tcPr>
        <w:p w14:paraId="0C90D605" w14:textId="05E129DD" w:rsidR="008511AB" w:rsidRDefault="003879E6">
          <w:pPr>
            <w:pStyle w:val="Footer"/>
          </w:pPr>
          <w:fldSimple w:instr=" DOCPROPERTY &quot;Category&quot;  *\charformat  ">
            <w:r w:rsidR="005404F2">
              <w:t>R7</w:t>
            </w:r>
          </w:fldSimple>
          <w:r w:rsidR="00606D09">
            <w:br/>
          </w:r>
          <w:fldSimple w:instr=" DOCPROPERTY &quot;RepubDt&quot;  *\charformat  ">
            <w:r w:rsidR="005404F2">
              <w:t>04/11/04</w:t>
            </w:r>
          </w:fldSimple>
        </w:p>
      </w:tc>
      <w:tc>
        <w:tcPr>
          <w:tcW w:w="3092" w:type="pct"/>
          <w:tcBorders>
            <w:top w:val="single" w:sz="4" w:space="0" w:color="auto"/>
            <w:left w:val="nil"/>
            <w:bottom w:val="nil"/>
            <w:right w:val="nil"/>
          </w:tcBorders>
        </w:tcPr>
        <w:p w14:paraId="2B6F2BF9" w14:textId="7ACABA6B" w:rsidR="008511AB" w:rsidRDefault="003879E6">
          <w:pPr>
            <w:pStyle w:val="Footer"/>
            <w:jc w:val="center"/>
          </w:pPr>
          <w:fldSimple w:instr=" REF Citation *\charformat ">
            <w:r w:rsidR="005404F2">
              <w:t>Gas Safety Regulation 2001</w:t>
            </w:r>
          </w:fldSimple>
        </w:p>
        <w:p w14:paraId="62F6C519" w14:textId="388DBC58"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847" w:type="pct"/>
          <w:tcBorders>
            <w:top w:val="single" w:sz="4" w:space="0" w:color="auto"/>
            <w:left w:val="nil"/>
            <w:bottom w:val="nil"/>
            <w:right w:val="nil"/>
          </w:tcBorders>
        </w:tcPr>
        <w:p w14:paraId="2FF44186" w14:textId="77777777" w:rsidR="008511AB" w:rsidRDefault="00606D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5334FEBB" w14:textId="17211F45"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B99" w14:textId="77777777" w:rsidR="008511AB" w:rsidRDefault="008511A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11AB" w14:paraId="2ED1451B" w14:textId="77777777">
      <w:tc>
        <w:tcPr>
          <w:tcW w:w="847" w:type="pct"/>
          <w:tcBorders>
            <w:top w:val="single" w:sz="4" w:space="0" w:color="auto"/>
            <w:left w:val="nil"/>
            <w:bottom w:val="nil"/>
            <w:right w:val="nil"/>
          </w:tcBorders>
        </w:tcPr>
        <w:p w14:paraId="497949B8" w14:textId="77777777" w:rsidR="008511AB" w:rsidRDefault="00606D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Borders>
            <w:top w:val="single" w:sz="4" w:space="0" w:color="auto"/>
            <w:left w:val="nil"/>
            <w:bottom w:val="nil"/>
            <w:right w:val="nil"/>
          </w:tcBorders>
        </w:tcPr>
        <w:p w14:paraId="4D0DE937" w14:textId="3B8ACAC4" w:rsidR="008511AB" w:rsidRDefault="003879E6">
          <w:pPr>
            <w:pStyle w:val="Footer"/>
            <w:jc w:val="center"/>
          </w:pPr>
          <w:fldSimple w:instr=" REF Citation *\charformat ">
            <w:r w:rsidR="005404F2">
              <w:t>Gas Safety Regulation 2001</w:t>
            </w:r>
          </w:fldSimple>
        </w:p>
        <w:p w14:paraId="29B8C6DD" w14:textId="22E2C0B2"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1061" w:type="pct"/>
          <w:tcBorders>
            <w:top w:val="single" w:sz="4" w:space="0" w:color="auto"/>
            <w:left w:val="nil"/>
            <w:bottom w:val="nil"/>
            <w:right w:val="nil"/>
          </w:tcBorders>
        </w:tcPr>
        <w:p w14:paraId="30B1C4A2" w14:textId="09BB58A8" w:rsidR="008511AB" w:rsidRDefault="003879E6">
          <w:pPr>
            <w:pStyle w:val="Footer"/>
            <w:jc w:val="right"/>
          </w:pPr>
          <w:fldSimple w:instr=" DOCPROPERTY &quot;Category&quot;  *\charformat  ">
            <w:r w:rsidR="005404F2">
              <w:t>R7</w:t>
            </w:r>
          </w:fldSimple>
          <w:r w:rsidR="00606D09">
            <w:br/>
          </w:r>
          <w:fldSimple w:instr=" DOCPROPERTY &quot;RepubDt&quot;  *\charformat  ">
            <w:r w:rsidR="005404F2">
              <w:t>04/11/04</w:t>
            </w:r>
          </w:fldSimple>
        </w:p>
      </w:tc>
    </w:tr>
  </w:tbl>
  <w:p w14:paraId="2D54F6E0" w14:textId="7F2A1F7B"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00E2" w14:textId="77777777" w:rsidR="008511AB" w:rsidRDefault="008511AB">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11AB" w14:paraId="1434A9CC" w14:textId="77777777">
      <w:tc>
        <w:tcPr>
          <w:tcW w:w="1061" w:type="pct"/>
          <w:tcBorders>
            <w:top w:val="single" w:sz="4" w:space="0" w:color="auto"/>
            <w:left w:val="nil"/>
            <w:bottom w:val="nil"/>
            <w:right w:val="nil"/>
          </w:tcBorders>
        </w:tcPr>
        <w:p w14:paraId="363EAD74" w14:textId="4ACC9B3B" w:rsidR="008511AB" w:rsidRDefault="003879E6">
          <w:pPr>
            <w:pStyle w:val="Footer"/>
          </w:pPr>
          <w:fldSimple w:instr=" DOCPROPERTY &quot;Category&quot;  *\charformat  ">
            <w:r w:rsidR="005404F2">
              <w:t>R7</w:t>
            </w:r>
          </w:fldSimple>
          <w:r w:rsidR="00606D09">
            <w:br/>
          </w:r>
          <w:fldSimple w:instr=" DOCPROPERTY &quot;RepubDt&quot;  *\charformat  ">
            <w:r w:rsidR="005404F2">
              <w:t>04/11/04</w:t>
            </w:r>
          </w:fldSimple>
        </w:p>
      </w:tc>
      <w:tc>
        <w:tcPr>
          <w:tcW w:w="3092" w:type="pct"/>
          <w:tcBorders>
            <w:top w:val="single" w:sz="4" w:space="0" w:color="auto"/>
            <w:left w:val="nil"/>
            <w:bottom w:val="nil"/>
            <w:right w:val="nil"/>
          </w:tcBorders>
        </w:tcPr>
        <w:p w14:paraId="1D90FC55" w14:textId="68295B32" w:rsidR="008511AB" w:rsidRDefault="003879E6">
          <w:pPr>
            <w:pStyle w:val="Footer"/>
            <w:jc w:val="center"/>
          </w:pPr>
          <w:fldSimple w:instr=" REF Citation *\charformat ">
            <w:r w:rsidR="005404F2">
              <w:t>Gas Safety Regulation 2001</w:t>
            </w:r>
          </w:fldSimple>
        </w:p>
        <w:p w14:paraId="5E2CFD67" w14:textId="4E482340"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847" w:type="pct"/>
          <w:tcBorders>
            <w:top w:val="single" w:sz="4" w:space="0" w:color="auto"/>
            <w:left w:val="nil"/>
            <w:bottom w:val="nil"/>
            <w:right w:val="nil"/>
          </w:tcBorders>
        </w:tcPr>
        <w:p w14:paraId="7F023EEB" w14:textId="77777777" w:rsidR="008511AB" w:rsidRDefault="00606D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4362A44B" w14:textId="1E676212"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83EC" w14:textId="3E87B095" w:rsidR="008511AB" w:rsidRPr="007C7787" w:rsidRDefault="007C7787" w:rsidP="007C7787">
    <w:pPr>
      <w:pStyle w:val="Footer"/>
      <w:jc w:val="center"/>
      <w:rPr>
        <w:sz w:val="14"/>
      </w:rPr>
    </w:pPr>
    <w:r w:rsidRPr="007C7787">
      <w:rPr>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159E" w14:textId="32533E3E" w:rsidR="008511AB" w:rsidRPr="007C7787" w:rsidRDefault="00606D09" w:rsidP="007C7787">
    <w:pPr>
      <w:pStyle w:val="Footer"/>
      <w:jc w:val="center"/>
      <w:rPr>
        <w:sz w:val="14"/>
      </w:rPr>
    </w:pPr>
    <w:r w:rsidRPr="007C7787">
      <w:rPr>
        <w:sz w:val="14"/>
      </w:rPr>
      <w:fldChar w:fldCharType="begin"/>
    </w:r>
    <w:r w:rsidRPr="007C7787">
      <w:rPr>
        <w:sz w:val="14"/>
      </w:rPr>
      <w:instrText xml:space="preserve"> COMMENTS  \* MERGEFORMAT </w:instrText>
    </w:r>
    <w:r w:rsidRPr="007C7787">
      <w:rPr>
        <w:sz w:val="14"/>
      </w:rPr>
      <w:fldChar w:fldCharType="end"/>
    </w:r>
    <w:r w:rsidR="007C7787" w:rsidRPr="007C7787">
      <w:rPr>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04B7" w14:textId="0E06B4D0" w:rsidR="008511AB" w:rsidRPr="007C7787" w:rsidRDefault="007C7787" w:rsidP="007C7787">
    <w:pPr>
      <w:pStyle w:val="Footer"/>
      <w:jc w:val="center"/>
      <w:rPr>
        <w:sz w:val="14"/>
      </w:rPr>
    </w:pPr>
    <w:r w:rsidRPr="007C7787">
      <w:rPr>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FA97" w14:textId="768E18B8" w:rsidR="008511AB" w:rsidRPr="007C7787" w:rsidRDefault="007C7787" w:rsidP="007C7787">
    <w:pPr>
      <w:pStyle w:val="Footer"/>
      <w:jc w:val="center"/>
      <w:rPr>
        <w:sz w:val="14"/>
      </w:rPr>
    </w:pPr>
    <w:r w:rsidRPr="007C7787">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56F3" w14:textId="3F6E2B0D" w:rsidR="008511AB" w:rsidRPr="007C7787" w:rsidRDefault="00606D09" w:rsidP="007C7787">
    <w:pPr>
      <w:pStyle w:val="Footer"/>
      <w:jc w:val="center"/>
      <w:rPr>
        <w:sz w:val="14"/>
        <w:szCs w:val="14"/>
      </w:rPr>
    </w:pPr>
    <w:r w:rsidRPr="007C7787">
      <w:rPr>
        <w:sz w:val="14"/>
        <w:szCs w:val="14"/>
      </w:rPr>
      <w:fldChar w:fldCharType="begin"/>
    </w:r>
    <w:r w:rsidRPr="007C7787">
      <w:rPr>
        <w:sz w:val="14"/>
        <w:szCs w:val="14"/>
      </w:rPr>
      <w:instrText xml:space="preserve"> DOCPROPERTY "Status" </w:instrText>
    </w:r>
    <w:r w:rsidRPr="007C7787">
      <w:rPr>
        <w:sz w:val="14"/>
        <w:szCs w:val="14"/>
      </w:rPr>
      <w:fldChar w:fldCharType="separate"/>
    </w:r>
    <w:r w:rsidR="005404F2" w:rsidRPr="007C7787">
      <w:rPr>
        <w:sz w:val="14"/>
        <w:szCs w:val="14"/>
      </w:rPr>
      <w:t xml:space="preserve"> </w:t>
    </w:r>
    <w:r w:rsidRPr="007C7787">
      <w:rPr>
        <w:sz w:val="14"/>
        <w:szCs w:val="14"/>
      </w:rPr>
      <w:fldChar w:fldCharType="end"/>
    </w:r>
    <w:r w:rsidRPr="007C7787">
      <w:rPr>
        <w:sz w:val="14"/>
        <w:szCs w:val="14"/>
      </w:rPr>
      <w:fldChar w:fldCharType="begin"/>
    </w:r>
    <w:r w:rsidRPr="007C7787">
      <w:rPr>
        <w:sz w:val="14"/>
        <w:szCs w:val="14"/>
      </w:rPr>
      <w:instrText xml:space="preserve"> COMMENTS  \* MERGEFORMAT </w:instrText>
    </w:r>
    <w:r w:rsidRPr="007C7787">
      <w:rPr>
        <w:sz w:val="14"/>
        <w:szCs w:val="14"/>
      </w:rPr>
      <w:fldChar w:fldCharType="end"/>
    </w:r>
    <w:r w:rsidR="007C7787" w:rsidRPr="007C7787">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3C1F" w14:textId="6EBF640D" w:rsidR="007C7787" w:rsidRPr="007C7787" w:rsidRDefault="007C7787" w:rsidP="007C7787">
    <w:pPr>
      <w:pStyle w:val="Footer"/>
      <w:jc w:val="center"/>
      <w:rPr>
        <w:sz w:val="14"/>
      </w:rPr>
    </w:pPr>
    <w:r w:rsidRPr="007C7787">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903B" w14:textId="77777777" w:rsidR="008511AB" w:rsidRDefault="008511AB">
    <w:pPr>
      <w:rPr>
        <w:sz w:val="16"/>
        <w:szCs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11AB" w14:paraId="01325CFA" w14:textId="77777777">
      <w:tc>
        <w:tcPr>
          <w:tcW w:w="846" w:type="pct"/>
          <w:tcBorders>
            <w:top w:val="single" w:sz="4" w:space="0" w:color="auto"/>
            <w:left w:val="nil"/>
            <w:bottom w:val="nil"/>
            <w:right w:val="nil"/>
          </w:tcBorders>
        </w:tcPr>
        <w:p w14:paraId="4D31E852" w14:textId="77777777" w:rsidR="008511AB" w:rsidRDefault="00606D0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Borders>
            <w:top w:val="single" w:sz="4" w:space="0" w:color="auto"/>
            <w:left w:val="nil"/>
            <w:bottom w:val="nil"/>
            <w:right w:val="nil"/>
          </w:tcBorders>
        </w:tcPr>
        <w:p w14:paraId="0EAA772C" w14:textId="04B9615D" w:rsidR="008511AB" w:rsidRDefault="003879E6">
          <w:pPr>
            <w:pStyle w:val="Footer"/>
            <w:jc w:val="center"/>
          </w:pPr>
          <w:fldSimple w:instr=" REF Citation *\charformat ">
            <w:r w:rsidR="005404F2">
              <w:t>Gas Safety Regulation 2001</w:t>
            </w:r>
          </w:fldSimple>
        </w:p>
        <w:p w14:paraId="3CAA7D3F" w14:textId="1CEE39DD" w:rsidR="008511AB" w:rsidRDefault="003879E6">
          <w:pPr>
            <w:pStyle w:val="FooterInfoCentre"/>
          </w:pPr>
          <w:fldSimple w:instr=" DOCPROPERTY &quot;Eff&quot;  ">
            <w:r w:rsidR="005404F2">
              <w:t xml:space="preserve">Effective:  </w:t>
            </w:r>
          </w:fldSimple>
          <w:fldSimple w:instr=" DOCPROPERTY &quot;StartDt&quot;   ">
            <w:r w:rsidR="005404F2">
              <w:t>04/11/04</w:t>
            </w:r>
          </w:fldSimple>
          <w:fldSimple w:instr=" DOCPROPERTY &quot;EndDt&quot;  ">
            <w:r w:rsidR="005404F2">
              <w:t>-01/07/05</w:t>
            </w:r>
          </w:fldSimple>
        </w:p>
      </w:tc>
      <w:tc>
        <w:tcPr>
          <w:tcW w:w="1061" w:type="pct"/>
          <w:tcBorders>
            <w:top w:val="single" w:sz="4" w:space="0" w:color="auto"/>
            <w:left w:val="nil"/>
            <w:bottom w:val="nil"/>
            <w:right w:val="nil"/>
          </w:tcBorders>
        </w:tcPr>
        <w:p w14:paraId="73939E71" w14:textId="77E6B006" w:rsidR="008511AB" w:rsidRDefault="003879E6">
          <w:pPr>
            <w:pStyle w:val="Footer"/>
            <w:jc w:val="right"/>
          </w:pPr>
          <w:fldSimple w:instr=" DOCPROPERTY &quot;Category&quot;  ">
            <w:r w:rsidR="005404F2">
              <w:t>R7</w:t>
            </w:r>
          </w:fldSimple>
          <w:r w:rsidR="00606D09">
            <w:br/>
          </w:r>
          <w:fldSimple w:instr=" DOCPROPERTY &quot;RepubDt&quot;  ">
            <w:r w:rsidR="005404F2">
              <w:t>04/11/04</w:t>
            </w:r>
          </w:fldSimple>
        </w:p>
      </w:tc>
    </w:tr>
  </w:tbl>
  <w:p w14:paraId="0425831E" w14:textId="3598F796"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D209" w14:textId="77777777" w:rsidR="008511AB" w:rsidRDefault="008511AB">
    <w:pPr>
      <w:rPr>
        <w:sz w:val="16"/>
        <w:szCs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11AB" w14:paraId="35B039BD" w14:textId="77777777">
      <w:tc>
        <w:tcPr>
          <w:tcW w:w="1061" w:type="pct"/>
          <w:tcBorders>
            <w:top w:val="single" w:sz="4" w:space="0" w:color="auto"/>
            <w:left w:val="nil"/>
            <w:bottom w:val="nil"/>
            <w:right w:val="nil"/>
          </w:tcBorders>
        </w:tcPr>
        <w:p w14:paraId="6E616551" w14:textId="2F981D89" w:rsidR="008511AB" w:rsidRDefault="003879E6">
          <w:pPr>
            <w:pStyle w:val="Footer"/>
          </w:pPr>
          <w:fldSimple w:instr=" DOCPROPERTY &quot;Category&quot;  ">
            <w:r w:rsidR="005404F2">
              <w:t>R7</w:t>
            </w:r>
          </w:fldSimple>
          <w:r w:rsidR="00606D09">
            <w:br/>
          </w:r>
          <w:fldSimple w:instr=" DOCPROPERTY &quot;RepubDt&quot;  ">
            <w:r w:rsidR="005404F2">
              <w:t>04/11/04</w:t>
            </w:r>
          </w:fldSimple>
        </w:p>
      </w:tc>
      <w:tc>
        <w:tcPr>
          <w:tcW w:w="3093" w:type="pct"/>
          <w:tcBorders>
            <w:top w:val="single" w:sz="4" w:space="0" w:color="auto"/>
            <w:left w:val="nil"/>
            <w:bottom w:val="nil"/>
            <w:right w:val="nil"/>
          </w:tcBorders>
        </w:tcPr>
        <w:p w14:paraId="2978C5E8" w14:textId="64E0E1B7" w:rsidR="008511AB" w:rsidRDefault="003879E6">
          <w:pPr>
            <w:pStyle w:val="Footer"/>
            <w:jc w:val="center"/>
          </w:pPr>
          <w:fldSimple w:instr=" REF Citation *\charformat ">
            <w:r w:rsidR="005404F2">
              <w:t>Gas Safety Regulation 2001</w:t>
            </w:r>
          </w:fldSimple>
        </w:p>
        <w:p w14:paraId="194D1FB0" w14:textId="3FFBF43C" w:rsidR="008511AB" w:rsidRDefault="003879E6">
          <w:pPr>
            <w:pStyle w:val="FooterInfoCentre"/>
          </w:pPr>
          <w:fldSimple w:instr=" DOCPROPERTY &quot;Eff&quot;  ">
            <w:r w:rsidR="005404F2">
              <w:t xml:space="preserve">Effective:  </w:t>
            </w:r>
          </w:fldSimple>
          <w:fldSimple w:instr=" DOCPROPERTY &quot;StartDt&quot;  ">
            <w:r w:rsidR="005404F2">
              <w:t>04/11/04</w:t>
            </w:r>
          </w:fldSimple>
          <w:fldSimple w:instr=" DOCPROPERTY &quot;EndDt&quot;  ">
            <w:r w:rsidR="005404F2">
              <w:t>-01/07/05</w:t>
            </w:r>
          </w:fldSimple>
        </w:p>
      </w:tc>
      <w:tc>
        <w:tcPr>
          <w:tcW w:w="846" w:type="pct"/>
          <w:tcBorders>
            <w:top w:val="single" w:sz="4" w:space="0" w:color="auto"/>
            <w:left w:val="nil"/>
            <w:bottom w:val="nil"/>
            <w:right w:val="nil"/>
          </w:tcBorders>
        </w:tcPr>
        <w:p w14:paraId="3EC56493" w14:textId="77777777" w:rsidR="008511AB" w:rsidRDefault="00606D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4A3D570" w14:textId="6F76A4B0"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81FB" w14:textId="77777777" w:rsidR="008511AB" w:rsidRDefault="008511AB">
    <w:pPr>
      <w:rPr>
        <w:sz w:val="16"/>
        <w:szCs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11AB" w14:paraId="75A94037" w14:textId="77777777">
      <w:tc>
        <w:tcPr>
          <w:tcW w:w="1061" w:type="pct"/>
          <w:tcBorders>
            <w:top w:val="single" w:sz="4" w:space="0" w:color="auto"/>
            <w:left w:val="nil"/>
            <w:bottom w:val="nil"/>
            <w:right w:val="nil"/>
          </w:tcBorders>
        </w:tcPr>
        <w:p w14:paraId="7F0E3274" w14:textId="34BECD92" w:rsidR="008511AB" w:rsidRDefault="003879E6">
          <w:pPr>
            <w:pStyle w:val="Footer"/>
          </w:pPr>
          <w:fldSimple w:instr=" DOCPROPERTY &quot;Category&quot;  ">
            <w:r w:rsidR="005404F2">
              <w:t>R7</w:t>
            </w:r>
          </w:fldSimple>
          <w:r w:rsidR="00606D09">
            <w:br/>
          </w:r>
          <w:fldSimple w:instr=" DOCPROPERTY &quot;RepubDt&quot;  ">
            <w:r w:rsidR="005404F2">
              <w:t>04/11/04</w:t>
            </w:r>
          </w:fldSimple>
        </w:p>
      </w:tc>
      <w:tc>
        <w:tcPr>
          <w:tcW w:w="3093" w:type="pct"/>
          <w:tcBorders>
            <w:top w:val="single" w:sz="4" w:space="0" w:color="auto"/>
            <w:left w:val="nil"/>
            <w:bottom w:val="nil"/>
            <w:right w:val="nil"/>
          </w:tcBorders>
        </w:tcPr>
        <w:p w14:paraId="5EB275CA" w14:textId="7B536F6A" w:rsidR="008511AB" w:rsidRDefault="003879E6">
          <w:pPr>
            <w:pStyle w:val="Footer"/>
            <w:jc w:val="center"/>
          </w:pPr>
          <w:fldSimple w:instr=" REF Citation *\charformat ">
            <w:r w:rsidR="005404F2">
              <w:t>Gas Safety Regulation 2001</w:t>
            </w:r>
          </w:fldSimple>
        </w:p>
        <w:p w14:paraId="7F5DA4B7" w14:textId="4506D03D" w:rsidR="008511AB" w:rsidRDefault="003879E6">
          <w:pPr>
            <w:pStyle w:val="FooterInfoCentre"/>
          </w:pPr>
          <w:fldSimple w:instr=" DOCPROPERTY &quot;Eff&quot;  ">
            <w:r w:rsidR="005404F2">
              <w:t xml:space="preserve">Effective:  </w:t>
            </w:r>
          </w:fldSimple>
          <w:fldSimple w:instr=" DOCPROPERTY &quot;StartDt&quot;   ">
            <w:r w:rsidR="005404F2">
              <w:t>04/11/04</w:t>
            </w:r>
          </w:fldSimple>
          <w:fldSimple w:instr=" DOCPROPERTY &quot;EndDt&quot;  ">
            <w:r w:rsidR="005404F2">
              <w:t>-01/07/05</w:t>
            </w:r>
          </w:fldSimple>
        </w:p>
      </w:tc>
      <w:tc>
        <w:tcPr>
          <w:tcW w:w="846" w:type="pct"/>
          <w:tcBorders>
            <w:top w:val="single" w:sz="4" w:space="0" w:color="auto"/>
            <w:left w:val="nil"/>
            <w:bottom w:val="nil"/>
            <w:right w:val="nil"/>
          </w:tcBorders>
        </w:tcPr>
        <w:p w14:paraId="4684F49F" w14:textId="77777777" w:rsidR="008511AB" w:rsidRDefault="00606D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11709E" w14:textId="5B4B3680"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06A5" w14:textId="77777777" w:rsidR="008511AB" w:rsidRDefault="008511A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11AB" w14:paraId="177A54B7" w14:textId="77777777">
      <w:tc>
        <w:tcPr>
          <w:tcW w:w="847" w:type="pct"/>
          <w:tcBorders>
            <w:top w:val="single" w:sz="4" w:space="0" w:color="auto"/>
            <w:left w:val="nil"/>
            <w:bottom w:val="nil"/>
            <w:right w:val="nil"/>
          </w:tcBorders>
        </w:tcPr>
        <w:p w14:paraId="6308C839" w14:textId="77777777" w:rsidR="008511AB" w:rsidRDefault="00606D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Borders>
            <w:top w:val="single" w:sz="4" w:space="0" w:color="auto"/>
            <w:left w:val="nil"/>
            <w:bottom w:val="nil"/>
            <w:right w:val="nil"/>
          </w:tcBorders>
        </w:tcPr>
        <w:p w14:paraId="62F61C34" w14:textId="7CEA4CC5" w:rsidR="008511AB" w:rsidRDefault="003879E6">
          <w:pPr>
            <w:pStyle w:val="Footer"/>
            <w:jc w:val="center"/>
          </w:pPr>
          <w:fldSimple w:instr=" REF Citation *\charformat ">
            <w:r w:rsidR="005404F2">
              <w:t>Gas Safety Regulation 2001</w:t>
            </w:r>
          </w:fldSimple>
        </w:p>
        <w:p w14:paraId="16A4ED81" w14:textId="346E1E39"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1061" w:type="pct"/>
          <w:tcBorders>
            <w:top w:val="single" w:sz="4" w:space="0" w:color="auto"/>
            <w:left w:val="nil"/>
            <w:bottom w:val="nil"/>
            <w:right w:val="nil"/>
          </w:tcBorders>
        </w:tcPr>
        <w:p w14:paraId="503835F2" w14:textId="3CA92688" w:rsidR="008511AB" w:rsidRDefault="003879E6">
          <w:pPr>
            <w:pStyle w:val="Footer"/>
            <w:jc w:val="right"/>
          </w:pPr>
          <w:fldSimple w:instr=" DOCPROPERTY &quot;Category&quot;  *\charformat  ">
            <w:r w:rsidR="005404F2">
              <w:t>R7</w:t>
            </w:r>
          </w:fldSimple>
          <w:r w:rsidR="00606D09">
            <w:br/>
          </w:r>
          <w:fldSimple w:instr=" DOCPROPERTY &quot;RepubDt&quot;  *\charformat  ">
            <w:r w:rsidR="005404F2">
              <w:t>04/11/04</w:t>
            </w:r>
          </w:fldSimple>
        </w:p>
      </w:tc>
    </w:tr>
  </w:tbl>
  <w:p w14:paraId="4B10B51D" w14:textId="508EF385"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E233" w14:textId="77777777" w:rsidR="008511AB" w:rsidRDefault="008511AB">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11AB" w14:paraId="016ECAD8" w14:textId="77777777">
      <w:tc>
        <w:tcPr>
          <w:tcW w:w="1061" w:type="pct"/>
          <w:tcBorders>
            <w:top w:val="single" w:sz="4" w:space="0" w:color="auto"/>
            <w:left w:val="nil"/>
            <w:bottom w:val="nil"/>
            <w:right w:val="nil"/>
          </w:tcBorders>
        </w:tcPr>
        <w:p w14:paraId="5FCA95D1" w14:textId="4217CDC5" w:rsidR="008511AB" w:rsidRDefault="003879E6">
          <w:pPr>
            <w:pStyle w:val="Footer"/>
          </w:pPr>
          <w:fldSimple w:instr=" DOCPROPERTY &quot;Category&quot;  *\charformat  ">
            <w:r w:rsidR="005404F2">
              <w:t>R7</w:t>
            </w:r>
          </w:fldSimple>
          <w:r w:rsidR="00606D09">
            <w:br/>
          </w:r>
          <w:fldSimple w:instr=" DOCPROPERTY &quot;RepubDt&quot;  *\charformat  ">
            <w:r w:rsidR="005404F2">
              <w:t>04/11/04</w:t>
            </w:r>
          </w:fldSimple>
        </w:p>
      </w:tc>
      <w:tc>
        <w:tcPr>
          <w:tcW w:w="3092" w:type="pct"/>
          <w:tcBorders>
            <w:top w:val="single" w:sz="4" w:space="0" w:color="auto"/>
            <w:left w:val="nil"/>
            <w:bottom w:val="nil"/>
            <w:right w:val="nil"/>
          </w:tcBorders>
        </w:tcPr>
        <w:p w14:paraId="79E26437" w14:textId="1F73BCF4" w:rsidR="008511AB" w:rsidRDefault="003879E6">
          <w:pPr>
            <w:pStyle w:val="Footer"/>
            <w:jc w:val="center"/>
          </w:pPr>
          <w:fldSimple w:instr=" REF Citation *\charformat ">
            <w:r w:rsidR="005404F2">
              <w:t>Gas Safety Regulation 2001</w:t>
            </w:r>
          </w:fldSimple>
        </w:p>
        <w:p w14:paraId="7D2B8464" w14:textId="71039A20"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847" w:type="pct"/>
          <w:tcBorders>
            <w:top w:val="single" w:sz="4" w:space="0" w:color="auto"/>
            <w:left w:val="nil"/>
            <w:bottom w:val="nil"/>
            <w:right w:val="nil"/>
          </w:tcBorders>
        </w:tcPr>
        <w:p w14:paraId="0982FE9F" w14:textId="77777777" w:rsidR="008511AB" w:rsidRDefault="00606D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126872F9" w14:textId="02B0B7FC"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EACF" w14:textId="77777777" w:rsidR="008511AB" w:rsidRDefault="008511A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511AB" w14:paraId="697E48B6" w14:textId="77777777">
      <w:tc>
        <w:tcPr>
          <w:tcW w:w="1061" w:type="pct"/>
          <w:tcBorders>
            <w:top w:val="single" w:sz="4" w:space="0" w:color="auto"/>
            <w:left w:val="nil"/>
            <w:bottom w:val="nil"/>
            <w:right w:val="nil"/>
          </w:tcBorders>
        </w:tcPr>
        <w:p w14:paraId="0C1BB8CE" w14:textId="404715EB" w:rsidR="008511AB" w:rsidRDefault="003879E6">
          <w:pPr>
            <w:pStyle w:val="Footer"/>
          </w:pPr>
          <w:fldSimple w:instr=" DOCPROPERTY &quot;Category&quot;  *\charformat  ">
            <w:r w:rsidR="005404F2">
              <w:t>R7</w:t>
            </w:r>
          </w:fldSimple>
          <w:r w:rsidR="00606D09">
            <w:br/>
          </w:r>
          <w:fldSimple w:instr=" DOCPROPERTY &quot;RepubDt&quot;  *\charformat  ">
            <w:r w:rsidR="005404F2">
              <w:t>04/11/04</w:t>
            </w:r>
          </w:fldSimple>
        </w:p>
      </w:tc>
      <w:tc>
        <w:tcPr>
          <w:tcW w:w="3092" w:type="pct"/>
          <w:tcBorders>
            <w:top w:val="single" w:sz="4" w:space="0" w:color="auto"/>
            <w:left w:val="nil"/>
            <w:bottom w:val="nil"/>
            <w:right w:val="nil"/>
          </w:tcBorders>
        </w:tcPr>
        <w:p w14:paraId="1E8D73C1" w14:textId="474FDC76" w:rsidR="008511AB" w:rsidRDefault="003879E6">
          <w:pPr>
            <w:pStyle w:val="Footer"/>
            <w:jc w:val="center"/>
          </w:pPr>
          <w:fldSimple w:instr=" REF Citation *\charformat ">
            <w:r w:rsidR="005404F2">
              <w:t>Gas Safety Regulation 2001</w:t>
            </w:r>
          </w:fldSimple>
        </w:p>
        <w:p w14:paraId="339E8071" w14:textId="4C47272A" w:rsidR="008511AB" w:rsidRDefault="003879E6">
          <w:pPr>
            <w:pStyle w:val="FooterInfoCentre"/>
          </w:pPr>
          <w:fldSimple w:instr=" DOCPROPERTY &quot;Eff&quot;  *\charformat ">
            <w:r w:rsidR="005404F2">
              <w:t xml:space="preserve">Effective:  </w:t>
            </w:r>
          </w:fldSimple>
          <w:fldSimple w:instr=" DOCPROPERTY &quot;StartDt&quot;  *\charformat ">
            <w:r w:rsidR="005404F2">
              <w:t>04/11/04</w:t>
            </w:r>
          </w:fldSimple>
          <w:fldSimple w:instr=" DOCPROPERTY &quot;EndDt&quot;  *\charformat ">
            <w:r w:rsidR="005404F2">
              <w:t>-01/07/05</w:t>
            </w:r>
          </w:fldSimple>
        </w:p>
      </w:tc>
      <w:tc>
        <w:tcPr>
          <w:tcW w:w="847" w:type="pct"/>
          <w:tcBorders>
            <w:top w:val="single" w:sz="4" w:space="0" w:color="auto"/>
            <w:left w:val="nil"/>
            <w:bottom w:val="nil"/>
            <w:right w:val="nil"/>
          </w:tcBorders>
        </w:tcPr>
        <w:p w14:paraId="62B233E8" w14:textId="77777777" w:rsidR="008511AB" w:rsidRDefault="00606D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B84A81" w14:textId="485F14E0" w:rsidR="008511AB" w:rsidRPr="007C7787" w:rsidRDefault="003879E6" w:rsidP="007C7787">
    <w:pPr>
      <w:pStyle w:val="Status"/>
    </w:pPr>
    <w:fldSimple w:instr=" DOCPROPERTY &quot;Status&quot; ">
      <w:r w:rsidR="005404F2" w:rsidRPr="007C7787">
        <w:t xml:space="preserve"> </w:t>
      </w:r>
    </w:fldSimple>
    <w:r w:rsidR="007C7787" w:rsidRPr="007C7787">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81B7" w14:textId="77777777" w:rsidR="008511AB" w:rsidRDefault="00606D09">
      <w:r>
        <w:separator/>
      </w:r>
    </w:p>
  </w:footnote>
  <w:footnote w:type="continuationSeparator" w:id="0">
    <w:p w14:paraId="021CAD0D" w14:textId="77777777" w:rsidR="008511AB" w:rsidRDefault="0060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01D5" w14:textId="77777777" w:rsidR="007C7787" w:rsidRDefault="007C77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511AB" w14:paraId="06DF5106" w14:textId="77777777">
      <w:trPr>
        <w:jc w:val="center"/>
      </w:trPr>
      <w:tc>
        <w:tcPr>
          <w:tcW w:w="1234" w:type="dxa"/>
          <w:gridSpan w:val="2"/>
          <w:tcBorders>
            <w:top w:val="nil"/>
            <w:left w:val="nil"/>
            <w:bottom w:val="nil"/>
            <w:right w:val="nil"/>
          </w:tcBorders>
        </w:tcPr>
        <w:p w14:paraId="7EF17D9A" w14:textId="77777777" w:rsidR="008511AB" w:rsidRDefault="00606D09">
          <w:pPr>
            <w:pStyle w:val="HeaderEven"/>
            <w:rPr>
              <w:b/>
              <w:bCs/>
            </w:rPr>
          </w:pPr>
          <w:r>
            <w:rPr>
              <w:b/>
              <w:bCs/>
            </w:rPr>
            <w:t>Endnotes</w:t>
          </w:r>
        </w:p>
      </w:tc>
      <w:tc>
        <w:tcPr>
          <w:tcW w:w="6062" w:type="dxa"/>
          <w:tcBorders>
            <w:top w:val="nil"/>
            <w:left w:val="nil"/>
            <w:bottom w:val="nil"/>
            <w:right w:val="nil"/>
          </w:tcBorders>
        </w:tcPr>
        <w:p w14:paraId="116C6805" w14:textId="77777777" w:rsidR="008511AB" w:rsidRDefault="008511AB">
          <w:pPr>
            <w:pStyle w:val="HeaderEven"/>
          </w:pPr>
        </w:p>
      </w:tc>
    </w:tr>
    <w:tr w:rsidR="008511AB" w14:paraId="29996E0E" w14:textId="77777777">
      <w:trPr>
        <w:cantSplit/>
        <w:jc w:val="center"/>
      </w:trPr>
      <w:tc>
        <w:tcPr>
          <w:tcW w:w="7296" w:type="dxa"/>
          <w:gridSpan w:val="3"/>
          <w:tcBorders>
            <w:top w:val="nil"/>
            <w:left w:val="nil"/>
            <w:bottom w:val="nil"/>
            <w:right w:val="nil"/>
          </w:tcBorders>
        </w:tcPr>
        <w:p w14:paraId="4034186A" w14:textId="77777777" w:rsidR="008511AB" w:rsidRDefault="008511AB">
          <w:pPr>
            <w:pStyle w:val="HeaderEven"/>
          </w:pPr>
        </w:p>
      </w:tc>
    </w:tr>
    <w:tr w:rsidR="008511AB" w14:paraId="0562B863" w14:textId="77777777">
      <w:trPr>
        <w:cantSplit/>
        <w:jc w:val="center"/>
      </w:trPr>
      <w:tc>
        <w:tcPr>
          <w:tcW w:w="700" w:type="dxa"/>
          <w:tcBorders>
            <w:top w:val="nil"/>
            <w:left w:val="nil"/>
            <w:bottom w:val="single" w:sz="4" w:space="0" w:color="auto"/>
            <w:right w:val="nil"/>
          </w:tcBorders>
        </w:tcPr>
        <w:p w14:paraId="7E1FD6DD" w14:textId="78683A90" w:rsidR="008511AB" w:rsidRDefault="003879E6">
          <w:pPr>
            <w:pStyle w:val="HeaderEven6"/>
          </w:pPr>
          <w:fldSimple w:instr=" STYLEREF charTableNo \*charformat ">
            <w:r w:rsidR="007C7787">
              <w:rPr>
                <w:noProof/>
              </w:rPr>
              <w:t>4</w:t>
            </w:r>
          </w:fldSimple>
        </w:p>
      </w:tc>
      <w:tc>
        <w:tcPr>
          <w:tcW w:w="6600" w:type="dxa"/>
          <w:gridSpan w:val="2"/>
          <w:tcBorders>
            <w:top w:val="nil"/>
            <w:left w:val="nil"/>
            <w:bottom w:val="single" w:sz="4" w:space="0" w:color="auto"/>
            <w:right w:val="nil"/>
          </w:tcBorders>
        </w:tcPr>
        <w:p w14:paraId="2682DCF0" w14:textId="5A61525C" w:rsidR="008511AB" w:rsidRDefault="003879E6">
          <w:pPr>
            <w:pStyle w:val="HeaderEven6"/>
          </w:pPr>
          <w:fldSimple w:instr=" STYLEREF charTableText \*charformat ">
            <w:r w:rsidR="007C7787">
              <w:rPr>
                <w:noProof/>
              </w:rPr>
              <w:t>Amendment history</w:t>
            </w:r>
          </w:fldSimple>
        </w:p>
      </w:tc>
    </w:tr>
  </w:tbl>
  <w:p w14:paraId="37484F3C" w14:textId="77777777" w:rsidR="008511AB" w:rsidRDefault="008511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511AB" w14:paraId="1599A408" w14:textId="77777777">
      <w:trPr>
        <w:jc w:val="center"/>
      </w:trPr>
      <w:tc>
        <w:tcPr>
          <w:tcW w:w="5741" w:type="dxa"/>
          <w:tcBorders>
            <w:top w:val="nil"/>
            <w:left w:val="nil"/>
            <w:bottom w:val="nil"/>
            <w:right w:val="nil"/>
          </w:tcBorders>
        </w:tcPr>
        <w:p w14:paraId="6911F82A" w14:textId="77777777" w:rsidR="008511AB" w:rsidRDefault="008511AB">
          <w:pPr>
            <w:pStyle w:val="HeaderEven"/>
            <w:jc w:val="right"/>
          </w:pPr>
        </w:p>
      </w:tc>
      <w:tc>
        <w:tcPr>
          <w:tcW w:w="1560" w:type="dxa"/>
          <w:gridSpan w:val="2"/>
          <w:tcBorders>
            <w:top w:val="nil"/>
            <w:left w:val="nil"/>
            <w:bottom w:val="nil"/>
            <w:right w:val="nil"/>
          </w:tcBorders>
        </w:tcPr>
        <w:p w14:paraId="716A49AF" w14:textId="77777777" w:rsidR="008511AB" w:rsidRDefault="00606D09">
          <w:pPr>
            <w:pStyle w:val="HeaderEven"/>
            <w:jc w:val="right"/>
            <w:rPr>
              <w:b/>
              <w:bCs/>
            </w:rPr>
          </w:pPr>
          <w:r>
            <w:rPr>
              <w:b/>
              <w:bCs/>
            </w:rPr>
            <w:t>Endnotes</w:t>
          </w:r>
        </w:p>
      </w:tc>
    </w:tr>
    <w:tr w:rsidR="008511AB" w14:paraId="3EB156E5" w14:textId="77777777">
      <w:trPr>
        <w:jc w:val="center"/>
      </w:trPr>
      <w:tc>
        <w:tcPr>
          <w:tcW w:w="7301" w:type="dxa"/>
          <w:gridSpan w:val="3"/>
          <w:tcBorders>
            <w:top w:val="nil"/>
            <w:left w:val="nil"/>
            <w:bottom w:val="nil"/>
            <w:right w:val="nil"/>
          </w:tcBorders>
        </w:tcPr>
        <w:p w14:paraId="42367849" w14:textId="77777777" w:rsidR="008511AB" w:rsidRDefault="008511AB">
          <w:pPr>
            <w:pStyle w:val="HeaderEven"/>
            <w:jc w:val="right"/>
            <w:rPr>
              <w:b/>
              <w:bCs/>
            </w:rPr>
          </w:pPr>
        </w:p>
      </w:tc>
    </w:tr>
    <w:tr w:rsidR="008511AB" w14:paraId="0DB41861" w14:textId="77777777">
      <w:trPr>
        <w:jc w:val="center"/>
      </w:trPr>
      <w:tc>
        <w:tcPr>
          <w:tcW w:w="6600" w:type="dxa"/>
          <w:gridSpan w:val="2"/>
          <w:tcBorders>
            <w:top w:val="nil"/>
            <w:left w:val="nil"/>
            <w:bottom w:val="single" w:sz="4" w:space="0" w:color="auto"/>
            <w:right w:val="nil"/>
          </w:tcBorders>
        </w:tcPr>
        <w:p w14:paraId="345F68E2" w14:textId="240281C5" w:rsidR="008511AB" w:rsidRDefault="003879E6">
          <w:pPr>
            <w:pStyle w:val="HeaderOdd6"/>
          </w:pPr>
          <w:fldSimple w:instr=" STYLEREF charTableText \*charformat ">
            <w:r w:rsidR="007C7787">
              <w:rPr>
                <w:noProof/>
              </w:rPr>
              <w:t>Earlier republications</w:t>
            </w:r>
          </w:fldSimple>
        </w:p>
      </w:tc>
      <w:tc>
        <w:tcPr>
          <w:tcW w:w="700" w:type="dxa"/>
          <w:tcBorders>
            <w:top w:val="nil"/>
            <w:left w:val="nil"/>
            <w:bottom w:val="single" w:sz="4" w:space="0" w:color="auto"/>
            <w:right w:val="nil"/>
          </w:tcBorders>
        </w:tcPr>
        <w:p w14:paraId="4B4769D6" w14:textId="1CF28B74" w:rsidR="008511AB" w:rsidRDefault="003879E6">
          <w:pPr>
            <w:pStyle w:val="HeaderOdd6"/>
          </w:pPr>
          <w:fldSimple w:instr=" STYLEREF charTableNo \*charformat ">
            <w:r w:rsidR="007C7787">
              <w:rPr>
                <w:noProof/>
              </w:rPr>
              <w:t>5</w:t>
            </w:r>
          </w:fldSimple>
        </w:p>
      </w:tc>
    </w:tr>
  </w:tbl>
  <w:p w14:paraId="5117E85A" w14:textId="77777777" w:rsidR="008511AB" w:rsidRDefault="008511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7BD6" w14:textId="77777777" w:rsidR="008511AB" w:rsidRDefault="008511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4229" w14:textId="77777777" w:rsidR="008511AB" w:rsidRDefault="008511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C00C" w14:textId="77777777" w:rsidR="008511AB" w:rsidRDefault="008511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D1CA" w14:textId="77777777" w:rsidR="008511AB" w:rsidRDefault="0085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16F1" w14:textId="77777777" w:rsidR="007C7787" w:rsidRDefault="007C7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22B" w14:textId="77777777" w:rsidR="007C7787" w:rsidRDefault="007C77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11AB" w14:paraId="07A38717" w14:textId="77777777">
      <w:tc>
        <w:tcPr>
          <w:tcW w:w="900" w:type="pct"/>
          <w:tcBorders>
            <w:top w:val="nil"/>
            <w:left w:val="nil"/>
            <w:bottom w:val="nil"/>
            <w:right w:val="nil"/>
          </w:tcBorders>
        </w:tcPr>
        <w:p w14:paraId="7DB2C638" w14:textId="77777777" w:rsidR="008511AB" w:rsidRDefault="008511AB">
          <w:pPr>
            <w:pStyle w:val="HeaderEven"/>
          </w:pPr>
        </w:p>
      </w:tc>
      <w:tc>
        <w:tcPr>
          <w:tcW w:w="4100" w:type="pct"/>
          <w:tcBorders>
            <w:top w:val="nil"/>
            <w:left w:val="nil"/>
            <w:bottom w:val="nil"/>
            <w:right w:val="nil"/>
          </w:tcBorders>
        </w:tcPr>
        <w:p w14:paraId="4E6B5B89" w14:textId="77777777" w:rsidR="008511AB" w:rsidRDefault="008511AB">
          <w:pPr>
            <w:pStyle w:val="HeaderEven"/>
          </w:pPr>
        </w:p>
      </w:tc>
    </w:tr>
    <w:tr w:rsidR="008511AB" w14:paraId="4A333A8F" w14:textId="77777777">
      <w:tc>
        <w:tcPr>
          <w:tcW w:w="4100" w:type="pct"/>
          <w:gridSpan w:val="2"/>
          <w:tcBorders>
            <w:top w:val="nil"/>
            <w:left w:val="nil"/>
            <w:bottom w:val="single" w:sz="4" w:space="0" w:color="auto"/>
            <w:right w:val="nil"/>
          </w:tcBorders>
        </w:tcPr>
        <w:p w14:paraId="27823B8C" w14:textId="398800F8" w:rsidR="008511AB" w:rsidRDefault="003879E6">
          <w:pPr>
            <w:pStyle w:val="HeaderEven6"/>
          </w:pPr>
          <w:fldSimple w:instr=" STYLEREF charContents \* MERGEFORMAT ">
            <w:r w:rsidR="007C7787">
              <w:rPr>
                <w:noProof/>
              </w:rPr>
              <w:t>Contents</w:t>
            </w:r>
          </w:fldSimple>
        </w:p>
      </w:tc>
    </w:tr>
  </w:tbl>
  <w:p w14:paraId="2A5A4B7B" w14:textId="7DA6CD35" w:rsidR="008511AB" w:rsidRDefault="00606D09">
    <w:pPr>
      <w:pStyle w:val="N-9pt"/>
    </w:pPr>
    <w:r>
      <w:tab/>
    </w:r>
    <w:fldSimple w:instr=" STYLEREF charPage \* MERGEFORMAT ">
      <w:r w:rsidR="007C778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11AB" w14:paraId="2A773336" w14:textId="77777777">
      <w:tc>
        <w:tcPr>
          <w:tcW w:w="4100" w:type="pct"/>
          <w:tcBorders>
            <w:top w:val="nil"/>
            <w:left w:val="nil"/>
            <w:bottom w:val="nil"/>
            <w:right w:val="nil"/>
          </w:tcBorders>
        </w:tcPr>
        <w:p w14:paraId="743C2D5B" w14:textId="77777777" w:rsidR="008511AB" w:rsidRDefault="008511AB">
          <w:pPr>
            <w:pStyle w:val="HeaderOdd"/>
          </w:pPr>
        </w:p>
      </w:tc>
      <w:tc>
        <w:tcPr>
          <w:tcW w:w="900" w:type="pct"/>
          <w:tcBorders>
            <w:top w:val="nil"/>
            <w:left w:val="nil"/>
            <w:bottom w:val="nil"/>
            <w:right w:val="nil"/>
          </w:tcBorders>
        </w:tcPr>
        <w:p w14:paraId="43A4F5D1" w14:textId="77777777" w:rsidR="008511AB" w:rsidRDefault="008511AB">
          <w:pPr>
            <w:pStyle w:val="HeaderOdd"/>
          </w:pPr>
        </w:p>
      </w:tc>
    </w:tr>
    <w:tr w:rsidR="008511AB" w14:paraId="6F56F95C" w14:textId="77777777">
      <w:tc>
        <w:tcPr>
          <w:tcW w:w="900" w:type="pct"/>
          <w:gridSpan w:val="2"/>
          <w:tcBorders>
            <w:top w:val="nil"/>
            <w:left w:val="nil"/>
            <w:bottom w:val="single" w:sz="4" w:space="0" w:color="auto"/>
            <w:right w:val="nil"/>
          </w:tcBorders>
        </w:tcPr>
        <w:p w14:paraId="39F461C1" w14:textId="4A8B6924" w:rsidR="008511AB" w:rsidRDefault="003879E6">
          <w:pPr>
            <w:pStyle w:val="HeaderOdd6"/>
          </w:pPr>
          <w:fldSimple w:instr=" STYLEREF charContents \* MERGEFORMAT ">
            <w:r w:rsidR="007C7787">
              <w:rPr>
                <w:noProof/>
              </w:rPr>
              <w:t>Contents</w:t>
            </w:r>
          </w:fldSimple>
        </w:p>
      </w:tc>
    </w:tr>
  </w:tbl>
  <w:p w14:paraId="76A92CDD" w14:textId="6FA04FD1" w:rsidR="008511AB" w:rsidRDefault="00606D09">
    <w:pPr>
      <w:pStyle w:val="N-9pt"/>
    </w:pPr>
    <w:r>
      <w:tab/>
    </w:r>
    <w:fldSimple w:instr=" STYLEREF charPage \* MERGEFORMAT ">
      <w:r w:rsidR="007C7787">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11AB" w14:paraId="0BE80095" w14:textId="77777777">
      <w:tc>
        <w:tcPr>
          <w:tcW w:w="900" w:type="pct"/>
          <w:tcBorders>
            <w:top w:val="nil"/>
            <w:left w:val="nil"/>
            <w:bottom w:val="nil"/>
            <w:right w:val="nil"/>
          </w:tcBorders>
        </w:tcPr>
        <w:p w14:paraId="67073461" w14:textId="573B6F2A" w:rsidR="008511AB" w:rsidRDefault="00606D09">
          <w:pPr>
            <w:pStyle w:val="HeaderEven"/>
            <w:rPr>
              <w:b/>
              <w:bCs/>
            </w:rPr>
          </w:pPr>
          <w:r>
            <w:rPr>
              <w:b/>
              <w:bCs/>
            </w:rPr>
            <w:fldChar w:fldCharType="begin"/>
          </w:r>
          <w:r>
            <w:rPr>
              <w:b/>
              <w:bCs/>
            </w:rPr>
            <w:instrText xml:space="preserve"> STYLEREF CharPartNo \*charformat </w:instrText>
          </w:r>
          <w:r>
            <w:rPr>
              <w:b/>
              <w:bCs/>
            </w:rPr>
            <w:fldChar w:fldCharType="separate"/>
          </w:r>
          <w:r w:rsidR="007C7787">
            <w:rPr>
              <w:b/>
              <w:bCs/>
              <w:noProof/>
            </w:rPr>
            <w:t>Part 4</w:t>
          </w:r>
          <w:r>
            <w:rPr>
              <w:b/>
              <w:bCs/>
            </w:rPr>
            <w:fldChar w:fldCharType="end"/>
          </w:r>
        </w:p>
      </w:tc>
      <w:tc>
        <w:tcPr>
          <w:tcW w:w="4100" w:type="pct"/>
          <w:tcBorders>
            <w:top w:val="nil"/>
            <w:left w:val="nil"/>
            <w:bottom w:val="nil"/>
            <w:right w:val="nil"/>
          </w:tcBorders>
        </w:tcPr>
        <w:p w14:paraId="1A716979" w14:textId="7973597E" w:rsidR="008511AB" w:rsidRDefault="003879E6">
          <w:pPr>
            <w:pStyle w:val="HeaderEven"/>
          </w:pPr>
          <w:fldSimple w:instr=" STYLEREF CharPartText \*charformat ">
            <w:r w:rsidR="007C7787">
              <w:rPr>
                <w:noProof/>
              </w:rPr>
              <w:t>Miscellaneous</w:t>
            </w:r>
          </w:fldSimple>
        </w:p>
      </w:tc>
    </w:tr>
    <w:tr w:rsidR="008511AB" w14:paraId="794A8864" w14:textId="77777777">
      <w:tc>
        <w:tcPr>
          <w:tcW w:w="900" w:type="pct"/>
          <w:tcBorders>
            <w:top w:val="nil"/>
            <w:left w:val="nil"/>
            <w:bottom w:val="nil"/>
            <w:right w:val="nil"/>
          </w:tcBorders>
        </w:tcPr>
        <w:p w14:paraId="5E6AFB64" w14:textId="187F1418" w:rsidR="008511AB" w:rsidRDefault="00606D09">
          <w:pPr>
            <w:pStyle w:val="HeaderEven"/>
            <w:rPr>
              <w:b/>
              <w:bCs/>
            </w:rPr>
          </w:pPr>
          <w:r>
            <w:rPr>
              <w:b/>
              <w:bCs/>
            </w:rPr>
            <w:fldChar w:fldCharType="begin"/>
          </w:r>
          <w:r>
            <w:rPr>
              <w:b/>
              <w:bCs/>
            </w:rPr>
            <w:instrText xml:space="preserve"> STYLEREF CharDivNo \*charformat </w:instrText>
          </w:r>
          <w:r>
            <w:rPr>
              <w:b/>
              <w:bCs/>
            </w:rPr>
            <w:fldChar w:fldCharType="end"/>
          </w:r>
        </w:p>
      </w:tc>
      <w:tc>
        <w:tcPr>
          <w:tcW w:w="4100" w:type="pct"/>
          <w:tcBorders>
            <w:top w:val="nil"/>
            <w:left w:val="nil"/>
            <w:bottom w:val="nil"/>
            <w:right w:val="nil"/>
          </w:tcBorders>
        </w:tcPr>
        <w:p w14:paraId="493B0C0F" w14:textId="54B8C100" w:rsidR="008511AB" w:rsidRDefault="007C7787">
          <w:pPr>
            <w:pStyle w:val="HeaderEven"/>
          </w:pPr>
          <w:r>
            <w:fldChar w:fldCharType="begin"/>
          </w:r>
          <w:r>
            <w:instrText xml:space="preserve"> STYLEREF CharDivText \*charformat </w:instrText>
          </w:r>
          <w:r>
            <w:rPr>
              <w:noProof/>
            </w:rPr>
            <w:fldChar w:fldCharType="end"/>
          </w:r>
        </w:p>
      </w:tc>
    </w:tr>
    <w:tr w:rsidR="008511AB" w14:paraId="563BC02B" w14:textId="77777777">
      <w:trPr>
        <w:cantSplit/>
      </w:trPr>
      <w:tc>
        <w:tcPr>
          <w:tcW w:w="4997" w:type="pct"/>
          <w:gridSpan w:val="2"/>
          <w:tcBorders>
            <w:top w:val="nil"/>
            <w:left w:val="nil"/>
            <w:bottom w:val="single" w:sz="4" w:space="0" w:color="auto"/>
            <w:right w:val="nil"/>
          </w:tcBorders>
        </w:tcPr>
        <w:p w14:paraId="3B5F6894" w14:textId="41584AC1" w:rsidR="008511AB" w:rsidRDefault="003879E6">
          <w:pPr>
            <w:pStyle w:val="HeaderEven6"/>
          </w:pPr>
          <w:fldSimple w:instr=" DOCPROPERTY &quot;Company&quot;  \* MERGEFORMAT ">
            <w:r w:rsidR="005404F2">
              <w:t>Section</w:t>
            </w:r>
          </w:fldSimple>
          <w:r w:rsidR="00606D09">
            <w:t xml:space="preserve"> </w:t>
          </w:r>
          <w:fldSimple w:instr=" STYLEREF CharSectNo \*charformat ">
            <w:r w:rsidR="007C7787">
              <w:rPr>
                <w:noProof/>
              </w:rPr>
              <w:t>20B</w:t>
            </w:r>
          </w:fldSimple>
        </w:p>
      </w:tc>
    </w:tr>
  </w:tbl>
  <w:p w14:paraId="4D48199F" w14:textId="77777777" w:rsidR="008511AB" w:rsidRDefault="008511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11AB" w14:paraId="534124D9" w14:textId="77777777">
      <w:tc>
        <w:tcPr>
          <w:tcW w:w="4100" w:type="pct"/>
          <w:tcBorders>
            <w:top w:val="nil"/>
            <w:left w:val="nil"/>
            <w:bottom w:val="nil"/>
            <w:right w:val="nil"/>
          </w:tcBorders>
        </w:tcPr>
        <w:p w14:paraId="78E1D7DB" w14:textId="0255ACC9" w:rsidR="008511AB" w:rsidRDefault="003879E6">
          <w:pPr>
            <w:pStyle w:val="HeaderEven"/>
            <w:jc w:val="right"/>
          </w:pPr>
          <w:fldSimple w:instr=" STYLEREF CharPartText \*charformat ">
            <w:r w:rsidR="007C7787">
              <w:rPr>
                <w:noProof/>
              </w:rPr>
              <w:t>Savings and transitional provisions</w:t>
            </w:r>
          </w:fldSimple>
        </w:p>
      </w:tc>
      <w:tc>
        <w:tcPr>
          <w:tcW w:w="900" w:type="pct"/>
          <w:tcBorders>
            <w:top w:val="nil"/>
            <w:left w:val="nil"/>
            <w:bottom w:val="nil"/>
            <w:right w:val="nil"/>
          </w:tcBorders>
        </w:tcPr>
        <w:p w14:paraId="0B22DB3B" w14:textId="3C7682B1" w:rsidR="008511AB" w:rsidRDefault="00606D09">
          <w:pPr>
            <w:pStyle w:val="HeaderEven"/>
            <w:jc w:val="right"/>
            <w:rPr>
              <w:b/>
              <w:bCs/>
            </w:rPr>
          </w:pPr>
          <w:r>
            <w:rPr>
              <w:b/>
              <w:bCs/>
            </w:rPr>
            <w:fldChar w:fldCharType="begin"/>
          </w:r>
          <w:r>
            <w:rPr>
              <w:b/>
              <w:bCs/>
            </w:rPr>
            <w:instrText xml:space="preserve"> STYLEREF CharPartNo \*charformat </w:instrText>
          </w:r>
          <w:r>
            <w:rPr>
              <w:b/>
              <w:bCs/>
            </w:rPr>
            <w:fldChar w:fldCharType="separate"/>
          </w:r>
          <w:r w:rsidR="007C7787">
            <w:rPr>
              <w:b/>
              <w:bCs/>
              <w:noProof/>
            </w:rPr>
            <w:t>Part 5</w:t>
          </w:r>
          <w:r>
            <w:rPr>
              <w:b/>
              <w:bCs/>
            </w:rPr>
            <w:fldChar w:fldCharType="end"/>
          </w:r>
        </w:p>
      </w:tc>
    </w:tr>
    <w:tr w:rsidR="008511AB" w14:paraId="7B4182C0" w14:textId="77777777">
      <w:tc>
        <w:tcPr>
          <w:tcW w:w="4100" w:type="pct"/>
          <w:tcBorders>
            <w:top w:val="nil"/>
            <w:left w:val="nil"/>
            <w:bottom w:val="nil"/>
            <w:right w:val="nil"/>
          </w:tcBorders>
        </w:tcPr>
        <w:p w14:paraId="052F7E70" w14:textId="4735B6C6" w:rsidR="008511AB" w:rsidRDefault="00606D09">
          <w:pPr>
            <w:pStyle w:val="HeaderEven"/>
            <w:jc w:val="right"/>
          </w:pPr>
          <w:r>
            <w:fldChar w:fldCharType="begin"/>
          </w:r>
          <w:r>
            <w:instrText xml:space="preserve"> STYLEREF CharDivText \*charformat </w:instrText>
          </w:r>
          <w:r>
            <w:fldChar w:fldCharType="end"/>
          </w:r>
        </w:p>
      </w:tc>
      <w:tc>
        <w:tcPr>
          <w:tcW w:w="900" w:type="pct"/>
          <w:tcBorders>
            <w:top w:val="nil"/>
            <w:left w:val="nil"/>
            <w:bottom w:val="nil"/>
            <w:right w:val="nil"/>
          </w:tcBorders>
        </w:tcPr>
        <w:p w14:paraId="0A124DDB" w14:textId="2437EA7D" w:rsidR="008511AB" w:rsidRDefault="00606D0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8511AB" w14:paraId="4F583620" w14:textId="77777777">
      <w:trPr>
        <w:cantSplit/>
      </w:trPr>
      <w:tc>
        <w:tcPr>
          <w:tcW w:w="5000" w:type="pct"/>
          <w:gridSpan w:val="2"/>
          <w:tcBorders>
            <w:top w:val="nil"/>
            <w:left w:val="nil"/>
            <w:bottom w:val="single" w:sz="4" w:space="0" w:color="auto"/>
            <w:right w:val="nil"/>
          </w:tcBorders>
        </w:tcPr>
        <w:p w14:paraId="1B4208CC" w14:textId="729E4C32" w:rsidR="008511AB" w:rsidRDefault="003879E6">
          <w:pPr>
            <w:pStyle w:val="HeaderOdd6"/>
          </w:pPr>
          <w:fldSimple w:instr=" DOCPROPERTY &quot;Company&quot;  \* MERGEFORMAT ">
            <w:r w:rsidR="005404F2">
              <w:t>Section</w:t>
            </w:r>
          </w:fldSimple>
          <w:r w:rsidR="00606D09">
            <w:t xml:space="preserve"> </w:t>
          </w:r>
          <w:fldSimple w:instr=" STYLEREF CharSectNo \*charformat ">
            <w:r w:rsidR="007C7787">
              <w:rPr>
                <w:noProof/>
              </w:rPr>
              <w:t>22</w:t>
            </w:r>
          </w:fldSimple>
        </w:p>
      </w:tc>
    </w:tr>
  </w:tbl>
  <w:p w14:paraId="0621566D" w14:textId="77777777" w:rsidR="008511AB" w:rsidRDefault="008511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511AB" w14:paraId="1A373B44" w14:textId="77777777">
      <w:trPr>
        <w:jc w:val="center"/>
      </w:trPr>
      <w:tc>
        <w:tcPr>
          <w:tcW w:w="1340" w:type="dxa"/>
          <w:tcBorders>
            <w:top w:val="nil"/>
            <w:left w:val="nil"/>
            <w:bottom w:val="nil"/>
            <w:right w:val="nil"/>
          </w:tcBorders>
        </w:tcPr>
        <w:p w14:paraId="1DC9FD86" w14:textId="77777777" w:rsidR="008511AB" w:rsidRDefault="008511AB">
          <w:pPr>
            <w:pStyle w:val="HeaderEven"/>
          </w:pPr>
        </w:p>
      </w:tc>
      <w:tc>
        <w:tcPr>
          <w:tcW w:w="6583" w:type="dxa"/>
          <w:tcBorders>
            <w:top w:val="nil"/>
            <w:left w:val="nil"/>
            <w:bottom w:val="nil"/>
            <w:right w:val="nil"/>
          </w:tcBorders>
        </w:tcPr>
        <w:p w14:paraId="690FB247" w14:textId="77777777" w:rsidR="008511AB" w:rsidRDefault="008511AB">
          <w:pPr>
            <w:pStyle w:val="HeaderEven"/>
          </w:pPr>
        </w:p>
      </w:tc>
    </w:tr>
    <w:tr w:rsidR="008511AB" w14:paraId="3B53A46C" w14:textId="77777777">
      <w:trPr>
        <w:jc w:val="center"/>
      </w:trPr>
      <w:tc>
        <w:tcPr>
          <w:tcW w:w="7923" w:type="dxa"/>
          <w:gridSpan w:val="2"/>
          <w:tcBorders>
            <w:top w:val="nil"/>
            <w:left w:val="nil"/>
            <w:bottom w:val="single" w:sz="4" w:space="0" w:color="auto"/>
            <w:right w:val="nil"/>
          </w:tcBorders>
        </w:tcPr>
        <w:p w14:paraId="53E961A4" w14:textId="77777777" w:rsidR="008511AB" w:rsidRDefault="00606D09">
          <w:pPr>
            <w:pStyle w:val="HeaderEven6"/>
          </w:pPr>
          <w:r>
            <w:t>Dictionary</w:t>
          </w:r>
        </w:p>
      </w:tc>
    </w:tr>
  </w:tbl>
  <w:p w14:paraId="12D7A6E4" w14:textId="77777777" w:rsidR="008511AB" w:rsidRDefault="008511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511AB" w14:paraId="1ABC658D" w14:textId="77777777">
      <w:trPr>
        <w:jc w:val="center"/>
      </w:trPr>
      <w:tc>
        <w:tcPr>
          <w:tcW w:w="6583" w:type="dxa"/>
          <w:tcBorders>
            <w:top w:val="nil"/>
            <w:left w:val="nil"/>
            <w:bottom w:val="nil"/>
            <w:right w:val="nil"/>
          </w:tcBorders>
        </w:tcPr>
        <w:p w14:paraId="4E4B1778" w14:textId="77777777" w:rsidR="008511AB" w:rsidRDefault="008511AB">
          <w:pPr>
            <w:pStyle w:val="HeaderOdd"/>
          </w:pPr>
        </w:p>
      </w:tc>
      <w:tc>
        <w:tcPr>
          <w:tcW w:w="1340" w:type="dxa"/>
          <w:tcBorders>
            <w:top w:val="nil"/>
            <w:left w:val="nil"/>
            <w:bottom w:val="nil"/>
            <w:right w:val="nil"/>
          </w:tcBorders>
        </w:tcPr>
        <w:p w14:paraId="31D02F89" w14:textId="77777777" w:rsidR="008511AB" w:rsidRDefault="008511AB">
          <w:pPr>
            <w:pStyle w:val="HeaderOdd"/>
          </w:pPr>
        </w:p>
      </w:tc>
    </w:tr>
    <w:tr w:rsidR="008511AB" w14:paraId="6CFE2355" w14:textId="77777777">
      <w:trPr>
        <w:jc w:val="center"/>
      </w:trPr>
      <w:tc>
        <w:tcPr>
          <w:tcW w:w="7923" w:type="dxa"/>
          <w:gridSpan w:val="2"/>
          <w:tcBorders>
            <w:top w:val="nil"/>
            <w:left w:val="nil"/>
            <w:bottom w:val="single" w:sz="4" w:space="0" w:color="auto"/>
            <w:right w:val="nil"/>
          </w:tcBorders>
        </w:tcPr>
        <w:p w14:paraId="48909057" w14:textId="77777777" w:rsidR="008511AB" w:rsidRDefault="00606D09">
          <w:pPr>
            <w:pStyle w:val="HeaderOdd6"/>
          </w:pPr>
          <w:r>
            <w:t>Dictionary</w:t>
          </w:r>
        </w:p>
      </w:tc>
    </w:tr>
  </w:tbl>
  <w:p w14:paraId="6C9E69E3" w14:textId="77777777" w:rsidR="008511AB" w:rsidRDefault="0085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2E3AC110"/>
    <w:name w:val="Lower"/>
    <w:lvl w:ilvl="0">
      <w:start w:val="1"/>
      <w:numFmt w:val="decimal"/>
      <w:suff w:val="nothing"/>
      <w:lvlText w:val="%1"/>
      <w:lvlJc w:val="left"/>
      <w:rPr>
        <w:rFonts w:ascii="Symbol" w:hAnsi="Symbol" w:cs="Symbol" w:hint="default"/>
      </w:rPr>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lvlRestart w:val="0"/>
      <w:suff w:val="nothing"/>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1"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B2736A7"/>
    <w:multiLevelType w:val="singleLevel"/>
    <w:tmpl w:val="E812B0F8"/>
    <w:lvl w:ilvl="0">
      <w:start w:val="1"/>
      <w:numFmt w:val="bullet"/>
      <w:pStyle w:val="Act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1"/>
  </w:num>
  <w:num w:numId="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09"/>
    <w:rsid w:val="000F3F68"/>
    <w:rsid w:val="003879E6"/>
    <w:rsid w:val="004162FD"/>
    <w:rsid w:val="004B6F5B"/>
    <w:rsid w:val="005404F2"/>
    <w:rsid w:val="00606D09"/>
    <w:rsid w:val="007C7787"/>
    <w:rsid w:val="00824B7C"/>
    <w:rsid w:val="0085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E51AD"/>
  <w14:defaultImageDpi w14:val="96"/>
  <w15:docId w15:val="{9EE858B8-F75B-46C2-9144-EED44546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lsdException w:name="toc 3" w:semiHidden="1" w:uiPriority="39"/>
    <w:lsdException w:name="toc 4" w:semiHidden="1"/>
    <w:lsdException w:name="toc 5" w:semiHidden="1" w:uiPriority="39"/>
    <w:lsdException w:name="toc 6" w:semiHidden="1" w:uiPriority="39"/>
    <w:lsdException w:name="toc 7" w:semiHidden="1" w:uiPriority="39"/>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pPr>
      <w:keepNext/>
      <w:spacing w:before="320" w:after="60"/>
      <w:outlineLvl w:val="1"/>
    </w:pPr>
    <w:rPr>
      <w:rFonts w:ascii="Arial" w:hAnsi="Arial" w:cs="Arial"/>
      <w:b/>
      <w:bCs/>
      <w:sz w:val="28"/>
      <w:szCs w:val="28"/>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spacing w:before="1220" w:after="100"/>
    </w:pPr>
    <w:rPr>
      <w:rFonts w:ascii="Arial" w:hAnsi="Arial" w:cs="Arial"/>
      <w:b/>
      <w:bCs/>
      <w:sz w:val="40"/>
      <w:szCs w:val="40"/>
    </w:rPr>
  </w:style>
  <w:style w:type="paragraph" w:customStyle="1" w:styleId="BillBasicHeading">
    <w:name w:val="BillBasicHeading"/>
    <w:basedOn w:val="BillBasic"/>
    <w:uiPriority w:val="99"/>
    <w:pPr>
      <w:keepNext/>
      <w:tabs>
        <w:tab w:val="left" w:pos="2600"/>
      </w:tabs>
      <w:jc w:val="left"/>
    </w:pPr>
    <w:rPr>
      <w:rFonts w:ascii="Arial" w:hAnsi="Arial" w:cs="Arial"/>
      <w:b/>
      <w:bCs/>
    </w:rPr>
  </w:style>
  <w:style w:type="paragraph" w:customStyle="1" w:styleId="BillName0">
    <w:name w:val="BillName"/>
    <w:basedOn w:val="BillBasicHeading"/>
    <w:uiPriority w:val="99"/>
    <w:pPr>
      <w:spacing w:before="1220" w:after="100"/>
    </w:pPr>
    <w:rPr>
      <w:b w:val="0"/>
      <w:bCs w:val="0"/>
      <w:sz w:val="40"/>
      <w:szCs w:val="40"/>
    </w:r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900"/>
        <w:tab w:val="left" w:pos="1100"/>
      </w:tabs>
      <w:ind w:left="1100" w:hanging="1100"/>
      <w:outlineLvl w:val="5"/>
    </w:pPr>
  </w:style>
  <w:style w:type="paragraph" w:customStyle="1" w:styleId="Amainreturn">
    <w:name w:val="A main return"/>
    <w:basedOn w:val="BillBasic"/>
    <w:uiPriority w:val="99"/>
    <w:pPr>
      <w:ind w:left="1100"/>
    </w:pPr>
  </w:style>
  <w:style w:type="paragraph" w:customStyle="1" w:styleId="Apara">
    <w:name w:val="A para"/>
    <w:basedOn w:val="BillBasic"/>
    <w:uiPriority w:val="99"/>
    <w:pPr>
      <w:tabs>
        <w:tab w:val="right" w:pos="1400"/>
        <w:tab w:val="left" w:pos="1600"/>
      </w:tabs>
      <w:ind w:left="1600" w:hanging="1600"/>
      <w:outlineLvl w:val="6"/>
    </w:pPr>
  </w:style>
  <w:style w:type="paragraph" w:customStyle="1" w:styleId="Asubpara">
    <w:name w:val="A subpara"/>
    <w:basedOn w:val="BillBasic"/>
    <w:uiPriority w:val="99"/>
    <w:pPr>
      <w:tabs>
        <w:tab w:val="right" w:pos="1900"/>
        <w:tab w:val="left" w:pos="2100"/>
      </w:tabs>
      <w:ind w:left="2100" w:hanging="2100"/>
      <w:outlineLvl w:val="7"/>
    </w:pPr>
  </w:style>
  <w:style w:type="paragraph" w:customStyle="1" w:styleId="Asubsubpara">
    <w:name w:val="A subsubpara"/>
    <w:basedOn w:val="BillBasic"/>
    <w:uiPriority w:val="99"/>
    <w:pPr>
      <w:tabs>
        <w:tab w:val="right" w:pos="2400"/>
        <w:tab w:val="left" w:pos="2600"/>
      </w:tabs>
      <w:ind w:left="2600" w:hanging="2600"/>
      <w:outlineLvl w:val="8"/>
    </w:pPr>
  </w:style>
  <w:style w:type="paragraph" w:customStyle="1" w:styleId="aDef">
    <w:name w:val="aDef"/>
    <w:basedOn w:val="BillBasic"/>
    <w:uiPriority w:val="99"/>
    <w:pPr>
      <w:ind w:left="1100"/>
    </w:pPr>
  </w:style>
  <w:style w:type="paragraph" w:customStyle="1" w:styleId="aExamHead">
    <w:name w:val="aExam Head"/>
    <w:basedOn w:val="BillBasicHeading"/>
    <w:next w:val="aExam"/>
    <w:uiPriority w:val="99"/>
    <w:pPr>
      <w:tabs>
        <w:tab w:val="clear" w:pos="2600"/>
      </w:tabs>
      <w:ind w:left="1100"/>
    </w:pPr>
    <w:rPr>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keepNext w:val="0"/>
      <w:spacing w:before="240"/>
      <w:jc w:val="both"/>
    </w:pPr>
  </w:style>
  <w:style w:type="paragraph" w:customStyle="1" w:styleId="N-TOCheading">
    <w:name w:val="N-TOCheading"/>
    <w:basedOn w:val="BillBasicHeading"/>
    <w:next w:val="N-9pt"/>
    <w:uiPriority w:val="99"/>
    <w:pPr>
      <w:keepNext w:val="0"/>
      <w:pBdr>
        <w:bottom w:val="single" w:sz="4" w:space="1" w:color="auto"/>
      </w:pBdr>
      <w:spacing w:before="800" w:after="20"/>
    </w:pPr>
    <w:rPr>
      <w:sz w:val="32"/>
      <w:szCs w:val="32"/>
    </w:rPr>
  </w:style>
  <w:style w:type="paragraph" w:customStyle="1" w:styleId="N-9pt">
    <w:name w:val="N-9pt"/>
    <w:basedOn w:val="BillBasic"/>
    <w:next w:val="BillBasic"/>
    <w:uiPriority w:val="99"/>
    <w:pPr>
      <w:tabs>
        <w:tab w:val="right" w:pos="7707"/>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EnactingWords">
    <w:name w:val="EnactingWords"/>
    <w:basedOn w:val="BillBasic"/>
    <w:uiPriority w:val="99"/>
    <w:pPr>
      <w:spacing w:before="60"/>
    </w:pPr>
  </w:style>
  <w:style w:type="paragraph" w:customStyle="1" w:styleId="Comment">
    <w:name w:val="Comment"/>
    <w:basedOn w:val="BillBasic"/>
    <w:uiPriority w:val="99"/>
    <w:pPr>
      <w:tabs>
        <w:tab w:val="left" w:pos="1800"/>
      </w:tabs>
      <w:ind w:left="1300"/>
      <w:jc w:val="left"/>
    </w:pPr>
    <w:rPr>
      <w:b/>
      <w:bCs/>
      <w:sz w:val="18"/>
      <w:szCs w:val="18"/>
    </w:rPr>
  </w:style>
  <w:style w:type="paragraph" w:customStyle="1" w:styleId="FooterInfo">
    <w:name w:val="FooterInfo"/>
    <w:basedOn w:val="Normal"/>
    <w:uiPriority w:val="99"/>
    <w:pPr>
      <w:tabs>
        <w:tab w:val="right" w:pos="7707"/>
      </w:tabs>
    </w:pPr>
    <w:rPr>
      <w:rFonts w:ascii="Arial" w:hAnsi="Arial" w:cs="Arial"/>
      <w:sz w:val="18"/>
      <w:szCs w:val="18"/>
    </w:rPr>
  </w:style>
  <w:style w:type="paragraph" w:customStyle="1" w:styleId="AH1Chapter">
    <w:name w:val="A H1 Chapter"/>
    <w:basedOn w:val="BillBasicHeading"/>
    <w:next w:val="AH2Part"/>
    <w:uiPriority w:val="99"/>
    <w:pPr>
      <w:spacing w:before="320"/>
      <w:ind w:left="2600" w:hanging="2600"/>
      <w:outlineLvl w:val="0"/>
    </w:pPr>
    <w:rPr>
      <w:sz w:val="34"/>
      <w:szCs w:val="34"/>
    </w:rPr>
  </w:style>
  <w:style w:type="paragraph" w:customStyle="1" w:styleId="AH2Part">
    <w:name w:val="A H2 Part"/>
    <w:basedOn w:val="BillBasicHeading"/>
    <w:next w:val="AH3Div"/>
    <w:uiPriority w:val="99"/>
    <w:pPr>
      <w:spacing w:before="320"/>
      <w:ind w:left="2600" w:hanging="2600"/>
      <w:outlineLvl w:val="1"/>
    </w:pPr>
    <w:rPr>
      <w:sz w:val="32"/>
      <w:szCs w:val="32"/>
    </w:rPr>
  </w:style>
  <w:style w:type="paragraph" w:customStyle="1" w:styleId="AH3Div">
    <w:name w:val="A H3 Div"/>
    <w:basedOn w:val="BillBasicHeading"/>
    <w:next w:val="AH5Sec"/>
    <w:uiPriority w:val="99"/>
    <w:pPr>
      <w:spacing w:before="180"/>
      <w:ind w:left="2600" w:hanging="2600"/>
      <w:outlineLvl w:val="2"/>
    </w:pPr>
    <w:rPr>
      <w:sz w:val="28"/>
      <w:szCs w:val="28"/>
    </w:rPr>
  </w:style>
  <w:style w:type="paragraph" w:customStyle="1" w:styleId="AH5Sec">
    <w:name w:val="A H5 Sec"/>
    <w:basedOn w:val="BillBasicHeading"/>
    <w:next w:val="Amain"/>
    <w:uiPriority w:val="99"/>
    <w:pPr>
      <w:tabs>
        <w:tab w:val="clear" w:pos="2600"/>
        <w:tab w:val="left" w:pos="1100"/>
      </w:tabs>
      <w:spacing w:before="180"/>
      <w:ind w:left="1100" w:hanging="1100"/>
      <w:outlineLvl w:val="4"/>
    </w:pPr>
  </w:style>
  <w:style w:type="paragraph" w:customStyle="1" w:styleId="AH4SubDiv">
    <w:name w:val="A H4 SubDiv"/>
    <w:basedOn w:val="BillBasicHeading"/>
    <w:next w:val="AH5Sec"/>
    <w:uiPriority w:val="99"/>
    <w:pPr>
      <w:spacing w:before="180"/>
      <w:ind w:left="2600" w:hanging="2600"/>
      <w:outlineLvl w:val="3"/>
    </w:pPr>
    <w:rPr>
      <w:sz w:val="26"/>
      <w:szCs w:val="26"/>
    </w:rPr>
  </w:style>
  <w:style w:type="paragraph" w:customStyle="1" w:styleId="Sched-heading">
    <w:name w:val="Sched-heading"/>
    <w:basedOn w:val="BillBasicHeading"/>
    <w:next w:val="ref"/>
    <w:uiPriority w:val="99"/>
    <w:pPr>
      <w:spacing w:before="320"/>
      <w:ind w:left="2600" w:hanging="2600"/>
      <w:outlineLvl w:val="0"/>
    </w:pPr>
    <w:rPr>
      <w:sz w:val="34"/>
      <w:szCs w:val="34"/>
    </w:rPr>
  </w:style>
  <w:style w:type="paragraph" w:customStyle="1" w:styleId="ref">
    <w:name w:val="ref"/>
    <w:basedOn w:val="BillBasic"/>
    <w:next w:val="Normal"/>
    <w:uiPriority w:val="99"/>
    <w:pPr>
      <w:spacing w:before="0"/>
    </w:pPr>
    <w:rPr>
      <w:sz w:val="18"/>
      <w:szCs w:val="18"/>
    </w:rPr>
  </w:style>
  <w:style w:type="paragraph" w:customStyle="1" w:styleId="Sched-Part">
    <w:name w:val="Sched-Part"/>
    <w:basedOn w:val="BillBasicHeading"/>
    <w:next w:val="Sched-Form"/>
    <w:uiPriority w:val="99"/>
    <w:pPr>
      <w:spacing w:before="320"/>
      <w:ind w:left="2600" w:hanging="2600"/>
      <w:outlineLvl w:val="1"/>
    </w:pPr>
    <w:rPr>
      <w:sz w:val="32"/>
      <w:szCs w:val="32"/>
    </w:rPr>
  </w:style>
  <w:style w:type="paragraph" w:customStyle="1" w:styleId="ShadedSchClause">
    <w:name w:val="Shaded Sch Clause"/>
    <w:basedOn w:val="Schclauseheading"/>
    <w:next w:val="direction"/>
    <w:uiPriority w:val="99"/>
    <w:pPr>
      <w:shd w:val="pct25" w:color="auto" w:fill="auto"/>
      <w:outlineLvl w:val="3"/>
    </w:pPr>
  </w:style>
  <w:style w:type="paragraph" w:customStyle="1" w:styleId="Schclauseheading">
    <w:name w:val="Sch clause heading"/>
    <w:basedOn w:val="BillBasic"/>
    <w:next w:val="Amain"/>
    <w:uiPriority w:val="99"/>
    <w:pPr>
      <w:keepNext/>
      <w:tabs>
        <w:tab w:val="left" w:pos="1100"/>
      </w:tabs>
      <w:spacing w:before="160" w:after="0"/>
      <w:ind w:left="1100" w:hanging="1100"/>
      <w:jc w:val="left"/>
      <w:outlineLvl w:val="4"/>
    </w:pPr>
    <w:rPr>
      <w:rFonts w:ascii="Arial" w:hAnsi="Arial" w:cs="Arial"/>
      <w:b/>
      <w:bCs/>
    </w:rPr>
  </w:style>
  <w:style w:type="paragraph" w:customStyle="1" w:styleId="direction">
    <w:name w:val="direction"/>
    <w:basedOn w:val="BillBasic"/>
    <w:next w:val="Amainreturn"/>
    <w:uiPriority w:val="99"/>
    <w:pPr>
      <w:ind w:left="1100"/>
    </w:pPr>
    <w:rPr>
      <w:i/>
      <w:iCs/>
    </w:rPr>
  </w:style>
  <w:style w:type="paragraph" w:customStyle="1" w:styleId="Sched-Form">
    <w:name w:val="Sched-Form"/>
    <w:basedOn w:val="BillBasicHeading"/>
    <w:next w:val="Schclauseheading"/>
    <w:uiPriority w:val="99"/>
    <w:pPr>
      <w:tabs>
        <w:tab w:val="right" w:pos="7200"/>
      </w:tabs>
      <w:spacing w:before="180"/>
      <w:ind w:left="2600" w:hanging="2600"/>
      <w:outlineLvl w:val="2"/>
    </w:pPr>
    <w:rPr>
      <w:sz w:val="28"/>
      <w:szCs w:val="28"/>
    </w:rPr>
  </w:style>
  <w:style w:type="paragraph" w:customStyle="1" w:styleId="Dict-Heading">
    <w:name w:val="Dict-Heading"/>
    <w:basedOn w:val="BillBasicHeading"/>
    <w:next w:val="Normal"/>
    <w:uiPriority w:val="99"/>
    <w:pPr>
      <w:spacing w:before="320"/>
      <w:ind w:left="2600" w:hanging="2600"/>
      <w:jc w:val="both"/>
      <w:outlineLvl w:val="0"/>
    </w:pPr>
    <w:rPr>
      <w:sz w:val="34"/>
      <w:szCs w:val="34"/>
    </w:rPr>
  </w:style>
  <w:style w:type="paragraph" w:customStyle="1" w:styleId="Endnote1">
    <w:name w:val="Endnote 1"/>
    <w:basedOn w:val="BillBasic"/>
    <w:uiPriority w:val="99"/>
    <w:pPr>
      <w:keepNext/>
      <w:spacing w:before="0" w:after="160"/>
      <w:jc w:val="left"/>
    </w:pPr>
    <w:rPr>
      <w:rFonts w:ascii="Arial" w:hAnsi="Arial" w:cs="Arial"/>
      <w:b/>
      <w:bCs/>
    </w:rPr>
  </w:style>
  <w:style w:type="paragraph" w:customStyle="1" w:styleId="Endnote10">
    <w:name w:val="Endnote1"/>
    <w:basedOn w:val="BillBasic"/>
    <w:next w:val="Normal"/>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Normal"/>
    <w:uiPriority w:val="99"/>
    <w:pPr>
      <w:spacing w:before="320"/>
      <w:ind w:left="2600" w:hanging="2600"/>
    </w:pPr>
    <w:rPr>
      <w:sz w:val="34"/>
      <w:szCs w:val="34"/>
    </w:rPr>
  </w:style>
  <w:style w:type="paragraph" w:customStyle="1" w:styleId="IH2Part">
    <w:name w:val="I H2 Part"/>
    <w:basedOn w:val="BillBasicHeading"/>
    <w:next w:val="Normal"/>
    <w:uiPriority w:val="99"/>
    <w:pPr>
      <w:spacing w:before="320"/>
      <w:ind w:left="2600" w:hanging="2600"/>
    </w:pPr>
    <w:rPr>
      <w:sz w:val="32"/>
      <w:szCs w:val="32"/>
    </w:rPr>
  </w:style>
  <w:style w:type="paragraph" w:customStyle="1" w:styleId="IH3Div">
    <w:name w:val="I H3 Div"/>
    <w:basedOn w:val="BillBasicHeading"/>
    <w:next w:val="Normal"/>
    <w:uiPriority w:val="99"/>
    <w:pPr>
      <w:spacing w:before="180"/>
      <w:ind w:left="2600" w:hanging="2600"/>
    </w:pPr>
    <w:rPr>
      <w:sz w:val="28"/>
      <w:szCs w:val="28"/>
    </w:rPr>
  </w:style>
  <w:style w:type="paragraph" w:customStyle="1" w:styleId="IH5Sec">
    <w:name w:val="I H5 Sec"/>
    <w:basedOn w:val="BillBasicHeading"/>
    <w:next w:val="Normal"/>
    <w:uiPriority w:val="99"/>
    <w:pPr>
      <w:tabs>
        <w:tab w:val="clear" w:pos="2600"/>
        <w:tab w:val="left" w:pos="1100"/>
      </w:tabs>
      <w:spacing w:before="180"/>
      <w:ind w:left="1100" w:hanging="1100"/>
    </w:pPr>
  </w:style>
  <w:style w:type="paragraph" w:customStyle="1" w:styleId="IMain">
    <w:name w:val="I Main"/>
    <w:basedOn w:val="Amain"/>
    <w:uiPriority w:val="99"/>
  </w:style>
  <w:style w:type="paragraph" w:customStyle="1" w:styleId="IH4SubDiv">
    <w:name w:val="I H4 SubDiv"/>
    <w:basedOn w:val="BillBasicHeading"/>
    <w:next w:val="Normal"/>
    <w:uiPriority w:val="99"/>
    <w:pPr>
      <w:spacing w:before="180"/>
      <w:ind w:left="2600" w:hanging="2600"/>
      <w:jc w:val="both"/>
    </w:pPr>
    <w:rPr>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keepNext w:val="0"/>
      <w:tabs>
        <w:tab w:val="clear" w:pos="2600"/>
        <w:tab w:val="left" w:pos="1100"/>
      </w:tabs>
      <w:spacing w:before="160" w:after="160"/>
      <w:ind w:left="1100" w:hanging="1100"/>
      <w:jc w:val="both"/>
    </w:pPr>
  </w:style>
  <w:style w:type="paragraph" w:customStyle="1" w:styleId="EndNoteHeading">
    <w:name w:val="EndNoteHeading"/>
    <w:basedOn w:val="BillBasicHeading"/>
    <w:uiPriority w:val="99"/>
    <w:pPr>
      <w:tabs>
        <w:tab w:val="left" w:pos="700"/>
      </w:tabs>
      <w:spacing w:before="160" w:after="160"/>
      <w:ind w:left="700" w:hanging="700"/>
    </w:pPr>
    <w:rPr>
      <w:rFonts w:ascii="Arial (W1)" w:hAnsi="Arial (W1)" w:cs="Arial (W1)"/>
    </w:rPr>
  </w:style>
  <w:style w:type="paragraph" w:customStyle="1" w:styleId="PenaltyHeading">
    <w:name w:val="PenaltyHeading"/>
    <w:basedOn w:val="Normal"/>
    <w:uiPriority w:val="99"/>
    <w:pPr>
      <w:tabs>
        <w:tab w:val="left" w:pos="1100"/>
      </w:tabs>
      <w:spacing w:before="120"/>
      <w:ind w:left="1100" w:hanging="11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Normal"/>
    <w:uiPriority w:val="99"/>
    <w:pPr>
      <w:spacing w:before="320"/>
      <w:ind w:left="2600" w:hanging="2600"/>
    </w:pPr>
    <w:rPr>
      <w:sz w:val="34"/>
      <w:szCs w:val="34"/>
    </w:rPr>
  </w:style>
  <w:style w:type="paragraph" w:customStyle="1" w:styleId="ISched-Part">
    <w:name w:val="I Sched-Part"/>
    <w:basedOn w:val="BillBasicHeading"/>
    <w:uiPriority w:val="99"/>
    <w:pPr>
      <w:spacing w:before="320"/>
      <w:ind w:left="2600" w:hanging="2600"/>
    </w:pPr>
    <w:rPr>
      <w:sz w:val="32"/>
      <w:szCs w:val="32"/>
    </w:rPr>
  </w:style>
  <w:style w:type="paragraph" w:customStyle="1" w:styleId="ISched-form">
    <w:name w:val="I Sched-form"/>
    <w:basedOn w:val="BillBasicHeading"/>
    <w:uiPriority w:val="99"/>
    <w:pPr>
      <w:tabs>
        <w:tab w:val="right" w:pos="7200"/>
      </w:tabs>
      <w:spacing w:before="180"/>
      <w:ind w:left="2600" w:hanging="2600"/>
    </w:pPr>
    <w:rPr>
      <w:sz w:val="28"/>
      <w:szCs w:val="28"/>
    </w:rPr>
  </w:style>
  <w:style w:type="paragraph" w:customStyle="1" w:styleId="ISchclauseheading">
    <w:name w:val="I Sch clause heading"/>
    <w:basedOn w:val="BillBasic"/>
    <w:uiPriority w:val="99"/>
    <w:pPr>
      <w:keepNext/>
      <w:tabs>
        <w:tab w:val="left" w:pos="1100"/>
      </w:tabs>
      <w:spacing w:before="160" w:after="0"/>
      <w:ind w:left="1100" w:hanging="1100"/>
      <w:jc w:val="left"/>
    </w:pPr>
    <w:rPr>
      <w:rFonts w:ascii="Arial" w:hAnsi="Arial" w:cs="Arial"/>
      <w:b/>
      <w:bCs/>
    </w:rPr>
  </w:style>
  <w:style w:type="paragraph" w:customStyle="1" w:styleId="Ipara">
    <w:name w:val="I para"/>
    <w:basedOn w:val="Apara"/>
    <w:uiPriority w:val="99"/>
    <w:pPr>
      <w:outlineLvl w:val="9"/>
    </w:pPr>
  </w:style>
  <w:style w:type="paragraph" w:customStyle="1" w:styleId="Isubpara">
    <w:name w:val="I subpara"/>
    <w:basedOn w:val="Asubpara"/>
    <w:uiPriority w:val="99"/>
    <w:pPr>
      <w:tabs>
        <w:tab w:val="clear" w:pos="1900"/>
        <w:tab w:val="clear" w:pos="2100"/>
        <w:tab w:val="right" w:pos="1940"/>
        <w:tab w:val="left" w:pos="2140"/>
      </w:tabs>
      <w:ind w:left="2140" w:hanging="2140"/>
      <w:outlineLvl w:val="9"/>
    </w:pPr>
  </w:style>
  <w:style w:type="paragraph" w:customStyle="1" w:styleId="Isubsubpara">
    <w:name w:val="I subsubpara"/>
    <w:basedOn w:val="Asubsubpara"/>
    <w:uiPriority w:val="99"/>
    <w:pPr>
      <w:tabs>
        <w:tab w:val="clear" w:pos="2400"/>
        <w:tab w:val="clear" w:pos="2600"/>
        <w:tab w:val="right" w:pos="2460"/>
        <w:tab w:val="left" w:pos="2660"/>
      </w:tabs>
      <w:ind w:left="2660" w:hanging="2660"/>
    </w:pPr>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99"/>
    <w:pPr>
      <w:keepNext/>
      <w:tabs>
        <w:tab w:val="left" w:pos="1800"/>
        <w:tab w:val="right" w:pos="7672"/>
      </w:tabs>
      <w:spacing w:before="480" w:after="20"/>
      <w:ind w:left="1800" w:right="360" w:hanging="1800"/>
    </w:pPr>
    <w:rPr>
      <w:rFonts w:ascii="Arial" w:hAnsi="Arial" w:cs="Arial"/>
      <w:b/>
      <w:bCs/>
      <w:noProof/>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uiPriority w:val="9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cs="Arial"/>
      <w:noProof/>
      <w:sz w:val="20"/>
      <w:szCs w:val="20"/>
    </w:rPr>
  </w:style>
  <w:style w:type="paragraph" w:styleId="TOC6">
    <w:name w:val="toc 6"/>
    <w:basedOn w:val="TOC1"/>
    <w:next w:val="Normal"/>
    <w:autoRedefine/>
    <w:uiPriority w:val="39"/>
  </w:style>
  <w:style w:type="paragraph" w:customStyle="1" w:styleId="Instruction">
    <w:name w:val="Instruction"/>
    <w:basedOn w:val="BillBasic"/>
    <w:uiPriority w:val="99"/>
    <w:pPr>
      <w:ind w:left="700"/>
    </w:pPr>
    <w:rPr>
      <w:i/>
      <w:iC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keepNext w:val="0"/>
      <w:tabs>
        <w:tab w:val="clear" w:pos="2600"/>
      </w:tabs>
      <w:spacing w:before="120"/>
    </w:pPr>
  </w:style>
  <w:style w:type="paragraph" w:customStyle="1" w:styleId="aParaNote">
    <w:name w:val="aParaNote"/>
    <w:basedOn w:val="BillBasic"/>
    <w:uiPriority w:val="99"/>
    <w:pPr>
      <w:ind w:left="2840" w:hanging="1240"/>
    </w:pPr>
    <w:rPr>
      <w:sz w:val="20"/>
      <w:szCs w:val="20"/>
    </w:rPr>
  </w:style>
  <w:style w:type="paragraph" w:customStyle="1" w:styleId="aExamNum">
    <w:name w:val="aExamNum"/>
    <w:basedOn w:val="aExam"/>
    <w:uiPriority w:val="99"/>
    <w:pPr>
      <w:ind w:left="1500" w:hanging="400"/>
    </w:pPr>
  </w:style>
  <w:style w:type="paragraph" w:customStyle="1" w:styleId="Test">
    <w:name w:val="Test"/>
    <w:basedOn w:val="Amain"/>
    <w:uiPriority w:val="99"/>
    <w:pPr>
      <w:ind w:left="0" w:firstLine="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right" w:pos="61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Sched-name">
    <w:name w:val="Sched-name"/>
    <w:basedOn w:val="Normal"/>
    <w:uiPriority w:val="99"/>
    <w:pPr>
      <w:keepNext/>
      <w:tabs>
        <w:tab w:val="center" w:pos="3600"/>
        <w:tab w:val="right" w:pos="7200"/>
      </w:tabs>
      <w:spacing w:before="160" w:after="60"/>
      <w:outlineLvl w:val="1"/>
    </w:pPr>
    <w:rPr>
      <w:rFonts w:ascii="Times" w:hAnsi="Times" w:cs="Times"/>
      <w:caps/>
    </w:rPr>
  </w:style>
  <w:style w:type="paragraph" w:customStyle="1" w:styleId="EnactingWordsRules">
    <w:name w:val="EnactingWordsRules"/>
    <w:basedOn w:val="EnactingWords"/>
    <w:uiPriority w:val="99"/>
    <w:pPr>
      <w:spacing w:before="240"/>
    </w:pPr>
  </w:style>
  <w:style w:type="paragraph" w:styleId="TOC7">
    <w:name w:val="toc 7"/>
    <w:basedOn w:val="TOC2"/>
    <w:next w:val="Normal"/>
    <w:autoRedefine/>
    <w:uiPriority w:val="39"/>
    <w:pPr>
      <w:keepNext w:val="0"/>
      <w:spacing w:before="120"/>
    </w:pPr>
    <w:rPr>
      <w:sz w:val="20"/>
      <w:szCs w:val="20"/>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customStyle="1" w:styleId="LongTitle">
    <w:name w:val="LongTitle"/>
    <w:basedOn w:val="BillBasic"/>
    <w:uiPriority w:val="99"/>
    <w:pPr>
      <w:spacing w:before="240"/>
    </w:pPr>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00"/>
    </w:pPr>
  </w:style>
  <w:style w:type="paragraph" w:customStyle="1" w:styleId="CommentNum">
    <w:name w:val="CommentNum"/>
    <w:basedOn w:val="Comment"/>
    <w:uiPriority w:val="99"/>
    <w:pPr>
      <w:ind w:left="1800" w:hanging="1800"/>
    </w:pPr>
  </w:style>
  <w:style w:type="paragraph" w:styleId="TOC8">
    <w:name w:val="toc 8"/>
    <w:basedOn w:val="TOC3"/>
    <w:next w:val="Normal"/>
    <w:autoRedefine/>
    <w:uiPriority w:val="9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keepNext w:val="0"/>
      <w:spacing w:before="320"/>
      <w:jc w:val="both"/>
    </w:pPr>
    <w:rPr>
      <w:sz w:val="28"/>
      <w:szCs w:val="28"/>
    </w:rPr>
  </w:style>
  <w:style w:type="paragraph" w:customStyle="1" w:styleId="draft">
    <w:name w:val="draft"/>
    <w:basedOn w:val="Normal"/>
    <w:uiPriority w:val="99"/>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500" w:hanging="400"/>
    </w:pPr>
  </w:style>
  <w:style w:type="paragraph" w:customStyle="1" w:styleId="Aparabullet">
    <w:name w:val="A para bullet"/>
    <w:basedOn w:val="BillBasic"/>
    <w:uiPriority w:val="99"/>
    <w:pPr>
      <w:spacing w:before="0" w:after="40"/>
      <w:ind w:left="2000" w:hanging="400"/>
    </w:pPr>
  </w:style>
  <w:style w:type="paragraph" w:customStyle="1" w:styleId="Asubparabullet">
    <w:name w:val="A subpara bullet"/>
    <w:basedOn w:val="BillBasic"/>
    <w:uiPriority w:val="99"/>
    <w:pPr>
      <w:spacing w:before="0" w:after="40"/>
      <w:ind w:left="2540" w:hanging="40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spacing w:before="320"/>
      <w:ind w:left="2600" w:hanging="2600"/>
      <w:jc w:val="both"/>
    </w:pPr>
    <w:rPr>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2200"/>
      </w:tabs>
      <w:spacing w:before="0" w:after="40"/>
      <w:ind w:left="2600" w:hanging="700"/>
    </w:pPr>
  </w:style>
  <w:style w:type="paragraph" w:customStyle="1" w:styleId="aParaNoteBullet">
    <w:name w:val="aParaNoteBullet"/>
    <w:basedOn w:val="aParaNote"/>
    <w:uiPriority w:val="99"/>
    <w:pPr>
      <w:tabs>
        <w:tab w:val="left" w:pos="2700"/>
      </w:tabs>
      <w:spacing w:before="0" w:after="40"/>
      <w:ind w:left="3100" w:hanging="7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720"/>
        <w:tab w:val="left" w:pos="2000"/>
        <w:tab w:val="left" w:pos="2300"/>
      </w:tabs>
      <w:ind w:left="2400" w:hanging="130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left" w:pos="1500"/>
        <w:tab w:val="left" w:pos="2300"/>
      </w:tabs>
      <w:spacing w:before="40"/>
      <w:ind w:left="1900" w:hanging="800"/>
    </w:pPr>
  </w:style>
  <w:style w:type="paragraph" w:customStyle="1" w:styleId="aNotePara">
    <w:name w:val="aNotePara"/>
    <w:basedOn w:val="aNote"/>
    <w:uiPriority w:val="99"/>
    <w:pPr>
      <w:tabs>
        <w:tab w:val="right" w:pos="2140"/>
        <w:tab w:val="left" w:pos="2400"/>
      </w:tabs>
      <w:spacing w:before="0" w:after="40"/>
      <w:ind w:left="2800" w:hanging="1700"/>
    </w:pPr>
  </w:style>
  <w:style w:type="paragraph" w:customStyle="1" w:styleId="aExplanHeading">
    <w:name w:val="aExplanHeading"/>
    <w:basedOn w:val="BillBasicHeading"/>
    <w:next w:val="Normal"/>
    <w:uiPriority w:val="99"/>
    <w:rPr>
      <w:rFonts w:ascii="Arial (W1)" w:hAnsi="Arial (W1)" w:cs="Arial (W1)"/>
      <w:sz w:val="18"/>
      <w:szCs w:val="18"/>
    </w:rPr>
  </w:style>
  <w:style w:type="paragraph" w:customStyle="1" w:styleId="aParaNotePara">
    <w:name w:val="aParaNotePara"/>
    <w:basedOn w:val="aNotePara"/>
    <w:uiPriority w:val="99"/>
    <w:pPr>
      <w:tabs>
        <w:tab w:val="clear" w:pos="2140"/>
        <w:tab w:val="clear" w:pos="2400"/>
        <w:tab w:val="right" w:pos="2644"/>
      </w:tabs>
      <w:ind w:left="3320" w:hanging="1720"/>
    </w:pPr>
  </w:style>
  <w:style w:type="paragraph" w:customStyle="1" w:styleId="aExplanText">
    <w:name w:val="aExplanText"/>
    <w:basedOn w:val="BillBasic"/>
    <w:uiPriority w:val="99"/>
    <w:rPr>
      <w:sz w:val="20"/>
      <w:szCs w:val="20"/>
    </w:r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styleId="TOC9">
    <w:name w:val="toc 9"/>
    <w:basedOn w:val="Normal"/>
    <w:next w:val="Normal"/>
    <w:autoRedefine/>
    <w:uiPriority w:val="99"/>
    <w:pPr>
      <w:ind w:left="1920" w:right="600"/>
    </w:p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clear" w:pos="2600"/>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keepNext w:val="0"/>
      <w:spacing w:before="600"/>
      <w:jc w:val="both"/>
    </w:pPr>
    <w:rPr>
      <w:sz w:val="26"/>
      <w:szCs w:val="26"/>
    </w:rPr>
  </w:style>
  <w:style w:type="paragraph" w:customStyle="1" w:styleId="NewAct">
    <w:name w:val="New Act"/>
    <w:basedOn w:val="Normal"/>
    <w:next w:val="Actdetails"/>
    <w:uiPriority w:val="99"/>
    <w:pPr>
      <w:keepNext/>
      <w:spacing w:before="180"/>
      <w:ind w:left="1100"/>
    </w:pPr>
    <w:rPr>
      <w:rFonts w:ascii="Arial" w:hAnsi="Arial" w:cs="Arial"/>
      <w:b/>
      <w:bCs/>
      <w:sz w:val="20"/>
      <w:szCs w:val="20"/>
    </w:rPr>
  </w:style>
  <w:style w:type="paragraph" w:customStyle="1" w:styleId="CoverInForce">
    <w:name w:val="CoverInForce"/>
    <w:basedOn w:val="BillBasicHeading"/>
    <w:uiPriority w:val="99"/>
    <w:pPr>
      <w:keepNext w:val="0"/>
      <w:spacing w:before="200"/>
    </w:pPr>
    <w:rPr>
      <w:rFonts w:ascii="Arial (W1)" w:hAnsi="Arial (W1)" w:cs="Arial (W1)"/>
      <w:b w:val="0"/>
      <w:bCs w:val="0"/>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keepNext w:val="0"/>
      <w:spacing w:before="200"/>
    </w:p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Endnote20">
    <w:name w:val="Endnote2"/>
    <w:basedOn w:val="Normal"/>
    <w:uiPriority w:val="99"/>
    <w:pPr>
      <w:keepNext/>
      <w:tabs>
        <w:tab w:val="left" w:pos="1100"/>
      </w:tabs>
      <w:spacing w:before="320" w:after="60"/>
    </w:pPr>
    <w:rPr>
      <w:rFonts w:ascii="Arial" w:hAnsi="Arial" w:cs="Arial"/>
      <w:b/>
      <w:bCs/>
    </w:rPr>
  </w:style>
  <w:style w:type="paragraph" w:customStyle="1" w:styleId="Actdetails">
    <w:name w:val="Act details"/>
    <w:basedOn w:val="Normal"/>
    <w:uiPriority w:val="99"/>
    <w:pPr>
      <w:spacing w:before="20"/>
      <w:ind w:left="1400"/>
    </w:pPr>
    <w:rPr>
      <w:rFonts w:ascii="Arial" w:hAnsi="Arial" w:cs="Arial"/>
      <w:sz w:val="20"/>
      <w:szCs w:val="20"/>
    </w:rPr>
  </w:style>
  <w:style w:type="paragraph" w:customStyle="1" w:styleId="Asamby">
    <w:name w:val="As am by"/>
    <w:basedOn w:val="Normal"/>
    <w:next w:val="Normal"/>
    <w:uiPriority w:val="99"/>
    <w:pPr>
      <w:spacing w:before="240"/>
      <w:ind w:left="1100"/>
    </w:pPr>
    <w:rPr>
      <w:rFonts w:ascii="Arial" w:hAnsi="Arial" w:cs="Arial"/>
      <w:sz w:val="20"/>
      <w:szCs w:val="20"/>
    </w:rPr>
  </w:style>
  <w:style w:type="paragraph" w:customStyle="1" w:styleId="AmdtsEntries">
    <w:name w:val="AmdtsEntries"/>
    <w:basedOn w:val="BillBasicHeading"/>
    <w:uiPriority w:val="99"/>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tabs>
        <w:tab w:val="clear" w:pos="2600"/>
      </w:tabs>
      <w:spacing w:before="120" w:after="0"/>
      <w:ind w:left="1100"/>
    </w:pPr>
    <w:rPr>
      <w:sz w:val="18"/>
      <w:szCs w:val="18"/>
    </w:rPr>
  </w:style>
  <w:style w:type="paragraph" w:customStyle="1" w:styleId="EndNoteParas">
    <w:name w:val="EndNoteParas"/>
    <w:basedOn w:val="EndNoteTextEPS"/>
    <w:uiPriority w:val="99"/>
    <w:pPr>
      <w:tabs>
        <w:tab w:val="right" w:pos="1432"/>
      </w:tabs>
      <w:spacing w:after="0"/>
      <w:ind w:left="1840" w:hanging="1840"/>
    </w:p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EndNoteTextEPS">
    <w:name w:val="EndNoteTextEPS"/>
    <w:basedOn w:val="Normal"/>
    <w:uiPriority w:val="99"/>
    <w:pPr>
      <w:spacing w:after="40"/>
      <w:ind w:left="1100"/>
      <w:jc w:val="both"/>
    </w:pPr>
    <w:rPr>
      <w:sz w:val="20"/>
      <w:szCs w:val="20"/>
    </w:rPr>
  </w:style>
  <w:style w:type="paragraph" w:customStyle="1" w:styleId="TLegEntries">
    <w:name w:val="TLegEntries"/>
    <w:basedOn w:val="Normal"/>
    <w:uiPriority w:val="99"/>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after="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pPr>
      <w:tabs>
        <w:tab w:val="right" w:pos="600"/>
        <w:tab w:val="left" w:pos="840"/>
      </w:tabs>
      <w:ind w:left="840" w:hanging="840"/>
    </w:pPr>
  </w:style>
  <w:style w:type="paragraph" w:customStyle="1" w:styleId="AH5SecSymb">
    <w:name w:val="A H5 Sec Symb"/>
    <w:basedOn w:val="AH5Sec"/>
    <w:next w:val="Amain"/>
    <w:uiPriority w:val="99"/>
    <w:pPr>
      <w:tabs>
        <w:tab w:val="clear" w:pos="1100"/>
        <w:tab w:val="left" w:pos="0"/>
      </w:tabs>
      <w:ind w:hanging="158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next w:val="AH5Sec"/>
    <w:uiPriority w:val="99"/>
    <w:pPr>
      <w:tabs>
        <w:tab w:val="clear" w:pos="2600"/>
        <w:tab w:val="left" w:pos="0"/>
      </w:tabs>
      <w:ind w:left="2480" w:hanging="2960"/>
    </w:pPr>
  </w:style>
  <w:style w:type="paragraph" w:customStyle="1" w:styleId="AH4SubDivSymb">
    <w:name w:val="A H4 SubDiv Symb"/>
    <w:basedOn w:val="AH4SubDiv"/>
    <w:next w:val="AH5Sec"/>
    <w:uiPriority w:val="99"/>
    <w:pPr>
      <w:tabs>
        <w:tab w:val="clear" w:pos="2600"/>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980" w:hanging="14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Billcrest0">
    <w:name w:val="Billcrest"/>
    <w:basedOn w:val="Normal"/>
    <w:uiPriority w:val="99"/>
    <w:pPr>
      <w:spacing w:after="60"/>
      <w:ind w:left="2800"/>
    </w:pPr>
    <w:rPr>
      <w:rFonts w:ascii="ACTCrest" w:hAnsi="ACTCrest" w:cs="ACTCrest"/>
      <w:sz w:val="216"/>
      <w:szCs w:val="216"/>
    </w:rPr>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uiPriority w:val="99"/>
    <w:pPr>
      <w:tabs>
        <w:tab w:val="left" w:pos="3000"/>
      </w:tabs>
      <w:ind w:left="3100" w:hanging="2000"/>
    </w:pPr>
    <w:rPr>
      <w:rFonts w:ascii="Arial (W1)" w:hAnsi="Arial (W1)" w:cs="Arial (W1)"/>
      <w:b w:val="0"/>
      <w:bCs w:val="0"/>
    </w:rPr>
  </w:style>
  <w:style w:type="paragraph" w:customStyle="1" w:styleId="NewActorRegnote">
    <w:name w:val="New Act or Reg note"/>
    <w:basedOn w:val="NewAct"/>
    <w:uiPriority w:val="99"/>
    <w:pPr>
      <w:spacing w:before="60"/>
      <w:ind w:left="600"/>
    </w:pPr>
    <w:rPr>
      <w:b w:val="0"/>
      <w:bCs w:val="0"/>
      <w:sz w:val="18"/>
      <w:szCs w:val="18"/>
    </w:rPr>
  </w:style>
  <w:style w:type="paragraph" w:customStyle="1" w:styleId="PrincipalActdetails">
    <w:name w:val="Principal Act details"/>
    <w:basedOn w:val="Actdetails"/>
    <w:uiPriority w:val="99"/>
    <w:pPr>
      <w:ind w:left="600"/>
    </w:pPr>
    <w:rPr>
      <w:sz w:val="18"/>
      <w:szCs w:val="18"/>
    </w:rPr>
  </w:style>
  <w:style w:type="paragraph" w:customStyle="1" w:styleId="PenaltyPara">
    <w:name w:val="PenaltyPara"/>
    <w:basedOn w:val="Normal"/>
    <w:uiPriority w:val="99"/>
    <w:pPr>
      <w:tabs>
        <w:tab w:val="right" w:pos="1360"/>
      </w:tabs>
      <w:spacing w:after="40"/>
      <w:ind w:left="1600" w:hanging="1600"/>
      <w:jc w:val="both"/>
    </w:pPr>
  </w:style>
  <w:style w:type="paragraph" w:customStyle="1" w:styleId="06Copyright">
    <w:name w:val="06Copyright"/>
    <w:basedOn w:val="Normal"/>
    <w:uiPriority w:val="99"/>
  </w:style>
  <w:style w:type="paragraph" w:customStyle="1" w:styleId="AFHdg">
    <w:name w:val="AFHdg"/>
    <w:basedOn w:val="BillBasicHeading"/>
    <w:uiPriority w:val="99"/>
    <w:rPr>
      <w:b w:val="0"/>
      <w:bCs w:val="0"/>
      <w:sz w:val="32"/>
      <w:szCs w:val="32"/>
    </w:rPr>
  </w:style>
  <w:style w:type="paragraph" w:customStyle="1" w:styleId="LegHistNote">
    <w:name w:val="LegHistNote"/>
    <w:basedOn w:val="Actdetails"/>
    <w:uiPriority w:val="99"/>
    <w:pPr>
      <w:spacing w:before="60"/>
      <w:ind w:left="2700" w:right="-6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H5Sec">
    <w:name w:val="Mod H5 Sec"/>
    <w:basedOn w:val="IH5Sec"/>
    <w:uiPriority w:val="99"/>
    <w:pPr>
      <w:tabs>
        <w:tab w:val="clear" w:pos="1100"/>
        <w:tab w:val="left" w:pos="1800"/>
      </w:tabs>
      <w:ind w:left="2200"/>
    </w:pPr>
  </w:style>
  <w:style w:type="paragraph" w:customStyle="1" w:styleId="Modmain">
    <w:name w:val="Mod main"/>
    <w:basedOn w:val="Amain"/>
    <w:uiPriority w:val="99"/>
    <w:pPr>
      <w:tabs>
        <w:tab w:val="clear" w:pos="900"/>
        <w:tab w:val="clear" w:pos="1100"/>
        <w:tab w:val="right" w:pos="1600"/>
        <w:tab w:val="left" w:pos="1800"/>
      </w:tabs>
      <w:ind w:left="2200"/>
    </w:pPr>
  </w:style>
  <w:style w:type="paragraph" w:customStyle="1" w:styleId="Modpara">
    <w:name w:val="Mod para"/>
    <w:basedOn w:val="BillBasic"/>
    <w:uiPriority w:val="99"/>
    <w:pPr>
      <w:tabs>
        <w:tab w:val="right" w:pos="2100"/>
        <w:tab w:val="left" w:pos="2300"/>
      </w:tabs>
      <w:ind w:left="2700" w:hanging="1600"/>
      <w:outlineLvl w:val="6"/>
    </w:pPr>
  </w:style>
  <w:style w:type="paragraph" w:customStyle="1" w:styleId="Modsubpara">
    <w:name w:val="Mod subpara"/>
    <w:basedOn w:val="Asubpara"/>
    <w:uiPriority w:val="99"/>
    <w:pPr>
      <w:tabs>
        <w:tab w:val="clear" w:pos="1900"/>
        <w:tab w:val="clear" w:pos="2100"/>
        <w:tab w:val="right" w:pos="2640"/>
        <w:tab w:val="left" w:pos="2840"/>
      </w:tabs>
      <w:ind w:left="3240" w:hanging="2140"/>
    </w:pPr>
  </w:style>
  <w:style w:type="paragraph" w:customStyle="1" w:styleId="Modsubsubpara">
    <w:name w:val="Mod subsubpara"/>
    <w:basedOn w:val="Asubsubpara"/>
    <w:uiPriority w:val="99"/>
    <w:pPr>
      <w:tabs>
        <w:tab w:val="clear" w:pos="2400"/>
        <w:tab w:val="clear" w:pos="2600"/>
        <w:tab w:val="right" w:pos="3160"/>
        <w:tab w:val="left" w:pos="3360"/>
      </w:tabs>
      <w:ind w:left="3760" w:hanging="2660"/>
    </w:pPr>
  </w:style>
  <w:style w:type="paragraph" w:customStyle="1" w:styleId="Modmainreturn">
    <w:name w:val="Mod main return"/>
    <w:basedOn w:val="Amainreturn"/>
    <w:uiPriority w:val="99"/>
    <w:pPr>
      <w:ind w:left="1800"/>
    </w:pPr>
  </w:style>
  <w:style w:type="paragraph" w:customStyle="1" w:styleId="Modparareturn">
    <w:name w:val="Mod para return"/>
    <w:basedOn w:val="Aparareturn"/>
    <w:uiPriority w:val="99"/>
    <w:pPr>
      <w:ind w:left="2300"/>
    </w:pPr>
  </w:style>
  <w:style w:type="paragraph" w:customStyle="1" w:styleId="Modsubparareturn">
    <w:name w:val="Mod subpara return"/>
    <w:basedOn w:val="Asubparareturn"/>
    <w:uiPriority w:val="99"/>
    <w:pPr>
      <w:ind w:left="3040"/>
    </w:pPr>
  </w:style>
  <w:style w:type="paragraph" w:customStyle="1" w:styleId="Modref">
    <w:name w:val="Mod ref"/>
    <w:basedOn w:val="ref"/>
    <w:uiPriority w:val="99"/>
    <w:pPr>
      <w:ind w:left="1100"/>
    </w:pPr>
  </w:style>
  <w:style w:type="paragraph" w:customStyle="1" w:styleId="ModaNote">
    <w:name w:val="Mod aNote"/>
    <w:basedOn w:val="aNote"/>
    <w:uiPriority w:val="99"/>
    <w:pPr>
      <w:tabs>
        <w:tab w:val="left" w:pos="2600"/>
      </w:tabs>
      <w:ind w:left="2600"/>
    </w:pPr>
  </w:style>
  <w:style w:type="paragraph" w:customStyle="1" w:styleId="ModNote">
    <w:name w:val="Mod Note"/>
    <w:basedOn w:val="aNote"/>
    <w:uiPriority w:val="99"/>
    <w:pPr>
      <w:tabs>
        <w:tab w:val="left" w:pos="2600"/>
      </w:tabs>
      <w:ind w:left="26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right" w:pos="480"/>
      </w:tabs>
      <w:ind w:left="1120" w:hanging="1600"/>
    </w:pPr>
  </w:style>
  <w:style w:type="paragraph" w:customStyle="1" w:styleId="AparaSymb">
    <w:name w:val="A para Symb"/>
    <w:basedOn w:val="Apara"/>
    <w:uiPriority w:val="99"/>
    <w:pPr>
      <w:tabs>
        <w:tab w:val="right" w:pos="0"/>
      </w:tabs>
      <w:ind w:hanging="2080"/>
    </w:pPr>
  </w:style>
  <w:style w:type="paragraph" w:customStyle="1" w:styleId="AsubparaSymb">
    <w:name w:val="A subpara Symb"/>
    <w:basedOn w:val="Asubpara"/>
    <w:uiPriority w:val="99"/>
    <w:pPr>
      <w:tabs>
        <w:tab w:val="left" w:pos="0"/>
      </w:tabs>
      <w:ind w:left="1620"/>
    </w:pPr>
  </w:style>
  <w:style w:type="paragraph" w:customStyle="1" w:styleId="TableText">
    <w:name w:val="TableText"/>
    <w:basedOn w:val="Normal"/>
    <w:uiPriority w:val="99"/>
    <w:pPr>
      <w:spacing w:before="60" w:after="60"/>
    </w:pPr>
  </w:style>
  <w:style w:type="paragraph" w:customStyle="1" w:styleId="tablepara">
    <w:name w:val="table para"/>
    <w:basedOn w:val="Normal"/>
    <w:uiPriority w:val="99"/>
    <w:pPr>
      <w:tabs>
        <w:tab w:val="right" w:pos="800"/>
        <w:tab w:val="left" w:pos="1100"/>
      </w:tabs>
      <w:spacing w:before="80" w:after="60"/>
      <w:ind w:left="1100" w:hanging="1100"/>
    </w:pPr>
  </w:style>
  <w:style w:type="paragraph" w:customStyle="1" w:styleId="tablesubpara">
    <w:name w:val="table subpara"/>
    <w:basedOn w:val="Normal"/>
    <w:uiPriority w:val="99"/>
    <w:pPr>
      <w:tabs>
        <w:tab w:val="right" w:pos="1500"/>
        <w:tab w:val="left" w:pos="1800"/>
      </w:tabs>
      <w:spacing w:before="80" w:after="60"/>
      <w:ind w:left="1800" w:hanging="1800"/>
    </w:pPr>
  </w:style>
  <w:style w:type="paragraph" w:customStyle="1" w:styleId="RenumProvSubsectEntries">
    <w:name w:val="RenumProvSubsectEntries"/>
    <w:basedOn w:val="RenumProvEntries"/>
    <w:uiPriority w:val="99"/>
    <w:pPr>
      <w:ind w:left="252"/>
    </w:pPr>
  </w:style>
  <w:style w:type="paragraph" w:customStyle="1" w:styleId="IshadedSchClause">
    <w:name w:val="I shaded Sch Clause"/>
    <w:basedOn w:val="ShadedSchClause"/>
    <w:uiPriority w:val="99"/>
    <w:pPr>
      <w:outlineLvl w:val="9"/>
    </w:pPr>
  </w:style>
  <w:style w:type="paragraph" w:customStyle="1" w:styleId="IshadedH5Sec">
    <w:name w:val="I shaded H5 Sec"/>
    <w:basedOn w:val="AH5Sec"/>
    <w:uiPriority w:val="99"/>
    <w:pPr>
      <w:shd w:val="pct25" w:color="auto" w:fill="auto"/>
      <w:outlineLvl w:val="9"/>
    </w:pPr>
  </w:style>
  <w:style w:type="paragraph" w:customStyle="1" w:styleId="Endnote4">
    <w:name w:val="Endnote4"/>
    <w:basedOn w:val="Endnote20"/>
    <w:uiPriority w:val="9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uiPriority w:val="99"/>
    <w:pPr>
      <w:keepNext/>
      <w:tabs>
        <w:tab w:val="clear" w:pos="900"/>
        <w:tab w:val="clear" w:pos="1100"/>
      </w:tabs>
      <w:spacing w:before="240"/>
      <w:ind w:left="0"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aNoteText">
    <w:name w:val="aNoteText"/>
    <w:basedOn w:val="aNote"/>
    <w:uiPriority w:val="99"/>
    <w:pPr>
      <w:spacing w:before="20"/>
      <w:ind w:firstLine="0"/>
    </w:pPr>
  </w:style>
  <w:style w:type="paragraph" w:customStyle="1" w:styleId="05Endnote0">
    <w:name w:val="05Endnote"/>
    <w:basedOn w:val="Normal"/>
    <w:uiPriority w:val="99"/>
  </w:style>
  <w:style w:type="paragraph" w:customStyle="1" w:styleId="AmdtEntries">
    <w:name w:val="AmdtEntries"/>
    <w:basedOn w:val="BillBasicHeading"/>
    <w:uiPriority w:val="99"/>
    <w:pPr>
      <w:keepNext w:val="0"/>
      <w:tabs>
        <w:tab w:val="clear" w:pos="2600"/>
      </w:tabs>
      <w:spacing w:before="0" w:after="0"/>
      <w:ind w:left="3200" w:hanging="2100"/>
    </w:pPr>
    <w:rPr>
      <w:sz w:val="18"/>
      <w:szCs w:val="18"/>
    </w:rPr>
  </w:style>
  <w:style w:type="paragraph" w:customStyle="1" w:styleId="AmdtEntriesDefL2">
    <w:name w:val="AmdtEntriesDefL2"/>
    <w:basedOn w:val="AmdtEntries"/>
    <w:uiPriority w:val="99"/>
    <w:pPr>
      <w:tabs>
        <w:tab w:val="left" w:pos="3000"/>
      </w:tabs>
      <w:ind w:left="3600" w:hanging="2500"/>
    </w:pPr>
  </w:style>
  <w:style w:type="character" w:customStyle="1" w:styleId="charContents">
    <w:name w:val="charContents"/>
    <w:basedOn w:val="DefaultParagraphFont"/>
    <w:uiPriority w:val="99"/>
  </w:style>
  <w:style w:type="character" w:customStyle="1" w:styleId="charPage">
    <w:name w:val="charPage"/>
    <w:basedOn w:val="DefaultParagraphFont"/>
    <w:uiPriority w:val="99"/>
  </w:style>
  <w:style w:type="paragraph" w:customStyle="1" w:styleId="FooterInfoCentre">
    <w:name w:val="FooterInfoCentre"/>
    <w:basedOn w:val="FooterInfo"/>
    <w:uiPriority w:val="99"/>
    <w:pPr>
      <w:jc w:val="cente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EndNoteTextPub">
    <w:name w:val="EndNoteTextPub"/>
    <w:basedOn w:val="Normal"/>
    <w:uiPriority w:val="99"/>
    <w:pPr>
      <w:spacing w:after="40"/>
      <w:ind w:left="1100"/>
      <w:jc w:val="both"/>
    </w:pPr>
    <w:rPr>
      <w:sz w:val="20"/>
      <w:szCs w:val="20"/>
    </w:rPr>
  </w:style>
  <w:style w:type="paragraph" w:customStyle="1" w:styleId="aExamHdgss">
    <w:name w:val="aExamHdgss"/>
    <w:basedOn w:val="BillBasicHeading"/>
    <w:next w:val="Normal"/>
    <w:uiPriority w:val="99"/>
    <w:pPr>
      <w:tabs>
        <w:tab w:val="clear" w:pos="2600"/>
      </w:tabs>
      <w:ind w:left="1100"/>
    </w:pPr>
    <w:rPr>
      <w:sz w:val="18"/>
      <w:szCs w:val="18"/>
    </w:rPr>
  </w:style>
  <w:style w:type="paragraph" w:customStyle="1" w:styleId="aExamss">
    <w:name w:val="aExamss"/>
    <w:basedOn w:val="aNote"/>
    <w:uiPriority w:val="99"/>
    <w:pPr>
      <w:spacing w:before="0"/>
      <w:ind w:left="1100" w:firstLine="0"/>
    </w:pPr>
  </w:style>
  <w:style w:type="paragraph" w:customStyle="1" w:styleId="aExamINumss">
    <w:name w:val="aExamINumss"/>
    <w:basedOn w:val="aExamss"/>
    <w:uiPriority w:val="99"/>
    <w:pPr>
      <w:tabs>
        <w:tab w:val="left" w:pos="1500"/>
      </w:tabs>
      <w:ind w:left="1500" w:hanging="400"/>
    </w:pPr>
  </w:style>
  <w:style w:type="paragraph" w:customStyle="1" w:styleId="aExamNumTextss">
    <w:name w:val="aExamNumTextss"/>
    <w:basedOn w:val="aExamss"/>
    <w:uiPriority w:val="99"/>
    <w:pPr>
      <w:ind w:left="1500"/>
    </w:pPr>
  </w:style>
  <w:style w:type="paragraph" w:customStyle="1" w:styleId="AExamIPara">
    <w:name w:val="AExamIPara"/>
    <w:basedOn w:val="aExam"/>
    <w:uiPriority w:val="99"/>
    <w:pPr>
      <w:tabs>
        <w:tab w:val="right" w:pos="1720"/>
        <w:tab w:val="left" w:pos="2000"/>
      </w:tabs>
      <w:ind w:left="2000" w:hanging="900"/>
    </w:pPr>
  </w:style>
  <w:style w:type="paragraph" w:customStyle="1" w:styleId="aNoteTextss">
    <w:name w:val="aNoteTextss"/>
    <w:basedOn w:val="Normal"/>
    <w:uiPriority w:val="99"/>
    <w:pPr>
      <w:spacing w:after="60"/>
      <w:ind w:left="1900"/>
      <w:jc w:val="both"/>
    </w:pPr>
    <w:rPr>
      <w:sz w:val="20"/>
      <w:szCs w:val="20"/>
    </w:rPr>
  </w:style>
  <w:style w:type="paragraph" w:customStyle="1" w:styleId="aNoteParass">
    <w:name w:val="aNoteParass"/>
    <w:basedOn w:val="Normal"/>
    <w:uiPriority w:val="99"/>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uiPriority w:val="99"/>
    <w:pPr>
      <w:ind w:left="1600"/>
    </w:pPr>
  </w:style>
  <w:style w:type="paragraph" w:customStyle="1" w:styleId="aExampar">
    <w:name w:val="aExampar"/>
    <w:basedOn w:val="aExamss"/>
    <w:uiPriority w:val="99"/>
    <w:pPr>
      <w:ind w:left="1600"/>
    </w:pPr>
  </w:style>
  <w:style w:type="paragraph" w:customStyle="1" w:styleId="aNotepar">
    <w:name w:val="aNotepar"/>
    <w:basedOn w:val="BillBasic"/>
    <w:next w:val="Normal"/>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NoteParapar">
    <w:name w:val="aNoteParapar"/>
    <w:basedOn w:val="aNotepar"/>
    <w:uiPriority w:val="99"/>
    <w:pPr>
      <w:tabs>
        <w:tab w:val="right" w:pos="2640"/>
      </w:tabs>
      <w:spacing w:before="0"/>
      <w:ind w:left="2920" w:hanging="1320"/>
    </w:pPr>
  </w:style>
  <w:style w:type="paragraph" w:customStyle="1" w:styleId="aExamHdgsubpar">
    <w:name w:val="aExamHdgsubpar"/>
    <w:basedOn w:val="aExamHdgss"/>
    <w:next w:val="Normal"/>
    <w:uiPriority w:val="99"/>
    <w:pPr>
      <w:ind w:left="2140"/>
    </w:pPr>
  </w:style>
  <w:style w:type="paragraph" w:customStyle="1" w:styleId="aExamsubpar">
    <w:name w:val="aExamsubpar"/>
    <w:basedOn w:val="aExamss"/>
    <w:uiPriority w:val="99"/>
    <w:pPr>
      <w:ind w:left="2140"/>
    </w:pPr>
  </w:style>
  <w:style w:type="paragraph" w:customStyle="1" w:styleId="aNotesubpar">
    <w:name w:val="aNotesubpar"/>
    <w:basedOn w:val="BillBasic"/>
    <w:next w:val="Normal"/>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ExamBulletss">
    <w:name w:val="aExamBulletss"/>
    <w:basedOn w:val="aExamss"/>
    <w:uiPriority w:val="99"/>
    <w:pPr>
      <w:ind w:left="1500" w:hanging="400"/>
    </w:pPr>
  </w:style>
  <w:style w:type="paragraph" w:customStyle="1" w:styleId="aNoteBulletss">
    <w:name w:val="aNoteBulletss"/>
    <w:basedOn w:val="Normal"/>
    <w:uiPriority w:val="99"/>
    <w:pPr>
      <w:spacing w:after="60"/>
      <w:ind w:left="2300" w:hanging="400"/>
      <w:jc w:val="both"/>
    </w:pPr>
    <w:rPr>
      <w:sz w:val="20"/>
      <w:szCs w:val="20"/>
    </w:rPr>
  </w:style>
  <w:style w:type="paragraph" w:customStyle="1" w:styleId="aExamBulletpar">
    <w:name w:val="aExamBulletpar"/>
    <w:basedOn w:val="aExampar"/>
    <w:uiPriority w:val="99"/>
    <w:pPr>
      <w:ind w:left="2000" w:hanging="400"/>
    </w:pPr>
  </w:style>
  <w:style w:type="paragraph" w:customStyle="1" w:styleId="aNoteBulletpar">
    <w:name w:val="aNoteBulletpar"/>
    <w:basedOn w:val="aNotepar"/>
    <w:uiPriority w:val="99"/>
    <w:pPr>
      <w:spacing w:before="0"/>
      <w:ind w:left="2800" w:hanging="400"/>
    </w:pPr>
  </w:style>
  <w:style w:type="paragraph" w:customStyle="1" w:styleId="aExplanBullet">
    <w:name w:val="aExplanBullet"/>
    <w:basedOn w:val="Normal"/>
    <w:uiPriority w:val="99"/>
    <w:pPr>
      <w:spacing w:before="80" w:after="60"/>
      <w:ind w:left="400" w:hanging="400"/>
      <w:jc w:val="both"/>
    </w:pPr>
    <w:rPr>
      <w:sz w:val="20"/>
      <w:szCs w:val="20"/>
    </w:rPr>
  </w:style>
  <w:style w:type="paragraph" w:customStyle="1" w:styleId="Actbullet">
    <w:name w:val="Act bullet"/>
    <w:basedOn w:val="Normal"/>
    <w:uiPriority w:val="99"/>
    <w:pPr>
      <w:numPr>
        <w:numId w:val="3"/>
      </w:numPr>
      <w:tabs>
        <w:tab w:val="left" w:pos="900"/>
      </w:tabs>
      <w:spacing w:before="20"/>
      <w:ind w:right="-60"/>
    </w:pPr>
    <w:rPr>
      <w:rFonts w:ascii="Arial" w:hAnsi="Arial" w:cs="Arial"/>
      <w:sz w:val="18"/>
      <w:szCs w:val="18"/>
      <w:lang w:val="en-US"/>
    </w:rPr>
  </w:style>
  <w:style w:type="paragraph" w:customStyle="1" w:styleId="Actbulletshaded">
    <w:name w:val="Act bullet shaded"/>
    <w:basedOn w:val="Actbullet"/>
    <w:uiPriority w:val="99"/>
    <w:pPr>
      <w:shd w:val="pct15" w:color="auto" w:fill="FFFFFF"/>
    </w:pPr>
  </w:style>
  <w:style w:type="character" w:styleId="Hyperlink">
    <w:name w:val="Hyperlink"/>
    <w:basedOn w:val="DefaultParagraphFont"/>
    <w:uiPriority w:val="99"/>
    <w:unhideWhenUsed/>
    <w:rsid w:val="00387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6793</Words>
  <Characters>33666</Characters>
  <Application>Microsoft Office Word</Application>
  <DocSecurity>0</DocSecurity>
  <Lines>934</Lines>
  <Paragraphs>583</Paragraphs>
  <ScaleCrop>false</ScaleCrop>
  <HeadingPairs>
    <vt:vector size="2" baseType="variant">
      <vt:variant>
        <vt:lpstr>Title</vt:lpstr>
      </vt:variant>
      <vt:variant>
        <vt:i4>1</vt:i4>
      </vt:variant>
    </vt:vector>
  </HeadingPairs>
  <TitlesOfParts>
    <vt:vector size="1" baseType="lpstr">
      <vt:lpstr>Gas Safety Regulation 2001</vt:lpstr>
    </vt:vector>
  </TitlesOfParts>
  <Manager>Regulation</Manager>
  <Company>Section</Company>
  <LinksUpToDate>false</LinksUpToDate>
  <CharactersWithSpaces>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Safety Regulation 2001</dc:title>
  <dc:subject/>
  <dc:creator>bronwyn mccaskill</dc:creator>
  <cp:keywords>02</cp:keywords>
  <dc:description/>
  <cp:lastModifiedBy>Moxon, KarenL</cp:lastModifiedBy>
  <cp:revision>4</cp:revision>
  <cp:lastPrinted>2004-11-04T00:09:00Z</cp:lastPrinted>
  <dcterms:created xsi:type="dcterms:W3CDTF">2022-08-11T00:42:00Z</dcterms:created>
  <dcterms:modified xsi:type="dcterms:W3CDTF">2022-08-11T00:42:00Z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3</vt:lpwstr>
  </property>
  <property fmtid="{D5CDD505-2E9C-101B-9397-08002B2CF9AE}" pid="4" name="Check">
    <vt:lpwstr>2</vt:lpwstr>
  </property>
  <property fmtid="{D5CDD505-2E9C-101B-9397-08002B2CF9AE}" pid="5" name="RepubDt">
    <vt:lpwstr>04/11/04</vt:lpwstr>
  </property>
  <property fmtid="{D5CDD505-2E9C-101B-9397-08002B2CF9AE}" pid="6" name="Eff">
    <vt:lpwstr>Effective:  </vt:lpwstr>
  </property>
  <property fmtid="{D5CDD505-2E9C-101B-9397-08002B2CF9AE}" pid="7" name="StartDt">
    <vt:lpwstr>04/11/04</vt:lpwstr>
  </property>
  <property fmtid="{D5CDD505-2E9C-101B-9397-08002B2CF9AE}" pid="8" name="EndDt">
    <vt:lpwstr>-01/07/05</vt:lpwstr>
  </property>
</Properties>
</file>