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180" w:rsidRDefault="00535180" w:rsidP="00535180">
      <w:pPr>
        <w:jc w:val="center"/>
      </w:pPr>
      <w:bookmarkStart w:id="0" w:name="_GoBack"/>
      <w:bookmarkEnd w:id="0"/>
      <w:r>
        <w:rPr>
          <w:noProof/>
        </w:rPr>
        <w:drawing>
          <wp:inline distT="0" distB="0" distL="0" distR="0" wp14:anchorId="571A1E91" wp14:editId="20138A54">
            <wp:extent cx="1333500" cy="1181100"/>
            <wp:effectExtent l="1905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5180" w:rsidRDefault="00535180" w:rsidP="00535180">
      <w:pPr>
        <w:jc w:val="center"/>
        <w:rPr>
          <w:rFonts w:ascii="Arial" w:hAnsi="Arial"/>
        </w:rPr>
      </w:pPr>
      <w:r>
        <w:rPr>
          <w:rFonts w:ascii="Arial" w:hAnsi="Arial"/>
        </w:rPr>
        <w:t>Australian Capital Territory</w:t>
      </w:r>
    </w:p>
    <w:p w:rsidR="00535180" w:rsidRDefault="00535180" w:rsidP="00535180">
      <w:pPr>
        <w:spacing w:before="240"/>
        <w:jc w:val="center"/>
      </w:pPr>
    </w:p>
    <w:p w:rsidR="00682177" w:rsidRDefault="00682177" w:rsidP="00682177">
      <w:pPr>
        <w:pStyle w:val="citation"/>
      </w:pPr>
      <w:bookmarkStart w:id="1" w:name="Citation"/>
      <w:r>
        <w:t>Water and Sewerage Regulation</w:t>
      </w:r>
      <w:r w:rsidR="00C2226F">
        <w:t>s</w:t>
      </w:r>
      <w:r w:rsidR="00482E5B">
        <w:t> </w:t>
      </w:r>
      <w:r>
        <w:t>2001</w:t>
      </w:r>
      <w:bookmarkEnd w:id="1"/>
    </w:p>
    <w:p w:rsidR="00682177" w:rsidRDefault="00482E5B" w:rsidP="00682177">
      <w:pPr>
        <w:pStyle w:val="ActNo"/>
      </w:pPr>
      <w:r>
        <w:t>SL2001-2</w:t>
      </w:r>
    </w:p>
    <w:p w:rsidR="00201E09" w:rsidRDefault="00201E09" w:rsidP="00201E09">
      <w:pPr>
        <w:pStyle w:val="CoverInForce"/>
      </w:pPr>
      <w:r>
        <w:t>made under the</w:t>
      </w:r>
    </w:p>
    <w:p w:rsidR="00201E09" w:rsidRDefault="00201E09" w:rsidP="00201E09">
      <w:pPr>
        <w:pStyle w:val="CoverActName"/>
      </w:pPr>
      <w:r>
        <w:t>Water and Sewerage Act 2000</w:t>
      </w:r>
    </w:p>
    <w:p w:rsidR="00682177" w:rsidRPr="00433A28" w:rsidRDefault="00682177" w:rsidP="00433A28">
      <w:pPr>
        <w:pStyle w:val="RepubNo"/>
        <w:spacing w:before="600" w:after="0"/>
        <w:rPr>
          <w:sz w:val="26"/>
          <w:lang w:eastAsia="en-US"/>
        </w:rPr>
      </w:pPr>
      <w:r w:rsidRPr="00433A28">
        <w:rPr>
          <w:sz w:val="26"/>
          <w:lang w:eastAsia="en-US"/>
        </w:rPr>
        <w:t xml:space="preserve">Republication No </w:t>
      </w:r>
      <w:r w:rsidR="00482E5B" w:rsidRPr="00433A28">
        <w:rPr>
          <w:sz w:val="26"/>
          <w:lang w:eastAsia="en-US"/>
        </w:rPr>
        <w:t>1</w:t>
      </w:r>
      <w:r w:rsidRPr="00433A28">
        <w:rPr>
          <w:sz w:val="26"/>
          <w:lang w:eastAsia="en-US"/>
        </w:rPr>
        <w:t xml:space="preserve"> (RI)</w:t>
      </w:r>
    </w:p>
    <w:p w:rsidR="00682177" w:rsidRDefault="00682177" w:rsidP="00682177">
      <w:pPr>
        <w:pStyle w:val="EffectiveDate"/>
      </w:pPr>
      <w:r>
        <w:t xml:space="preserve">Effective:  </w:t>
      </w:r>
      <w:r w:rsidR="00326D27">
        <w:t>25 January 2001</w:t>
      </w:r>
      <w:r>
        <w:t xml:space="preserve"> – </w:t>
      </w:r>
      <w:r w:rsidR="00326D27">
        <w:t>11 September 2001</w:t>
      </w:r>
    </w:p>
    <w:p w:rsidR="00682177" w:rsidRDefault="00682177" w:rsidP="00482E5B">
      <w:pPr>
        <w:pStyle w:val="CoverInForce"/>
        <w:jc w:val="left"/>
      </w:pPr>
      <w:r>
        <w:t xml:space="preserve">Republication date of printed version: </w:t>
      </w:r>
      <w:r w:rsidR="00326D27">
        <w:t>15 June 2001</w:t>
      </w:r>
      <w:r>
        <w:br/>
        <w:t xml:space="preserve">Reissued electronically:  </w:t>
      </w:r>
      <w:r w:rsidR="00CD5276">
        <w:t xml:space="preserve">16 May </w:t>
      </w:r>
      <w:r>
        <w:t>2019</w:t>
      </w:r>
    </w:p>
    <w:p w:rsidR="00682177" w:rsidRDefault="00682177" w:rsidP="00482E5B">
      <w:pPr>
        <w:pStyle w:val="CoverInForce"/>
        <w:jc w:val="left"/>
      </w:pPr>
      <w:r>
        <w:br/>
      </w:r>
      <w:r w:rsidR="00535180">
        <w:t>Regulation</w:t>
      </w:r>
      <w:r w:rsidR="00201E09">
        <w:t>s</w:t>
      </w:r>
      <w:r w:rsidR="00535180">
        <w:t xml:space="preserve"> not amended</w:t>
      </w:r>
    </w:p>
    <w:p w:rsidR="00682177" w:rsidRDefault="00682177" w:rsidP="00682177"/>
    <w:p w:rsidR="00682177" w:rsidRDefault="00682177" w:rsidP="00682177"/>
    <w:p w:rsidR="00682177" w:rsidRDefault="00682177" w:rsidP="00682177"/>
    <w:p w:rsidR="00682177" w:rsidRDefault="00682177" w:rsidP="00682177"/>
    <w:p w:rsidR="00682177" w:rsidRDefault="00682177" w:rsidP="00682177">
      <w:pPr>
        <w:pStyle w:val="CoverHeading"/>
      </w:pPr>
      <w:r>
        <w:br w:type="page"/>
      </w:r>
      <w:r>
        <w:lastRenderedPageBreak/>
        <w:t>About this republication</w:t>
      </w:r>
    </w:p>
    <w:p w:rsidR="00682177" w:rsidRDefault="00682177" w:rsidP="00682177">
      <w:pPr>
        <w:pStyle w:val="CoverSubHdg"/>
      </w:pPr>
      <w:r>
        <w:t>The republished law</w:t>
      </w:r>
    </w:p>
    <w:p w:rsidR="00682177" w:rsidRDefault="00682177" w:rsidP="00682177">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934D7B" w:rsidRPr="00934D7B">
        <w:rPr>
          <w:i/>
        </w:rPr>
        <w:t>Water and Sewerage Regulations 2001</w:t>
      </w:r>
      <w:r>
        <w:rPr>
          <w:i/>
        </w:rPr>
        <w:fldChar w:fldCharType="end"/>
      </w:r>
      <w:r>
        <w:t xml:space="preserve"> effective </w:t>
      </w:r>
      <w:r w:rsidR="00535180">
        <w:t>25 January 2001</w:t>
      </w:r>
      <w:r>
        <w:t xml:space="preserve"> to </w:t>
      </w:r>
      <w:r w:rsidR="00535180">
        <w:t>11 September 2001</w:t>
      </w:r>
      <w:r>
        <w:t>.</w:t>
      </w:r>
    </w:p>
    <w:p w:rsidR="00682177" w:rsidRDefault="00682177" w:rsidP="00682177">
      <w:pPr>
        <w:pStyle w:val="CoverSubHdg"/>
      </w:pPr>
      <w:r>
        <w:t>Kinds of republications</w:t>
      </w:r>
    </w:p>
    <w:p w:rsidR="00682177" w:rsidRDefault="00682177" w:rsidP="00682177">
      <w:pPr>
        <w:pStyle w:val="CoverText"/>
      </w:pPr>
      <w:r>
        <w:t>The Parliamentary Counsel’s Office prepares 2 kinds of republications of ACT laws (see the ACT legislation register at www.legislation.act.gov.au):</w:t>
      </w:r>
    </w:p>
    <w:p w:rsidR="00682177" w:rsidRDefault="00682177" w:rsidP="00682177">
      <w:pPr>
        <w:pStyle w:val="CoverText"/>
        <w:numPr>
          <w:ilvl w:val="0"/>
          <w:numId w:val="40"/>
        </w:numPr>
        <w:tabs>
          <w:tab w:val="clear" w:pos="2880"/>
        </w:tabs>
        <w:spacing w:before="40" w:after="40"/>
      </w:pPr>
      <w:r>
        <w:t xml:space="preserve">authorised republications to which the </w:t>
      </w:r>
      <w:r>
        <w:rPr>
          <w:i/>
        </w:rPr>
        <w:t>Legislation Act 2001</w:t>
      </w:r>
      <w:r>
        <w:t xml:space="preserve"> applies</w:t>
      </w:r>
    </w:p>
    <w:p w:rsidR="00682177" w:rsidRDefault="00682177" w:rsidP="00682177">
      <w:pPr>
        <w:pStyle w:val="CoverText"/>
        <w:numPr>
          <w:ilvl w:val="0"/>
          <w:numId w:val="40"/>
        </w:numPr>
        <w:tabs>
          <w:tab w:val="clear" w:pos="2880"/>
        </w:tabs>
        <w:spacing w:before="40" w:after="40"/>
      </w:pPr>
      <w:r>
        <w:t>unauthorised republications.</w:t>
      </w:r>
    </w:p>
    <w:p w:rsidR="00682177" w:rsidRDefault="00682177" w:rsidP="00682177">
      <w:pPr>
        <w:pStyle w:val="CoverText"/>
      </w:pPr>
      <w:r>
        <w:t>The status of this republication appears on the bottom of each page.</w:t>
      </w:r>
    </w:p>
    <w:p w:rsidR="00682177" w:rsidRDefault="00682177" w:rsidP="00682177">
      <w:pPr>
        <w:pStyle w:val="CoverSubHdg"/>
      </w:pPr>
      <w:r>
        <w:t>Editorial changes</w:t>
      </w:r>
    </w:p>
    <w:p w:rsidR="00682177" w:rsidRDefault="00682177" w:rsidP="00682177">
      <w:pPr>
        <w:pStyle w:val="CoverText"/>
        <w:keepLines/>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682177" w:rsidRDefault="00682177" w:rsidP="00682177">
      <w:pPr>
        <w:pStyle w:val="00SigningPage"/>
        <w:sectPr w:rsidR="00682177">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202FD5" w:rsidRDefault="00202FD5">
      <w:pPr>
        <w:jc w:val="right"/>
        <w:rPr>
          <w:rFonts w:ascii="Arial" w:hAnsi="Arial"/>
          <w:sz w:val="20"/>
        </w:rPr>
      </w:pPr>
      <w:r>
        <w:rPr>
          <w:rFonts w:ascii="Arial" w:hAnsi="Arial"/>
          <w:sz w:val="20"/>
        </w:rPr>
        <w:lastRenderedPageBreak/>
        <w:t>As in force on</w:t>
      </w:r>
      <w:r>
        <w:rPr>
          <w:rFonts w:ascii="Arial" w:hAnsi="Arial"/>
          <w:sz w:val="20"/>
        </w:rPr>
        <w:br/>
      </w:r>
      <w:r w:rsidR="00C2226F">
        <w:rPr>
          <w:rFonts w:ascii="Arial" w:hAnsi="Arial"/>
          <w:sz w:val="20"/>
        </w:rPr>
        <w:t>15 June 2001</w:t>
      </w:r>
    </w:p>
    <w:p w:rsidR="00202FD5" w:rsidRDefault="00202FD5">
      <w:pPr>
        <w:jc w:val="center"/>
        <w:rPr>
          <w:sz w:val="16"/>
        </w:rPr>
      </w:pPr>
    </w:p>
    <w:p w:rsidR="00F70F97" w:rsidRDefault="00F70F97" w:rsidP="00F70F97">
      <w:pPr>
        <w:jc w:val="center"/>
      </w:pPr>
      <w:r>
        <w:rPr>
          <w:noProof/>
        </w:rPr>
        <w:drawing>
          <wp:inline distT="0" distB="0" distL="0" distR="0" wp14:anchorId="321F98C8" wp14:editId="01350F72">
            <wp:extent cx="1333500" cy="1181100"/>
            <wp:effectExtent l="1905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70F97" w:rsidRDefault="00F70F97" w:rsidP="00F70F97">
      <w:pPr>
        <w:jc w:val="center"/>
        <w:rPr>
          <w:rFonts w:ascii="Arial" w:hAnsi="Arial"/>
        </w:rPr>
      </w:pPr>
      <w:r>
        <w:rPr>
          <w:rFonts w:ascii="Arial" w:hAnsi="Arial"/>
        </w:rPr>
        <w:t>Australian Capital Territory</w:t>
      </w:r>
    </w:p>
    <w:p w:rsidR="00F70F97" w:rsidRDefault="00F70F97" w:rsidP="00F70F97">
      <w:pPr>
        <w:spacing w:before="240"/>
        <w:jc w:val="center"/>
      </w:pPr>
    </w:p>
    <w:p w:rsidR="00202FD5" w:rsidRDefault="004A538E">
      <w:pPr>
        <w:pStyle w:val="Billname"/>
      </w:pPr>
      <w:fldSimple w:instr=" REF Citation \*charformat ">
        <w:r w:rsidR="00934D7B">
          <w:t>Water and Sewerage Regulations 2001</w:t>
        </w:r>
      </w:fldSimple>
    </w:p>
    <w:p w:rsidR="00202FD5" w:rsidRDefault="00202FD5">
      <w:pPr>
        <w:pStyle w:val="CoverInForce"/>
      </w:pPr>
      <w:r>
        <w:t>made under the</w:t>
      </w:r>
    </w:p>
    <w:p w:rsidR="00202FD5" w:rsidRDefault="004A538E">
      <w:pPr>
        <w:pStyle w:val="CoverActName"/>
      </w:pPr>
      <w:fldSimple w:instr=" REF ActName \*charformat ">
        <w:r w:rsidR="00934D7B">
          <w:t>Water and Sewerage Act 2000</w:t>
        </w:r>
      </w:fldSimple>
    </w:p>
    <w:p w:rsidR="00202FD5" w:rsidRDefault="00202FD5">
      <w:pPr>
        <w:pStyle w:val="N-TOCheading"/>
      </w:pPr>
      <w:r>
        <w:t>Contents</w:t>
      </w:r>
    </w:p>
    <w:p w:rsidR="00202FD5" w:rsidRDefault="00202FD5">
      <w:pPr>
        <w:pStyle w:val="N-9pt"/>
      </w:pPr>
      <w:r>
        <w:tab/>
        <w:t>Page</w:t>
      </w:r>
    </w:p>
    <w:p w:rsidR="00202FD5" w:rsidRDefault="00202FD5">
      <w:pPr>
        <w:pStyle w:val="TOC2"/>
      </w:pPr>
      <w:r>
        <w:fldChar w:fldCharType="begin"/>
      </w:r>
      <w:r>
        <w:instrText xml:space="preserve"> TOC \o "1-5" \t "A H1 Chapter,1,A H2 Part,2,A H3 Div,3,A H4 SubDiv,4,A H5 Sec,5,EndNote2,5,Sched-heading,6,Sched-Part,7,Endnote1,7,Sched-Form,8,Dict-Heading,6,Dict-Heading Symb,6,Sch clause heading,5,Endnote2,5,Shaded Sch Clause,9" </w:instrText>
      </w:r>
      <w:r>
        <w:fldChar w:fldCharType="separate"/>
      </w:r>
      <w:r>
        <w:t>Part 1</w:t>
      </w:r>
      <w:r>
        <w:tab/>
        <w:t>Preliminary</w:t>
      </w:r>
    </w:p>
    <w:p w:rsidR="00202FD5" w:rsidRDefault="00202FD5">
      <w:pPr>
        <w:pStyle w:val="TOC5"/>
      </w:pPr>
      <w:r>
        <w:tab/>
        <w:t>1</w:t>
      </w:r>
      <w:r>
        <w:tab/>
        <w:t>Name of regulations</w:t>
      </w:r>
      <w:r>
        <w:tab/>
      </w:r>
      <w:r>
        <w:fldChar w:fldCharType="begin"/>
      </w:r>
      <w:r>
        <w:instrText xml:space="preserve"> PAGEREF _Toc515702438 \h </w:instrText>
      </w:r>
      <w:r>
        <w:fldChar w:fldCharType="separate"/>
      </w:r>
      <w:r w:rsidR="00934D7B">
        <w:t>2</w:t>
      </w:r>
      <w:r>
        <w:fldChar w:fldCharType="end"/>
      </w:r>
    </w:p>
    <w:p w:rsidR="00202FD5" w:rsidRDefault="00202FD5">
      <w:pPr>
        <w:pStyle w:val="TOC5"/>
      </w:pPr>
      <w:r>
        <w:tab/>
        <w:t>2</w:t>
      </w:r>
      <w:r>
        <w:tab/>
        <w:t>Commencement</w:t>
      </w:r>
      <w:r>
        <w:tab/>
      </w:r>
      <w:r>
        <w:fldChar w:fldCharType="begin"/>
      </w:r>
      <w:r>
        <w:instrText xml:space="preserve"> PAGEREF _Toc515702439 \h </w:instrText>
      </w:r>
      <w:r>
        <w:fldChar w:fldCharType="separate"/>
      </w:r>
      <w:r w:rsidR="00934D7B">
        <w:t>2</w:t>
      </w:r>
      <w:r>
        <w:fldChar w:fldCharType="end"/>
      </w:r>
    </w:p>
    <w:p w:rsidR="00202FD5" w:rsidRDefault="00202FD5">
      <w:pPr>
        <w:pStyle w:val="TOC5"/>
      </w:pPr>
      <w:r>
        <w:tab/>
        <w:t>3</w:t>
      </w:r>
      <w:r>
        <w:tab/>
        <w:t>Dictionary</w:t>
      </w:r>
      <w:r>
        <w:tab/>
      </w:r>
      <w:r>
        <w:fldChar w:fldCharType="begin"/>
      </w:r>
      <w:r>
        <w:instrText xml:space="preserve"> PAGEREF _Toc515702440 \h </w:instrText>
      </w:r>
      <w:r>
        <w:fldChar w:fldCharType="separate"/>
      </w:r>
      <w:r w:rsidR="00934D7B">
        <w:t>2</w:t>
      </w:r>
      <w:r>
        <w:fldChar w:fldCharType="end"/>
      </w:r>
    </w:p>
    <w:p w:rsidR="00202FD5" w:rsidRDefault="00202FD5">
      <w:pPr>
        <w:pStyle w:val="TOC5"/>
      </w:pPr>
      <w:r>
        <w:tab/>
        <w:t>4</w:t>
      </w:r>
      <w:r>
        <w:tab/>
        <w:t>Notes</w:t>
      </w:r>
      <w:r>
        <w:tab/>
      </w:r>
      <w:r>
        <w:fldChar w:fldCharType="begin"/>
      </w:r>
      <w:r>
        <w:instrText xml:space="preserve"> PAGEREF _Toc515702441 \h </w:instrText>
      </w:r>
      <w:r>
        <w:fldChar w:fldCharType="separate"/>
      </w:r>
      <w:r w:rsidR="00934D7B">
        <w:t>2</w:t>
      </w:r>
      <w:r>
        <w:fldChar w:fldCharType="end"/>
      </w:r>
    </w:p>
    <w:p w:rsidR="00202FD5" w:rsidRDefault="00202FD5">
      <w:pPr>
        <w:pStyle w:val="TOC5"/>
      </w:pPr>
      <w:r>
        <w:tab/>
        <w:t>5</w:t>
      </w:r>
      <w:r>
        <w:tab/>
        <w:t>Construction of standards consistent with the regulations</w:t>
      </w:r>
      <w:r>
        <w:tab/>
      </w:r>
      <w:r>
        <w:fldChar w:fldCharType="begin"/>
      </w:r>
      <w:r>
        <w:instrText xml:space="preserve"> PAGEREF _Toc515702442 \h </w:instrText>
      </w:r>
      <w:r>
        <w:fldChar w:fldCharType="separate"/>
      </w:r>
      <w:r w:rsidR="00934D7B">
        <w:t>3</w:t>
      </w:r>
      <w:r>
        <w:fldChar w:fldCharType="end"/>
      </w:r>
    </w:p>
    <w:p w:rsidR="00202FD5" w:rsidRDefault="00202FD5">
      <w:pPr>
        <w:pStyle w:val="TOC2"/>
      </w:pPr>
      <w:r>
        <w:t>Part 2</w:t>
      </w:r>
      <w:r>
        <w:tab/>
        <w:t>Sanitary plumbing and sanitary drainage</w:t>
      </w:r>
    </w:p>
    <w:p w:rsidR="00202FD5" w:rsidRDefault="00202FD5">
      <w:pPr>
        <w:pStyle w:val="TOC5"/>
      </w:pPr>
      <w:r>
        <w:tab/>
        <w:t>6</w:t>
      </w:r>
      <w:r>
        <w:tab/>
        <w:t>Work to conform to standard</w:t>
      </w:r>
      <w:r>
        <w:tab/>
      </w:r>
      <w:r>
        <w:fldChar w:fldCharType="begin"/>
      </w:r>
      <w:r>
        <w:instrText xml:space="preserve"> PAGEREF _Toc515702444 \h </w:instrText>
      </w:r>
      <w:r>
        <w:fldChar w:fldCharType="separate"/>
      </w:r>
      <w:r w:rsidR="00934D7B">
        <w:t>4</w:t>
      </w:r>
      <w:r>
        <w:fldChar w:fldCharType="end"/>
      </w:r>
    </w:p>
    <w:p w:rsidR="00202FD5" w:rsidRDefault="00202FD5">
      <w:pPr>
        <w:pStyle w:val="TOC5"/>
      </w:pPr>
      <w:r>
        <w:tab/>
        <w:t>7</w:t>
      </w:r>
      <w:r>
        <w:tab/>
        <w:t>Work to conform to approved plan</w:t>
      </w:r>
      <w:r>
        <w:tab/>
      </w:r>
      <w:r>
        <w:fldChar w:fldCharType="begin"/>
      </w:r>
      <w:r>
        <w:instrText xml:space="preserve"> PAGEREF _Toc515702445 \h </w:instrText>
      </w:r>
      <w:r>
        <w:fldChar w:fldCharType="separate"/>
      </w:r>
      <w:r w:rsidR="00934D7B">
        <w:t>4</w:t>
      </w:r>
      <w:r>
        <w:fldChar w:fldCharType="end"/>
      </w:r>
    </w:p>
    <w:p w:rsidR="00202FD5" w:rsidRDefault="00202FD5">
      <w:pPr>
        <w:pStyle w:val="TOC5"/>
      </w:pPr>
      <w:r>
        <w:lastRenderedPageBreak/>
        <w:tab/>
        <w:t>8</w:t>
      </w:r>
      <w:r>
        <w:tab/>
        <w:t>Notice to be given about work done</w:t>
      </w:r>
      <w:r>
        <w:tab/>
      </w:r>
      <w:r>
        <w:fldChar w:fldCharType="begin"/>
      </w:r>
      <w:r>
        <w:instrText xml:space="preserve"> PAGEREF _Toc515702446 \h </w:instrText>
      </w:r>
      <w:r>
        <w:fldChar w:fldCharType="separate"/>
      </w:r>
      <w:r w:rsidR="00934D7B">
        <w:t>4</w:t>
      </w:r>
      <w:r>
        <w:fldChar w:fldCharType="end"/>
      </w:r>
    </w:p>
    <w:p w:rsidR="00202FD5" w:rsidRDefault="00202FD5">
      <w:pPr>
        <w:pStyle w:val="TOC5"/>
      </w:pPr>
      <w:r>
        <w:tab/>
        <w:t>9</w:t>
      </w:r>
      <w:r>
        <w:tab/>
        <w:t>Testing of sanitary plumbing and drains</w:t>
      </w:r>
      <w:r>
        <w:tab/>
      </w:r>
      <w:r>
        <w:fldChar w:fldCharType="begin"/>
      </w:r>
      <w:r>
        <w:instrText xml:space="preserve"> PAGEREF _Toc515702447 \h </w:instrText>
      </w:r>
      <w:r>
        <w:fldChar w:fldCharType="separate"/>
      </w:r>
      <w:r w:rsidR="00934D7B">
        <w:t>5</w:t>
      </w:r>
      <w:r>
        <w:fldChar w:fldCharType="end"/>
      </w:r>
    </w:p>
    <w:p w:rsidR="00202FD5" w:rsidRDefault="00202FD5">
      <w:pPr>
        <w:pStyle w:val="TOC5"/>
      </w:pPr>
      <w:r>
        <w:tab/>
        <w:t>10</w:t>
      </w:r>
      <w:r>
        <w:tab/>
        <w:t>Notification after completion of work</w:t>
      </w:r>
      <w:r>
        <w:tab/>
      </w:r>
      <w:r>
        <w:fldChar w:fldCharType="begin"/>
      </w:r>
      <w:r>
        <w:instrText xml:space="preserve"> PAGEREF _Toc515702448 \h </w:instrText>
      </w:r>
      <w:r>
        <w:fldChar w:fldCharType="separate"/>
      </w:r>
      <w:r w:rsidR="00934D7B">
        <w:t>6</w:t>
      </w:r>
      <w:r>
        <w:fldChar w:fldCharType="end"/>
      </w:r>
    </w:p>
    <w:p w:rsidR="00202FD5" w:rsidRDefault="00202FD5">
      <w:pPr>
        <w:pStyle w:val="TOC5"/>
      </w:pPr>
      <w:r>
        <w:tab/>
        <w:t>11</w:t>
      </w:r>
      <w:r>
        <w:tab/>
        <w:t>Unblocking of drain by owner of land</w:t>
      </w:r>
      <w:r>
        <w:tab/>
      </w:r>
      <w:r>
        <w:fldChar w:fldCharType="begin"/>
      </w:r>
      <w:r>
        <w:instrText xml:space="preserve"> PAGEREF _Toc515702449 \h </w:instrText>
      </w:r>
      <w:r>
        <w:fldChar w:fldCharType="separate"/>
      </w:r>
      <w:r w:rsidR="00934D7B">
        <w:t>7</w:t>
      </w:r>
      <w:r>
        <w:fldChar w:fldCharType="end"/>
      </w:r>
    </w:p>
    <w:p w:rsidR="00202FD5" w:rsidRDefault="00202FD5">
      <w:pPr>
        <w:pStyle w:val="TOC5"/>
      </w:pPr>
      <w:r>
        <w:tab/>
        <w:t>12</w:t>
      </w:r>
      <w:r>
        <w:tab/>
        <w:t>Separate drainage systems</w:t>
      </w:r>
      <w:r>
        <w:tab/>
      </w:r>
      <w:r>
        <w:fldChar w:fldCharType="begin"/>
      </w:r>
      <w:r>
        <w:instrText xml:space="preserve"> PAGEREF _Toc515702450 \h </w:instrText>
      </w:r>
      <w:r>
        <w:fldChar w:fldCharType="separate"/>
      </w:r>
      <w:r w:rsidR="00934D7B">
        <w:t>7</w:t>
      </w:r>
      <w:r>
        <w:fldChar w:fldCharType="end"/>
      </w:r>
    </w:p>
    <w:p w:rsidR="00202FD5" w:rsidRDefault="00202FD5">
      <w:pPr>
        <w:pStyle w:val="TOC5"/>
      </w:pPr>
      <w:r>
        <w:tab/>
        <w:t>13</w:t>
      </w:r>
      <w:r>
        <w:tab/>
        <w:t>Disconnecting combined drainage systems</w:t>
      </w:r>
      <w:r>
        <w:tab/>
      </w:r>
      <w:r>
        <w:fldChar w:fldCharType="begin"/>
      </w:r>
      <w:r>
        <w:instrText xml:space="preserve"> PAGEREF _Toc515702451 \h </w:instrText>
      </w:r>
      <w:r>
        <w:fldChar w:fldCharType="separate"/>
      </w:r>
      <w:r w:rsidR="00934D7B">
        <w:t>7</w:t>
      </w:r>
      <w:r>
        <w:fldChar w:fldCharType="end"/>
      </w:r>
    </w:p>
    <w:p w:rsidR="00202FD5" w:rsidRDefault="00202FD5">
      <w:pPr>
        <w:pStyle w:val="TOC5"/>
      </w:pPr>
      <w:r>
        <w:tab/>
        <w:t>14</w:t>
      </w:r>
      <w:r>
        <w:tab/>
        <w:t>Cover to interceptor traps and accessholes</w:t>
      </w:r>
      <w:r>
        <w:tab/>
      </w:r>
      <w:r>
        <w:fldChar w:fldCharType="begin"/>
      </w:r>
      <w:r>
        <w:instrText xml:space="preserve"> PAGEREF _Toc515702452 \h </w:instrText>
      </w:r>
      <w:r>
        <w:fldChar w:fldCharType="separate"/>
      </w:r>
      <w:r w:rsidR="00934D7B">
        <w:t>8</w:t>
      </w:r>
      <w:r>
        <w:fldChar w:fldCharType="end"/>
      </w:r>
    </w:p>
    <w:p w:rsidR="00202FD5" w:rsidRDefault="00202FD5">
      <w:pPr>
        <w:pStyle w:val="TOC5"/>
      </w:pPr>
      <w:r>
        <w:tab/>
        <w:t>15</w:t>
      </w:r>
      <w:r>
        <w:tab/>
        <w:t>Rain and surface waters not to be discharged into sewers etc</w:t>
      </w:r>
      <w:r>
        <w:tab/>
      </w:r>
      <w:r>
        <w:fldChar w:fldCharType="begin"/>
      </w:r>
      <w:r>
        <w:instrText xml:space="preserve"> PAGEREF _Toc515702453 \h </w:instrText>
      </w:r>
      <w:r>
        <w:fldChar w:fldCharType="separate"/>
      </w:r>
      <w:r w:rsidR="00934D7B">
        <w:t>8</w:t>
      </w:r>
      <w:r>
        <w:fldChar w:fldCharType="end"/>
      </w:r>
    </w:p>
    <w:p w:rsidR="00202FD5" w:rsidRDefault="00202FD5">
      <w:pPr>
        <w:pStyle w:val="TOC5"/>
      </w:pPr>
      <w:r>
        <w:tab/>
        <w:t>16</w:t>
      </w:r>
      <w:r>
        <w:tab/>
        <w:t>Water closets and urinals</w:t>
      </w:r>
      <w:r>
        <w:tab/>
      </w:r>
      <w:r>
        <w:fldChar w:fldCharType="begin"/>
      </w:r>
      <w:r>
        <w:instrText xml:space="preserve"> PAGEREF _Toc515702454 \h </w:instrText>
      </w:r>
      <w:r>
        <w:fldChar w:fldCharType="separate"/>
      </w:r>
      <w:r w:rsidR="00934D7B">
        <w:t>9</w:t>
      </w:r>
      <w:r>
        <w:fldChar w:fldCharType="end"/>
      </w:r>
    </w:p>
    <w:p w:rsidR="00202FD5" w:rsidRDefault="00202FD5">
      <w:pPr>
        <w:pStyle w:val="TOC2"/>
      </w:pPr>
      <w:r>
        <w:t>Part 3</w:t>
      </w:r>
      <w:r>
        <w:tab/>
        <w:t>Water supply</w:t>
      </w:r>
    </w:p>
    <w:p w:rsidR="00202FD5" w:rsidRDefault="00202FD5">
      <w:pPr>
        <w:pStyle w:val="TOC5"/>
      </w:pPr>
      <w:r>
        <w:tab/>
        <w:t>17</w:t>
      </w:r>
      <w:r>
        <w:tab/>
        <w:t>Notice about work on water service</w:t>
      </w:r>
      <w:r>
        <w:tab/>
      </w:r>
      <w:r>
        <w:fldChar w:fldCharType="begin"/>
      </w:r>
      <w:r>
        <w:instrText xml:space="preserve"> PAGEREF _Toc515702456 \h </w:instrText>
      </w:r>
      <w:r>
        <w:fldChar w:fldCharType="separate"/>
      </w:r>
      <w:r w:rsidR="00934D7B">
        <w:t>12</w:t>
      </w:r>
      <w:r>
        <w:fldChar w:fldCharType="end"/>
      </w:r>
    </w:p>
    <w:p w:rsidR="00202FD5" w:rsidRDefault="00202FD5">
      <w:pPr>
        <w:pStyle w:val="TOC5"/>
      </w:pPr>
      <w:r>
        <w:tab/>
        <w:t>18</w:t>
      </w:r>
      <w:r>
        <w:tab/>
        <w:t>Work to conform to standard</w:t>
      </w:r>
      <w:r>
        <w:tab/>
      </w:r>
      <w:r>
        <w:fldChar w:fldCharType="begin"/>
      </w:r>
      <w:r>
        <w:instrText xml:space="preserve"> PAGEREF _Toc515702457 \h </w:instrText>
      </w:r>
      <w:r>
        <w:fldChar w:fldCharType="separate"/>
      </w:r>
      <w:r w:rsidR="00934D7B">
        <w:t>12</w:t>
      </w:r>
      <w:r>
        <w:fldChar w:fldCharType="end"/>
      </w:r>
    </w:p>
    <w:p w:rsidR="00202FD5" w:rsidRDefault="00202FD5">
      <w:pPr>
        <w:pStyle w:val="TOC5"/>
      </w:pPr>
      <w:r>
        <w:tab/>
        <w:t>19</w:t>
      </w:r>
      <w:r>
        <w:tab/>
        <w:t>Inspection of work etc</w:t>
      </w:r>
      <w:r>
        <w:tab/>
      </w:r>
      <w:r>
        <w:fldChar w:fldCharType="begin"/>
      </w:r>
      <w:r>
        <w:instrText xml:space="preserve"> PAGEREF _Toc515702458 \h </w:instrText>
      </w:r>
      <w:r>
        <w:fldChar w:fldCharType="separate"/>
      </w:r>
      <w:r w:rsidR="00934D7B">
        <w:t>13</w:t>
      </w:r>
      <w:r>
        <w:fldChar w:fldCharType="end"/>
      </w:r>
    </w:p>
    <w:p w:rsidR="00202FD5" w:rsidRDefault="00202FD5">
      <w:pPr>
        <w:pStyle w:val="TOC5"/>
      </w:pPr>
      <w:r>
        <w:tab/>
        <w:t>20</w:t>
      </w:r>
      <w:r>
        <w:tab/>
        <w:t>Testing of water plumbing</w:t>
      </w:r>
      <w:r>
        <w:tab/>
      </w:r>
      <w:r>
        <w:fldChar w:fldCharType="begin"/>
      </w:r>
      <w:r>
        <w:instrText xml:space="preserve"> PAGEREF _Toc515702459 \h </w:instrText>
      </w:r>
      <w:r>
        <w:fldChar w:fldCharType="separate"/>
      </w:r>
      <w:r w:rsidR="00934D7B">
        <w:t>13</w:t>
      </w:r>
      <w:r>
        <w:fldChar w:fldCharType="end"/>
      </w:r>
    </w:p>
    <w:p w:rsidR="00202FD5" w:rsidRDefault="00202FD5">
      <w:pPr>
        <w:pStyle w:val="TOC5"/>
      </w:pPr>
      <w:r>
        <w:tab/>
        <w:t>21</w:t>
      </w:r>
      <w:r>
        <w:tab/>
        <w:t>Notification after completion of work—water services</w:t>
      </w:r>
      <w:r>
        <w:tab/>
      </w:r>
      <w:r>
        <w:fldChar w:fldCharType="begin"/>
      </w:r>
      <w:r>
        <w:instrText xml:space="preserve"> PAGEREF _Toc515702460 \h </w:instrText>
      </w:r>
      <w:r>
        <w:fldChar w:fldCharType="separate"/>
      </w:r>
      <w:r w:rsidR="00934D7B">
        <w:t>14</w:t>
      </w:r>
      <w:r>
        <w:fldChar w:fldCharType="end"/>
      </w:r>
    </w:p>
    <w:p w:rsidR="00202FD5" w:rsidRDefault="00202FD5">
      <w:pPr>
        <w:pStyle w:val="TOC5"/>
      </w:pPr>
      <w:r>
        <w:tab/>
        <w:t>22</w:t>
      </w:r>
      <w:r>
        <w:tab/>
        <w:t>Backflow prevention device</w:t>
      </w:r>
      <w:r>
        <w:tab/>
      </w:r>
      <w:r>
        <w:fldChar w:fldCharType="begin"/>
      </w:r>
      <w:r>
        <w:instrText xml:space="preserve"> PAGEREF _Toc515702461 \h </w:instrText>
      </w:r>
      <w:r>
        <w:fldChar w:fldCharType="separate"/>
      </w:r>
      <w:r w:rsidR="00934D7B">
        <w:t>14</w:t>
      </w:r>
      <w:r>
        <w:fldChar w:fldCharType="end"/>
      </w:r>
    </w:p>
    <w:p w:rsidR="00202FD5" w:rsidRDefault="00202FD5">
      <w:pPr>
        <w:pStyle w:val="TOC5"/>
      </w:pPr>
      <w:r>
        <w:tab/>
        <w:t>23</w:t>
      </w:r>
      <w:r>
        <w:tab/>
        <w:t>Water pumping appliance not to be connected without permission</w:t>
      </w:r>
      <w:r>
        <w:tab/>
      </w:r>
      <w:r>
        <w:fldChar w:fldCharType="begin"/>
      </w:r>
      <w:r>
        <w:instrText xml:space="preserve"> PAGEREF _Toc515702462 \h </w:instrText>
      </w:r>
      <w:r>
        <w:fldChar w:fldCharType="separate"/>
      </w:r>
      <w:r w:rsidR="00934D7B">
        <w:t>16</w:t>
      </w:r>
      <w:r>
        <w:fldChar w:fldCharType="end"/>
      </w:r>
    </w:p>
    <w:p w:rsidR="00202FD5" w:rsidRDefault="00202FD5">
      <w:pPr>
        <w:pStyle w:val="TOC5"/>
      </w:pPr>
      <w:r>
        <w:tab/>
        <w:t>24</w:t>
      </w:r>
      <w:r>
        <w:tab/>
        <w:t>Connecting pipe with steam-boilers</w:t>
      </w:r>
      <w:r>
        <w:tab/>
      </w:r>
      <w:r>
        <w:fldChar w:fldCharType="begin"/>
      </w:r>
      <w:r>
        <w:instrText xml:space="preserve"> PAGEREF _Toc515702463 \h </w:instrText>
      </w:r>
      <w:r>
        <w:fldChar w:fldCharType="separate"/>
      </w:r>
      <w:r w:rsidR="00934D7B">
        <w:t>16</w:t>
      </w:r>
      <w:r>
        <w:fldChar w:fldCharType="end"/>
      </w:r>
    </w:p>
    <w:p w:rsidR="00202FD5" w:rsidRDefault="00202FD5">
      <w:pPr>
        <w:pStyle w:val="TOC2"/>
      </w:pPr>
      <w:r>
        <w:t>Part 4</w:t>
      </w:r>
      <w:r>
        <w:tab/>
        <w:t>Miscellaneous</w:t>
      </w:r>
    </w:p>
    <w:p w:rsidR="00202FD5" w:rsidRDefault="00202FD5">
      <w:pPr>
        <w:pStyle w:val="TOC5"/>
      </w:pPr>
      <w:r>
        <w:tab/>
        <w:t>25</w:t>
      </w:r>
      <w:r>
        <w:tab/>
        <w:t>Certificate of compliance</w:t>
      </w:r>
      <w:r>
        <w:tab/>
      </w:r>
      <w:r>
        <w:fldChar w:fldCharType="begin"/>
      </w:r>
      <w:r>
        <w:instrText xml:space="preserve"> PAGEREF _Toc515702465 \h </w:instrText>
      </w:r>
      <w:r>
        <w:fldChar w:fldCharType="separate"/>
      </w:r>
      <w:r w:rsidR="00934D7B">
        <w:t>18</w:t>
      </w:r>
      <w:r>
        <w:fldChar w:fldCharType="end"/>
      </w:r>
    </w:p>
    <w:p w:rsidR="00202FD5" w:rsidRDefault="00202FD5">
      <w:pPr>
        <w:pStyle w:val="TOC5"/>
      </w:pPr>
      <w:r>
        <w:tab/>
        <w:t>26</w:t>
      </w:r>
      <w:r>
        <w:tab/>
        <w:t>Notice of decisions</w:t>
      </w:r>
      <w:r>
        <w:tab/>
      </w:r>
      <w:r>
        <w:fldChar w:fldCharType="begin"/>
      </w:r>
      <w:r>
        <w:instrText xml:space="preserve"> PAGEREF _Toc515702466 \h </w:instrText>
      </w:r>
      <w:r>
        <w:fldChar w:fldCharType="separate"/>
      </w:r>
      <w:r w:rsidR="00934D7B">
        <w:t>18</w:t>
      </w:r>
      <w:r>
        <w:fldChar w:fldCharType="end"/>
      </w:r>
    </w:p>
    <w:p w:rsidR="00202FD5" w:rsidRDefault="00202FD5">
      <w:pPr>
        <w:pStyle w:val="TOC5"/>
      </w:pPr>
      <w:r>
        <w:tab/>
        <w:t>27</w:t>
      </w:r>
      <w:r>
        <w:tab/>
        <w:t>Review of decisions</w:t>
      </w:r>
      <w:r>
        <w:tab/>
      </w:r>
      <w:r>
        <w:fldChar w:fldCharType="begin"/>
      </w:r>
      <w:r>
        <w:instrText xml:space="preserve"> PAGEREF _Toc515702467 \h </w:instrText>
      </w:r>
      <w:r>
        <w:fldChar w:fldCharType="separate"/>
      </w:r>
      <w:r w:rsidR="00934D7B">
        <w:t>18</w:t>
      </w:r>
      <w:r>
        <w:fldChar w:fldCharType="end"/>
      </w:r>
    </w:p>
    <w:p w:rsidR="00202FD5" w:rsidRDefault="00202FD5">
      <w:pPr>
        <w:pStyle w:val="TOC6"/>
      </w:pPr>
      <w:r>
        <w:t>Dictionary</w:t>
      </w:r>
      <w:r>
        <w:tab/>
      </w:r>
      <w:r>
        <w:tab/>
      </w:r>
      <w:r>
        <w:rPr>
          <w:b w:val="0"/>
          <w:sz w:val="20"/>
        </w:rPr>
        <w:fldChar w:fldCharType="begin"/>
      </w:r>
      <w:r>
        <w:rPr>
          <w:b w:val="0"/>
          <w:sz w:val="20"/>
        </w:rPr>
        <w:instrText xml:space="preserve"> PAGEREF _Toc515702468 \h </w:instrText>
      </w:r>
      <w:r>
        <w:rPr>
          <w:b w:val="0"/>
          <w:sz w:val="20"/>
        </w:rPr>
      </w:r>
      <w:r>
        <w:rPr>
          <w:b w:val="0"/>
          <w:sz w:val="20"/>
        </w:rPr>
        <w:fldChar w:fldCharType="separate"/>
      </w:r>
      <w:r w:rsidR="00934D7B">
        <w:rPr>
          <w:b w:val="0"/>
          <w:sz w:val="20"/>
        </w:rPr>
        <w:t>19</w:t>
      </w:r>
      <w:r>
        <w:rPr>
          <w:b w:val="0"/>
          <w:sz w:val="20"/>
        </w:rPr>
        <w:fldChar w:fldCharType="end"/>
      </w:r>
    </w:p>
    <w:p w:rsidR="00202FD5" w:rsidRDefault="00202FD5">
      <w:pPr>
        <w:pStyle w:val="TOC7"/>
        <w:spacing w:before="480"/>
      </w:pPr>
      <w:r>
        <w:t>Endnotes</w:t>
      </w:r>
    </w:p>
    <w:p w:rsidR="00202FD5" w:rsidRDefault="00202FD5">
      <w:pPr>
        <w:pStyle w:val="TOC5"/>
      </w:pPr>
      <w:r>
        <w:tab/>
        <w:t>1</w:t>
      </w:r>
      <w:r>
        <w:tab/>
        <w:t>About the endnotes</w:t>
      </w:r>
      <w:r>
        <w:tab/>
      </w:r>
      <w:r>
        <w:fldChar w:fldCharType="begin"/>
      </w:r>
      <w:r>
        <w:instrText xml:space="preserve"> PAGEREF _Toc515702470 \h </w:instrText>
      </w:r>
      <w:r>
        <w:fldChar w:fldCharType="separate"/>
      </w:r>
      <w:r w:rsidR="00934D7B">
        <w:t>20</w:t>
      </w:r>
      <w:r>
        <w:fldChar w:fldCharType="end"/>
      </w:r>
    </w:p>
    <w:p w:rsidR="00202FD5" w:rsidRDefault="00202FD5">
      <w:pPr>
        <w:pStyle w:val="TOC5"/>
      </w:pPr>
      <w:r>
        <w:tab/>
        <w:t>2</w:t>
      </w:r>
      <w:r>
        <w:tab/>
        <w:t>Abbreviation key</w:t>
      </w:r>
      <w:r>
        <w:tab/>
      </w:r>
      <w:r>
        <w:fldChar w:fldCharType="begin"/>
      </w:r>
      <w:r>
        <w:instrText xml:space="preserve"> PAGEREF _Toc515702471 \h </w:instrText>
      </w:r>
      <w:r>
        <w:fldChar w:fldCharType="separate"/>
      </w:r>
      <w:r w:rsidR="00934D7B">
        <w:t>20</w:t>
      </w:r>
      <w:r>
        <w:fldChar w:fldCharType="end"/>
      </w:r>
    </w:p>
    <w:p w:rsidR="00202FD5" w:rsidRDefault="00202FD5">
      <w:pPr>
        <w:pStyle w:val="TOC5"/>
      </w:pPr>
      <w:r>
        <w:tab/>
        <w:t>3</w:t>
      </w:r>
      <w:r>
        <w:tab/>
        <w:t>Legislation history</w:t>
      </w:r>
      <w:r>
        <w:tab/>
      </w:r>
      <w:r>
        <w:fldChar w:fldCharType="begin"/>
      </w:r>
      <w:r>
        <w:instrText xml:space="preserve"> PAGEREF _Toc515702472 \h </w:instrText>
      </w:r>
      <w:r>
        <w:fldChar w:fldCharType="separate"/>
      </w:r>
      <w:r w:rsidR="00934D7B">
        <w:t>21</w:t>
      </w:r>
      <w:r>
        <w:fldChar w:fldCharType="end"/>
      </w:r>
    </w:p>
    <w:p w:rsidR="00202FD5" w:rsidRDefault="00202FD5">
      <w:pPr>
        <w:pStyle w:val="BillBasic0"/>
      </w:pPr>
      <w:r>
        <w:fldChar w:fldCharType="end"/>
      </w:r>
    </w:p>
    <w:p w:rsidR="00202FD5" w:rsidRDefault="00202FD5"/>
    <w:p w:rsidR="00202FD5" w:rsidRDefault="00202FD5">
      <w:pPr>
        <w:pStyle w:val="01Contents"/>
        <w:sectPr w:rsidR="00202FD5">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202FD5" w:rsidRDefault="00202FD5">
      <w:pPr>
        <w:jc w:val="right"/>
        <w:rPr>
          <w:rFonts w:ascii="Arial" w:hAnsi="Arial"/>
          <w:sz w:val="20"/>
        </w:rPr>
      </w:pPr>
      <w:r>
        <w:rPr>
          <w:rFonts w:ascii="Arial" w:hAnsi="Arial"/>
          <w:sz w:val="20"/>
        </w:rPr>
        <w:lastRenderedPageBreak/>
        <w:t>As in force on</w:t>
      </w:r>
      <w:r>
        <w:rPr>
          <w:rFonts w:ascii="Arial" w:hAnsi="Arial"/>
          <w:sz w:val="20"/>
        </w:rPr>
        <w:br/>
      </w:r>
      <w:r w:rsidR="00C2226F">
        <w:rPr>
          <w:rFonts w:ascii="Arial" w:hAnsi="Arial"/>
          <w:sz w:val="20"/>
        </w:rPr>
        <w:t>15 June 2001</w:t>
      </w:r>
    </w:p>
    <w:p w:rsidR="00202FD5" w:rsidRDefault="00202FD5">
      <w:pPr>
        <w:jc w:val="center"/>
        <w:rPr>
          <w:sz w:val="16"/>
        </w:rPr>
      </w:pPr>
    </w:p>
    <w:p w:rsidR="00C2226F" w:rsidRDefault="00C2226F" w:rsidP="00C2226F">
      <w:pPr>
        <w:jc w:val="center"/>
      </w:pPr>
      <w:r>
        <w:rPr>
          <w:noProof/>
        </w:rPr>
        <w:drawing>
          <wp:inline distT="0" distB="0" distL="0" distR="0" wp14:anchorId="16464774" wp14:editId="212FEC02">
            <wp:extent cx="1333500" cy="1181100"/>
            <wp:effectExtent l="19050" t="0" r="0" b="0"/>
            <wp:docPr id="4"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226F" w:rsidRDefault="00C2226F" w:rsidP="00C2226F">
      <w:pPr>
        <w:jc w:val="center"/>
        <w:rPr>
          <w:rFonts w:ascii="Arial" w:hAnsi="Arial"/>
        </w:rPr>
      </w:pPr>
      <w:r>
        <w:rPr>
          <w:rFonts w:ascii="Arial" w:hAnsi="Arial"/>
        </w:rPr>
        <w:t>Australian Capital Territory</w:t>
      </w:r>
    </w:p>
    <w:p w:rsidR="00C2226F" w:rsidRDefault="00C2226F" w:rsidP="00C2226F">
      <w:pPr>
        <w:spacing w:before="240"/>
        <w:jc w:val="center"/>
      </w:pPr>
    </w:p>
    <w:p w:rsidR="00202FD5" w:rsidRDefault="00202FD5">
      <w:pPr>
        <w:pStyle w:val="Billname"/>
      </w:pPr>
      <w:r>
        <w:t>Water and Sewerage Regulations</w:t>
      </w:r>
      <w:r w:rsidR="00934D7B">
        <w:t> </w:t>
      </w:r>
      <w:r>
        <w:t xml:space="preserve">2001     </w:t>
      </w:r>
    </w:p>
    <w:p w:rsidR="00202FD5" w:rsidRDefault="00202FD5">
      <w:pPr>
        <w:spacing w:before="240" w:after="60"/>
        <w:rPr>
          <w:rFonts w:ascii="Arial" w:hAnsi="Arial"/>
        </w:rPr>
      </w:pPr>
    </w:p>
    <w:p w:rsidR="00202FD5" w:rsidRDefault="00202FD5">
      <w:pPr>
        <w:pStyle w:val="N-line3"/>
      </w:pPr>
    </w:p>
    <w:p w:rsidR="00202FD5" w:rsidRDefault="00202FD5">
      <w:pPr>
        <w:pStyle w:val="CoverInForce"/>
      </w:pPr>
      <w:r>
        <w:t>made under the</w:t>
      </w:r>
    </w:p>
    <w:p w:rsidR="00202FD5" w:rsidRDefault="00202FD5">
      <w:pPr>
        <w:pStyle w:val="CoverActName"/>
      </w:pPr>
      <w:bookmarkStart w:id="2" w:name="ActName"/>
      <w:r>
        <w:t>Water and Sewerage Act 2000</w:t>
      </w:r>
      <w:bookmarkEnd w:id="2"/>
    </w:p>
    <w:p w:rsidR="00202FD5" w:rsidRDefault="00202FD5">
      <w:pPr>
        <w:pStyle w:val="N-line3"/>
      </w:pPr>
    </w:p>
    <w:p w:rsidR="00202FD5" w:rsidRDefault="00202FD5"/>
    <w:p w:rsidR="00202FD5" w:rsidRDefault="00202FD5">
      <w:pPr>
        <w:pStyle w:val="Placeholder"/>
      </w:pPr>
      <w:r>
        <w:rPr>
          <w:rStyle w:val="CharChapNo"/>
        </w:rPr>
        <w:t xml:space="preserve">  </w:t>
      </w:r>
      <w:r>
        <w:rPr>
          <w:rStyle w:val="CharChapText"/>
        </w:rPr>
        <w:t xml:space="preserve">  </w:t>
      </w:r>
    </w:p>
    <w:p w:rsidR="00202FD5" w:rsidRDefault="00202FD5">
      <w:pPr>
        <w:pStyle w:val="Placeholder"/>
      </w:pPr>
      <w:r>
        <w:rPr>
          <w:rStyle w:val="CharPartNo"/>
        </w:rPr>
        <w:t xml:space="preserve">  </w:t>
      </w:r>
      <w:r>
        <w:rPr>
          <w:rStyle w:val="CharPartText"/>
        </w:rPr>
        <w:t xml:space="preserve">  </w:t>
      </w:r>
    </w:p>
    <w:p w:rsidR="00202FD5" w:rsidRDefault="00202FD5">
      <w:pPr>
        <w:pStyle w:val="Placeholder"/>
      </w:pPr>
      <w:r>
        <w:rPr>
          <w:rStyle w:val="CharDivNo"/>
        </w:rPr>
        <w:t xml:space="preserve">  </w:t>
      </w:r>
      <w:r>
        <w:rPr>
          <w:rStyle w:val="CharDivText"/>
        </w:rPr>
        <w:t xml:space="preserve">  </w:t>
      </w:r>
    </w:p>
    <w:p w:rsidR="00202FD5" w:rsidRDefault="00202FD5">
      <w:pPr>
        <w:pStyle w:val="Placeholder"/>
      </w:pPr>
      <w:r>
        <w:rPr>
          <w:rStyle w:val="CharSectNo"/>
        </w:rPr>
        <w:t xml:space="preserve">  </w:t>
      </w:r>
    </w:p>
    <w:p w:rsidR="00202FD5" w:rsidRDefault="00202FD5">
      <w:pPr>
        <w:pStyle w:val="PageBreak"/>
      </w:pPr>
      <w:r>
        <w:br w:type="page"/>
      </w:r>
    </w:p>
    <w:p w:rsidR="00202FD5" w:rsidRDefault="00202FD5">
      <w:pPr>
        <w:pStyle w:val="AH2Part"/>
      </w:pPr>
      <w:bookmarkStart w:id="3" w:name="_Toc515702437"/>
      <w:r>
        <w:rPr>
          <w:rStyle w:val="CharPartNo"/>
        </w:rPr>
        <w:lastRenderedPageBreak/>
        <w:t>Part 1</w:t>
      </w:r>
      <w:r>
        <w:tab/>
      </w:r>
      <w:r>
        <w:rPr>
          <w:rStyle w:val="CharPartText"/>
        </w:rPr>
        <w:t>Preliminary</w:t>
      </w:r>
      <w:bookmarkEnd w:id="3"/>
    </w:p>
    <w:p w:rsidR="00202FD5" w:rsidRDefault="00202FD5">
      <w:pPr>
        <w:pStyle w:val="Placeholder"/>
      </w:pPr>
      <w:r>
        <w:rPr>
          <w:rStyle w:val="CharDivNo"/>
        </w:rPr>
        <w:t xml:space="preserve">  </w:t>
      </w:r>
      <w:r>
        <w:rPr>
          <w:rStyle w:val="CharDivText"/>
        </w:rPr>
        <w:t xml:space="preserve">  </w:t>
      </w:r>
    </w:p>
    <w:p w:rsidR="00202FD5" w:rsidRDefault="00202FD5">
      <w:pPr>
        <w:pStyle w:val="AH5Sec"/>
      </w:pPr>
      <w:bookmarkStart w:id="4" w:name="_Toc515702438"/>
      <w:r>
        <w:rPr>
          <w:rStyle w:val="CharSectNo"/>
        </w:rPr>
        <w:t>1</w:t>
      </w:r>
      <w:r>
        <w:tab/>
        <w:t>Name of regulations</w:t>
      </w:r>
      <w:bookmarkEnd w:id="4"/>
    </w:p>
    <w:p w:rsidR="00202FD5" w:rsidRDefault="00202FD5">
      <w:pPr>
        <w:pStyle w:val="Amainreturn"/>
      </w:pPr>
      <w:r>
        <w:t xml:space="preserve">These regulations are the </w:t>
      </w:r>
      <w:r>
        <w:rPr>
          <w:i/>
        </w:rPr>
        <w:t>Water and Sewerage Regulations 2001</w:t>
      </w:r>
      <w:r>
        <w:t>.</w:t>
      </w:r>
    </w:p>
    <w:p w:rsidR="00202FD5" w:rsidRDefault="00202FD5">
      <w:pPr>
        <w:pStyle w:val="AH5Sec"/>
      </w:pPr>
      <w:bookmarkStart w:id="5" w:name="_Toc515702439"/>
      <w:r>
        <w:rPr>
          <w:rStyle w:val="CharSectNo"/>
        </w:rPr>
        <w:t>2</w:t>
      </w:r>
      <w:r>
        <w:tab/>
        <w:t>Commencement</w:t>
      </w:r>
      <w:bookmarkEnd w:id="5"/>
    </w:p>
    <w:p w:rsidR="00202FD5" w:rsidRDefault="00202FD5">
      <w:pPr>
        <w:pStyle w:val="Amainreturn"/>
      </w:pPr>
      <w:r>
        <w:t>These regulations commence on a day fixed by the Minister by notice in the Gazette.</w:t>
      </w:r>
    </w:p>
    <w:p w:rsidR="00202FD5" w:rsidRDefault="00202FD5">
      <w:pPr>
        <w:pStyle w:val="aNote"/>
      </w:pPr>
      <w:r>
        <w:rPr>
          <w:i/>
        </w:rPr>
        <w:t>Note 1</w:t>
      </w:r>
      <w:r>
        <w:rPr>
          <w:i/>
        </w:rPr>
        <w:tab/>
      </w:r>
      <w:r>
        <w:tab/>
        <w:t xml:space="preserve">Those provisions of regulations that provide for the name and commencement of the regulations automatically commence on the date of notification of the regulations (see </w:t>
      </w:r>
      <w:r>
        <w:rPr>
          <w:i/>
        </w:rPr>
        <w:t>Interpretation Act 1967</w:t>
      </w:r>
      <w:r>
        <w:t xml:space="preserve">, s 10B, as applied by </w:t>
      </w:r>
      <w:r>
        <w:rPr>
          <w:i/>
        </w:rPr>
        <w:t>Subordinate Laws Act 1989</w:t>
      </w:r>
      <w:r>
        <w:t>, s 9).</w:t>
      </w:r>
    </w:p>
    <w:p w:rsidR="00202FD5" w:rsidRDefault="00202FD5">
      <w:pPr>
        <w:pStyle w:val="aNote"/>
      </w:pPr>
      <w:r>
        <w:rPr>
          <w:i/>
        </w:rPr>
        <w:t>Note 2</w:t>
      </w:r>
      <w:r>
        <w:t> </w:t>
      </w:r>
      <w:r>
        <w:tab/>
        <w:t xml:space="preserve">A single day or time may be fixed, or different days or times may be fixed for the commencement of different provisions (see </w:t>
      </w:r>
      <w:r>
        <w:rPr>
          <w:i/>
        </w:rPr>
        <w:t>Interpretation Act 1967</w:t>
      </w:r>
      <w:r>
        <w:t xml:space="preserve">, s 10C (1), as applied by </w:t>
      </w:r>
      <w:r>
        <w:rPr>
          <w:i/>
        </w:rPr>
        <w:t>Subordinate Laws Act 1989</w:t>
      </w:r>
      <w:r>
        <w:t>, s 9).</w:t>
      </w:r>
    </w:p>
    <w:p w:rsidR="00202FD5" w:rsidRDefault="00202FD5">
      <w:pPr>
        <w:pStyle w:val="aNote"/>
      </w:pPr>
      <w:r>
        <w:rPr>
          <w:i/>
        </w:rPr>
        <w:t>Note 3</w:t>
      </w:r>
      <w:r>
        <w:t> </w:t>
      </w:r>
      <w:r>
        <w:tab/>
        <w:t xml:space="preserve">If a provision has not commenced within 6 months beginning on the date of notification of the regulations, it automatically commences on the first day after that period (see </w:t>
      </w:r>
      <w:r>
        <w:rPr>
          <w:i/>
        </w:rPr>
        <w:t>Interpretation Act 1967</w:t>
      </w:r>
      <w:r>
        <w:t xml:space="preserve">, s 10E (2), as applied by </w:t>
      </w:r>
      <w:r>
        <w:rPr>
          <w:i/>
        </w:rPr>
        <w:t>Subordinate Laws Act 1989</w:t>
      </w:r>
      <w:r>
        <w:t>, s 9).</w:t>
      </w:r>
    </w:p>
    <w:p w:rsidR="00202FD5" w:rsidRDefault="00202FD5">
      <w:pPr>
        <w:pStyle w:val="AH5Sec"/>
      </w:pPr>
      <w:bookmarkStart w:id="6" w:name="_Toc515702440"/>
      <w:r>
        <w:rPr>
          <w:rStyle w:val="CharSectNo"/>
        </w:rPr>
        <w:t>3</w:t>
      </w:r>
      <w:r>
        <w:tab/>
        <w:t>Dictionary</w:t>
      </w:r>
      <w:bookmarkEnd w:id="6"/>
    </w:p>
    <w:p w:rsidR="00202FD5" w:rsidRDefault="00202FD5">
      <w:pPr>
        <w:pStyle w:val="Amainreturn"/>
      </w:pPr>
      <w:r>
        <w:t>The dictionary at the end of these regulations is part of these regulations.</w:t>
      </w:r>
    </w:p>
    <w:p w:rsidR="00202FD5" w:rsidRDefault="00202FD5">
      <w:pPr>
        <w:pStyle w:val="aNote"/>
      </w:pPr>
      <w:r>
        <w:rPr>
          <w:i/>
        </w:rPr>
        <w:t>Note 1</w:t>
      </w:r>
      <w:r>
        <w:tab/>
        <w:t>The dictionary at the end of these regulations defines certain words and expressions used in these regulations.</w:t>
      </w:r>
    </w:p>
    <w:p w:rsidR="00202FD5" w:rsidRDefault="00202FD5">
      <w:pPr>
        <w:pStyle w:val="aNote"/>
      </w:pPr>
      <w:r>
        <w:rPr>
          <w:i/>
        </w:rPr>
        <w:t>Note 2</w:t>
      </w:r>
      <w:r>
        <w:tab/>
        <w:t xml:space="preserve">A definition in the dictionary applies to the entire regulations unless the definition, or another provision of the regulations, provides otherwise or the contrary intention otherwise appears (see </w:t>
      </w:r>
      <w:r>
        <w:rPr>
          <w:i/>
        </w:rPr>
        <w:t>Interpretation Act 1967</w:t>
      </w:r>
      <w:r>
        <w:t>, s 11F and s 11G).</w:t>
      </w:r>
    </w:p>
    <w:p w:rsidR="00202FD5" w:rsidRDefault="00202FD5">
      <w:pPr>
        <w:pStyle w:val="AH5Sec"/>
      </w:pPr>
      <w:bookmarkStart w:id="7" w:name="_Toc515702441"/>
      <w:r>
        <w:rPr>
          <w:rStyle w:val="CharSectNo"/>
        </w:rPr>
        <w:t>4</w:t>
      </w:r>
      <w:r>
        <w:tab/>
        <w:t>Notes</w:t>
      </w:r>
      <w:bookmarkEnd w:id="7"/>
    </w:p>
    <w:p w:rsidR="00202FD5" w:rsidRDefault="00202FD5">
      <w:pPr>
        <w:pStyle w:val="Amainreturn"/>
      </w:pPr>
      <w:r>
        <w:t>A note included in these regulations is explanatory and is not part of these regulations.</w:t>
      </w:r>
    </w:p>
    <w:p w:rsidR="00202FD5" w:rsidRDefault="00202FD5">
      <w:pPr>
        <w:pStyle w:val="aNote"/>
      </w:pPr>
      <w:r>
        <w:rPr>
          <w:i/>
        </w:rPr>
        <w:t>Note</w:t>
      </w:r>
      <w:r>
        <w:tab/>
        <w:t xml:space="preserve">See </w:t>
      </w:r>
      <w:r>
        <w:rPr>
          <w:i/>
        </w:rPr>
        <w:t>Interpretation Act 1967</w:t>
      </w:r>
      <w:r>
        <w:t xml:space="preserve">, s 12 (1), (4) and (5) as applied by the </w:t>
      </w:r>
      <w:r>
        <w:rPr>
          <w:i/>
        </w:rPr>
        <w:t>Subordinate Laws Act 1989</w:t>
      </w:r>
      <w:r>
        <w:t>, s 9 for the legal status of notes.</w:t>
      </w:r>
    </w:p>
    <w:p w:rsidR="00202FD5" w:rsidRDefault="00202FD5">
      <w:pPr>
        <w:pStyle w:val="AH5Sec"/>
      </w:pPr>
      <w:bookmarkStart w:id="8" w:name="_Toc515702442"/>
      <w:r>
        <w:rPr>
          <w:rStyle w:val="CharSectNo"/>
        </w:rPr>
        <w:lastRenderedPageBreak/>
        <w:t>5</w:t>
      </w:r>
      <w:r>
        <w:tab/>
        <w:t>Construction of standards consistent with the regulations</w:t>
      </w:r>
      <w:bookmarkEnd w:id="8"/>
      <w:r>
        <w:t xml:space="preserve"> </w:t>
      </w:r>
    </w:p>
    <w:p w:rsidR="00202FD5" w:rsidRDefault="00202FD5">
      <w:pPr>
        <w:pStyle w:val="Amain"/>
      </w:pPr>
      <w:r>
        <w:tab/>
        <w:t>(1)</w:t>
      </w:r>
      <w:r>
        <w:tab/>
        <w:t>The standards mentioned in these regulations are to be applied in a way that is consistent with these regulations, unless the contrary appears from these regulations.</w:t>
      </w:r>
    </w:p>
    <w:p w:rsidR="00202FD5" w:rsidRDefault="00202FD5">
      <w:pPr>
        <w:pStyle w:val="Amain"/>
      </w:pPr>
      <w:r>
        <w:tab/>
        <w:t>(2)</w:t>
      </w:r>
      <w:r>
        <w:tab/>
        <w:t>A standard is to be taken to be consistent with these regulations to the extent that it is capable of operating concurrently with these regulations.</w:t>
      </w:r>
    </w:p>
    <w:p w:rsidR="00202FD5" w:rsidRDefault="00202FD5">
      <w:pPr>
        <w:pStyle w:val="PageBreak"/>
      </w:pPr>
      <w:r>
        <w:br w:type="page"/>
      </w:r>
    </w:p>
    <w:p w:rsidR="00202FD5" w:rsidRDefault="00202FD5">
      <w:pPr>
        <w:pStyle w:val="AH2Part"/>
      </w:pPr>
      <w:bookmarkStart w:id="9" w:name="_Toc515702443"/>
      <w:r>
        <w:rPr>
          <w:rStyle w:val="CharPartNo"/>
        </w:rPr>
        <w:lastRenderedPageBreak/>
        <w:t>Part 2</w:t>
      </w:r>
      <w:r>
        <w:tab/>
      </w:r>
      <w:r>
        <w:rPr>
          <w:rStyle w:val="CharPartText"/>
        </w:rPr>
        <w:t>Sanitary plumbing and sanitary drainage</w:t>
      </w:r>
      <w:bookmarkEnd w:id="9"/>
    </w:p>
    <w:p w:rsidR="00202FD5" w:rsidRDefault="00202FD5">
      <w:pPr>
        <w:pStyle w:val="Placeholder"/>
      </w:pPr>
      <w:r>
        <w:rPr>
          <w:rStyle w:val="CharDivNo"/>
        </w:rPr>
        <w:t xml:space="preserve">  </w:t>
      </w:r>
      <w:r>
        <w:rPr>
          <w:rStyle w:val="CharDivText"/>
        </w:rPr>
        <w:t xml:space="preserve">  </w:t>
      </w:r>
    </w:p>
    <w:p w:rsidR="00202FD5" w:rsidRDefault="00202FD5">
      <w:pPr>
        <w:pStyle w:val="AH5Sec"/>
      </w:pPr>
      <w:bookmarkStart w:id="10" w:name="_Toc515702444"/>
      <w:r>
        <w:rPr>
          <w:rStyle w:val="CharSectNo"/>
        </w:rPr>
        <w:t>6</w:t>
      </w:r>
      <w:r>
        <w:tab/>
        <w:t>Work to conform to standard</w:t>
      </w:r>
      <w:bookmarkEnd w:id="10"/>
    </w:p>
    <w:p w:rsidR="00202FD5" w:rsidRDefault="00202FD5">
      <w:pPr>
        <w:pStyle w:val="Amain"/>
      </w:pPr>
      <w:r>
        <w:tab/>
        <w:t>(1)</w:t>
      </w:r>
      <w:r>
        <w:tab/>
        <w:t>A person must not do work on a sanitary plumbing system or sanitary drainage system that communicates with the sewerage system unless the work is done in accordance with the requirements of Australian Standard 3500.</w:t>
      </w:r>
    </w:p>
    <w:p w:rsidR="00202FD5" w:rsidRDefault="00202FD5">
      <w:pPr>
        <w:pStyle w:val="Amainreturn"/>
      </w:pPr>
      <w:r>
        <w:t>Maximum penalty:  10 penalty units.</w:t>
      </w:r>
    </w:p>
    <w:p w:rsidR="00202FD5" w:rsidRDefault="00202FD5">
      <w:pPr>
        <w:pStyle w:val="Amain"/>
      </w:pPr>
      <w:r>
        <w:tab/>
        <w:t>(2)</w:t>
      </w:r>
      <w:r>
        <w:tab/>
        <w:t>A person must not use plumbing and drainage products in a sanitary plumbing system or sanitary drainage system that communicates with the sewerage system unless the work is done in accordance with the requirements of MP52.</w:t>
      </w:r>
    </w:p>
    <w:p w:rsidR="00202FD5" w:rsidRDefault="00202FD5">
      <w:pPr>
        <w:pStyle w:val="Amainreturn"/>
        <w:rPr>
          <w:b/>
        </w:rPr>
      </w:pPr>
      <w:r>
        <w:t>Maximum penalty:  10 penalty units.</w:t>
      </w:r>
    </w:p>
    <w:p w:rsidR="00202FD5" w:rsidRDefault="00202FD5">
      <w:pPr>
        <w:pStyle w:val="Amain"/>
      </w:pPr>
      <w:r>
        <w:tab/>
        <w:t>(3)</w:t>
      </w:r>
      <w:r>
        <w:tab/>
        <w:t>Subregulations (1) and (2) do not apply if—</w:t>
      </w:r>
    </w:p>
    <w:p w:rsidR="00202FD5" w:rsidRDefault="00202FD5">
      <w:pPr>
        <w:pStyle w:val="Apara"/>
      </w:pPr>
      <w:r>
        <w:tab/>
        <w:t>(a)</w:t>
      </w:r>
      <w:r>
        <w:tab/>
        <w:t xml:space="preserve">the requirements of Australian Standard 3500 or MP52 are inconsistent with standards mentioned in these regulations; and </w:t>
      </w:r>
    </w:p>
    <w:p w:rsidR="00202FD5" w:rsidRDefault="00202FD5">
      <w:pPr>
        <w:pStyle w:val="Apara"/>
      </w:pPr>
      <w:r>
        <w:tab/>
        <w:t>(b)</w:t>
      </w:r>
      <w:r>
        <w:tab/>
        <w:t>the work was done in accordance with these regulations.</w:t>
      </w:r>
    </w:p>
    <w:p w:rsidR="00202FD5" w:rsidRDefault="00202FD5">
      <w:pPr>
        <w:pStyle w:val="AH5Sec"/>
      </w:pPr>
      <w:bookmarkStart w:id="11" w:name="_Toc515702445"/>
      <w:r>
        <w:rPr>
          <w:rStyle w:val="CharSectNo"/>
        </w:rPr>
        <w:t>7</w:t>
      </w:r>
      <w:r>
        <w:tab/>
        <w:t>Work to conform to approved plan</w:t>
      </w:r>
      <w:bookmarkEnd w:id="11"/>
    </w:p>
    <w:p w:rsidR="00202FD5" w:rsidRDefault="00202FD5">
      <w:pPr>
        <w:pStyle w:val="Amain"/>
      </w:pPr>
      <w:r>
        <w:tab/>
        <w:t>(1)</w:t>
      </w:r>
      <w:r>
        <w:tab/>
        <w:t>A person must not do work on a sanitary plumbing system or a sanitary drainage system unless the work is done in accordance with the plan approved by the certifier under section 8 (Issue of plan approvals) of the Act.</w:t>
      </w:r>
    </w:p>
    <w:p w:rsidR="00202FD5" w:rsidRDefault="00202FD5">
      <w:pPr>
        <w:pStyle w:val="Amainreturn"/>
      </w:pPr>
      <w:r>
        <w:t>Maximum penalty:  10 penalty units.</w:t>
      </w:r>
    </w:p>
    <w:p w:rsidR="00202FD5" w:rsidRDefault="00202FD5">
      <w:pPr>
        <w:pStyle w:val="Amain"/>
      </w:pPr>
      <w:r>
        <w:tab/>
        <w:t>(2)</w:t>
      </w:r>
      <w:r>
        <w:tab/>
        <w:t>Subregulation (1) does not apply to work on a sanitary plumbing system or a sanitary drainage system for a single residential building.</w:t>
      </w:r>
    </w:p>
    <w:p w:rsidR="00202FD5" w:rsidRDefault="00202FD5">
      <w:pPr>
        <w:pStyle w:val="AH5Sec"/>
      </w:pPr>
      <w:bookmarkStart w:id="12" w:name="_Toc515702446"/>
      <w:r>
        <w:rPr>
          <w:rStyle w:val="CharSectNo"/>
        </w:rPr>
        <w:lastRenderedPageBreak/>
        <w:t>8</w:t>
      </w:r>
      <w:r>
        <w:tab/>
        <w:t>Notice to be given about work done</w:t>
      </w:r>
      <w:bookmarkEnd w:id="12"/>
    </w:p>
    <w:p w:rsidR="00202FD5" w:rsidRDefault="00202FD5" w:rsidP="00652BC7">
      <w:pPr>
        <w:pStyle w:val="Amain"/>
        <w:keepNext/>
        <w:ind w:left="697" w:hanging="697"/>
      </w:pPr>
      <w:r>
        <w:tab/>
        <w:t>(1)</w:t>
      </w:r>
      <w:r>
        <w:tab/>
        <w:t>A person who does sanitary plumbing or sanitary drainage work must tell the chief executive when the work is ready for inspection.</w:t>
      </w:r>
    </w:p>
    <w:p w:rsidR="00202FD5" w:rsidRDefault="00202FD5">
      <w:pPr>
        <w:pStyle w:val="Amainreturn"/>
      </w:pPr>
      <w:r>
        <w:t>Maximum penalty:  10 penalty units.</w:t>
      </w:r>
    </w:p>
    <w:p w:rsidR="00202FD5" w:rsidRDefault="00202FD5">
      <w:pPr>
        <w:pStyle w:val="Amain"/>
      </w:pPr>
      <w:r>
        <w:tab/>
        <w:t>(2)</w:t>
      </w:r>
      <w:r>
        <w:tab/>
        <w:t>A person who does sanitary plumbing or sanitary drainage work must leave the work uncovered and convenient for inspection until whichever of the following happens first:</w:t>
      </w:r>
    </w:p>
    <w:p w:rsidR="00202FD5" w:rsidRDefault="00202FD5">
      <w:pPr>
        <w:pStyle w:val="Apara"/>
      </w:pPr>
      <w:r>
        <w:tab/>
        <w:t>(a)</w:t>
      </w:r>
      <w:r>
        <w:tab/>
        <w:t>the work is inspected and approved by an inspector;</w:t>
      </w:r>
    </w:p>
    <w:p w:rsidR="00202FD5" w:rsidRDefault="00202FD5">
      <w:pPr>
        <w:pStyle w:val="Apara"/>
      </w:pPr>
      <w:r>
        <w:tab/>
        <w:t>(b)</w:t>
      </w:r>
      <w:r>
        <w:tab/>
        <w:t>an inspector advises the person that an inspection is not required;</w:t>
      </w:r>
    </w:p>
    <w:p w:rsidR="00202FD5" w:rsidRDefault="00202FD5">
      <w:pPr>
        <w:pStyle w:val="Apara"/>
      </w:pPr>
      <w:r>
        <w:tab/>
        <w:t>(c)</w:t>
      </w:r>
      <w:r>
        <w:tab/>
        <w:t>if the work is sanitary plumbing work—the end of 2 working days after the chief executive was told that the work was ready for inspection.</w:t>
      </w:r>
    </w:p>
    <w:p w:rsidR="00202FD5" w:rsidRDefault="00202FD5">
      <w:pPr>
        <w:pStyle w:val="Amainreturn"/>
      </w:pPr>
      <w:r>
        <w:t>Maximum penalty:  5 penalty units.</w:t>
      </w:r>
    </w:p>
    <w:p w:rsidR="00202FD5" w:rsidRDefault="00202FD5">
      <w:pPr>
        <w:pStyle w:val="Amain"/>
      </w:pPr>
      <w:r>
        <w:tab/>
        <w:t>(3)</w:t>
      </w:r>
      <w:r>
        <w:tab/>
        <w:t>A person who does sanitary plumbing or sanitary drainage work must, while the work is being done, keep on the premises a copy of the plan approval showing any minor variations to the approved plan.</w:t>
      </w:r>
    </w:p>
    <w:p w:rsidR="00202FD5" w:rsidRDefault="00202FD5">
      <w:pPr>
        <w:pStyle w:val="Amainreturn"/>
      </w:pPr>
      <w:r>
        <w:t>Maximum penalty:  10 penalty units.</w:t>
      </w:r>
    </w:p>
    <w:p w:rsidR="00202FD5" w:rsidRDefault="00202FD5">
      <w:pPr>
        <w:pStyle w:val="AH5Sec"/>
      </w:pPr>
      <w:bookmarkStart w:id="13" w:name="_Toc515702447"/>
      <w:r>
        <w:rPr>
          <w:rStyle w:val="CharSectNo"/>
        </w:rPr>
        <w:t>9</w:t>
      </w:r>
      <w:r>
        <w:tab/>
        <w:t>Testing of sanitary plumbing and drains</w:t>
      </w:r>
      <w:bookmarkEnd w:id="13"/>
    </w:p>
    <w:p w:rsidR="00202FD5" w:rsidRDefault="00202FD5">
      <w:pPr>
        <w:pStyle w:val="Amain"/>
      </w:pPr>
      <w:r>
        <w:tab/>
        <w:t>(1)</w:t>
      </w:r>
      <w:r>
        <w:tab/>
        <w:t>Sanitary plumbing and drains must be tested in accordance with Australian Standard 3500—</w:t>
      </w:r>
    </w:p>
    <w:p w:rsidR="00202FD5" w:rsidRDefault="00202FD5">
      <w:pPr>
        <w:pStyle w:val="Apara"/>
      </w:pPr>
      <w:r>
        <w:tab/>
        <w:t>(a)</w:t>
      </w:r>
      <w:r>
        <w:tab/>
        <w:t>before it is passed by an inspector; and</w:t>
      </w:r>
    </w:p>
    <w:p w:rsidR="00202FD5" w:rsidRDefault="00202FD5">
      <w:pPr>
        <w:pStyle w:val="Apara"/>
      </w:pPr>
      <w:r>
        <w:tab/>
        <w:t>(b)</w:t>
      </w:r>
      <w:r>
        <w:tab/>
        <w:t>if a drain is altered or repaired—before the alterations or repairs are passed by an inspector.</w:t>
      </w:r>
    </w:p>
    <w:p w:rsidR="00202FD5" w:rsidRDefault="00202FD5">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202FD5" w:rsidRDefault="00202FD5">
      <w:pPr>
        <w:pStyle w:val="Amainreturn"/>
      </w:pPr>
      <w:r>
        <w:t>Maximum penalty:  5 penalty units.</w:t>
      </w:r>
    </w:p>
    <w:p w:rsidR="00202FD5" w:rsidRDefault="00202FD5">
      <w:pPr>
        <w:pStyle w:val="Amain"/>
      </w:pPr>
      <w:r>
        <w:lastRenderedPageBreak/>
        <w:tab/>
        <w:t>(3)</w:t>
      </w:r>
      <w:r>
        <w:tab/>
        <w:t>A person who did sanitary plumbing or sanitary drainage work that is being tested must rectify any of the work that the test finds defective.</w:t>
      </w:r>
    </w:p>
    <w:p w:rsidR="00202FD5" w:rsidRDefault="00202FD5">
      <w:pPr>
        <w:pStyle w:val="Amainreturn"/>
      </w:pPr>
      <w:r>
        <w:t>Maximum penalty:  10 penalty units.</w:t>
      </w:r>
    </w:p>
    <w:p w:rsidR="00202FD5" w:rsidRDefault="00202FD5">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regulation.</w:t>
      </w:r>
    </w:p>
    <w:p w:rsidR="00202FD5" w:rsidRDefault="00202FD5">
      <w:pPr>
        <w:pStyle w:val="AH5Sec"/>
      </w:pPr>
      <w:bookmarkStart w:id="14" w:name="_Toc515702448"/>
      <w:r>
        <w:rPr>
          <w:rStyle w:val="CharSectNo"/>
        </w:rPr>
        <w:t>10</w:t>
      </w:r>
      <w:r>
        <w:tab/>
        <w:t>Notification after completion of work</w:t>
      </w:r>
      <w:bookmarkEnd w:id="14"/>
    </w:p>
    <w:p w:rsidR="00202FD5" w:rsidRDefault="00202FD5">
      <w:pPr>
        <w:pStyle w:val="Amain"/>
      </w:pPr>
      <w:r>
        <w:tab/>
        <w:t>(1)</w:t>
      </w:r>
      <w:r>
        <w:tab/>
        <w:t>This regulation applies if—</w:t>
      </w:r>
    </w:p>
    <w:p w:rsidR="00202FD5" w:rsidRDefault="00202FD5">
      <w:pPr>
        <w:pStyle w:val="Apara"/>
      </w:pPr>
      <w:r>
        <w:tab/>
        <w:t>(a)</w:t>
      </w:r>
      <w:r>
        <w:tab/>
        <w:t>sanitary plumbing or sanitary drainage work has been inspected and approved; or</w:t>
      </w:r>
    </w:p>
    <w:p w:rsidR="00202FD5" w:rsidRDefault="00202FD5">
      <w:pPr>
        <w:pStyle w:val="Apara"/>
      </w:pPr>
      <w:r>
        <w:tab/>
        <w:t>(b)</w:t>
      </w:r>
      <w:r>
        <w:tab/>
        <w:t>an inspector has advised the person who did the work that an inspection is not required.</w:t>
      </w:r>
    </w:p>
    <w:p w:rsidR="00202FD5" w:rsidRDefault="00202FD5">
      <w:pPr>
        <w:pStyle w:val="Amain"/>
      </w:pPr>
      <w:r>
        <w:tab/>
        <w:t>(2)</w:t>
      </w:r>
      <w:r>
        <w:tab/>
        <w:t>A person who does sanitary plumbing or sanitary drainage work must, if satisfied that the work has been completed in accordance with these regulations and Australian Standard 3500, within 7 days after completion of the work, give the chief executive—</w:t>
      </w:r>
    </w:p>
    <w:p w:rsidR="00202FD5" w:rsidRDefault="00202FD5">
      <w:pPr>
        <w:pStyle w:val="Apara"/>
      </w:pPr>
      <w:r>
        <w:tab/>
        <w:t>(a)</w:t>
      </w:r>
      <w:r>
        <w:tab/>
        <w:t>a statement of the work completed; and</w:t>
      </w:r>
    </w:p>
    <w:p w:rsidR="00202FD5" w:rsidRDefault="00202FD5">
      <w:pPr>
        <w:pStyle w:val="Apara"/>
      </w:pPr>
      <w:r>
        <w:tab/>
        <w:t>(b)</w:t>
      </w:r>
      <w:r>
        <w:tab/>
        <w:t>evidence of payment of inspection fees under these regulations; and</w:t>
      </w:r>
    </w:p>
    <w:p w:rsidR="00202FD5" w:rsidRDefault="00202FD5">
      <w:pPr>
        <w:pStyle w:val="Apara"/>
      </w:pPr>
      <w:r>
        <w:tab/>
        <w:t>(c)</w:t>
      </w:r>
      <w:r>
        <w:tab/>
        <w:t>a copy of—</w:t>
      </w:r>
    </w:p>
    <w:p w:rsidR="00202FD5" w:rsidRDefault="00202FD5">
      <w:pPr>
        <w:pStyle w:val="Asubpara"/>
      </w:pPr>
      <w:r>
        <w:tab/>
        <w:t>(i)</w:t>
      </w:r>
      <w:r>
        <w:tab/>
        <w:t>if the work relates to a single residential building—a drainage plan on which there is endorsed a certificate that the plan is a true record of the work carried out; or</w:t>
      </w:r>
    </w:p>
    <w:p w:rsidR="00202FD5" w:rsidRDefault="00202FD5" w:rsidP="00652BC7">
      <w:pPr>
        <w:pStyle w:val="Asubpara"/>
        <w:keepNext/>
        <w:ind w:left="1741" w:hanging="1741"/>
      </w:pPr>
      <w:r>
        <w:lastRenderedPageBreak/>
        <w:tab/>
        <w:t>(ii)</w:t>
      </w:r>
      <w:r>
        <w:tab/>
        <w:t>in any other case—an approved drainage plan on which there is endorsed a certificate that the plan is a true record of the work carried out.</w:t>
      </w:r>
    </w:p>
    <w:p w:rsidR="00202FD5" w:rsidRDefault="00202FD5" w:rsidP="00652BC7">
      <w:pPr>
        <w:pStyle w:val="aNote"/>
        <w:keepLines/>
        <w:ind w:left="1496" w:hanging="799"/>
      </w:pPr>
      <w:r>
        <w:rPr>
          <w:i/>
        </w:rPr>
        <w:t>Note</w:t>
      </w:r>
      <w:r>
        <w:rPr>
          <w:i/>
        </w:rPr>
        <w:t> </w:t>
      </w:r>
      <w:r>
        <w:rPr>
          <w:i/>
        </w:rPr>
        <w:tab/>
      </w:r>
      <w:r>
        <w:t>A certificate of compliance for plumbing or sanitary drainage work cannot be issued under reg 25 unless the chief executive is satisfied that the work complies with the regulations.  The chief executive may only be able to be so satisfied if the statement, evidence and plan about the work has been given.</w:t>
      </w:r>
    </w:p>
    <w:p w:rsidR="00202FD5" w:rsidRDefault="00202FD5">
      <w:pPr>
        <w:pStyle w:val="AH5Sec"/>
      </w:pPr>
      <w:bookmarkStart w:id="15" w:name="_Toc515702449"/>
      <w:r>
        <w:rPr>
          <w:rStyle w:val="CharSectNo"/>
        </w:rPr>
        <w:t>11</w:t>
      </w:r>
      <w:r>
        <w:tab/>
        <w:t>Unblocking of drain by owner of land</w:t>
      </w:r>
      <w:bookmarkEnd w:id="15"/>
    </w:p>
    <w:p w:rsidR="00202FD5" w:rsidRDefault="00202FD5">
      <w:pPr>
        <w:pStyle w:val="Amain"/>
      </w:pPr>
      <w:r>
        <w:tab/>
        <w:t>(1)</w:t>
      </w:r>
      <w:r>
        <w:tab/>
        <w:t>The owner of land may unblock a blocked drain on the land if it is impossible or impracticable to get within a reasonable time a person who holds a licence to unblock the drain.</w:t>
      </w:r>
    </w:p>
    <w:p w:rsidR="00202FD5" w:rsidRDefault="00202FD5">
      <w:pPr>
        <w:pStyle w:val="Amain"/>
      </w:pPr>
      <w:r>
        <w:tab/>
        <w:t>(2)</w:t>
      </w:r>
      <w:r>
        <w:tab/>
        <w:t>Subregulation (1) does not apply if, to unblock the drain, the owner would have to—</w:t>
      </w:r>
    </w:p>
    <w:p w:rsidR="00202FD5" w:rsidRDefault="00202FD5">
      <w:pPr>
        <w:pStyle w:val="Apara"/>
      </w:pPr>
      <w:r>
        <w:tab/>
        <w:t>(a)</w:t>
      </w:r>
      <w:r>
        <w:tab/>
        <w:t>break a pipe, cover or concrete material; or</w:t>
      </w:r>
    </w:p>
    <w:p w:rsidR="00202FD5" w:rsidRDefault="00202FD5">
      <w:pPr>
        <w:pStyle w:val="Apara"/>
      </w:pPr>
      <w:r>
        <w:tab/>
        <w:t>(b)</w:t>
      </w:r>
      <w:r>
        <w:tab/>
        <w:t>remove a thrust-block.</w:t>
      </w:r>
    </w:p>
    <w:p w:rsidR="00202FD5" w:rsidRDefault="00202FD5">
      <w:pPr>
        <w:pStyle w:val="AH5Sec"/>
      </w:pPr>
      <w:bookmarkStart w:id="16" w:name="_Toc515702450"/>
      <w:r>
        <w:rPr>
          <w:rStyle w:val="CharSectNo"/>
        </w:rPr>
        <w:t>12</w:t>
      </w:r>
      <w:r>
        <w:tab/>
        <w:t>Separate drainage systems</w:t>
      </w:r>
      <w:bookmarkEnd w:id="16"/>
    </w:p>
    <w:p w:rsidR="00202FD5" w:rsidRDefault="00202FD5">
      <w:pPr>
        <w:pStyle w:val="Amain"/>
      </w:pPr>
      <w:r>
        <w:tab/>
        <w:t>(1)</w:t>
      </w:r>
      <w:r>
        <w:tab/>
        <w:t>The drainage of each dwelling or building must be separate from another dwelling or building.</w:t>
      </w:r>
    </w:p>
    <w:p w:rsidR="00202FD5" w:rsidRDefault="00202FD5">
      <w:pPr>
        <w:pStyle w:val="Amain"/>
      </w:pPr>
      <w:r>
        <w:tab/>
        <w:t>(2)</w:t>
      </w:r>
      <w:r>
        <w:tab/>
        <w:t>Despite subregulation (1), the chief executive may approve a combined drainage system, if satisfied that special reasons exist for doing so.</w:t>
      </w:r>
    </w:p>
    <w:p w:rsidR="00202FD5" w:rsidRDefault="00202FD5">
      <w:pPr>
        <w:pStyle w:val="AH5Sec"/>
      </w:pPr>
      <w:bookmarkStart w:id="17" w:name="_Toc515702451"/>
      <w:r>
        <w:rPr>
          <w:rStyle w:val="CharSectNo"/>
        </w:rPr>
        <w:t>13</w:t>
      </w:r>
      <w:r>
        <w:tab/>
        <w:t>Disconnecting combined drainage systems</w:t>
      </w:r>
      <w:bookmarkEnd w:id="17"/>
    </w:p>
    <w:p w:rsidR="00202FD5" w:rsidRDefault="00202FD5">
      <w:pPr>
        <w:pStyle w:val="Amain"/>
      </w:pPr>
      <w:r>
        <w:tab/>
        <w:t>(1)</w:t>
      </w:r>
      <w:r>
        <w:tab/>
        <w:t>This regulation applies if—</w:t>
      </w:r>
    </w:p>
    <w:p w:rsidR="00202FD5" w:rsidRDefault="00202FD5">
      <w:pPr>
        <w:pStyle w:val="Apara"/>
      </w:pPr>
      <w:r>
        <w:tab/>
        <w:t>(a)</w:t>
      </w:r>
      <w:r>
        <w:tab/>
        <w:t>the drainage system of a dwelling or building (the</w:t>
      </w:r>
      <w:r>
        <w:rPr>
          <w:b/>
          <w:i/>
        </w:rPr>
        <w:t xml:space="preserve"> first dwelling or building</w:t>
      </w:r>
      <w:r>
        <w:t>) is combined with the drainage system of a dwelling or building on another parcel of land; and</w:t>
      </w:r>
    </w:p>
    <w:p w:rsidR="00202FD5" w:rsidRDefault="00202FD5">
      <w:pPr>
        <w:pStyle w:val="Apara"/>
      </w:pPr>
      <w:r>
        <w:tab/>
        <w:t>(b)</w:t>
      </w:r>
      <w:r>
        <w:tab/>
        <w:t>the combined drainage system is in the other parcel of land; and</w:t>
      </w:r>
    </w:p>
    <w:p w:rsidR="00202FD5" w:rsidRDefault="00202FD5">
      <w:pPr>
        <w:pStyle w:val="Apara"/>
      </w:pPr>
      <w:r>
        <w:tab/>
        <w:t>(c)</w:t>
      </w:r>
      <w:r>
        <w:tab/>
        <w:t>the combined drainage system was installed before 1 March 1999; and</w:t>
      </w:r>
    </w:p>
    <w:p w:rsidR="00202FD5" w:rsidRDefault="00202FD5">
      <w:pPr>
        <w:pStyle w:val="Apara"/>
      </w:pPr>
      <w:r>
        <w:lastRenderedPageBreak/>
        <w:tab/>
        <w:t>(d)</w:t>
      </w:r>
      <w:r>
        <w:tab/>
        <w:t>significant work has to be done on the drainage system of the first dwelling or building.</w:t>
      </w:r>
    </w:p>
    <w:p w:rsidR="00202FD5" w:rsidRDefault="00202FD5">
      <w:pPr>
        <w:pStyle w:val="Amain"/>
      </w:pPr>
      <w:r>
        <w:tab/>
        <w:t>(2)</w:t>
      </w:r>
      <w:r>
        <w:tab/>
        <w:t>A person doing significant work must—</w:t>
      </w:r>
    </w:p>
    <w:p w:rsidR="00202FD5" w:rsidRDefault="00202FD5">
      <w:pPr>
        <w:pStyle w:val="Apara"/>
      </w:pPr>
      <w:r>
        <w:tab/>
        <w:t>(a)</w:t>
      </w:r>
      <w:r>
        <w:tab/>
        <w:t>disconnect the existing drainage pipes from the combined drainage system; and</w:t>
      </w:r>
    </w:p>
    <w:p w:rsidR="00202FD5" w:rsidRDefault="00202FD5">
      <w:pPr>
        <w:pStyle w:val="Apara"/>
      </w:pPr>
      <w:r>
        <w:tab/>
        <w:t>(b)</w:t>
      </w:r>
      <w:r>
        <w:tab/>
        <w:t>if no separate drainage system is in place for the dwelling or building—install a separate system; and</w:t>
      </w:r>
    </w:p>
    <w:p w:rsidR="00202FD5" w:rsidRDefault="00202FD5">
      <w:pPr>
        <w:pStyle w:val="Apara"/>
      </w:pPr>
      <w:r>
        <w:tab/>
        <w:t>(c)</w:t>
      </w:r>
      <w:r>
        <w:tab/>
        <w:t>connect the first dwelling or building to that drainage system.</w:t>
      </w:r>
    </w:p>
    <w:p w:rsidR="00202FD5" w:rsidRDefault="00202FD5">
      <w:pPr>
        <w:pStyle w:val="Amain"/>
      </w:pPr>
      <w:r>
        <w:tab/>
        <w:t>(3)</w:t>
      </w:r>
      <w:r>
        <w:tab/>
        <w:t>In this regulation:</w:t>
      </w:r>
    </w:p>
    <w:p w:rsidR="00202FD5" w:rsidRDefault="00202FD5">
      <w:pPr>
        <w:pStyle w:val="aDef"/>
      </w:pPr>
      <w:r>
        <w:rPr>
          <w:b/>
          <w:i/>
        </w:rPr>
        <w:t>significant work</w:t>
      </w:r>
      <w:r>
        <w:t xml:space="preserve"> means work where—</w:t>
      </w:r>
    </w:p>
    <w:p w:rsidR="00202FD5" w:rsidRDefault="00202FD5">
      <w:pPr>
        <w:pStyle w:val="Apara"/>
      </w:pPr>
      <w:r>
        <w:tab/>
        <w:t>(a)</w:t>
      </w:r>
      <w:r>
        <w:tab/>
        <w:t>drains to more than half the fixtures are altered; or</w:t>
      </w:r>
    </w:p>
    <w:p w:rsidR="00202FD5" w:rsidRDefault="00202FD5">
      <w:pPr>
        <w:pStyle w:val="Apara"/>
      </w:pPr>
      <w:r>
        <w:tab/>
        <w:t>(b)</w:t>
      </w:r>
      <w:r>
        <w:tab/>
        <w:t>the number of fixtures is increased by more than 50%.</w:t>
      </w:r>
    </w:p>
    <w:p w:rsidR="00202FD5" w:rsidRDefault="00202FD5">
      <w:pPr>
        <w:pStyle w:val="AH5Sec"/>
      </w:pPr>
      <w:bookmarkStart w:id="18" w:name="_Toc515702452"/>
      <w:r>
        <w:rPr>
          <w:rStyle w:val="CharSectNo"/>
        </w:rPr>
        <w:t>14</w:t>
      </w:r>
      <w:r>
        <w:tab/>
        <w:t>Cover to interceptor traps and accessholes</w:t>
      </w:r>
      <w:bookmarkEnd w:id="18"/>
    </w:p>
    <w:p w:rsidR="00202FD5" w:rsidRDefault="00202FD5">
      <w:pPr>
        <w:pStyle w:val="Amainreturn"/>
      </w:pPr>
      <w:r>
        <w:t>An interceptor trap and accesshole must—</w:t>
      </w:r>
    </w:p>
    <w:p w:rsidR="00202FD5" w:rsidRDefault="00202FD5">
      <w:pPr>
        <w:pStyle w:val="Apara"/>
      </w:pPr>
      <w:r>
        <w:tab/>
        <w:t>(a)</w:t>
      </w:r>
      <w:r>
        <w:tab/>
        <w:t xml:space="preserve">be carried to ground level; and </w:t>
      </w:r>
    </w:p>
    <w:p w:rsidR="00202FD5" w:rsidRDefault="00202FD5">
      <w:pPr>
        <w:pStyle w:val="Apara"/>
      </w:pPr>
      <w:r>
        <w:tab/>
        <w:t>(b)</w:t>
      </w:r>
      <w:r>
        <w:tab/>
        <w:t>be fitted at that level with approved cast-iron airtight covers.</w:t>
      </w:r>
    </w:p>
    <w:p w:rsidR="00202FD5" w:rsidRDefault="00202FD5">
      <w:pPr>
        <w:pStyle w:val="AH5Sec"/>
      </w:pPr>
      <w:bookmarkStart w:id="19" w:name="_Toc515702453"/>
      <w:r>
        <w:rPr>
          <w:rStyle w:val="CharSectNo"/>
        </w:rPr>
        <w:t>15</w:t>
      </w:r>
      <w:r>
        <w:tab/>
        <w:t>Rain and surface waters not to be discharged into sewers etc</w:t>
      </w:r>
      <w:bookmarkEnd w:id="19"/>
    </w:p>
    <w:p w:rsidR="00202FD5" w:rsidRDefault="00202FD5">
      <w:pPr>
        <w:pStyle w:val="Amain"/>
      </w:pPr>
      <w:r>
        <w:tab/>
        <w:t>(1)</w:t>
      </w:r>
      <w:r>
        <w:tab/>
        <w:t>A person must not discharge, or allow to be discharged, any rainwater, surface water or stormwater into—</w:t>
      </w:r>
    </w:p>
    <w:p w:rsidR="00202FD5" w:rsidRDefault="00202FD5">
      <w:pPr>
        <w:pStyle w:val="Apara"/>
      </w:pPr>
      <w:r>
        <w:tab/>
        <w:t>(a)</w:t>
      </w:r>
      <w:r>
        <w:tab/>
        <w:t xml:space="preserve">a sewerage network; or </w:t>
      </w:r>
    </w:p>
    <w:p w:rsidR="00202FD5" w:rsidRDefault="00202FD5">
      <w:pPr>
        <w:pStyle w:val="Apara"/>
      </w:pPr>
      <w:r>
        <w:tab/>
        <w:t>(b)</w:t>
      </w:r>
      <w:r>
        <w:tab/>
        <w:t xml:space="preserve">a drain communicating with a sewerage network; or </w:t>
      </w:r>
    </w:p>
    <w:p w:rsidR="00202FD5" w:rsidRDefault="00202FD5">
      <w:pPr>
        <w:pStyle w:val="Apara"/>
      </w:pPr>
      <w:r>
        <w:tab/>
        <w:t>(c)</w:t>
      </w:r>
      <w:r>
        <w:tab/>
        <w:t>a sanitary fixture or drainage apparatus used in connection with a drain mentioned in paragraph (b).</w:t>
      </w:r>
    </w:p>
    <w:p w:rsidR="00202FD5" w:rsidRDefault="00202FD5">
      <w:pPr>
        <w:pStyle w:val="Amainreturn"/>
      </w:pPr>
      <w:r>
        <w:t>Maximum penalty: 10 penalty units.</w:t>
      </w:r>
    </w:p>
    <w:p w:rsidR="00202FD5" w:rsidRDefault="00202FD5">
      <w:pPr>
        <w:pStyle w:val="Amain"/>
      </w:pPr>
      <w:r>
        <w:lastRenderedPageBreak/>
        <w:tab/>
        <w:t>(2)</w:t>
      </w:r>
      <w:r>
        <w:tab/>
        <w:t>An inlet to a drain must be built and maintained in a way and at a level that prevents the flow of rainwater, surface water or stormwater into the drain.</w:t>
      </w:r>
    </w:p>
    <w:p w:rsidR="00202FD5" w:rsidRDefault="00202FD5">
      <w:pPr>
        <w:pStyle w:val="Amain"/>
      </w:pPr>
      <w:r>
        <w:tab/>
        <w:t>(3)</w:t>
      </w:r>
      <w:r>
        <w:tab/>
        <w:t>A person may apply in writing to the responsible utility for an exemption from subregulation (1).</w:t>
      </w:r>
    </w:p>
    <w:p w:rsidR="00202FD5" w:rsidRDefault="00202FD5">
      <w:pPr>
        <w:pStyle w:val="Amain"/>
      </w:pPr>
      <w:r>
        <w:tab/>
        <w:t>(4)</w:t>
      </w:r>
      <w:r>
        <w:tab/>
        <w:t>The responsible utility may exempt a person from compliance with subregulation (1) only if satisfied that the pollution and the volume of water that would enter the network, drain, fixture or apparatus would not detrimentally affect the sewerage system.</w:t>
      </w:r>
    </w:p>
    <w:p w:rsidR="00202FD5" w:rsidRDefault="00202FD5">
      <w:pPr>
        <w:pStyle w:val="Amain"/>
      </w:pPr>
      <w:r>
        <w:tab/>
        <w:t>(5)</w:t>
      </w:r>
      <w:r>
        <w:tab/>
        <w:t>Subregulation (1) does not apply to a person who is exempt under this regulation.</w:t>
      </w:r>
    </w:p>
    <w:p w:rsidR="00202FD5" w:rsidRDefault="00202FD5">
      <w:pPr>
        <w:pStyle w:val="AH5Sec"/>
      </w:pPr>
      <w:bookmarkStart w:id="20" w:name="_Toc515702454"/>
      <w:r>
        <w:rPr>
          <w:rStyle w:val="CharSectNo"/>
        </w:rPr>
        <w:t>16</w:t>
      </w:r>
      <w:r>
        <w:tab/>
        <w:t>Water closets and urinals</w:t>
      </w:r>
      <w:bookmarkEnd w:id="20"/>
    </w:p>
    <w:p w:rsidR="00202FD5" w:rsidRDefault="00202FD5">
      <w:pPr>
        <w:pStyle w:val="Amain"/>
      </w:pPr>
      <w:r>
        <w:tab/>
        <w:t>(1)</w:t>
      </w:r>
      <w:r>
        <w:tab/>
        <w:t>Each house, building or parcel of land required by the chief executive to be connected to the sewerage network must have at least 1 water closet approved by the chief executive.</w:t>
      </w:r>
    </w:p>
    <w:p w:rsidR="00202FD5" w:rsidRDefault="00202FD5">
      <w:pPr>
        <w:pStyle w:val="Amain"/>
      </w:pPr>
      <w:r>
        <w:tab/>
        <w:t>(2)</w:t>
      </w:r>
      <w:r>
        <w:tab/>
        <w:t>The chief executive must not approve a water closet for this regulation unless the following requirements are complied with:</w:t>
      </w:r>
    </w:p>
    <w:p w:rsidR="00202FD5" w:rsidRDefault="00202FD5">
      <w:pPr>
        <w:pStyle w:val="Apara"/>
      </w:pPr>
      <w:r>
        <w:tab/>
        <w:t>(a)</w:t>
      </w:r>
      <w:r>
        <w:tab/>
        <w:t xml:space="preserve">if a closet pan and cistern are to be installed—a reduced-flush closet pan and a dual-flush 6/3L cistern must be installed; </w:t>
      </w:r>
    </w:p>
    <w:p w:rsidR="00202FD5" w:rsidRDefault="00202FD5">
      <w:pPr>
        <w:pStyle w:val="Apara"/>
      </w:pPr>
      <w:r>
        <w:tab/>
        <w:t>(b)</w:t>
      </w:r>
      <w:r>
        <w:tab/>
        <w:t xml:space="preserve">if a closet pan only is to be installed—a reduced-flush closet pan must be installed; </w:t>
      </w:r>
    </w:p>
    <w:p w:rsidR="00202FD5" w:rsidRDefault="00202FD5">
      <w:pPr>
        <w:pStyle w:val="Apara"/>
      </w:pPr>
      <w:r>
        <w:tab/>
        <w:t>(c)</w:t>
      </w:r>
      <w:r>
        <w:tab/>
        <w:t>if a cistern is to be installed that is connected to an existing full-flush closet pan—a separate dual-flush cistern must be installed that—</w:t>
      </w:r>
    </w:p>
    <w:p w:rsidR="00202FD5" w:rsidRDefault="00202FD5">
      <w:pPr>
        <w:pStyle w:val="Asubpara"/>
      </w:pPr>
      <w:r>
        <w:tab/>
        <w:t>(i)</w:t>
      </w:r>
      <w:r>
        <w:tab/>
        <w:t>is of at least 11L capacity; and</w:t>
      </w:r>
    </w:p>
    <w:p w:rsidR="00202FD5" w:rsidRDefault="00202FD5">
      <w:pPr>
        <w:pStyle w:val="Asubpara"/>
      </w:pPr>
      <w:r>
        <w:tab/>
        <w:t>(ii)</w:t>
      </w:r>
      <w:r>
        <w:tab/>
        <w:t>gives an effective full-flush not exceeding 10L and, for test purposes, 9L; and</w:t>
      </w:r>
    </w:p>
    <w:p w:rsidR="00202FD5" w:rsidRDefault="00202FD5">
      <w:pPr>
        <w:pStyle w:val="Asubpara"/>
      </w:pPr>
      <w:r>
        <w:tab/>
        <w:t>(iii)</w:t>
      </w:r>
      <w:r>
        <w:tab/>
        <w:t xml:space="preserve">gives an effective half-flush not exceeding 5.5L and, for test purposes, 4.5L; </w:t>
      </w:r>
    </w:p>
    <w:p w:rsidR="00202FD5" w:rsidRDefault="00202FD5">
      <w:pPr>
        <w:pStyle w:val="Apara"/>
      </w:pPr>
      <w:r>
        <w:lastRenderedPageBreak/>
        <w:tab/>
        <w:t>(d)</w:t>
      </w:r>
      <w:r>
        <w:tab/>
        <w:t xml:space="preserve">if a cistern is to be installed that is connected to an existing reduced-flush closet pan—a dual-flush 6/3L cistern must be installed; </w:t>
      </w:r>
    </w:p>
    <w:p w:rsidR="00202FD5" w:rsidRDefault="00202FD5">
      <w:pPr>
        <w:pStyle w:val="Apara"/>
      </w:pPr>
      <w:r>
        <w:tab/>
        <w:t>(e)</w:t>
      </w:r>
      <w:r>
        <w:tab/>
        <w:t>if a closet pan is to be flushed with water drawn from a central storage cistern installed before 1 January 1994 and—</w:t>
      </w:r>
    </w:p>
    <w:p w:rsidR="00202FD5" w:rsidRDefault="00202FD5">
      <w:pPr>
        <w:pStyle w:val="Asubpara"/>
      </w:pPr>
      <w:r>
        <w:tab/>
        <w:t>(i)</w:t>
      </w:r>
      <w:r>
        <w:tab/>
        <w:t>if the pan is a full-flush closet pan—it must be flushed with an effective full-flush not exceeding 10L and, for test purposes, 9L; or</w:t>
      </w:r>
    </w:p>
    <w:p w:rsidR="00202FD5" w:rsidRDefault="00202FD5">
      <w:pPr>
        <w:pStyle w:val="Asubpara"/>
      </w:pPr>
      <w:r>
        <w:tab/>
        <w:t>(ii)</w:t>
      </w:r>
      <w:r>
        <w:tab/>
        <w:t xml:space="preserve">if the pan is a reduced-flush closet pan—it must be flushed with an effective full-flush not exceeding 10L and, for test purposes, either 6L or 9L; </w:t>
      </w:r>
    </w:p>
    <w:p w:rsidR="00202FD5" w:rsidRDefault="00202FD5">
      <w:pPr>
        <w:pStyle w:val="Apara"/>
      </w:pPr>
      <w:r>
        <w:tab/>
        <w:t>(f)</w:t>
      </w:r>
      <w:r>
        <w:tab/>
        <w:t>if a full-flush closet pan is to be flushed—</w:t>
      </w:r>
    </w:p>
    <w:p w:rsidR="00202FD5" w:rsidRDefault="00202FD5">
      <w:pPr>
        <w:pStyle w:val="Asubpara"/>
      </w:pPr>
      <w:r>
        <w:tab/>
        <w:t>(i)</w:t>
      </w:r>
      <w:r>
        <w:tab/>
        <w:t>with water drawn from a central storage cistern; and</w:t>
      </w:r>
    </w:p>
    <w:p w:rsidR="00202FD5" w:rsidRDefault="00202FD5">
      <w:pPr>
        <w:pStyle w:val="Asubpara"/>
      </w:pPr>
      <w:r>
        <w:tab/>
        <w:t>(ii)</w:t>
      </w:r>
      <w:r>
        <w:tab/>
        <w:t>by control fittings that allow the user to decide whether to give a full-flush or half-flush;</w:t>
      </w:r>
    </w:p>
    <w:p w:rsidR="00202FD5" w:rsidRDefault="00202FD5">
      <w:pPr>
        <w:pStyle w:val="Aparareturn"/>
      </w:pPr>
      <w:r>
        <w:t xml:space="preserve">the pan may be flushed with a half-flush of at least 4.5L and not exceeding 5.5L; </w:t>
      </w:r>
    </w:p>
    <w:p w:rsidR="00202FD5" w:rsidRDefault="00202FD5">
      <w:pPr>
        <w:pStyle w:val="Apara"/>
      </w:pPr>
      <w:r>
        <w:tab/>
        <w:t>(g)</w:t>
      </w:r>
      <w:r>
        <w:tab/>
        <w:t>if a reduced-flush closet pan is to be flushed—</w:t>
      </w:r>
    </w:p>
    <w:p w:rsidR="00202FD5" w:rsidRDefault="00202FD5">
      <w:pPr>
        <w:pStyle w:val="Asubpara"/>
      </w:pPr>
      <w:r>
        <w:tab/>
        <w:t>(i)</w:t>
      </w:r>
      <w:r>
        <w:tab/>
        <w:t>with water drawn from a central storage cistern; and</w:t>
      </w:r>
    </w:p>
    <w:p w:rsidR="00202FD5" w:rsidRDefault="00202FD5">
      <w:pPr>
        <w:pStyle w:val="Asubpara"/>
      </w:pPr>
      <w:r>
        <w:tab/>
        <w:t>(ii)</w:t>
      </w:r>
      <w:r>
        <w:tab/>
        <w:t>by control fittings that allow the user to decide whether to give a full-flush or half-flush;</w:t>
      </w:r>
    </w:p>
    <w:p w:rsidR="00202FD5" w:rsidRDefault="00202FD5">
      <w:pPr>
        <w:pStyle w:val="Aparareturn"/>
      </w:pPr>
      <w:r>
        <w:t xml:space="preserve">the pan may be flushed with a half-flush of at least 3L and not exceeding 4L; </w:t>
      </w:r>
    </w:p>
    <w:p w:rsidR="00202FD5" w:rsidRDefault="00202FD5">
      <w:pPr>
        <w:pStyle w:val="Apara"/>
      </w:pPr>
      <w:r>
        <w:tab/>
        <w:t>(h)</w:t>
      </w:r>
      <w:r>
        <w:tab/>
        <w:t>if a central storage cistern installation is to be installed—</w:t>
      </w:r>
    </w:p>
    <w:p w:rsidR="00202FD5" w:rsidRDefault="00202FD5">
      <w:pPr>
        <w:pStyle w:val="Asubpara"/>
      </w:pPr>
      <w:r>
        <w:tab/>
        <w:t>(i)</w:t>
      </w:r>
      <w:r>
        <w:tab/>
        <w:t>reduced-flush closet pans must be installed; and</w:t>
      </w:r>
    </w:p>
    <w:p w:rsidR="00202FD5" w:rsidRDefault="00202FD5">
      <w:pPr>
        <w:pStyle w:val="Asubpara"/>
      </w:pPr>
      <w:r>
        <w:tab/>
        <w:t>(ii)</w:t>
      </w:r>
      <w:r>
        <w:tab/>
        <w:t>control fittings must be installed that automatically control the amount of water used in a way that each flush uses—</w:t>
      </w:r>
    </w:p>
    <w:p w:rsidR="00202FD5" w:rsidRDefault="00202FD5">
      <w:pPr>
        <w:pStyle w:val="Asubsubpara"/>
      </w:pPr>
      <w:r>
        <w:tab/>
        <w:t>(A)</w:t>
      </w:r>
      <w:r>
        <w:tab/>
        <w:t>on a full-flush—at least 6L and not exceeding 7L; or</w:t>
      </w:r>
    </w:p>
    <w:p w:rsidR="00202FD5" w:rsidRDefault="00202FD5">
      <w:pPr>
        <w:pStyle w:val="Asubsubpara"/>
      </w:pPr>
      <w:r>
        <w:tab/>
        <w:t>(B)</w:t>
      </w:r>
      <w:r>
        <w:tab/>
        <w:t>on a half-flush—at least 3L and not exceeding 4L.</w:t>
      </w:r>
    </w:p>
    <w:p w:rsidR="00202FD5" w:rsidRDefault="00202FD5">
      <w:pPr>
        <w:pStyle w:val="Amain"/>
      </w:pPr>
      <w:r>
        <w:lastRenderedPageBreak/>
        <w:tab/>
        <w:t>(3)</w:t>
      </w:r>
      <w:r>
        <w:tab/>
        <w:t>A water closet must not be installed in a cellar or basement, except with the approval of the chief executive.</w:t>
      </w:r>
    </w:p>
    <w:p w:rsidR="00202FD5" w:rsidRDefault="00202FD5">
      <w:pPr>
        <w:pStyle w:val="Amain"/>
      </w:pPr>
      <w:r>
        <w:tab/>
        <w:t>(4)</w:t>
      </w:r>
      <w:r>
        <w:tab/>
        <w:t>The chief executive may only approve the installation of a water closet in a cellar or basement if, before installing the water closet—</w:t>
      </w:r>
    </w:p>
    <w:p w:rsidR="00202FD5" w:rsidRDefault="00202FD5">
      <w:pPr>
        <w:pStyle w:val="Apara"/>
      </w:pPr>
      <w:r>
        <w:tab/>
        <w:t>(a)</w:t>
      </w:r>
      <w:r>
        <w:tab/>
        <w:t>the owner has given written notice to the chief executive that the owner will take all risk of damage that may arise; and</w:t>
      </w:r>
    </w:p>
    <w:p w:rsidR="00202FD5" w:rsidRDefault="00202FD5">
      <w:pPr>
        <w:pStyle w:val="Apara"/>
      </w:pPr>
      <w:r>
        <w:tab/>
        <w:t>(b)</w:t>
      </w:r>
      <w:r>
        <w:tab/>
        <w:t>the chief executive is satisfied that—</w:t>
      </w:r>
    </w:p>
    <w:p w:rsidR="00202FD5" w:rsidRDefault="00202FD5">
      <w:pPr>
        <w:pStyle w:val="Asubpara"/>
      </w:pPr>
      <w:r>
        <w:tab/>
        <w:t xml:space="preserve"> (i)</w:t>
      </w:r>
      <w:r>
        <w:tab/>
        <w:t xml:space="preserve">the water closet cannot be placed somewhere else; and </w:t>
      </w:r>
    </w:p>
    <w:p w:rsidR="00202FD5" w:rsidRDefault="00202FD5">
      <w:pPr>
        <w:pStyle w:val="Asubpara"/>
      </w:pPr>
      <w:r>
        <w:tab/>
        <w:t>(ii)</w:t>
      </w:r>
      <w:r>
        <w:tab/>
        <w:t>the soil pipe can be connected into an existing sewer.</w:t>
      </w:r>
    </w:p>
    <w:p w:rsidR="00202FD5" w:rsidRDefault="00202FD5">
      <w:pPr>
        <w:pStyle w:val="Amain"/>
      </w:pPr>
      <w:r>
        <w:tab/>
        <w:t>(5)</w:t>
      </w:r>
      <w:r>
        <w:tab/>
        <w:t>In this regulation:</w:t>
      </w:r>
    </w:p>
    <w:p w:rsidR="00202FD5" w:rsidRDefault="00202FD5">
      <w:pPr>
        <w:pStyle w:val="aDef"/>
      </w:pPr>
      <w:r>
        <w:rPr>
          <w:b/>
          <w:i/>
        </w:rPr>
        <w:t>dual-flush 6/3L cistern</w:t>
      </w:r>
      <w:r>
        <w:t xml:space="preserve"> means a cistern that is at least 8L capacity—</w:t>
      </w:r>
    </w:p>
    <w:p w:rsidR="00202FD5" w:rsidRDefault="00202FD5">
      <w:pPr>
        <w:pStyle w:val="aDefpara"/>
      </w:pPr>
      <w:r>
        <w:tab/>
        <w:t>(</w:t>
      </w:r>
      <w:r>
        <w:rPr>
          <w:noProof/>
        </w:rPr>
        <w:t>a</w:t>
      </w:r>
      <w:r>
        <w:t>)</w:t>
      </w:r>
      <w:r>
        <w:tab/>
        <w:t>giving an effective full-flush not exceeding 7L and, for test purposes, 6L; and</w:t>
      </w:r>
    </w:p>
    <w:p w:rsidR="00202FD5" w:rsidRDefault="00202FD5">
      <w:pPr>
        <w:pStyle w:val="aDefpara"/>
      </w:pPr>
      <w:r>
        <w:tab/>
        <w:t>(</w:t>
      </w:r>
      <w:r>
        <w:rPr>
          <w:noProof/>
        </w:rPr>
        <w:t>b</w:t>
      </w:r>
      <w:r>
        <w:t>)</w:t>
      </w:r>
      <w:r>
        <w:tab/>
        <w:t>giving an effective half-flush not exceeding 4L and, for test purposes, 3L.</w:t>
      </w:r>
    </w:p>
    <w:p w:rsidR="00202FD5" w:rsidRDefault="00202FD5">
      <w:pPr>
        <w:pStyle w:val="aDef"/>
      </w:pPr>
      <w:r>
        <w:rPr>
          <w:b/>
          <w:i/>
        </w:rPr>
        <w:t>full-flush closet pan</w:t>
      </w:r>
      <w:r>
        <w:t xml:space="preserve"> means a closet pan that is a full-flush pan under Australian Standard 1172.</w:t>
      </w:r>
    </w:p>
    <w:p w:rsidR="00202FD5" w:rsidRDefault="00202FD5">
      <w:pPr>
        <w:pStyle w:val="aDef"/>
      </w:pPr>
      <w:r>
        <w:rPr>
          <w:b/>
          <w:i/>
        </w:rPr>
        <w:t>reduced-flush closet pan</w:t>
      </w:r>
      <w:r>
        <w:t xml:space="preserve"> means a closet pan that is a reduced-flush pan under Australian Standard 1172.</w:t>
      </w:r>
    </w:p>
    <w:p w:rsidR="00202FD5" w:rsidRDefault="00202FD5">
      <w:pPr>
        <w:pStyle w:val="PageBreak"/>
      </w:pPr>
      <w:r>
        <w:br w:type="page"/>
      </w:r>
    </w:p>
    <w:p w:rsidR="00202FD5" w:rsidRDefault="00202FD5">
      <w:pPr>
        <w:pStyle w:val="AH2Part"/>
      </w:pPr>
      <w:bookmarkStart w:id="21" w:name="_Toc515702455"/>
      <w:r>
        <w:rPr>
          <w:rStyle w:val="CharPartNo"/>
        </w:rPr>
        <w:lastRenderedPageBreak/>
        <w:t>Part 3</w:t>
      </w:r>
      <w:r>
        <w:tab/>
      </w:r>
      <w:r>
        <w:rPr>
          <w:rStyle w:val="CharPartText"/>
        </w:rPr>
        <w:t>Water supply</w:t>
      </w:r>
      <w:bookmarkEnd w:id="21"/>
    </w:p>
    <w:p w:rsidR="00202FD5" w:rsidRDefault="00202FD5">
      <w:pPr>
        <w:pStyle w:val="Placeholder"/>
      </w:pPr>
      <w:r>
        <w:rPr>
          <w:rStyle w:val="CharDivNo"/>
        </w:rPr>
        <w:t xml:space="preserve">  </w:t>
      </w:r>
      <w:r>
        <w:rPr>
          <w:rStyle w:val="CharDivText"/>
        </w:rPr>
        <w:t xml:space="preserve">  </w:t>
      </w:r>
    </w:p>
    <w:p w:rsidR="00202FD5" w:rsidRDefault="00202FD5">
      <w:pPr>
        <w:pStyle w:val="AH5Sec"/>
      </w:pPr>
      <w:bookmarkStart w:id="22" w:name="_Toc515702456"/>
      <w:r>
        <w:rPr>
          <w:rStyle w:val="CharSectNo"/>
        </w:rPr>
        <w:t>17</w:t>
      </w:r>
      <w:r>
        <w:tab/>
        <w:t>Notice about work on water service</w:t>
      </w:r>
      <w:bookmarkEnd w:id="22"/>
    </w:p>
    <w:p w:rsidR="00202FD5" w:rsidRDefault="00202FD5">
      <w:pPr>
        <w:pStyle w:val="Amainreturn"/>
      </w:pPr>
      <w:r>
        <w:t>A notice under section 15 (Notice of interference with certain pipes communicating with water network) of the Act about intending to do work on a pipe connected to a property service of not less than 50mm diameter must be accompanied by a scale plan—</w:t>
      </w:r>
    </w:p>
    <w:p w:rsidR="00202FD5" w:rsidRDefault="00202FD5">
      <w:pPr>
        <w:pStyle w:val="Apara"/>
      </w:pPr>
      <w:r>
        <w:tab/>
        <w:t>(a)</w:t>
      </w:r>
      <w:r>
        <w:tab/>
        <w:t>stating the address of the premises at which the work is to be done; and</w:t>
      </w:r>
    </w:p>
    <w:p w:rsidR="00202FD5" w:rsidRDefault="00202FD5">
      <w:pPr>
        <w:pStyle w:val="Apara"/>
      </w:pPr>
      <w:r>
        <w:tab/>
        <w:t>(b)</w:t>
      </w:r>
      <w:r>
        <w:tab/>
        <w:t>showing the position on the premises in which it is intended to lay the pipes and fix meters, plugs, stop taps, and other fittings to the pipes.</w:t>
      </w:r>
    </w:p>
    <w:p w:rsidR="00202FD5" w:rsidRDefault="00202FD5">
      <w:pPr>
        <w:pStyle w:val="AH5Sec"/>
      </w:pPr>
      <w:bookmarkStart w:id="23" w:name="_Toc515702457"/>
      <w:r>
        <w:rPr>
          <w:rStyle w:val="CharSectNo"/>
        </w:rPr>
        <w:t>18</w:t>
      </w:r>
      <w:r>
        <w:tab/>
        <w:t>Work to conform to standard</w:t>
      </w:r>
      <w:bookmarkEnd w:id="23"/>
    </w:p>
    <w:p w:rsidR="00202FD5" w:rsidRDefault="00202FD5">
      <w:pPr>
        <w:pStyle w:val="Amain"/>
      </w:pPr>
      <w:r>
        <w:tab/>
        <w:t>(1)</w:t>
      </w:r>
      <w:r>
        <w:tab/>
        <w:t>A person must not do work on a water service or hot water system taking its water from a water network unless the work is done—</w:t>
      </w:r>
    </w:p>
    <w:p w:rsidR="00202FD5" w:rsidRDefault="00202FD5">
      <w:pPr>
        <w:pStyle w:val="Apara"/>
      </w:pPr>
      <w:r>
        <w:tab/>
        <w:t>(a)</w:t>
      </w:r>
      <w:r>
        <w:tab/>
        <w:t>in accordance with Australian Standard 3500; and</w:t>
      </w:r>
    </w:p>
    <w:p w:rsidR="00202FD5" w:rsidRDefault="00202FD5">
      <w:pPr>
        <w:pStyle w:val="Apara"/>
      </w:pPr>
      <w:r>
        <w:tab/>
        <w:t>(b)</w:t>
      </w:r>
      <w:r>
        <w:tab/>
        <w:t>if the work was done on a pipe connected to a property service of not less than 50mm diameter—in accordance with the plan approved by the certifier under section 8 (Issue of plan approvals) of the Act.</w:t>
      </w:r>
    </w:p>
    <w:p w:rsidR="00202FD5" w:rsidRDefault="00202FD5">
      <w:pPr>
        <w:pStyle w:val="Amainreturn"/>
      </w:pPr>
      <w:r>
        <w:t>Maximum penalty:  10 penalty units.</w:t>
      </w:r>
    </w:p>
    <w:p w:rsidR="00202FD5" w:rsidRDefault="00202FD5">
      <w:pPr>
        <w:pStyle w:val="Amain"/>
      </w:pPr>
      <w:r>
        <w:tab/>
        <w:t>(2)</w:t>
      </w:r>
      <w:r>
        <w:tab/>
        <w:t>A person must not use plumbing or drainage products on a water service or hot water system taking its water from a water network unless the work is done in accordance with the requirements of MP52.</w:t>
      </w:r>
    </w:p>
    <w:p w:rsidR="00202FD5" w:rsidRDefault="00202FD5">
      <w:pPr>
        <w:pStyle w:val="Amainreturn"/>
      </w:pPr>
      <w:r>
        <w:t>Maximum penalty:  10 penalty units.</w:t>
      </w:r>
    </w:p>
    <w:p w:rsidR="00202FD5" w:rsidRDefault="00202FD5">
      <w:pPr>
        <w:pStyle w:val="Amain"/>
      </w:pPr>
      <w:r>
        <w:tab/>
        <w:t>(3)</w:t>
      </w:r>
      <w:r>
        <w:tab/>
        <w:t>Subregulations (1) and (2) do not apply if—</w:t>
      </w:r>
    </w:p>
    <w:p w:rsidR="00202FD5" w:rsidRDefault="00202FD5">
      <w:pPr>
        <w:pStyle w:val="Apara"/>
      </w:pPr>
      <w:r>
        <w:tab/>
        <w:t>(a)</w:t>
      </w:r>
      <w:r>
        <w:tab/>
        <w:t xml:space="preserve">the requirements of Australian Standard 3500 or MP52 are inconsistent with standards mentioned in these regulations; and </w:t>
      </w:r>
    </w:p>
    <w:p w:rsidR="00202FD5" w:rsidRDefault="00202FD5">
      <w:pPr>
        <w:pStyle w:val="Apara"/>
      </w:pPr>
      <w:r>
        <w:tab/>
        <w:t>(b)</w:t>
      </w:r>
      <w:r>
        <w:tab/>
        <w:t>the work was done in accordance with these regulations.</w:t>
      </w:r>
    </w:p>
    <w:p w:rsidR="00202FD5" w:rsidRDefault="00202FD5">
      <w:pPr>
        <w:pStyle w:val="AH5Sec"/>
      </w:pPr>
      <w:bookmarkStart w:id="24" w:name="_Toc515702458"/>
      <w:r>
        <w:rPr>
          <w:rStyle w:val="CharSectNo"/>
        </w:rPr>
        <w:lastRenderedPageBreak/>
        <w:t>19</w:t>
      </w:r>
      <w:r>
        <w:tab/>
        <w:t>Inspection of work etc</w:t>
      </w:r>
      <w:bookmarkEnd w:id="24"/>
    </w:p>
    <w:p w:rsidR="00202FD5" w:rsidRDefault="00202FD5">
      <w:pPr>
        <w:pStyle w:val="Amain"/>
      </w:pPr>
      <w:r>
        <w:tab/>
        <w:t>(1)</w:t>
      </w:r>
      <w:r>
        <w:tab/>
        <w:t>A person who does work on a water service or hot water system must tell the chief executive when the work is ready for inspection.</w:t>
      </w:r>
    </w:p>
    <w:p w:rsidR="00202FD5" w:rsidRDefault="00202FD5">
      <w:pPr>
        <w:pStyle w:val="Amainreturn"/>
      </w:pPr>
      <w:r>
        <w:t>Maximum penalty:  10 penalty units.</w:t>
      </w:r>
    </w:p>
    <w:p w:rsidR="00202FD5" w:rsidRDefault="00202FD5">
      <w:pPr>
        <w:pStyle w:val="Amain"/>
      </w:pPr>
      <w:r>
        <w:tab/>
        <w:t>(2)</w:t>
      </w:r>
      <w:r>
        <w:tab/>
        <w:t>A person who does work on a water service or hot water system must leave the work uncovered and convenient for inspection until whichever of the following happens first:</w:t>
      </w:r>
    </w:p>
    <w:p w:rsidR="00202FD5" w:rsidRDefault="00202FD5">
      <w:pPr>
        <w:pStyle w:val="Apara"/>
      </w:pPr>
      <w:r>
        <w:tab/>
        <w:t>(a)</w:t>
      </w:r>
      <w:r>
        <w:tab/>
        <w:t xml:space="preserve">the work is inspected and approved by an inspector; </w:t>
      </w:r>
    </w:p>
    <w:p w:rsidR="00202FD5" w:rsidRDefault="00202FD5">
      <w:pPr>
        <w:pStyle w:val="Apara"/>
      </w:pPr>
      <w:r>
        <w:tab/>
        <w:t>(b)</w:t>
      </w:r>
      <w:r>
        <w:tab/>
        <w:t xml:space="preserve">an inspector advises the person that an inspection is not required; </w:t>
      </w:r>
    </w:p>
    <w:p w:rsidR="00202FD5" w:rsidRDefault="00202FD5">
      <w:pPr>
        <w:pStyle w:val="Apara"/>
      </w:pPr>
      <w:r>
        <w:tab/>
        <w:t>(c)</w:t>
      </w:r>
      <w:r>
        <w:tab/>
        <w:t>the end of 2 working days after the chief executive was told that the work was ready for inspection.</w:t>
      </w:r>
    </w:p>
    <w:p w:rsidR="00202FD5" w:rsidRDefault="00202FD5">
      <w:pPr>
        <w:pStyle w:val="Amainreturn"/>
      </w:pPr>
      <w:r>
        <w:t>Maximum penalty:  5 penalty units.</w:t>
      </w:r>
    </w:p>
    <w:p w:rsidR="00202FD5" w:rsidRDefault="00202FD5">
      <w:pPr>
        <w:pStyle w:val="AH5Sec"/>
      </w:pPr>
      <w:bookmarkStart w:id="25" w:name="_Toc515702459"/>
      <w:r>
        <w:rPr>
          <w:rStyle w:val="CharSectNo"/>
        </w:rPr>
        <w:t>20</w:t>
      </w:r>
      <w:r>
        <w:tab/>
        <w:t>Testing of water plumbing</w:t>
      </w:r>
      <w:bookmarkEnd w:id="25"/>
    </w:p>
    <w:p w:rsidR="00202FD5" w:rsidRDefault="00202FD5">
      <w:pPr>
        <w:pStyle w:val="Amain"/>
      </w:pPr>
      <w:r>
        <w:tab/>
        <w:t>(1)</w:t>
      </w:r>
      <w:r>
        <w:tab/>
        <w:t>Water plumbing must be tested in accordance with Australian Standard 3500—</w:t>
      </w:r>
    </w:p>
    <w:p w:rsidR="00202FD5" w:rsidRDefault="00202FD5">
      <w:pPr>
        <w:pStyle w:val="Apara"/>
      </w:pPr>
      <w:r>
        <w:tab/>
        <w:t>(a)</w:t>
      </w:r>
      <w:r>
        <w:tab/>
        <w:t>before it is passed by an inspector; and</w:t>
      </w:r>
    </w:p>
    <w:p w:rsidR="00202FD5" w:rsidRDefault="00202FD5">
      <w:pPr>
        <w:pStyle w:val="Apara"/>
      </w:pPr>
      <w:r>
        <w:tab/>
        <w:t>(b)</w:t>
      </w:r>
      <w:r>
        <w:tab/>
        <w:t>if plumbing is altered or repaired—before the alterations or repairs are passed by an inspector.</w:t>
      </w:r>
    </w:p>
    <w:p w:rsidR="00202FD5" w:rsidRDefault="00202FD5">
      <w:pPr>
        <w:pStyle w:val="Amain"/>
      </w:pPr>
      <w:r>
        <w:tab/>
        <w:t>(2)</w:t>
      </w:r>
      <w:r>
        <w:tab/>
        <w:t>A person who does plumbing work that is to be tested, must supply the apparatus, tools and labour for the test, whether or not all or any part of the test is to be done by an inspector.</w:t>
      </w:r>
    </w:p>
    <w:p w:rsidR="00202FD5" w:rsidRDefault="00202FD5">
      <w:pPr>
        <w:pStyle w:val="Amainreturn"/>
      </w:pPr>
      <w:r>
        <w:t>Maximum penalty:  5 penalty units.</w:t>
      </w:r>
    </w:p>
    <w:p w:rsidR="00202FD5" w:rsidRDefault="00202FD5">
      <w:pPr>
        <w:pStyle w:val="Amain"/>
      </w:pPr>
      <w:r>
        <w:tab/>
        <w:t>(3)</w:t>
      </w:r>
      <w:r>
        <w:tab/>
        <w:t>A person who did plumbing work that is being tested must rectify any of the work that the test finds defective.</w:t>
      </w:r>
    </w:p>
    <w:p w:rsidR="00202FD5" w:rsidRDefault="00202FD5">
      <w:pPr>
        <w:pStyle w:val="Amainreturn"/>
      </w:pPr>
      <w:r>
        <w:t>Maximum penalty:  10 penalty units.</w:t>
      </w:r>
    </w:p>
    <w:p w:rsidR="00202FD5" w:rsidRDefault="00202FD5">
      <w:pPr>
        <w:pStyle w:val="Amain"/>
      </w:pPr>
      <w:r>
        <w:tab/>
        <w:t>(4)</w:t>
      </w:r>
      <w:r>
        <w:tab/>
        <w:t>Plumbing work is to be taken not to be in accordance with Australian Standard 3500 if the person who did the work does not supply apparatus, tools and labour sufficient to allow the work to be tested under this regulation.</w:t>
      </w:r>
    </w:p>
    <w:p w:rsidR="00202FD5" w:rsidRDefault="00202FD5">
      <w:pPr>
        <w:pStyle w:val="AH5Sec"/>
      </w:pPr>
      <w:bookmarkStart w:id="26" w:name="_Toc515702460"/>
      <w:r>
        <w:rPr>
          <w:rStyle w:val="CharSectNo"/>
        </w:rPr>
        <w:lastRenderedPageBreak/>
        <w:t>21</w:t>
      </w:r>
      <w:r>
        <w:tab/>
        <w:t>Notification after completion of work—water services</w:t>
      </w:r>
      <w:bookmarkEnd w:id="26"/>
    </w:p>
    <w:p w:rsidR="00202FD5" w:rsidRDefault="00202FD5">
      <w:pPr>
        <w:pStyle w:val="Amainreturn"/>
      </w:pPr>
      <w:r>
        <w:t>A person who does work on a water service or hot water system must, if satisfied that the work has been completed in accordance with these regulations and Australian Standard 3500, within 7 days after completion of the work, give the chief executive—</w:t>
      </w:r>
    </w:p>
    <w:p w:rsidR="00202FD5" w:rsidRDefault="00202FD5">
      <w:pPr>
        <w:pStyle w:val="Apara"/>
      </w:pPr>
      <w:r>
        <w:tab/>
        <w:t>(a)</w:t>
      </w:r>
      <w:r>
        <w:tab/>
        <w:t>a statement of the work completed; and</w:t>
      </w:r>
    </w:p>
    <w:p w:rsidR="00202FD5" w:rsidRDefault="00202FD5">
      <w:pPr>
        <w:pStyle w:val="Apara"/>
      </w:pPr>
      <w:r>
        <w:tab/>
        <w:t>(b)</w:t>
      </w:r>
      <w:r>
        <w:tab/>
        <w:t>evidence of payment of inspection fees under these regulations; and</w:t>
      </w:r>
    </w:p>
    <w:p w:rsidR="00202FD5" w:rsidRDefault="00202FD5">
      <w:pPr>
        <w:pStyle w:val="Apara"/>
      </w:pPr>
      <w:r>
        <w:tab/>
        <w:t>(c)</w:t>
      </w:r>
      <w:r>
        <w:tab/>
        <w:t>if the work is done on a pipe connected to a property service of not less than 50mm diameter—a copy of a water plumbing plan on which there is endorsed a certificate that the plan is a true record of the work carried out.</w:t>
      </w:r>
    </w:p>
    <w:p w:rsidR="00202FD5" w:rsidRDefault="00202FD5">
      <w:pPr>
        <w:pStyle w:val="aNote"/>
      </w:pPr>
      <w:r>
        <w:rPr>
          <w:i/>
        </w:rPr>
        <w:t>Note</w:t>
      </w:r>
      <w:r>
        <w:rPr>
          <w:i/>
        </w:rPr>
        <w:t> </w:t>
      </w:r>
      <w:r>
        <w:rPr>
          <w:i/>
        </w:rPr>
        <w:tab/>
      </w:r>
      <w:r>
        <w:t>A certificate of compliance for water plumbing work cannot be issued under reg 25 unless the chief executive is satisfied that the work complies with the regulations.  The chief executive may only be able to be so satisfied if the statement, evidence and plan about the work has been given.</w:t>
      </w:r>
    </w:p>
    <w:p w:rsidR="00202FD5" w:rsidRDefault="00202FD5">
      <w:pPr>
        <w:pStyle w:val="AH5Sec"/>
      </w:pPr>
      <w:bookmarkStart w:id="27" w:name="_Toc515702461"/>
      <w:r>
        <w:rPr>
          <w:rStyle w:val="CharSectNo"/>
        </w:rPr>
        <w:t>22</w:t>
      </w:r>
      <w:r>
        <w:tab/>
        <w:t>Backflow prevention device</w:t>
      </w:r>
      <w:bookmarkEnd w:id="27"/>
    </w:p>
    <w:p w:rsidR="00202FD5" w:rsidRDefault="00202FD5">
      <w:pPr>
        <w:pStyle w:val="Amain"/>
      </w:pPr>
      <w:r>
        <w:tab/>
        <w:t>(1)</w:t>
      </w:r>
      <w:r>
        <w:tab/>
        <w:t>This regulation applies if a certifier has reasonable grounds for believing that, by doing work of the kind mentioned in regulation 19 (Inspection of work etc), non-potable liquids, solids or gases may get into the potable water supply of the Territory.</w:t>
      </w:r>
    </w:p>
    <w:p w:rsidR="00202FD5" w:rsidRDefault="00202FD5">
      <w:pPr>
        <w:pStyle w:val="Amain"/>
      </w:pPr>
      <w:r>
        <w:tab/>
        <w:t>(2)</w:t>
      </w:r>
      <w:r>
        <w:tab/>
        <w:t>A certifier must not, without reasonable excuse, approve a plan for the work unless—</w:t>
      </w:r>
    </w:p>
    <w:p w:rsidR="00202FD5" w:rsidRDefault="00202FD5">
      <w:pPr>
        <w:pStyle w:val="Apara"/>
      </w:pPr>
      <w:r>
        <w:tab/>
        <w:t>(a)</w:t>
      </w:r>
      <w:r>
        <w:tab/>
        <w:t>the plan includes the installation of an appropriate backflow prevention device for protecting the potable water supply from non-potable liquids, solids or gases; or</w:t>
      </w:r>
    </w:p>
    <w:p w:rsidR="00202FD5" w:rsidRDefault="00202FD5">
      <w:pPr>
        <w:pStyle w:val="Apara"/>
      </w:pPr>
      <w:r>
        <w:tab/>
        <w:t>(b)</w:t>
      </w:r>
      <w:r>
        <w:tab/>
        <w:t>the certifier has certified on the plan that, in the certifier’s opinion, the installation is not required.</w:t>
      </w:r>
    </w:p>
    <w:p w:rsidR="00202FD5" w:rsidRDefault="00202FD5">
      <w:pPr>
        <w:pStyle w:val="Amainreturn"/>
      </w:pPr>
      <w:r>
        <w:t>Maximum penalty:  5 penalty units.</w:t>
      </w:r>
    </w:p>
    <w:p w:rsidR="00202FD5" w:rsidRDefault="00202FD5">
      <w:pPr>
        <w:pStyle w:val="Amain"/>
      </w:pPr>
      <w:r>
        <w:lastRenderedPageBreak/>
        <w:tab/>
        <w:t>(3)</w:t>
      </w:r>
      <w:r>
        <w:tab/>
        <w:t>A person to whom plan approval is given who is required to install an appropriate backflow prevention device must not, without reasonable excuse—</w:t>
      </w:r>
    </w:p>
    <w:p w:rsidR="00202FD5" w:rsidRDefault="00202FD5">
      <w:pPr>
        <w:pStyle w:val="Apara"/>
      </w:pPr>
      <w:r>
        <w:tab/>
        <w:t>(a)</w:t>
      </w:r>
      <w:r>
        <w:tab/>
        <w:t xml:space="preserve">fail to install the device; or </w:t>
      </w:r>
    </w:p>
    <w:p w:rsidR="00202FD5" w:rsidRDefault="00202FD5">
      <w:pPr>
        <w:pStyle w:val="Apara"/>
      </w:pPr>
      <w:r>
        <w:tab/>
        <w:t>(b)</w:t>
      </w:r>
      <w:r>
        <w:tab/>
        <w:t>install the device otherwise than in accordance with the plan.</w:t>
      </w:r>
    </w:p>
    <w:p w:rsidR="00202FD5" w:rsidRDefault="00202FD5">
      <w:pPr>
        <w:pStyle w:val="Amainreturn"/>
      </w:pPr>
      <w:r>
        <w:t>Maximum penalty:  10 penalty units.</w:t>
      </w:r>
    </w:p>
    <w:p w:rsidR="00202FD5" w:rsidRDefault="00202FD5">
      <w:pPr>
        <w:pStyle w:val="Amain"/>
      </w:pPr>
      <w:r>
        <w:tab/>
        <w:t>(4)</w:t>
      </w:r>
      <w:r>
        <w:tab/>
        <w:t>A person must not install a backflow prevention device except in accordance with Australian Standard 3500.</w:t>
      </w:r>
    </w:p>
    <w:p w:rsidR="00202FD5" w:rsidRDefault="00202FD5">
      <w:pPr>
        <w:pStyle w:val="Amainreturn"/>
      </w:pPr>
      <w:r>
        <w:t>Maximum penalty:  10 penalty units.</w:t>
      </w:r>
    </w:p>
    <w:p w:rsidR="00202FD5" w:rsidRDefault="00202FD5">
      <w:pPr>
        <w:pStyle w:val="Amain"/>
      </w:pPr>
      <w:r>
        <w:tab/>
        <w:t>(5)</w:t>
      </w:r>
      <w:r>
        <w:tab/>
        <w:t>A person who installs a testable backflow prevention device must—</w:t>
      </w:r>
    </w:p>
    <w:p w:rsidR="00202FD5" w:rsidRDefault="00202FD5">
      <w:pPr>
        <w:pStyle w:val="Apara"/>
      </w:pPr>
      <w:r>
        <w:tab/>
        <w:t>(a)</w:t>
      </w:r>
      <w:r>
        <w:tab/>
        <w:t>tell the chief executive that the device has been installed; and</w:t>
      </w:r>
    </w:p>
    <w:p w:rsidR="00202FD5" w:rsidRDefault="00202FD5">
      <w:pPr>
        <w:pStyle w:val="Apara"/>
      </w:pPr>
      <w:r>
        <w:tab/>
        <w:t>(b)</w:t>
      </w:r>
      <w:r>
        <w:tab/>
        <w:t>ensure that the device is tested by a suitably qualified person in accordance with Australian Standard 2845.3 as in effect on 1 March 1999, as soon as practicable after installation; and</w:t>
      </w:r>
    </w:p>
    <w:p w:rsidR="00202FD5" w:rsidRDefault="00202FD5">
      <w:pPr>
        <w:pStyle w:val="Apara"/>
      </w:pPr>
      <w:r>
        <w:tab/>
        <w:t>(c)</w:t>
      </w:r>
      <w:r>
        <w:tab/>
        <w:t xml:space="preserve">within 7 days after the device is tested, give the chief executive a test report prepared by the person who did the test. </w:t>
      </w:r>
    </w:p>
    <w:p w:rsidR="00202FD5" w:rsidRDefault="00202FD5">
      <w:pPr>
        <w:pStyle w:val="Amainreturn"/>
      </w:pPr>
      <w:r>
        <w:t>Maximum penalty:  10 penalty units.</w:t>
      </w:r>
    </w:p>
    <w:p w:rsidR="00202FD5" w:rsidRDefault="00202FD5">
      <w:pPr>
        <w:pStyle w:val="Amain"/>
      </w:pPr>
      <w:r>
        <w:tab/>
        <w:t>(6)</w:t>
      </w:r>
      <w:r>
        <w:tab/>
        <w:t>The owner of a parcel of land on which a testable backflow prevention device is installed must—</w:t>
      </w:r>
    </w:p>
    <w:p w:rsidR="00202FD5" w:rsidRDefault="00202FD5">
      <w:pPr>
        <w:pStyle w:val="Apara"/>
      </w:pPr>
      <w:r>
        <w:tab/>
        <w:t>(a)</w:t>
      </w:r>
      <w:r>
        <w:tab/>
        <w:t>cause the device to be tested by a suitably qualified person in accordance with Australian Standard 2845.3 as in effect on 1 March 1999; and</w:t>
      </w:r>
    </w:p>
    <w:p w:rsidR="00202FD5" w:rsidRDefault="00202FD5">
      <w:pPr>
        <w:pStyle w:val="Apara"/>
      </w:pPr>
      <w:r>
        <w:tab/>
        <w:t>(b)</w:t>
      </w:r>
      <w:r>
        <w:tab/>
        <w:t xml:space="preserve">within 7 days after the device is tested, give the chief executive a test report prepared by the person who did the test. </w:t>
      </w:r>
    </w:p>
    <w:p w:rsidR="00202FD5" w:rsidRDefault="00202FD5">
      <w:pPr>
        <w:pStyle w:val="Amainreturn"/>
      </w:pPr>
      <w:r>
        <w:t>Maximum penalty:  10 penalty units.</w:t>
      </w:r>
    </w:p>
    <w:p w:rsidR="00202FD5" w:rsidRDefault="00202FD5">
      <w:pPr>
        <w:pStyle w:val="Amain"/>
      </w:pPr>
      <w:r>
        <w:tab/>
        <w:t>(7)</w:t>
      </w:r>
      <w:r>
        <w:tab/>
        <w:t>For subregulation (6)—</w:t>
      </w:r>
    </w:p>
    <w:p w:rsidR="00202FD5" w:rsidRDefault="00202FD5">
      <w:pPr>
        <w:pStyle w:val="Apara"/>
      </w:pPr>
      <w:r>
        <w:tab/>
        <w:t>(a)</w:t>
      </w:r>
      <w:r>
        <w:tab/>
        <w:t>if maintenance or repair work has been done on a testable backflow prevention device—it must be tested within 7 days after the work was done; or</w:t>
      </w:r>
    </w:p>
    <w:p w:rsidR="00202FD5" w:rsidRDefault="00202FD5">
      <w:pPr>
        <w:pStyle w:val="Apara"/>
      </w:pPr>
      <w:r>
        <w:lastRenderedPageBreak/>
        <w:tab/>
        <w:t>(b)</w:t>
      </w:r>
      <w:r>
        <w:tab/>
        <w:t>in any other case—it must be tested within 12 months after the last test was done on the device under this regulation.</w:t>
      </w:r>
    </w:p>
    <w:p w:rsidR="00202FD5" w:rsidRDefault="00202FD5">
      <w:pPr>
        <w:pStyle w:val="Amain"/>
      </w:pPr>
      <w:r>
        <w:tab/>
        <w:t>(8)</w:t>
      </w:r>
      <w:r>
        <w:tab/>
        <w:t>In this regulation:</w:t>
      </w:r>
    </w:p>
    <w:p w:rsidR="00202FD5" w:rsidRDefault="00202FD5">
      <w:pPr>
        <w:pStyle w:val="aDef"/>
      </w:pPr>
      <w:r>
        <w:rPr>
          <w:b/>
          <w:i/>
        </w:rPr>
        <w:t>appropriate backflow prevention device</w:t>
      </w:r>
      <w:r>
        <w:t xml:space="preserve"> means a backflow prevention device selected in accordance with Australian Standard 3500.</w:t>
      </w:r>
    </w:p>
    <w:p w:rsidR="00202FD5" w:rsidRDefault="00202FD5">
      <w:pPr>
        <w:pStyle w:val="aDef"/>
      </w:pPr>
      <w:r>
        <w:rPr>
          <w:b/>
          <w:i/>
        </w:rPr>
        <w:t>suitably qualified person</w:t>
      </w:r>
      <w:r>
        <w:t xml:space="preserve"> means a person who—</w:t>
      </w:r>
    </w:p>
    <w:p w:rsidR="00202FD5" w:rsidRDefault="00202FD5">
      <w:pPr>
        <w:pStyle w:val="aDefpara"/>
      </w:pPr>
      <w:r>
        <w:tab/>
        <w:t>(</w:t>
      </w:r>
      <w:r>
        <w:rPr>
          <w:noProof/>
        </w:rPr>
        <w:t>a</w:t>
      </w:r>
      <w:r>
        <w:t>)</w:t>
      </w:r>
      <w:r>
        <w:tab/>
        <w:t>is a licensed plumber; and</w:t>
      </w:r>
    </w:p>
    <w:p w:rsidR="00202FD5" w:rsidRDefault="00202FD5">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202FD5" w:rsidRDefault="00202FD5">
      <w:pPr>
        <w:pStyle w:val="AH5Sec"/>
      </w:pPr>
      <w:bookmarkStart w:id="28" w:name="_Toc515702462"/>
      <w:r>
        <w:rPr>
          <w:rStyle w:val="CharSectNo"/>
        </w:rPr>
        <w:t>23</w:t>
      </w:r>
      <w:r>
        <w:tab/>
        <w:t>Water pumping appliance not to be connected without permission</w:t>
      </w:r>
      <w:bookmarkEnd w:id="28"/>
    </w:p>
    <w:p w:rsidR="00202FD5" w:rsidRDefault="00202FD5">
      <w:pPr>
        <w:pStyle w:val="Amain"/>
      </w:pPr>
      <w:r>
        <w:tab/>
        <w:t>(1)</w:t>
      </w:r>
      <w:r>
        <w:tab/>
        <w:t>A person must not connect a water pumping appliance to a pipe that is connected indirectly to the water network without the permission of the responsible utility.</w:t>
      </w:r>
    </w:p>
    <w:p w:rsidR="00202FD5" w:rsidRDefault="00202FD5">
      <w:pPr>
        <w:pStyle w:val="Amainreturn"/>
      </w:pPr>
      <w:r>
        <w:t>Maximum penalty:  10 penalty units.</w:t>
      </w:r>
    </w:p>
    <w:p w:rsidR="00202FD5" w:rsidRDefault="00202FD5">
      <w:pPr>
        <w:pStyle w:val="Amain"/>
      </w:pPr>
      <w:r>
        <w:tab/>
        <w:t>(2)</w:t>
      </w:r>
      <w:r>
        <w:tab/>
        <w:t>In this regulation:</w:t>
      </w:r>
    </w:p>
    <w:p w:rsidR="00202FD5" w:rsidRDefault="00202FD5">
      <w:pPr>
        <w:pStyle w:val="aDef"/>
      </w:pPr>
      <w:r>
        <w:rPr>
          <w:b/>
          <w:i/>
        </w:rPr>
        <w:t>cooling appliance</w:t>
      </w:r>
      <w:r>
        <w:t xml:space="preserve"> means an apparatus or appliance that uses water in the process of cooling premises.</w:t>
      </w:r>
    </w:p>
    <w:p w:rsidR="00202FD5" w:rsidRDefault="00202FD5">
      <w:pPr>
        <w:pStyle w:val="aDef"/>
      </w:pPr>
      <w:r>
        <w:rPr>
          <w:b/>
          <w:i/>
        </w:rPr>
        <w:t>water pumping appliance</w:t>
      </w:r>
      <w:r>
        <w:t xml:space="preserve"> includes an automatic syphon, a hand syphon, cooling appliance, water circulation apparatus and water power pumping appliance.</w:t>
      </w:r>
    </w:p>
    <w:p w:rsidR="002D0016" w:rsidRDefault="002D0016">
      <w:pPr>
        <w:tabs>
          <w:tab w:val="clear" w:pos="2880"/>
        </w:tabs>
        <w:rPr>
          <w:rStyle w:val="CharSectNo"/>
          <w:rFonts w:ascii="Arial" w:hAnsi="Arial"/>
          <w:b/>
          <w:lang w:val="en-AU"/>
        </w:rPr>
      </w:pPr>
      <w:bookmarkStart w:id="29" w:name="_Toc515702463"/>
      <w:r>
        <w:rPr>
          <w:rStyle w:val="CharSectNo"/>
        </w:rPr>
        <w:br w:type="page"/>
      </w:r>
    </w:p>
    <w:p w:rsidR="00202FD5" w:rsidRDefault="00202FD5">
      <w:pPr>
        <w:pStyle w:val="AH5Sec"/>
      </w:pPr>
      <w:r>
        <w:rPr>
          <w:rStyle w:val="CharSectNo"/>
        </w:rPr>
        <w:lastRenderedPageBreak/>
        <w:t>24</w:t>
      </w:r>
      <w:r>
        <w:tab/>
        <w:t>Connecting pipe with steam-boilers</w:t>
      </w:r>
      <w:bookmarkEnd w:id="29"/>
    </w:p>
    <w:p w:rsidR="00202FD5" w:rsidRDefault="00202FD5">
      <w:pPr>
        <w:pStyle w:val="Amain"/>
      </w:pPr>
      <w:r>
        <w:tab/>
        <w:t>(1)</w:t>
      </w:r>
      <w:r>
        <w:tab/>
        <w:t>A person must not connect a service pipe directly to a steam-boiler for feeding the boiler with water.</w:t>
      </w:r>
    </w:p>
    <w:p w:rsidR="00202FD5" w:rsidRDefault="00202FD5">
      <w:pPr>
        <w:pStyle w:val="Amainreturn"/>
      </w:pPr>
      <w:r>
        <w:t>Maximum penalty:  10 penalty units.</w:t>
      </w:r>
    </w:p>
    <w:p w:rsidR="00202FD5" w:rsidRDefault="00202FD5">
      <w:pPr>
        <w:pStyle w:val="Amain"/>
      </w:pPr>
      <w:r>
        <w:tab/>
        <w:t>(2)</w:t>
      </w:r>
      <w:r>
        <w:tab/>
        <w:t>A person who makes a connection for feeding a steam-boiler with water must make the connection to the boiler from a break tank.</w:t>
      </w:r>
    </w:p>
    <w:p w:rsidR="00202FD5" w:rsidRDefault="00202FD5">
      <w:pPr>
        <w:pStyle w:val="Amainreturn"/>
      </w:pPr>
      <w:r>
        <w:t>Maximum penalty:  10 penalty units.</w:t>
      </w:r>
    </w:p>
    <w:p w:rsidR="00202FD5" w:rsidRDefault="00202FD5">
      <w:pPr>
        <w:pStyle w:val="PageBreak"/>
      </w:pPr>
      <w:r>
        <w:br w:type="page"/>
      </w:r>
    </w:p>
    <w:p w:rsidR="00202FD5" w:rsidRDefault="00202FD5">
      <w:pPr>
        <w:pStyle w:val="AH2Part"/>
      </w:pPr>
      <w:bookmarkStart w:id="30" w:name="_Toc515702464"/>
      <w:r>
        <w:rPr>
          <w:rStyle w:val="CharPartNo"/>
        </w:rPr>
        <w:lastRenderedPageBreak/>
        <w:t>Part 4</w:t>
      </w:r>
      <w:r>
        <w:tab/>
      </w:r>
      <w:r>
        <w:rPr>
          <w:rStyle w:val="CharPartText"/>
        </w:rPr>
        <w:t>Miscellaneous</w:t>
      </w:r>
      <w:bookmarkEnd w:id="30"/>
    </w:p>
    <w:p w:rsidR="00202FD5" w:rsidRDefault="00202FD5">
      <w:pPr>
        <w:pStyle w:val="Placeholder"/>
      </w:pPr>
      <w:r>
        <w:rPr>
          <w:rStyle w:val="CharDivNo"/>
        </w:rPr>
        <w:t xml:space="preserve">  </w:t>
      </w:r>
      <w:r>
        <w:rPr>
          <w:rStyle w:val="CharDivText"/>
        </w:rPr>
        <w:t xml:space="preserve">  </w:t>
      </w:r>
    </w:p>
    <w:p w:rsidR="00202FD5" w:rsidRDefault="00202FD5">
      <w:pPr>
        <w:pStyle w:val="AH5Sec"/>
      </w:pPr>
      <w:bookmarkStart w:id="31" w:name="_Toc515702465"/>
      <w:r>
        <w:rPr>
          <w:rStyle w:val="CharSectNo"/>
        </w:rPr>
        <w:t>25</w:t>
      </w:r>
      <w:r>
        <w:tab/>
        <w:t>Certificate of compliance</w:t>
      </w:r>
      <w:bookmarkEnd w:id="31"/>
    </w:p>
    <w:p w:rsidR="00202FD5" w:rsidRDefault="00202FD5">
      <w:pPr>
        <w:pStyle w:val="Amain"/>
      </w:pPr>
      <w:r>
        <w:tab/>
        <w:t>(1)</w:t>
      </w:r>
      <w:r>
        <w:tab/>
        <w:t>The owner of premises may apply, in writing, to the chief executive for a certificate of compliance for plumbing or sanitary drainage work.</w:t>
      </w:r>
    </w:p>
    <w:p w:rsidR="00202FD5" w:rsidRDefault="00202FD5">
      <w:pPr>
        <w:pStyle w:val="Amain"/>
      </w:pPr>
      <w:r>
        <w:tab/>
        <w:t>(2)</w:t>
      </w:r>
      <w:r>
        <w:tab/>
        <w:t>The chief executive must issue a certificate of compliance if satisfied that the plumbing or sanitary drainage work complies with these regulations.</w:t>
      </w:r>
    </w:p>
    <w:p w:rsidR="00202FD5" w:rsidRDefault="00202FD5">
      <w:pPr>
        <w:pStyle w:val="Amain"/>
      </w:pPr>
      <w:r>
        <w:tab/>
        <w:t>(3)</w:t>
      </w:r>
      <w:r>
        <w:tab/>
        <w:t>A person must not use plumbing or sanitary drainage work unless a certificate of compliance has been issued for the work .</w:t>
      </w:r>
    </w:p>
    <w:p w:rsidR="00202FD5" w:rsidRDefault="00202FD5">
      <w:pPr>
        <w:pStyle w:val="Amainreturn"/>
      </w:pPr>
      <w:r>
        <w:t>Maximum penalty (subregulation (3)):  10 penalty units.</w:t>
      </w:r>
    </w:p>
    <w:p w:rsidR="00202FD5" w:rsidRDefault="00202FD5">
      <w:pPr>
        <w:pStyle w:val="AH5Sec"/>
      </w:pPr>
      <w:bookmarkStart w:id="32" w:name="_Toc515702466"/>
      <w:r>
        <w:rPr>
          <w:rStyle w:val="CharSectNo"/>
        </w:rPr>
        <w:t>26</w:t>
      </w:r>
      <w:r>
        <w:tab/>
        <w:t>Notice of decisions</w:t>
      </w:r>
      <w:bookmarkEnd w:id="32"/>
    </w:p>
    <w:p w:rsidR="00202FD5" w:rsidRDefault="00202FD5">
      <w:pPr>
        <w:pStyle w:val="Amain"/>
      </w:pPr>
      <w:r>
        <w:tab/>
        <w:t>(1)</w:t>
      </w:r>
      <w:r>
        <w:tab/>
        <w:t>This regulation applies to—</w:t>
      </w:r>
    </w:p>
    <w:p w:rsidR="00202FD5" w:rsidRDefault="00202FD5">
      <w:pPr>
        <w:pStyle w:val="Apara"/>
      </w:pPr>
      <w:r>
        <w:tab/>
        <w:t>(a)</w:t>
      </w:r>
      <w:r>
        <w:tab/>
        <w:t>a decision of the responsible utility under regulation 15 (4), to refuse to give an exemption; and</w:t>
      </w:r>
    </w:p>
    <w:p w:rsidR="00202FD5" w:rsidRDefault="00202FD5">
      <w:pPr>
        <w:pStyle w:val="Apara"/>
      </w:pPr>
      <w:r>
        <w:tab/>
        <w:t>(b)</w:t>
      </w:r>
      <w:r>
        <w:tab/>
        <w:t>a decision of the chief executive under regulation 25, to refuse to issue a certificate of compliance.</w:t>
      </w:r>
    </w:p>
    <w:p w:rsidR="00202FD5" w:rsidRDefault="00202FD5">
      <w:pPr>
        <w:pStyle w:val="Amain"/>
      </w:pPr>
      <w:r>
        <w:tab/>
        <w:t>(2)</w:t>
      </w:r>
      <w:r>
        <w:tab/>
        <w:t>The chief executive or responsible utility must give written notice of a decision to which this regulation applies to the person affected by the decision.</w:t>
      </w:r>
    </w:p>
    <w:p w:rsidR="00202FD5" w:rsidRDefault="00202FD5">
      <w:pPr>
        <w:pStyle w:val="Amain"/>
      </w:pPr>
      <w:r>
        <w:tab/>
        <w:t>(3)</w:t>
      </w:r>
      <w:r>
        <w:tab/>
        <w:t xml:space="preserve">The notice must be in accordance with the requirements of the code of practice in force under the </w:t>
      </w:r>
      <w:r>
        <w:rPr>
          <w:i/>
        </w:rPr>
        <w:t>Administrative Appeals Tribunal Act 1989</w:t>
      </w:r>
      <w:r>
        <w:t>, section 25B (1).</w:t>
      </w:r>
    </w:p>
    <w:p w:rsidR="00202FD5" w:rsidRDefault="00202FD5">
      <w:pPr>
        <w:pStyle w:val="AH5Sec"/>
      </w:pPr>
      <w:bookmarkStart w:id="33" w:name="_Toc515702467"/>
      <w:r>
        <w:rPr>
          <w:rStyle w:val="CharSectNo"/>
        </w:rPr>
        <w:t>27</w:t>
      </w:r>
      <w:r>
        <w:tab/>
        <w:t>Review of decisions</w:t>
      </w:r>
      <w:bookmarkEnd w:id="33"/>
    </w:p>
    <w:p w:rsidR="00202FD5" w:rsidRDefault="00202FD5">
      <w:pPr>
        <w:pStyle w:val="Amainreturn"/>
      </w:pPr>
      <w:r>
        <w:t>Application may be made to the administrative appeals tribunal for review of a decision of the chief executive or responsible utility mentioned in regulation 26.</w:t>
      </w:r>
    </w:p>
    <w:p w:rsidR="00202FD5" w:rsidRDefault="00202FD5">
      <w:pPr>
        <w:pStyle w:val="02Text"/>
        <w:sectPr w:rsidR="00202FD5">
          <w:headerReference w:type="even" r:id="rId19"/>
          <w:headerReference w:type="default" r:id="rId20"/>
          <w:footerReference w:type="even" r:id="rId21"/>
          <w:footerReference w:type="default" r:id="rId22"/>
          <w:headerReference w:type="first" r:id="rId23"/>
          <w:footerReference w:type="first" r:id="rId24"/>
          <w:pgSz w:w="11907" w:h="16839" w:code="9"/>
          <w:pgMar w:top="3000" w:right="2300" w:bottom="2500" w:left="2300" w:header="2480" w:footer="2100" w:gutter="0"/>
          <w:pgNumType w:start="1"/>
          <w:cols w:space="720"/>
          <w:titlePg/>
        </w:sectPr>
      </w:pPr>
    </w:p>
    <w:p w:rsidR="00202FD5" w:rsidRDefault="00202FD5">
      <w:pPr>
        <w:pStyle w:val="Dict-Heading"/>
      </w:pPr>
      <w:bookmarkStart w:id="34" w:name="_Toc515702468"/>
      <w:r>
        <w:lastRenderedPageBreak/>
        <w:t>Dictionary</w:t>
      </w:r>
      <w:bookmarkEnd w:id="34"/>
    </w:p>
    <w:p w:rsidR="00202FD5" w:rsidRDefault="00202FD5">
      <w:pPr>
        <w:pStyle w:val="ref"/>
      </w:pPr>
      <w:r>
        <w:t>(see r 3)</w:t>
      </w:r>
    </w:p>
    <w:p w:rsidR="00202FD5" w:rsidRDefault="00202FD5">
      <w:pPr>
        <w:pStyle w:val="aDef"/>
      </w:pPr>
      <w:r>
        <w:rPr>
          <w:b/>
          <w:i/>
        </w:rPr>
        <w:t>Australian Standard 1172</w:t>
      </w:r>
      <w:r>
        <w:t xml:space="preserve"> means Australian Standard 1172 as in force from time to time.</w:t>
      </w:r>
    </w:p>
    <w:p w:rsidR="00202FD5" w:rsidRDefault="00202FD5">
      <w:pPr>
        <w:pStyle w:val="aDef"/>
      </w:pPr>
      <w:r>
        <w:rPr>
          <w:b/>
          <w:i/>
        </w:rPr>
        <w:t>Australian Standard 2845.3</w:t>
      </w:r>
      <w:r>
        <w:t xml:space="preserve"> means Australian Standard 2845.3 as in force from time to time.</w:t>
      </w:r>
    </w:p>
    <w:p w:rsidR="00202FD5" w:rsidRDefault="00202FD5">
      <w:pPr>
        <w:pStyle w:val="aDef"/>
      </w:pPr>
      <w:r>
        <w:rPr>
          <w:b/>
          <w:i/>
        </w:rPr>
        <w:t>the Act</w:t>
      </w:r>
      <w:r>
        <w:t xml:space="preserve"> means the </w:t>
      </w:r>
      <w:r>
        <w:rPr>
          <w:i/>
        </w:rPr>
        <w:t>Water and Sewerage Act 2000</w:t>
      </w:r>
      <w:r>
        <w:t>.</w:t>
      </w:r>
    </w:p>
    <w:p w:rsidR="00202FD5" w:rsidRDefault="00202FD5">
      <w:pPr>
        <w:keepNext/>
        <w:tabs>
          <w:tab w:val="right" w:pos="7200"/>
        </w:tabs>
        <w:rPr>
          <w:sz w:val="20"/>
          <w:u w:val="single"/>
        </w:rPr>
      </w:pPr>
    </w:p>
    <w:p w:rsidR="00202FD5" w:rsidRDefault="00202FD5">
      <w:pPr>
        <w:pStyle w:val="04Dictionary"/>
        <w:sectPr w:rsidR="00202FD5">
          <w:headerReference w:type="even" r:id="rId25"/>
          <w:headerReference w:type="default" r:id="rId26"/>
          <w:footerReference w:type="even" r:id="rId27"/>
          <w:footerReference w:type="default" r:id="rId28"/>
          <w:type w:val="continuous"/>
          <w:pgSz w:w="11907" w:h="16839" w:code="9"/>
          <w:pgMar w:top="3000" w:right="2300" w:bottom="2500" w:left="2300" w:header="2480" w:footer="2100" w:gutter="0"/>
          <w:cols w:space="720"/>
        </w:sectPr>
      </w:pPr>
    </w:p>
    <w:p w:rsidR="00202FD5" w:rsidRDefault="00202FD5">
      <w:pPr>
        <w:pStyle w:val="Endnote1"/>
      </w:pPr>
      <w:bookmarkStart w:id="35" w:name="_Toc515702469"/>
      <w:r>
        <w:lastRenderedPageBreak/>
        <w:t>Endnotes</w:t>
      </w:r>
      <w:bookmarkEnd w:id="35"/>
    </w:p>
    <w:p w:rsidR="00202FD5" w:rsidRDefault="00202FD5">
      <w:pPr>
        <w:pStyle w:val="Endnote2"/>
      </w:pPr>
      <w:bookmarkStart w:id="36" w:name="_Toc515702470"/>
      <w:r>
        <w:rPr>
          <w:rStyle w:val="charTableNo"/>
        </w:rPr>
        <w:t>1</w:t>
      </w:r>
      <w:r>
        <w:tab/>
      </w:r>
      <w:r>
        <w:rPr>
          <w:rStyle w:val="charTableText"/>
        </w:rPr>
        <w:t>About the endnotes</w:t>
      </w:r>
      <w:bookmarkEnd w:id="36"/>
    </w:p>
    <w:p w:rsidR="00202FD5" w:rsidRDefault="00202FD5">
      <w:pPr>
        <w:pStyle w:val="EndNoteTextEPS"/>
      </w:pPr>
      <w:r>
        <w:t>Amending and modifying laws are annotated in the legislation history and the amendment history.  Current modifications are not included in the republished law but are set out in the endnotes.</w:t>
      </w:r>
    </w:p>
    <w:p w:rsidR="00202FD5" w:rsidRDefault="00202FD5">
      <w:pPr>
        <w:pStyle w:val="EndNoteTextEPS"/>
      </w:pPr>
      <w:r>
        <w:t xml:space="preserve">Not all editorial amendments made under the </w:t>
      </w:r>
      <w:r>
        <w:rPr>
          <w:rStyle w:val="charItals"/>
        </w:rPr>
        <w:t>Legislation (Republication) Act 1996</w:t>
      </w:r>
      <w:r>
        <w:t>, section 13 are annotated in the amendment history.  Full details of any amendments can be obtained from the Parliamentary Counsel’s Office.</w:t>
      </w:r>
    </w:p>
    <w:p w:rsidR="00202FD5" w:rsidRDefault="00202FD5">
      <w:pPr>
        <w:pStyle w:val="EndNoteTextEPS"/>
      </w:pPr>
      <w:r>
        <w:t>Uncommenced amending laws are listed in the legislation history and the amendment history.  These details are underlined.  Uncommenced provisions and amendments are not included in the republished law but are set out in the last endnotes.</w:t>
      </w:r>
    </w:p>
    <w:p w:rsidR="00202FD5" w:rsidRDefault="00202FD5">
      <w:pPr>
        <w:pStyle w:val="EndNoteTextEPS"/>
      </w:pPr>
      <w:r>
        <w:t xml:space="preserve">If all the provisions of the law have been renumbered, a table of renumbered provisions gives details of previous and current numbering.  </w:t>
      </w:r>
    </w:p>
    <w:p w:rsidR="00202FD5" w:rsidRDefault="00202FD5">
      <w:pPr>
        <w:pStyle w:val="EndNoteTextEPS"/>
      </w:pPr>
      <w:r>
        <w:t>The endnotes also include a table of earlier republications.</w:t>
      </w:r>
    </w:p>
    <w:p w:rsidR="00202FD5" w:rsidRDefault="00202FD5">
      <w:pPr>
        <w:pStyle w:val="EndNoteTextEPS"/>
      </w:pPr>
      <w:r>
        <w:t>If the republished law includes penalties, current information about penalty unit values appears on the republication inside front cover.</w:t>
      </w:r>
    </w:p>
    <w:p w:rsidR="00202FD5" w:rsidRDefault="00202FD5">
      <w:pPr>
        <w:pStyle w:val="Endnote2"/>
      </w:pPr>
      <w:bookmarkStart w:id="37" w:name="_Toc515702471"/>
      <w:r>
        <w:rPr>
          <w:rStyle w:val="charTableNo"/>
        </w:rPr>
        <w:t>2</w:t>
      </w:r>
      <w:r>
        <w:tab/>
      </w:r>
      <w:r>
        <w:rPr>
          <w:rStyle w:val="charTableText"/>
        </w:rPr>
        <w:t>Abbreviation key</w:t>
      </w:r>
      <w:bookmarkEnd w:id="37"/>
    </w:p>
    <w:p w:rsidR="00202FD5" w:rsidRDefault="00202FD5">
      <w:pPr>
        <w:rPr>
          <w:sz w:val="10"/>
        </w:rPr>
      </w:pPr>
    </w:p>
    <w:tbl>
      <w:tblPr>
        <w:tblW w:w="0" w:type="auto"/>
        <w:tblInd w:w="828" w:type="dxa"/>
        <w:tblLayout w:type="fixed"/>
        <w:tblLook w:val="0000" w:firstRow="0" w:lastRow="0" w:firstColumn="0" w:lastColumn="0" w:noHBand="0" w:noVBand="0"/>
      </w:tblPr>
      <w:tblGrid>
        <w:gridCol w:w="3468"/>
        <w:gridCol w:w="3468"/>
      </w:tblGrid>
      <w:tr w:rsidR="00202FD5">
        <w:tc>
          <w:tcPr>
            <w:tcW w:w="3468" w:type="dxa"/>
          </w:tcPr>
          <w:p w:rsidR="00202FD5" w:rsidRDefault="00202FD5">
            <w:pPr>
              <w:pStyle w:val="EndnotesAbbrev"/>
            </w:pPr>
            <w:r>
              <w:t>am = amended</w:t>
            </w:r>
          </w:p>
        </w:tc>
        <w:tc>
          <w:tcPr>
            <w:tcW w:w="3468" w:type="dxa"/>
          </w:tcPr>
          <w:p w:rsidR="00202FD5" w:rsidRDefault="00202FD5">
            <w:pPr>
              <w:pStyle w:val="EndnotesAbbrev"/>
            </w:pPr>
            <w:r>
              <w:t>p = page</w:t>
            </w:r>
          </w:p>
        </w:tc>
      </w:tr>
      <w:tr w:rsidR="00202FD5">
        <w:tc>
          <w:tcPr>
            <w:tcW w:w="3468" w:type="dxa"/>
          </w:tcPr>
          <w:p w:rsidR="00202FD5" w:rsidRDefault="00202FD5">
            <w:pPr>
              <w:pStyle w:val="EndnotesAbbrev"/>
            </w:pPr>
            <w:r>
              <w:t>amdt = amendment</w:t>
            </w:r>
          </w:p>
        </w:tc>
        <w:tc>
          <w:tcPr>
            <w:tcW w:w="3468" w:type="dxa"/>
          </w:tcPr>
          <w:p w:rsidR="00202FD5" w:rsidRDefault="00202FD5">
            <w:pPr>
              <w:pStyle w:val="EndnotesAbbrev"/>
            </w:pPr>
            <w:r>
              <w:t>par = paragraph</w:t>
            </w:r>
          </w:p>
        </w:tc>
      </w:tr>
      <w:tr w:rsidR="00202FD5">
        <w:tc>
          <w:tcPr>
            <w:tcW w:w="3468" w:type="dxa"/>
          </w:tcPr>
          <w:p w:rsidR="00202FD5" w:rsidRDefault="00202FD5">
            <w:pPr>
              <w:pStyle w:val="EndnotesAbbrev"/>
            </w:pPr>
            <w:r>
              <w:t>ch = chapter</w:t>
            </w:r>
          </w:p>
        </w:tc>
        <w:tc>
          <w:tcPr>
            <w:tcW w:w="3468" w:type="dxa"/>
          </w:tcPr>
          <w:p w:rsidR="00202FD5" w:rsidRDefault="00202FD5">
            <w:pPr>
              <w:pStyle w:val="EndnotesAbbrev"/>
            </w:pPr>
            <w:r>
              <w:t>pres = present</w:t>
            </w:r>
          </w:p>
        </w:tc>
      </w:tr>
      <w:tr w:rsidR="00202FD5">
        <w:tc>
          <w:tcPr>
            <w:tcW w:w="3468" w:type="dxa"/>
          </w:tcPr>
          <w:p w:rsidR="00202FD5" w:rsidRDefault="00202FD5">
            <w:pPr>
              <w:pStyle w:val="EndnotesAbbrev"/>
            </w:pPr>
            <w:r>
              <w:t>cl = clause</w:t>
            </w:r>
          </w:p>
        </w:tc>
        <w:tc>
          <w:tcPr>
            <w:tcW w:w="3468" w:type="dxa"/>
          </w:tcPr>
          <w:p w:rsidR="00202FD5" w:rsidRDefault="00202FD5">
            <w:pPr>
              <w:pStyle w:val="EndnotesAbbrev"/>
            </w:pPr>
            <w:r>
              <w:t>prev = previous</w:t>
            </w:r>
          </w:p>
        </w:tc>
      </w:tr>
      <w:tr w:rsidR="00202FD5">
        <w:tc>
          <w:tcPr>
            <w:tcW w:w="3468" w:type="dxa"/>
          </w:tcPr>
          <w:p w:rsidR="00202FD5" w:rsidRDefault="00202FD5">
            <w:pPr>
              <w:pStyle w:val="EndnotesAbbrev"/>
            </w:pPr>
            <w:r>
              <w:t>def = definition</w:t>
            </w:r>
          </w:p>
        </w:tc>
        <w:tc>
          <w:tcPr>
            <w:tcW w:w="3468" w:type="dxa"/>
          </w:tcPr>
          <w:p w:rsidR="00202FD5" w:rsidRDefault="00202FD5">
            <w:pPr>
              <w:pStyle w:val="EndnotesAbbrev"/>
            </w:pPr>
            <w:r>
              <w:t>(prev...) = previously</w:t>
            </w:r>
          </w:p>
        </w:tc>
      </w:tr>
      <w:tr w:rsidR="00202FD5">
        <w:tc>
          <w:tcPr>
            <w:tcW w:w="3468" w:type="dxa"/>
          </w:tcPr>
          <w:p w:rsidR="00202FD5" w:rsidRDefault="00202FD5">
            <w:pPr>
              <w:pStyle w:val="EndnotesAbbrev"/>
            </w:pPr>
            <w:r>
              <w:t>dict = dictionary</w:t>
            </w:r>
          </w:p>
        </w:tc>
        <w:tc>
          <w:tcPr>
            <w:tcW w:w="3468" w:type="dxa"/>
          </w:tcPr>
          <w:p w:rsidR="00202FD5" w:rsidRDefault="00202FD5">
            <w:pPr>
              <w:pStyle w:val="EndnotesAbbrev"/>
            </w:pPr>
            <w:r>
              <w:t>prov = provision</w:t>
            </w:r>
          </w:p>
        </w:tc>
      </w:tr>
      <w:tr w:rsidR="00202FD5">
        <w:tc>
          <w:tcPr>
            <w:tcW w:w="3468" w:type="dxa"/>
          </w:tcPr>
          <w:p w:rsidR="00202FD5" w:rsidRDefault="00202FD5">
            <w:pPr>
              <w:pStyle w:val="EndnotesAbbrev"/>
            </w:pPr>
            <w:r>
              <w:t>div = division</w:t>
            </w:r>
          </w:p>
        </w:tc>
        <w:tc>
          <w:tcPr>
            <w:tcW w:w="3468" w:type="dxa"/>
          </w:tcPr>
          <w:p w:rsidR="00202FD5" w:rsidRDefault="00202FD5">
            <w:pPr>
              <w:pStyle w:val="EndnotesAbbrev"/>
            </w:pPr>
            <w:r>
              <w:t>pt = part</w:t>
            </w:r>
          </w:p>
        </w:tc>
      </w:tr>
      <w:tr w:rsidR="00202FD5">
        <w:tc>
          <w:tcPr>
            <w:tcW w:w="3468" w:type="dxa"/>
          </w:tcPr>
          <w:p w:rsidR="00202FD5" w:rsidRDefault="00202FD5">
            <w:pPr>
              <w:pStyle w:val="EndnotesAbbrev"/>
            </w:pPr>
            <w:r>
              <w:t>exp = expires/expired</w:t>
            </w:r>
          </w:p>
        </w:tc>
        <w:tc>
          <w:tcPr>
            <w:tcW w:w="3468" w:type="dxa"/>
          </w:tcPr>
          <w:p w:rsidR="00202FD5" w:rsidRDefault="00202FD5">
            <w:pPr>
              <w:pStyle w:val="EndnotesAbbrev"/>
            </w:pPr>
            <w:r>
              <w:t>r = rule/subrule</w:t>
            </w:r>
          </w:p>
        </w:tc>
      </w:tr>
      <w:tr w:rsidR="00202FD5">
        <w:tc>
          <w:tcPr>
            <w:tcW w:w="3468" w:type="dxa"/>
          </w:tcPr>
          <w:p w:rsidR="00202FD5" w:rsidRDefault="00202FD5">
            <w:pPr>
              <w:pStyle w:val="EndnotesAbbrev"/>
            </w:pPr>
            <w:r>
              <w:t>Gaz = Gazette</w:t>
            </w:r>
          </w:p>
        </w:tc>
        <w:tc>
          <w:tcPr>
            <w:tcW w:w="3468" w:type="dxa"/>
          </w:tcPr>
          <w:p w:rsidR="00202FD5" w:rsidRDefault="00202FD5">
            <w:pPr>
              <w:pStyle w:val="EndnotesAbbrev"/>
            </w:pPr>
            <w:r>
              <w:t>reg = regulation/subregulation</w:t>
            </w:r>
          </w:p>
        </w:tc>
      </w:tr>
      <w:tr w:rsidR="00202FD5">
        <w:tc>
          <w:tcPr>
            <w:tcW w:w="3468" w:type="dxa"/>
          </w:tcPr>
          <w:p w:rsidR="00202FD5" w:rsidRDefault="00202FD5">
            <w:pPr>
              <w:pStyle w:val="EndnotesAbbrev"/>
            </w:pPr>
            <w:r>
              <w:t>hdg = heading</w:t>
            </w:r>
          </w:p>
        </w:tc>
        <w:tc>
          <w:tcPr>
            <w:tcW w:w="3468" w:type="dxa"/>
          </w:tcPr>
          <w:p w:rsidR="00202FD5" w:rsidRDefault="00202FD5">
            <w:pPr>
              <w:pStyle w:val="EndnotesAbbrev"/>
            </w:pPr>
            <w:r>
              <w:t>renum = renumbered</w:t>
            </w:r>
          </w:p>
        </w:tc>
      </w:tr>
      <w:tr w:rsidR="00202FD5">
        <w:tc>
          <w:tcPr>
            <w:tcW w:w="3468" w:type="dxa"/>
          </w:tcPr>
          <w:p w:rsidR="00202FD5" w:rsidRDefault="00202FD5">
            <w:pPr>
              <w:pStyle w:val="EndnotesAbbrev"/>
            </w:pPr>
            <w:r>
              <w:t>ins = inserted/added</w:t>
            </w:r>
          </w:p>
        </w:tc>
        <w:tc>
          <w:tcPr>
            <w:tcW w:w="3468" w:type="dxa"/>
          </w:tcPr>
          <w:p w:rsidR="00202FD5" w:rsidRDefault="00202FD5">
            <w:pPr>
              <w:pStyle w:val="EndnotesAbbrev"/>
            </w:pPr>
            <w:r>
              <w:t>reloc = relocated</w:t>
            </w:r>
          </w:p>
        </w:tc>
      </w:tr>
      <w:tr w:rsidR="00202FD5">
        <w:tc>
          <w:tcPr>
            <w:tcW w:w="3468" w:type="dxa"/>
          </w:tcPr>
          <w:p w:rsidR="00202FD5" w:rsidRDefault="00202FD5">
            <w:pPr>
              <w:pStyle w:val="EndnotesAbbrev"/>
            </w:pPr>
            <w:r>
              <w:t>lap = lapsed</w:t>
            </w:r>
          </w:p>
        </w:tc>
        <w:tc>
          <w:tcPr>
            <w:tcW w:w="3468" w:type="dxa"/>
          </w:tcPr>
          <w:p w:rsidR="00202FD5" w:rsidRDefault="00202FD5">
            <w:pPr>
              <w:pStyle w:val="EndnotesAbbrev"/>
            </w:pPr>
            <w:r>
              <w:t>R[X] = Republication No</w:t>
            </w:r>
          </w:p>
        </w:tc>
      </w:tr>
      <w:tr w:rsidR="00202FD5">
        <w:tc>
          <w:tcPr>
            <w:tcW w:w="3468" w:type="dxa"/>
          </w:tcPr>
          <w:p w:rsidR="00202FD5" w:rsidRDefault="00202FD5">
            <w:pPr>
              <w:pStyle w:val="EndnotesAbbrev"/>
            </w:pPr>
            <w:r>
              <w:t>LRA = Legislation (Republication) Act 1996</w:t>
            </w:r>
          </w:p>
        </w:tc>
        <w:tc>
          <w:tcPr>
            <w:tcW w:w="3468" w:type="dxa"/>
          </w:tcPr>
          <w:p w:rsidR="00202FD5" w:rsidRDefault="00202FD5">
            <w:pPr>
              <w:pStyle w:val="EndnotesAbbrev"/>
            </w:pPr>
            <w:r>
              <w:t>s = section/subsection</w:t>
            </w:r>
          </w:p>
        </w:tc>
      </w:tr>
      <w:tr w:rsidR="00202FD5">
        <w:tc>
          <w:tcPr>
            <w:tcW w:w="3468" w:type="dxa"/>
          </w:tcPr>
          <w:p w:rsidR="00202FD5" w:rsidRDefault="00202FD5">
            <w:pPr>
              <w:pStyle w:val="EndnotesAbbrev"/>
            </w:pPr>
            <w:r>
              <w:t>mod = modified</w:t>
            </w:r>
          </w:p>
        </w:tc>
        <w:tc>
          <w:tcPr>
            <w:tcW w:w="3468" w:type="dxa"/>
          </w:tcPr>
          <w:p w:rsidR="00202FD5" w:rsidRDefault="00202FD5">
            <w:pPr>
              <w:pStyle w:val="EndnotesAbbrev"/>
            </w:pPr>
            <w:r>
              <w:t>sch = schedule</w:t>
            </w:r>
          </w:p>
        </w:tc>
      </w:tr>
      <w:tr w:rsidR="00202FD5">
        <w:tc>
          <w:tcPr>
            <w:tcW w:w="3468" w:type="dxa"/>
          </w:tcPr>
          <w:p w:rsidR="00202FD5" w:rsidRDefault="00202FD5">
            <w:pPr>
              <w:pStyle w:val="EndnotesAbbrev"/>
            </w:pPr>
            <w:r>
              <w:t>No = number</w:t>
            </w:r>
          </w:p>
        </w:tc>
        <w:tc>
          <w:tcPr>
            <w:tcW w:w="3468" w:type="dxa"/>
          </w:tcPr>
          <w:p w:rsidR="00202FD5" w:rsidRDefault="00202FD5">
            <w:pPr>
              <w:pStyle w:val="EndnotesAbbrev"/>
            </w:pPr>
            <w:r>
              <w:t>sdiv = subdivision</w:t>
            </w:r>
          </w:p>
        </w:tc>
      </w:tr>
      <w:tr w:rsidR="00202FD5">
        <w:tc>
          <w:tcPr>
            <w:tcW w:w="3468" w:type="dxa"/>
          </w:tcPr>
          <w:p w:rsidR="00202FD5" w:rsidRDefault="00202FD5">
            <w:pPr>
              <w:pStyle w:val="EndnotesAbbrev"/>
            </w:pPr>
            <w:r>
              <w:t>notfd = notified</w:t>
            </w:r>
          </w:p>
        </w:tc>
        <w:tc>
          <w:tcPr>
            <w:tcW w:w="3468" w:type="dxa"/>
          </w:tcPr>
          <w:p w:rsidR="00202FD5" w:rsidRDefault="00202FD5">
            <w:pPr>
              <w:pStyle w:val="EndnotesAbbrev"/>
            </w:pPr>
            <w:r>
              <w:t>sub = substituted</w:t>
            </w:r>
          </w:p>
        </w:tc>
      </w:tr>
      <w:tr w:rsidR="00202FD5">
        <w:tc>
          <w:tcPr>
            <w:tcW w:w="3468" w:type="dxa"/>
          </w:tcPr>
          <w:p w:rsidR="00202FD5" w:rsidRDefault="00202FD5">
            <w:pPr>
              <w:pStyle w:val="EndnotesAbbrev"/>
            </w:pPr>
            <w:r>
              <w:t>o = order</w:t>
            </w:r>
          </w:p>
        </w:tc>
        <w:tc>
          <w:tcPr>
            <w:tcW w:w="3468" w:type="dxa"/>
          </w:tcPr>
          <w:p w:rsidR="00202FD5" w:rsidRDefault="00202FD5">
            <w:pPr>
              <w:pStyle w:val="EndnotesAbbrev"/>
            </w:pPr>
            <w:r>
              <w:t>SL  = Subordinate Law</w:t>
            </w:r>
          </w:p>
        </w:tc>
      </w:tr>
      <w:tr w:rsidR="00202FD5">
        <w:tc>
          <w:tcPr>
            <w:tcW w:w="3468" w:type="dxa"/>
          </w:tcPr>
          <w:p w:rsidR="00202FD5" w:rsidRDefault="00202FD5">
            <w:pPr>
              <w:pStyle w:val="EndnotesAbbrev"/>
            </w:pPr>
            <w:r>
              <w:t>om = omitted/repealed</w:t>
            </w:r>
          </w:p>
        </w:tc>
        <w:tc>
          <w:tcPr>
            <w:tcW w:w="3468" w:type="dxa"/>
          </w:tcPr>
          <w:p w:rsidR="00202FD5" w:rsidRDefault="00202FD5">
            <w:pPr>
              <w:pStyle w:val="EndnotesAbbrev"/>
            </w:pPr>
            <w:r>
              <w:t>sp = spent</w:t>
            </w:r>
          </w:p>
        </w:tc>
      </w:tr>
      <w:tr w:rsidR="00202FD5">
        <w:tc>
          <w:tcPr>
            <w:tcW w:w="3468" w:type="dxa"/>
          </w:tcPr>
          <w:p w:rsidR="00202FD5" w:rsidRDefault="00202FD5">
            <w:pPr>
              <w:pStyle w:val="EndnotesAbbrev"/>
            </w:pPr>
            <w:r>
              <w:t>orig = original</w:t>
            </w:r>
          </w:p>
        </w:tc>
        <w:tc>
          <w:tcPr>
            <w:tcW w:w="3468" w:type="dxa"/>
          </w:tcPr>
          <w:p w:rsidR="00202FD5" w:rsidRDefault="00202FD5">
            <w:pPr>
              <w:pStyle w:val="EndnotesAbbrev"/>
            </w:pPr>
            <w:r>
              <w:rPr>
                <w:u w:val="single"/>
              </w:rPr>
              <w:t>underlining</w:t>
            </w:r>
            <w:r>
              <w:t xml:space="preserve"> = whole or part not commenced</w:t>
            </w:r>
          </w:p>
        </w:tc>
      </w:tr>
    </w:tbl>
    <w:p w:rsidR="00202FD5" w:rsidRDefault="00202FD5">
      <w:pPr>
        <w:pStyle w:val="Endnote2"/>
      </w:pPr>
      <w:bookmarkStart w:id="38" w:name="_Toc515702472"/>
      <w:r>
        <w:rPr>
          <w:rStyle w:val="charTableNo"/>
        </w:rPr>
        <w:lastRenderedPageBreak/>
        <w:t>3</w:t>
      </w:r>
      <w:r>
        <w:tab/>
      </w:r>
      <w:r>
        <w:rPr>
          <w:rStyle w:val="charTableText"/>
        </w:rPr>
        <w:t>Legislation history</w:t>
      </w:r>
      <w:bookmarkEnd w:id="38"/>
    </w:p>
    <w:p w:rsidR="00202FD5" w:rsidRDefault="00202FD5">
      <w:pPr>
        <w:pStyle w:val="NewReg"/>
      </w:pPr>
      <w:r>
        <w:t>Water and Sewerage Regulations 2001</w:t>
      </w:r>
    </w:p>
    <w:p w:rsidR="00202FD5" w:rsidRDefault="00202FD5">
      <w:pPr>
        <w:pStyle w:val="Actdetails"/>
      </w:pPr>
      <w:r>
        <w:t>notified 25 January 2001 (Gaz 2001 No 4)</w:t>
      </w:r>
    </w:p>
    <w:p w:rsidR="00202FD5" w:rsidRDefault="00202FD5">
      <w:pPr>
        <w:pStyle w:val="Actdetails"/>
      </w:pPr>
      <w:r>
        <w:t>reg 1, reg 2 commenced 25 January 2001 (IA s 10B)</w:t>
      </w:r>
    </w:p>
    <w:p w:rsidR="00202FD5" w:rsidRPr="00764F26" w:rsidRDefault="00202FD5">
      <w:pPr>
        <w:pStyle w:val="Actdetails"/>
      </w:pPr>
      <w:r>
        <w:t xml:space="preserve">remainder commenced </w:t>
      </w:r>
      <w:r w:rsidR="00931E0E" w:rsidRPr="00764F26">
        <w:t>25</w:t>
      </w:r>
      <w:r w:rsidRPr="00764F26">
        <w:t xml:space="preserve"> January 2001 (</w:t>
      </w:r>
      <w:r w:rsidR="00764F26" w:rsidRPr="00764F26">
        <w:t xml:space="preserve">reg 2 and </w:t>
      </w:r>
      <w:r w:rsidRPr="00764F26">
        <w:t>Gaz 2001 No 4)</w:t>
      </w:r>
      <w:r w:rsidR="00764F26" w:rsidRPr="00764F26">
        <w:t xml:space="preserve"> (but see IA s 10C (2))</w:t>
      </w: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rPr>
          <w:color w:val="000000"/>
          <w:sz w:val="22"/>
        </w:rPr>
      </w:pPr>
    </w:p>
    <w:p w:rsidR="00202FD5" w:rsidRDefault="00202FD5">
      <w:pPr>
        <w:pStyle w:val="05EndNote"/>
        <w:sectPr w:rsidR="00202FD5">
          <w:headerReference w:type="even" r:id="rId29"/>
          <w:headerReference w:type="default" r:id="rId30"/>
          <w:footerReference w:type="even" r:id="rId31"/>
          <w:footerReference w:type="default" r:id="rId32"/>
          <w:pgSz w:w="11907" w:h="16839" w:code="9"/>
          <w:pgMar w:top="3000" w:right="2300" w:bottom="2500" w:left="2300" w:header="2480" w:footer="2100" w:gutter="0"/>
          <w:cols w:space="720"/>
        </w:sectPr>
      </w:pPr>
    </w:p>
    <w:p w:rsidR="00202FD5" w:rsidRDefault="00202FD5">
      <w:pPr>
        <w:rPr>
          <w:color w:val="000000"/>
          <w:sz w:val="22"/>
        </w:rPr>
      </w:pPr>
    </w:p>
    <w:p w:rsidR="00202FD5" w:rsidRDefault="00202FD5">
      <w:pPr>
        <w:rPr>
          <w:color w:val="000000"/>
          <w:sz w:val="22"/>
        </w:rPr>
      </w:pPr>
    </w:p>
    <w:p w:rsidR="004E554E" w:rsidRDefault="004E554E" w:rsidP="004E554E">
      <w:pPr>
        <w:rPr>
          <w:lang w:val="en-AU"/>
        </w:rPr>
      </w:pPr>
    </w:p>
    <w:p w:rsidR="004E554E" w:rsidRDefault="004E554E" w:rsidP="004E554E">
      <w:pPr>
        <w:rPr>
          <w:lang w:val="en-AU"/>
        </w:rPr>
      </w:pPr>
    </w:p>
    <w:p w:rsidR="004E554E" w:rsidRDefault="004E554E" w:rsidP="004E554E">
      <w:pPr>
        <w:rPr>
          <w:lang w:val="en-AU"/>
        </w:rPr>
      </w:pPr>
    </w:p>
    <w:p w:rsidR="004E554E" w:rsidRDefault="004E554E" w:rsidP="004E554E">
      <w:pPr>
        <w:rPr>
          <w:lang w:val="en-AU"/>
        </w:rPr>
      </w:pPr>
    </w:p>
    <w:p w:rsidR="004E554E" w:rsidRDefault="004E554E" w:rsidP="004E554E">
      <w:pPr>
        <w:rPr>
          <w:lang w:val="en-AU"/>
        </w:rPr>
      </w:pPr>
    </w:p>
    <w:p w:rsidR="004E554E" w:rsidRDefault="004E554E" w:rsidP="004E554E">
      <w:pPr>
        <w:rPr>
          <w:lang w:val="en-AU"/>
        </w:rPr>
      </w:pPr>
    </w:p>
    <w:p w:rsidR="004E554E" w:rsidRDefault="004E554E" w:rsidP="004E554E">
      <w:pPr>
        <w:rPr>
          <w:lang w:val="en-AU"/>
        </w:rPr>
      </w:pPr>
    </w:p>
    <w:p w:rsidR="004E554E" w:rsidRDefault="004E554E" w:rsidP="004E554E">
      <w:pPr>
        <w:rPr>
          <w:lang w:val="en-AU"/>
        </w:rPr>
      </w:pPr>
    </w:p>
    <w:p w:rsidR="004E554E" w:rsidRDefault="004E554E" w:rsidP="004E554E">
      <w:pPr>
        <w:rPr>
          <w:lang w:val="en-AU"/>
        </w:rPr>
      </w:pPr>
    </w:p>
    <w:p w:rsidR="004E554E" w:rsidRDefault="004E554E" w:rsidP="004E554E">
      <w:pPr>
        <w:rPr>
          <w:lang w:val="en-AU"/>
        </w:rPr>
      </w:pPr>
    </w:p>
    <w:p w:rsidR="004E554E" w:rsidRDefault="004E554E" w:rsidP="004E554E">
      <w:pPr>
        <w:rPr>
          <w:color w:val="000000"/>
          <w:sz w:val="22"/>
        </w:rPr>
      </w:pPr>
      <w:r>
        <w:rPr>
          <w:color w:val="000000"/>
          <w:sz w:val="22"/>
        </w:rPr>
        <w:t>©  Australian Capital Territory 2019</w:t>
      </w:r>
    </w:p>
    <w:p w:rsidR="004E554E" w:rsidRDefault="004E554E" w:rsidP="004E554E">
      <w:pPr>
        <w:rPr>
          <w:lang w:val="en-AU"/>
        </w:rPr>
      </w:pPr>
    </w:p>
    <w:p w:rsidR="00202FD5" w:rsidRDefault="00202FD5" w:rsidP="004E554E">
      <w:pPr>
        <w:rPr>
          <w:color w:val="000000"/>
          <w:sz w:val="22"/>
        </w:rPr>
      </w:pPr>
    </w:p>
    <w:sectPr w:rsidR="00202FD5">
      <w:headerReference w:type="default" r:id="rId33"/>
      <w:footerReference w:type="default" r:id="rId34"/>
      <w:headerReference w:type="first" r:id="rId35"/>
      <w:footerReference w:type="first" r:id="rId36"/>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27" w:rsidRDefault="00326D27">
      <w:r>
        <w:separator/>
      </w:r>
    </w:p>
  </w:endnote>
  <w:endnote w:type="continuationSeparator" w:id="0">
    <w:p w:rsidR="00326D27" w:rsidRDefault="0032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embedItalic r:id="rId1" w:subsetted="1" w:fontKey="{29343CC6-E5A3-41A2-AF1C-BDDE76176071}"/>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F2" w:rsidRPr="00B351F2" w:rsidRDefault="00B351F2" w:rsidP="00B351F2">
    <w:pPr>
      <w:pStyle w:val="Footer"/>
      <w:jc w:val="center"/>
      <w:rPr>
        <w:rFonts w:cs="Arial"/>
        <w:sz w:val="14"/>
      </w:rPr>
    </w:pPr>
    <w:r w:rsidRPr="00B351F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6D27">
      <w:trPr>
        <w:jc w:val="center"/>
      </w:trPr>
      <w:tc>
        <w:tcPr>
          <w:tcW w:w="1240" w:type="dxa"/>
        </w:tcPr>
        <w:p w:rsidR="00326D27" w:rsidRDefault="00326D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4527" w:type="dxa"/>
        </w:tcPr>
        <w:p w:rsidR="00326D27" w:rsidRDefault="00326D27">
          <w:pPr>
            <w:pStyle w:val="Footer"/>
            <w:jc w:val="center"/>
          </w:pPr>
          <w:r>
            <w:fldChar w:fldCharType="begin"/>
          </w:r>
          <w:r>
            <w:instrText xml:space="preserve"> REF Citation *\charformat </w:instrText>
          </w:r>
          <w:r>
            <w:fldChar w:fldCharType="separate"/>
          </w:r>
          <w:r w:rsidR="00934D7B">
            <w:t>Water and Sewerage Regulations 2001</w:t>
          </w:r>
          <w:r>
            <w:fldChar w:fldCharType="end"/>
          </w:r>
        </w:p>
      </w:tc>
      <w:tc>
        <w:tcPr>
          <w:tcW w:w="1553" w:type="dxa"/>
        </w:tcPr>
        <w:p w:rsidR="00326D27" w:rsidRDefault="00326D27">
          <w:pPr>
            <w:pStyle w:val="Footer"/>
            <w:jc w:val="right"/>
          </w:pPr>
          <w:r>
            <w:fldChar w:fldCharType="begin"/>
          </w:r>
          <w:r>
            <w:instrText xml:space="preserve"> DOCPROPERTY "Category"  </w:instrText>
          </w:r>
          <w:r>
            <w:fldChar w:fldCharType="separate"/>
          </w:r>
          <w:r w:rsidR="00934D7B">
            <w:t>R No 1</w:t>
          </w:r>
          <w:r>
            <w:fldChar w:fldCharType="end"/>
          </w:r>
        </w:p>
      </w:tc>
    </w:tr>
  </w:tbl>
  <w:p w:rsidR="00326D27" w:rsidRPr="00B351F2" w:rsidRDefault="00B351F2" w:rsidP="00B351F2">
    <w:pPr>
      <w:tabs>
        <w:tab w:val="right" w:pos="7320"/>
      </w:tabs>
      <w:jc w:val="center"/>
      <w:rPr>
        <w:rFonts w:ascii="Arial" w:hAnsi="Arial" w:cs="Arial"/>
        <w:sz w:val="14"/>
      </w:rPr>
    </w:pPr>
    <w:r w:rsidRPr="00B351F2">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26D27">
      <w:trPr>
        <w:jc w:val="center"/>
      </w:trPr>
      <w:tc>
        <w:tcPr>
          <w:tcW w:w="1553" w:type="dxa"/>
        </w:tcPr>
        <w:p w:rsidR="00326D27" w:rsidRDefault="00326D27">
          <w:pPr>
            <w:pStyle w:val="Footer"/>
          </w:pPr>
          <w:r>
            <w:fldChar w:fldCharType="begin"/>
          </w:r>
          <w:r>
            <w:instrText xml:space="preserve"> DOCPROPERTY "Category"  </w:instrText>
          </w:r>
          <w:r>
            <w:fldChar w:fldCharType="separate"/>
          </w:r>
          <w:r w:rsidR="00934D7B">
            <w:t>R No 1</w:t>
          </w:r>
          <w:r>
            <w:fldChar w:fldCharType="end"/>
          </w:r>
        </w:p>
      </w:tc>
      <w:tc>
        <w:tcPr>
          <w:tcW w:w="4527" w:type="dxa"/>
        </w:tcPr>
        <w:p w:rsidR="00326D27" w:rsidRDefault="00326D27">
          <w:pPr>
            <w:pStyle w:val="Footer"/>
            <w:jc w:val="center"/>
          </w:pPr>
          <w:r>
            <w:fldChar w:fldCharType="begin"/>
          </w:r>
          <w:r>
            <w:instrText xml:space="preserve"> REF Citation *\charformat </w:instrText>
          </w:r>
          <w:r>
            <w:fldChar w:fldCharType="separate"/>
          </w:r>
          <w:r w:rsidR="00934D7B">
            <w:t>Water and Sewerage Regulations 2001</w:t>
          </w:r>
          <w:r>
            <w:fldChar w:fldCharType="end"/>
          </w:r>
        </w:p>
      </w:tc>
      <w:tc>
        <w:tcPr>
          <w:tcW w:w="1240" w:type="dxa"/>
        </w:tcPr>
        <w:p w:rsidR="00326D27" w:rsidRDefault="00326D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326D27" w:rsidRPr="00B351F2" w:rsidRDefault="00B351F2" w:rsidP="00B351F2">
    <w:pPr>
      <w:tabs>
        <w:tab w:val="right" w:pos="7320"/>
      </w:tabs>
      <w:jc w:val="center"/>
      <w:rPr>
        <w:rFonts w:ascii="Arial" w:hAnsi="Arial" w:cs="Arial"/>
        <w:sz w:val="14"/>
      </w:rPr>
    </w:pPr>
    <w:r w:rsidRPr="00B351F2">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6D27">
      <w:trPr>
        <w:jc w:val="center"/>
      </w:trPr>
      <w:tc>
        <w:tcPr>
          <w:tcW w:w="1240" w:type="dxa"/>
        </w:tcPr>
        <w:p w:rsidR="00326D27" w:rsidRDefault="00326D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4527" w:type="dxa"/>
        </w:tcPr>
        <w:p w:rsidR="00326D27" w:rsidRDefault="00326D27">
          <w:pPr>
            <w:pStyle w:val="Footer"/>
            <w:jc w:val="center"/>
          </w:pPr>
          <w:r>
            <w:fldChar w:fldCharType="begin"/>
          </w:r>
          <w:r>
            <w:instrText xml:space="preserve"> REF Citation *\charformat </w:instrText>
          </w:r>
          <w:r>
            <w:fldChar w:fldCharType="separate"/>
          </w:r>
          <w:r w:rsidR="00934D7B">
            <w:t>Water and Sewerage Regulations 2001</w:t>
          </w:r>
          <w:r>
            <w:fldChar w:fldCharType="end"/>
          </w:r>
        </w:p>
      </w:tc>
      <w:tc>
        <w:tcPr>
          <w:tcW w:w="1553" w:type="dxa"/>
        </w:tcPr>
        <w:p w:rsidR="00326D27" w:rsidRDefault="00326D27">
          <w:pPr>
            <w:pStyle w:val="Footer"/>
            <w:jc w:val="right"/>
          </w:pPr>
          <w:r>
            <w:fldChar w:fldCharType="begin"/>
          </w:r>
          <w:r>
            <w:instrText xml:space="preserve"> DOCPROPERTY "Category"  </w:instrText>
          </w:r>
          <w:r>
            <w:fldChar w:fldCharType="separate"/>
          </w:r>
          <w:r w:rsidR="00934D7B">
            <w:t>R No 1</w:t>
          </w:r>
          <w:r>
            <w:fldChar w:fldCharType="end"/>
          </w:r>
        </w:p>
      </w:tc>
    </w:tr>
  </w:tbl>
  <w:p w:rsidR="00326D27" w:rsidRPr="00B351F2" w:rsidRDefault="00B351F2" w:rsidP="00B351F2">
    <w:pPr>
      <w:tabs>
        <w:tab w:val="right" w:pos="7320"/>
      </w:tabs>
      <w:jc w:val="center"/>
      <w:rPr>
        <w:rFonts w:ascii="Arial" w:hAnsi="Arial" w:cs="Arial"/>
        <w:sz w:val="14"/>
      </w:rPr>
    </w:pPr>
    <w:r w:rsidRPr="00B351F2">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26D27">
      <w:trPr>
        <w:jc w:val="center"/>
      </w:trPr>
      <w:tc>
        <w:tcPr>
          <w:tcW w:w="1553" w:type="dxa"/>
        </w:tcPr>
        <w:p w:rsidR="00326D27" w:rsidRDefault="00326D27">
          <w:pPr>
            <w:pStyle w:val="Footer"/>
          </w:pPr>
          <w:r>
            <w:fldChar w:fldCharType="begin"/>
          </w:r>
          <w:r>
            <w:instrText xml:space="preserve"> DOCPROPERTY "Category"  </w:instrText>
          </w:r>
          <w:r>
            <w:fldChar w:fldCharType="separate"/>
          </w:r>
          <w:r w:rsidR="00934D7B">
            <w:t>R No 1</w:t>
          </w:r>
          <w:r>
            <w:fldChar w:fldCharType="end"/>
          </w:r>
        </w:p>
      </w:tc>
      <w:tc>
        <w:tcPr>
          <w:tcW w:w="4527" w:type="dxa"/>
        </w:tcPr>
        <w:p w:rsidR="00326D27" w:rsidRDefault="00326D27">
          <w:pPr>
            <w:pStyle w:val="Footer"/>
            <w:jc w:val="center"/>
          </w:pPr>
          <w:r>
            <w:fldChar w:fldCharType="begin"/>
          </w:r>
          <w:r>
            <w:instrText xml:space="preserve"> REF Citation *\charformat </w:instrText>
          </w:r>
          <w:r>
            <w:fldChar w:fldCharType="separate"/>
          </w:r>
          <w:r w:rsidR="00934D7B">
            <w:t>Water and Sewerage Regulations 2001</w:t>
          </w:r>
          <w:r>
            <w:fldChar w:fldCharType="end"/>
          </w:r>
        </w:p>
      </w:tc>
      <w:tc>
        <w:tcPr>
          <w:tcW w:w="1240" w:type="dxa"/>
        </w:tcPr>
        <w:p w:rsidR="00326D27" w:rsidRDefault="00326D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326D27" w:rsidRPr="00B351F2" w:rsidRDefault="00B351F2" w:rsidP="00B351F2">
    <w:pPr>
      <w:tabs>
        <w:tab w:val="right" w:pos="7320"/>
      </w:tabs>
      <w:jc w:val="center"/>
      <w:rPr>
        <w:rFonts w:ascii="Arial" w:hAnsi="Arial" w:cs="Arial"/>
        <w:sz w:val="14"/>
      </w:rPr>
    </w:pPr>
    <w:r w:rsidRPr="00B351F2">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jc w:val="center"/>
      <w:rPr>
        <w:sz w:val="20"/>
      </w:rPr>
    </w:pPr>
    <w:r>
      <w:rPr>
        <w:sz w:val="20"/>
      </w:rPr>
      <w:pgNum/>
    </w:r>
  </w:p>
  <w:p w:rsidR="00B351F2" w:rsidRPr="00B351F2" w:rsidRDefault="00B351F2" w:rsidP="00B351F2">
    <w:pPr>
      <w:jc w:val="center"/>
      <w:rPr>
        <w:rFonts w:ascii="Arial" w:hAnsi="Arial" w:cs="Arial"/>
        <w:sz w:val="14"/>
      </w:rPr>
    </w:pPr>
    <w:r w:rsidRPr="00B351F2">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Pr="00B351F2" w:rsidRDefault="00B351F2" w:rsidP="00B351F2">
    <w:pPr>
      <w:pStyle w:val="Footer"/>
      <w:jc w:val="center"/>
      <w:rPr>
        <w:rFonts w:cs="Arial"/>
        <w:sz w:val="14"/>
      </w:rPr>
    </w:pPr>
    <w:r w:rsidRPr="00B351F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Pr="00B351F2" w:rsidRDefault="00326D27" w:rsidP="00B351F2">
    <w:pPr>
      <w:pStyle w:val="Footer"/>
      <w:jc w:val="center"/>
      <w:rPr>
        <w:rFonts w:cs="Arial"/>
        <w:sz w:val="14"/>
      </w:rPr>
    </w:pPr>
    <w:r w:rsidRPr="00B351F2">
      <w:rPr>
        <w:rFonts w:cs="Arial"/>
        <w:sz w:val="14"/>
      </w:rPr>
      <w:fldChar w:fldCharType="begin"/>
    </w:r>
    <w:r w:rsidRPr="00B351F2">
      <w:rPr>
        <w:rFonts w:cs="Arial"/>
        <w:sz w:val="14"/>
      </w:rPr>
      <w:instrText xml:space="preserve"> COMMENTS  \* MERGEFORMAT </w:instrText>
    </w:r>
    <w:r w:rsidRPr="00B351F2">
      <w:rPr>
        <w:rFonts w:cs="Arial"/>
        <w:sz w:val="14"/>
      </w:rPr>
      <w:fldChar w:fldCharType="end"/>
    </w:r>
    <w:r w:rsidR="00B351F2" w:rsidRPr="00B351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F2" w:rsidRPr="00B351F2" w:rsidRDefault="00B351F2" w:rsidP="00B351F2">
    <w:pPr>
      <w:pStyle w:val="Footer"/>
      <w:jc w:val="center"/>
      <w:rPr>
        <w:rFonts w:cs="Arial"/>
        <w:sz w:val="14"/>
      </w:rPr>
    </w:pPr>
    <w:r w:rsidRPr="00B351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6D27">
      <w:trPr>
        <w:jc w:val="center"/>
      </w:trPr>
      <w:tc>
        <w:tcPr>
          <w:tcW w:w="1240" w:type="dxa"/>
        </w:tcPr>
        <w:p w:rsidR="00326D27" w:rsidRDefault="00326D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27" w:type="dxa"/>
        </w:tcPr>
        <w:p w:rsidR="00326D27" w:rsidRDefault="00326D27">
          <w:pPr>
            <w:pStyle w:val="Footer"/>
            <w:jc w:val="center"/>
          </w:pPr>
          <w:r>
            <w:fldChar w:fldCharType="begin"/>
          </w:r>
          <w:r>
            <w:instrText xml:space="preserve"> REF Citation *\charformat </w:instrText>
          </w:r>
          <w:r>
            <w:fldChar w:fldCharType="separate"/>
          </w:r>
          <w:r w:rsidR="00934D7B">
            <w:t>Water and Sewerage Regulations 2001</w:t>
          </w:r>
          <w:r>
            <w:fldChar w:fldCharType="end"/>
          </w:r>
        </w:p>
      </w:tc>
      <w:tc>
        <w:tcPr>
          <w:tcW w:w="1553" w:type="dxa"/>
        </w:tcPr>
        <w:p w:rsidR="00326D27" w:rsidRDefault="00326D27">
          <w:pPr>
            <w:pStyle w:val="Footer"/>
            <w:jc w:val="right"/>
          </w:pPr>
          <w:r>
            <w:fldChar w:fldCharType="begin"/>
          </w:r>
          <w:r>
            <w:instrText xml:space="preserve"> DOCPROPERTY "Category"  </w:instrText>
          </w:r>
          <w:r>
            <w:fldChar w:fldCharType="separate"/>
          </w:r>
          <w:r w:rsidR="00934D7B">
            <w:t>R No 1</w:t>
          </w:r>
          <w:r>
            <w:fldChar w:fldCharType="end"/>
          </w:r>
        </w:p>
      </w:tc>
    </w:tr>
  </w:tbl>
  <w:p w:rsidR="00326D27" w:rsidRPr="00B351F2" w:rsidRDefault="00B351F2" w:rsidP="00B351F2">
    <w:pPr>
      <w:tabs>
        <w:tab w:val="right" w:pos="7320"/>
      </w:tabs>
      <w:jc w:val="center"/>
      <w:rPr>
        <w:rFonts w:ascii="Arial" w:hAnsi="Arial" w:cs="Arial"/>
        <w:sz w:val="14"/>
      </w:rPr>
    </w:pPr>
    <w:r w:rsidRPr="00B351F2">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26D27">
      <w:trPr>
        <w:jc w:val="center"/>
      </w:trPr>
      <w:tc>
        <w:tcPr>
          <w:tcW w:w="1553" w:type="dxa"/>
        </w:tcPr>
        <w:p w:rsidR="00326D27" w:rsidRDefault="00326D27">
          <w:pPr>
            <w:pStyle w:val="Footer"/>
          </w:pPr>
          <w:r>
            <w:fldChar w:fldCharType="begin"/>
          </w:r>
          <w:r>
            <w:instrText xml:space="preserve"> DOCPROPERTY "Category"  </w:instrText>
          </w:r>
          <w:r>
            <w:fldChar w:fldCharType="separate"/>
          </w:r>
          <w:r w:rsidR="00934D7B">
            <w:t>R No 1</w:t>
          </w:r>
          <w:r>
            <w:fldChar w:fldCharType="end"/>
          </w:r>
        </w:p>
      </w:tc>
      <w:tc>
        <w:tcPr>
          <w:tcW w:w="4527" w:type="dxa"/>
        </w:tcPr>
        <w:p w:rsidR="00326D27" w:rsidRDefault="00326D27">
          <w:pPr>
            <w:pStyle w:val="Footer"/>
            <w:jc w:val="center"/>
          </w:pPr>
          <w:r>
            <w:fldChar w:fldCharType="begin"/>
          </w:r>
          <w:r>
            <w:instrText xml:space="preserve"> REF Citation *\charformat </w:instrText>
          </w:r>
          <w:r>
            <w:fldChar w:fldCharType="separate"/>
          </w:r>
          <w:r w:rsidR="00934D7B">
            <w:t>Water and Sewerage Regulations 2001</w:t>
          </w:r>
          <w:r>
            <w:fldChar w:fldCharType="end"/>
          </w:r>
        </w:p>
      </w:tc>
      <w:tc>
        <w:tcPr>
          <w:tcW w:w="1240" w:type="dxa"/>
        </w:tcPr>
        <w:p w:rsidR="00326D27" w:rsidRDefault="00326D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r>
  </w:tbl>
  <w:p w:rsidR="00326D27" w:rsidRPr="00B351F2" w:rsidRDefault="00B351F2" w:rsidP="00B351F2">
    <w:pPr>
      <w:tabs>
        <w:tab w:val="right" w:pos="7320"/>
      </w:tabs>
      <w:jc w:val="center"/>
      <w:rPr>
        <w:rFonts w:ascii="Arial" w:hAnsi="Arial" w:cs="Arial"/>
        <w:sz w:val="14"/>
      </w:rPr>
    </w:pPr>
    <w:r w:rsidRPr="00B351F2">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rPr>
        <w:sz w:val="16"/>
      </w:rPr>
    </w:pPr>
  </w:p>
  <w:p w:rsidR="00326D27" w:rsidRPr="00B351F2" w:rsidRDefault="00326D27" w:rsidP="00B351F2">
    <w:pPr>
      <w:pBdr>
        <w:top w:val="single" w:sz="4" w:space="1" w:color="auto"/>
      </w:pBdr>
      <w:tabs>
        <w:tab w:val="right" w:pos="7320"/>
      </w:tabs>
      <w:spacing w:before="60"/>
      <w:jc w:val="center"/>
      <w:rPr>
        <w:rFonts w:ascii="Arial" w:hAnsi="Arial" w:cs="Arial"/>
        <w:sz w:val="14"/>
      </w:rPr>
    </w:pPr>
    <w:r w:rsidRPr="00B351F2">
      <w:rPr>
        <w:rFonts w:ascii="Arial" w:hAnsi="Arial" w:cs="Arial"/>
        <w:sz w:val="14"/>
      </w:rPr>
      <w:fldChar w:fldCharType="begin"/>
    </w:r>
    <w:r w:rsidRPr="00B351F2">
      <w:rPr>
        <w:rFonts w:ascii="Arial" w:hAnsi="Arial" w:cs="Arial"/>
        <w:sz w:val="14"/>
      </w:rPr>
      <w:instrText xml:space="preserve"> COMMENTS </w:instrText>
    </w:r>
    <w:r w:rsidRPr="00B351F2">
      <w:rPr>
        <w:rFonts w:ascii="Arial" w:hAnsi="Arial" w:cs="Arial"/>
        <w:sz w:val="14"/>
      </w:rPr>
      <w:fldChar w:fldCharType="end"/>
    </w:r>
    <w:r w:rsidR="00B351F2" w:rsidRPr="00B351F2">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6D27">
      <w:trPr>
        <w:jc w:val="center"/>
      </w:trPr>
      <w:tc>
        <w:tcPr>
          <w:tcW w:w="1240" w:type="dxa"/>
        </w:tcPr>
        <w:p w:rsidR="00326D27" w:rsidRDefault="00326D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4527" w:type="dxa"/>
        </w:tcPr>
        <w:p w:rsidR="00326D27" w:rsidRDefault="00326D27">
          <w:pPr>
            <w:pStyle w:val="Footer"/>
            <w:jc w:val="center"/>
          </w:pPr>
          <w:r>
            <w:fldChar w:fldCharType="begin"/>
          </w:r>
          <w:r>
            <w:instrText xml:space="preserve"> REF Citation *\charformat </w:instrText>
          </w:r>
          <w:r>
            <w:fldChar w:fldCharType="separate"/>
          </w:r>
          <w:r w:rsidR="00934D7B">
            <w:t>Water and Sewerage Regulations 2001</w:t>
          </w:r>
          <w:r>
            <w:fldChar w:fldCharType="end"/>
          </w:r>
        </w:p>
      </w:tc>
      <w:tc>
        <w:tcPr>
          <w:tcW w:w="1553" w:type="dxa"/>
        </w:tcPr>
        <w:p w:rsidR="00326D27" w:rsidRDefault="00326D27">
          <w:pPr>
            <w:pStyle w:val="Footer"/>
            <w:jc w:val="right"/>
          </w:pPr>
          <w:r>
            <w:fldChar w:fldCharType="begin"/>
          </w:r>
          <w:r>
            <w:instrText xml:space="preserve"> DOCPROPERTY "Category"  </w:instrText>
          </w:r>
          <w:r>
            <w:fldChar w:fldCharType="separate"/>
          </w:r>
          <w:r w:rsidR="00934D7B">
            <w:t>R No 1</w:t>
          </w:r>
          <w:r>
            <w:fldChar w:fldCharType="end"/>
          </w:r>
        </w:p>
      </w:tc>
    </w:tr>
  </w:tbl>
  <w:p w:rsidR="00326D27" w:rsidRPr="00B351F2" w:rsidRDefault="00B351F2" w:rsidP="00B351F2">
    <w:pPr>
      <w:tabs>
        <w:tab w:val="right" w:pos="7320"/>
      </w:tabs>
      <w:jc w:val="center"/>
      <w:rPr>
        <w:rFonts w:ascii="Arial" w:hAnsi="Arial" w:cs="Arial"/>
        <w:sz w:val="14"/>
      </w:rPr>
    </w:pPr>
    <w:r w:rsidRPr="00B351F2">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26D27">
      <w:trPr>
        <w:jc w:val="center"/>
      </w:trPr>
      <w:tc>
        <w:tcPr>
          <w:tcW w:w="1553" w:type="dxa"/>
        </w:tcPr>
        <w:p w:rsidR="00326D27" w:rsidRDefault="00326D27">
          <w:pPr>
            <w:pStyle w:val="Footer"/>
          </w:pPr>
          <w:r>
            <w:fldChar w:fldCharType="begin"/>
          </w:r>
          <w:r>
            <w:instrText xml:space="preserve"> DOCPROPERTY "Category"  </w:instrText>
          </w:r>
          <w:r>
            <w:fldChar w:fldCharType="separate"/>
          </w:r>
          <w:r w:rsidR="00934D7B">
            <w:t>R No 1</w:t>
          </w:r>
          <w:r>
            <w:fldChar w:fldCharType="end"/>
          </w:r>
        </w:p>
      </w:tc>
      <w:tc>
        <w:tcPr>
          <w:tcW w:w="4527" w:type="dxa"/>
        </w:tcPr>
        <w:p w:rsidR="00326D27" w:rsidRDefault="00326D27">
          <w:pPr>
            <w:pStyle w:val="Footer"/>
            <w:jc w:val="center"/>
          </w:pPr>
          <w:r>
            <w:fldChar w:fldCharType="begin"/>
          </w:r>
          <w:r>
            <w:instrText xml:space="preserve"> REF Citation *\charformat </w:instrText>
          </w:r>
          <w:r>
            <w:fldChar w:fldCharType="separate"/>
          </w:r>
          <w:r w:rsidR="00934D7B">
            <w:t>Water and Sewerage Regulations 2001</w:t>
          </w:r>
          <w:r>
            <w:fldChar w:fldCharType="end"/>
          </w:r>
        </w:p>
      </w:tc>
      <w:tc>
        <w:tcPr>
          <w:tcW w:w="1240" w:type="dxa"/>
        </w:tcPr>
        <w:p w:rsidR="00326D27" w:rsidRDefault="00326D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326D27" w:rsidRPr="00B351F2" w:rsidRDefault="00B351F2" w:rsidP="00B351F2">
    <w:pPr>
      <w:tabs>
        <w:tab w:val="right" w:pos="7320"/>
      </w:tabs>
      <w:jc w:val="center"/>
      <w:rPr>
        <w:rFonts w:ascii="Arial" w:hAnsi="Arial" w:cs="Arial"/>
        <w:sz w:val="14"/>
      </w:rPr>
    </w:pPr>
    <w:r w:rsidRPr="00B351F2">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26D27">
      <w:trPr>
        <w:jc w:val="center"/>
      </w:trPr>
      <w:tc>
        <w:tcPr>
          <w:tcW w:w="1553" w:type="dxa"/>
        </w:tcPr>
        <w:p w:rsidR="00326D27" w:rsidRDefault="00326D27">
          <w:pPr>
            <w:pStyle w:val="Footer"/>
          </w:pPr>
          <w:r>
            <w:fldChar w:fldCharType="begin"/>
          </w:r>
          <w:r>
            <w:instrText xml:space="preserve"> DOCPROPERTY "Category"  </w:instrText>
          </w:r>
          <w:r>
            <w:fldChar w:fldCharType="separate"/>
          </w:r>
          <w:r w:rsidR="00934D7B">
            <w:t>R No 1</w:t>
          </w:r>
          <w:r>
            <w:fldChar w:fldCharType="end"/>
          </w:r>
        </w:p>
      </w:tc>
      <w:tc>
        <w:tcPr>
          <w:tcW w:w="4527" w:type="dxa"/>
        </w:tcPr>
        <w:p w:rsidR="00326D27" w:rsidRDefault="00326D27">
          <w:pPr>
            <w:pStyle w:val="Footer"/>
            <w:jc w:val="center"/>
          </w:pPr>
          <w:r>
            <w:fldChar w:fldCharType="begin"/>
          </w:r>
          <w:r>
            <w:instrText xml:space="preserve"> REF Citation *\charformat </w:instrText>
          </w:r>
          <w:r>
            <w:fldChar w:fldCharType="separate"/>
          </w:r>
          <w:r w:rsidR="00934D7B">
            <w:t>Water and Sewerage Regulations 2001</w:t>
          </w:r>
          <w:r>
            <w:fldChar w:fldCharType="end"/>
          </w:r>
        </w:p>
      </w:tc>
      <w:tc>
        <w:tcPr>
          <w:tcW w:w="1240" w:type="dxa"/>
        </w:tcPr>
        <w:p w:rsidR="00326D27" w:rsidRDefault="00326D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26D27" w:rsidRPr="00B351F2" w:rsidRDefault="00B351F2" w:rsidP="00B351F2">
    <w:pPr>
      <w:tabs>
        <w:tab w:val="right" w:pos="7320"/>
      </w:tabs>
      <w:jc w:val="center"/>
      <w:rPr>
        <w:rFonts w:ascii="Arial" w:hAnsi="Arial" w:cs="Arial"/>
        <w:sz w:val="14"/>
      </w:rPr>
    </w:pPr>
    <w:r w:rsidRPr="00B351F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27" w:rsidRDefault="00326D27">
      <w:r>
        <w:separator/>
      </w:r>
    </w:p>
  </w:footnote>
  <w:footnote w:type="continuationSeparator" w:id="0">
    <w:p w:rsidR="00326D27" w:rsidRDefault="0032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F2" w:rsidRDefault="00B351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326D27">
      <w:trPr>
        <w:jc w:val="center"/>
      </w:trPr>
      <w:tc>
        <w:tcPr>
          <w:tcW w:w="6062" w:type="dxa"/>
        </w:tcPr>
        <w:p w:rsidR="00326D27" w:rsidRDefault="00326D27">
          <w:pPr>
            <w:pStyle w:val="HeaderOdd"/>
          </w:pPr>
        </w:p>
      </w:tc>
      <w:tc>
        <w:tcPr>
          <w:tcW w:w="1234" w:type="dxa"/>
        </w:tcPr>
        <w:p w:rsidR="00326D27" w:rsidRDefault="00326D27">
          <w:pPr>
            <w:pStyle w:val="HeaderOdd"/>
          </w:pPr>
        </w:p>
      </w:tc>
    </w:tr>
    <w:tr w:rsidR="00326D27">
      <w:trPr>
        <w:jc w:val="center"/>
      </w:trPr>
      <w:tc>
        <w:tcPr>
          <w:tcW w:w="6062" w:type="dxa"/>
        </w:tcPr>
        <w:p w:rsidR="00326D27" w:rsidRDefault="00326D27">
          <w:pPr>
            <w:pStyle w:val="HeaderOdd"/>
          </w:pPr>
        </w:p>
      </w:tc>
      <w:tc>
        <w:tcPr>
          <w:tcW w:w="1234" w:type="dxa"/>
        </w:tcPr>
        <w:p w:rsidR="00326D27" w:rsidRDefault="00326D27">
          <w:pPr>
            <w:pStyle w:val="HeaderOdd"/>
          </w:pPr>
        </w:p>
      </w:tc>
    </w:tr>
    <w:tr w:rsidR="00326D27">
      <w:trPr>
        <w:cantSplit/>
        <w:jc w:val="center"/>
      </w:trPr>
      <w:tc>
        <w:tcPr>
          <w:tcW w:w="7296" w:type="dxa"/>
          <w:gridSpan w:val="2"/>
          <w:tcBorders>
            <w:bottom w:val="single" w:sz="4" w:space="0" w:color="auto"/>
          </w:tcBorders>
        </w:tcPr>
        <w:p w:rsidR="00326D27" w:rsidRDefault="00326D27">
          <w:pPr>
            <w:pStyle w:val="HeaderOdd6"/>
          </w:pPr>
          <w:r>
            <w:t>Dictionary</w:t>
          </w:r>
        </w:p>
      </w:tc>
    </w:tr>
  </w:tbl>
  <w:p w:rsidR="00326D27" w:rsidRDefault="00326D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326D27">
      <w:trPr>
        <w:jc w:val="center"/>
      </w:trPr>
      <w:tc>
        <w:tcPr>
          <w:tcW w:w="1234" w:type="dxa"/>
          <w:gridSpan w:val="2"/>
        </w:tcPr>
        <w:p w:rsidR="00326D27" w:rsidRDefault="00326D27">
          <w:pPr>
            <w:pStyle w:val="HeaderEven"/>
            <w:rPr>
              <w:b/>
            </w:rPr>
          </w:pPr>
          <w:r>
            <w:rPr>
              <w:b/>
            </w:rPr>
            <w:t>Endnotes</w:t>
          </w:r>
        </w:p>
      </w:tc>
      <w:tc>
        <w:tcPr>
          <w:tcW w:w="6062" w:type="dxa"/>
        </w:tcPr>
        <w:p w:rsidR="00326D27" w:rsidRDefault="00326D27">
          <w:pPr>
            <w:pStyle w:val="HeaderEven"/>
          </w:pPr>
        </w:p>
      </w:tc>
    </w:tr>
    <w:tr w:rsidR="00326D27">
      <w:trPr>
        <w:cantSplit/>
        <w:jc w:val="center"/>
      </w:trPr>
      <w:tc>
        <w:tcPr>
          <w:tcW w:w="7296" w:type="dxa"/>
          <w:gridSpan w:val="3"/>
        </w:tcPr>
        <w:p w:rsidR="00326D27" w:rsidRDefault="00326D27">
          <w:pPr>
            <w:pStyle w:val="HeaderEven"/>
          </w:pPr>
        </w:p>
      </w:tc>
    </w:tr>
    <w:tr w:rsidR="00326D27">
      <w:trPr>
        <w:cantSplit/>
        <w:jc w:val="center"/>
      </w:trPr>
      <w:tc>
        <w:tcPr>
          <w:tcW w:w="700" w:type="dxa"/>
          <w:tcBorders>
            <w:bottom w:val="single" w:sz="4" w:space="0" w:color="auto"/>
          </w:tcBorders>
        </w:tcPr>
        <w:p w:rsidR="00326D27" w:rsidRDefault="00326D27">
          <w:pPr>
            <w:pStyle w:val="HeaderEven6"/>
          </w:pPr>
          <w:r>
            <w:fldChar w:fldCharType="begin"/>
          </w:r>
          <w:r>
            <w:instrText xml:space="preserve"> STYLEREF charTableNo \*charformat </w:instrText>
          </w:r>
          <w:r>
            <w:fldChar w:fldCharType="separate"/>
          </w:r>
          <w:r w:rsidR="00B351F2">
            <w:rPr>
              <w:noProof/>
            </w:rPr>
            <w:t>1</w:t>
          </w:r>
          <w:r>
            <w:fldChar w:fldCharType="end"/>
          </w:r>
        </w:p>
      </w:tc>
      <w:tc>
        <w:tcPr>
          <w:tcW w:w="6600" w:type="dxa"/>
          <w:gridSpan w:val="2"/>
          <w:tcBorders>
            <w:bottom w:val="single" w:sz="4" w:space="0" w:color="auto"/>
          </w:tcBorders>
        </w:tcPr>
        <w:p w:rsidR="00326D27" w:rsidRDefault="00326D27">
          <w:pPr>
            <w:pStyle w:val="HeaderEven6"/>
          </w:pPr>
          <w:r>
            <w:fldChar w:fldCharType="begin"/>
          </w:r>
          <w:r>
            <w:instrText xml:space="preserve"> STYLEREF charTableText \*charformat </w:instrText>
          </w:r>
          <w:r>
            <w:fldChar w:fldCharType="separate"/>
          </w:r>
          <w:r w:rsidR="00B351F2">
            <w:rPr>
              <w:noProof/>
            </w:rPr>
            <w:t>About the endnotes</w:t>
          </w:r>
          <w:r>
            <w:fldChar w:fldCharType="end"/>
          </w:r>
        </w:p>
      </w:tc>
    </w:tr>
  </w:tbl>
  <w:p w:rsidR="00326D27" w:rsidRDefault="00326D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326D27">
      <w:trPr>
        <w:jc w:val="center"/>
      </w:trPr>
      <w:tc>
        <w:tcPr>
          <w:tcW w:w="5741" w:type="dxa"/>
        </w:tcPr>
        <w:p w:rsidR="00326D27" w:rsidRDefault="00326D27">
          <w:pPr>
            <w:pStyle w:val="HeaderEven"/>
            <w:jc w:val="right"/>
          </w:pPr>
        </w:p>
      </w:tc>
      <w:tc>
        <w:tcPr>
          <w:tcW w:w="1560" w:type="dxa"/>
          <w:gridSpan w:val="2"/>
        </w:tcPr>
        <w:p w:rsidR="00326D27" w:rsidRDefault="00326D27">
          <w:pPr>
            <w:pStyle w:val="HeaderEven"/>
            <w:jc w:val="right"/>
            <w:rPr>
              <w:b/>
            </w:rPr>
          </w:pPr>
          <w:r>
            <w:rPr>
              <w:b/>
            </w:rPr>
            <w:t>Endnotes</w:t>
          </w:r>
        </w:p>
      </w:tc>
    </w:tr>
    <w:tr w:rsidR="00326D27">
      <w:trPr>
        <w:cantSplit/>
        <w:jc w:val="center"/>
      </w:trPr>
      <w:tc>
        <w:tcPr>
          <w:tcW w:w="7301" w:type="dxa"/>
          <w:gridSpan w:val="3"/>
        </w:tcPr>
        <w:p w:rsidR="00326D27" w:rsidRDefault="00326D27">
          <w:pPr>
            <w:pStyle w:val="HeaderEven"/>
            <w:jc w:val="right"/>
            <w:rPr>
              <w:b/>
            </w:rPr>
          </w:pPr>
        </w:p>
      </w:tc>
    </w:tr>
    <w:tr w:rsidR="00326D27">
      <w:trPr>
        <w:cantSplit/>
        <w:jc w:val="center"/>
      </w:trPr>
      <w:tc>
        <w:tcPr>
          <w:tcW w:w="6600" w:type="dxa"/>
          <w:gridSpan w:val="2"/>
          <w:tcBorders>
            <w:bottom w:val="single" w:sz="4" w:space="0" w:color="auto"/>
          </w:tcBorders>
        </w:tcPr>
        <w:p w:rsidR="00326D27" w:rsidRDefault="00326D27">
          <w:pPr>
            <w:pStyle w:val="HeaderOdd6"/>
          </w:pPr>
          <w:r>
            <w:fldChar w:fldCharType="begin"/>
          </w:r>
          <w:r>
            <w:instrText xml:space="preserve"> STYLEREF charTableText \*charformat </w:instrText>
          </w:r>
          <w:r>
            <w:fldChar w:fldCharType="separate"/>
          </w:r>
          <w:r w:rsidR="00B351F2">
            <w:rPr>
              <w:noProof/>
            </w:rPr>
            <w:t>Legislation history</w:t>
          </w:r>
          <w:r>
            <w:fldChar w:fldCharType="end"/>
          </w:r>
        </w:p>
      </w:tc>
      <w:tc>
        <w:tcPr>
          <w:tcW w:w="700" w:type="dxa"/>
          <w:tcBorders>
            <w:bottom w:val="single" w:sz="4" w:space="0" w:color="auto"/>
          </w:tcBorders>
        </w:tcPr>
        <w:p w:rsidR="00326D27" w:rsidRDefault="00326D27">
          <w:pPr>
            <w:pStyle w:val="HeaderOdd6"/>
          </w:pPr>
          <w:r>
            <w:fldChar w:fldCharType="begin"/>
          </w:r>
          <w:r>
            <w:instrText xml:space="preserve"> STYLEREF charTableNo \*charformat </w:instrText>
          </w:r>
          <w:r>
            <w:fldChar w:fldCharType="separate"/>
          </w:r>
          <w:r w:rsidR="00B351F2">
            <w:rPr>
              <w:noProof/>
            </w:rPr>
            <w:t>3</w:t>
          </w:r>
          <w:r>
            <w:fldChar w:fldCharType="end"/>
          </w:r>
        </w:p>
      </w:tc>
    </w:tr>
  </w:tbl>
  <w:p w:rsidR="00326D27" w:rsidRDefault="00326D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4A538E">
    <w:pPr>
      <w:pStyle w:val="Billheader"/>
    </w:pPr>
    <w:fldSimple w:instr=" TITLE  \* MERGEFORMAT ">
      <w:r w:rsidR="00934D7B">
        <w:t>Water and Sewerage</w:t>
      </w:r>
    </w:fldSimple>
    <w:r w:rsidR="00326D27">
      <w:t xml:space="preserve">      No    , 2000</w:t>
    </w:r>
  </w:p>
  <w:p w:rsidR="00326D27" w:rsidRDefault="00326D27">
    <w:pPr>
      <w:widowControl w:val="0"/>
      <w:tabs>
        <w:tab w:val="right" w:pos="7160"/>
      </w:tabs>
      <w:spacing w:after="240"/>
      <w:jc w:val="center"/>
    </w:pPr>
    <w:r>
      <w:rPr>
        <w:b/>
      </w:rPr>
      <w:t>ENDNOTES</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27" w:rsidRDefault="00326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F2" w:rsidRDefault="00B35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F2" w:rsidRDefault="00B351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326D27">
      <w:trPr>
        <w:jc w:val="center"/>
      </w:trPr>
      <w:tc>
        <w:tcPr>
          <w:tcW w:w="1234" w:type="dxa"/>
        </w:tcPr>
        <w:p w:rsidR="00326D27" w:rsidRDefault="00326D27">
          <w:pPr>
            <w:pStyle w:val="HeaderEven"/>
          </w:pPr>
        </w:p>
      </w:tc>
      <w:tc>
        <w:tcPr>
          <w:tcW w:w="6062" w:type="dxa"/>
        </w:tcPr>
        <w:p w:rsidR="00326D27" w:rsidRDefault="00326D27">
          <w:pPr>
            <w:pStyle w:val="HeaderEven"/>
          </w:pPr>
        </w:p>
      </w:tc>
    </w:tr>
    <w:tr w:rsidR="00326D27">
      <w:trPr>
        <w:jc w:val="center"/>
      </w:trPr>
      <w:tc>
        <w:tcPr>
          <w:tcW w:w="1234" w:type="dxa"/>
        </w:tcPr>
        <w:p w:rsidR="00326D27" w:rsidRDefault="00326D27">
          <w:pPr>
            <w:pStyle w:val="HeaderEven"/>
          </w:pPr>
        </w:p>
      </w:tc>
      <w:tc>
        <w:tcPr>
          <w:tcW w:w="6062" w:type="dxa"/>
        </w:tcPr>
        <w:p w:rsidR="00326D27" w:rsidRDefault="00326D27">
          <w:pPr>
            <w:pStyle w:val="HeaderEven"/>
          </w:pPr>
        </w:p>
      </w:tc>
    </w:tr>
    <w:tr w:rsidR="00326D27">
      <w:trPr>
        <w:cantSplit/>
        <w:jc w:val="center"/>
      </w:trPr>
      <w:tc>
        <w:tcPr>
          <w:tcW w:w="7296" w:type="dxa"/>
          <w:gridSpan w:val="2"/>
          <w:tcBorders>
            <w:bottom w:val="single" w:sz="4" w:space="0" w:color="auto"/>
          </w:tcBorders>
        </w:tcPr>
        <w:p w:rsidR="00326D27" w:rsidRDefault="00326D27">
          <w:pPr>
            <w:pStyle w:val="HeaderEven6"/>
          </w:pPr>
          <w:r>
            <w:t>Contents</w:t>
          </w:r>
        </w:p>
      </w:tc>
    </w:tr>
  </w:tbl>
  <w:p w:rsidR="00326D27" w:rsidRDefault="00326D27">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326D27">
      <w:trPr>
        <w:jc w:val="center"/>
      </w:trPr>
      <w:tc>
        <w:tcPr>
          <w:tcW w:w="6062" w:type="dxa"/>
        </w:tcPr>
        <w:p w:rsidR="00326D27" w:rsidRDefault="00326D27">
          <w:pPr>
            <w:pStyle w:val="HeaderOdd"/>
          </w:pPr>
        </w:p>
      </w:tc>
      <w:tc>
        <w:tcPr>
          <w:tcW w:w="1234" w:type="dxa"/>
        </w:tcPr>
        <w:p w:rsidR="00326D27" w:rsidRDefault="00326D27">
          <w:pPr>
            <w:pStyle w:val="HeaderOdd"/>
          </w:pPr>
        </w:p>
      </w:tc>
    </w:tr>
    <w:tr w:rsidR="00326D27">
      <w:trPr>
        <w:jc w:val="center"/>
      </w:trPr>
      <w:tc>
        <w:tcPr>
          <w:tcW w:w="6062" w:type="dxa"/>
        </w:tcPr>
        <w:p w:rsidR="00326D27" w:rsidRDefault="00326D27">
          <w:pPr>
            <w:pStyle w:val="HeaderOdd"/>
          </w:pPr>
        </w:p>
      </w:tc>
      <w:tc>
        <w:tcPr>
          <w:tcW w:w="1234" w:type="dxa"/>
        </w:tcPr>
        <w:p w:rsidR="00326D27" w:rsidRDefault="00326D27">
          <w:pPr>
            <w:pStyle w:val="HeaderOdd"/>
          </w:pPr>
        </w:p>
      </w:tc>
    </w:tr>
    <w:tr w:rsidR="00326D27">
      <w:trPr>
        <w:cantSplit/>
        <w:jc w:val="center"/>
      </w:trPr>
      <w:tc>
        <w:tcPr>
          <w:tcW w:w="7296" w:type="dxa"/>
          <w:gridSpan w:val="2"/>
          <w:tcBorders>
            <w:bottom w:val="single" w:sz="4" w:space="0" w:color="auto"/>
          </w:tcBorders>
        </w:tcPr>
        <w:p w:rsidR="00326D27" w:rsidRDefault="00326D27">
          <w:pPr>
            <w:pStyle w:val="HeaderOdd6"/>
          </w:pPr>
          <w:r>
            <w:t>Contents</w:t>
          </w:r>
        </w:p>
      </w:tc>
    </w:tr>
  </w:tbl>
  <w:p w:rsidR="00326D27" w:rsidRDefault="00326D27">
    <w:pPr>
      <w:pStyle w:val="N-9pt"/>
      <w:tabs>
        <w:tab w:val="clear" w:pos="7272"/>
        <w:tab w:val="right" w:pos="7200"/>
      </w:tabs>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326D27">
      <w:trPr>
        <w:jc w:val="center"/>
      </w:trPr>
      <w:tc>
        <w:tcPr>
          <w:tcW w:w="1560" w:type="dxa"/>
        </w:tcPr>
        <w:p w:rsidR="00326D27" w:rsidRDefault="00326D27">
          <w:pPr>
            <w:pStyle w:val="HeaderEven"/>
            <w:rPr>
              <w:b/>
            </w:rPr>
          </w:pPr>
          <w:r>
            <w:rPr>
              <w:b/>
            </w:rPr>
            <w:fldChar w:fldCharType="begin"/>
          </w:r>
          <w:r>
            <w:rPr>
              <w:b/>
            </w:rPr>
            <w:instrText xml:space="preserve"> STYLEREF CharPartNo \*charformat </w:instrText>
          </w:r>
          <w:r>
            <w:rPr>
              <w:b/>
            </w:rPr>
            <w:fldChar w:fldCharType="separate"/>
          </w:r>
          <w:r w:rsidR="00B351F2">
            <w:rPr>
              <w:b/>
              <w:noProof/>
            </w:rPr>
            <w:t>Part 4</w:t>
          </w:r>
          <w:r>
            <w:rPr>
              <w:b/>
            </w:rPr>
            <w:fldChar w:fldCharType="end"/>
          </w:r>
        </w:p>
      </w:tc>
      <w:tc>
        <w:tcPr>
          <w:tcW w:w="5741" w:type="dxa"/>
        </w:tcPr>
        <w:p w:rsidR="00326D27" w:rsidRDefault="00326D27">
          <w:pPr>
            <w:pStyle w:val="HeaderEven"/>
          </w:pPr>
          <w:r>
            <w:fldChar w:fldCharType="begin"/>
          </w:r>
          <w:r>
            <w:instrText xml:space="preserve"> STYLEREF CharPartText \*charformat </w:instrText>
          </w:r>
          <w:r>
            <w:fldChar w:fldCharType="separate"/>
          </w:r>
          <w:r w:rsidR="00B351F2">
            <w:rPr>
              <w:noProof/>
            </w:rPr>
            <w:t>Miscellaneous</w:t>
          </w:r>
          <w:r>
            <w:fldChar w:fldCharType="end"/>
          </w:r>
        </w:p>
      </w:tc>
    </w:tr>
    <w:tr w:rsidR="00326D27">
      <w:trPr>
        <w:jc w:val="center"/>
      </w:trPr>
      <w:tc>
        <w:tcPr>
          <w:tcW w:w="1560" w:type="dxa"/>
        </w:tcPr>
        <w:p w:rsidR="00326D27" w:rsidRDefault="00326D27">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326D27" w:rsidRDefault="00326D27">
          <w:pPr>
            <w:pStyle w:val="HeaderEven"/>
          </w:pPr>
          <w:r>
            <w:fldChar w:fldCharType="begin"/>
          </w:r>
          <w:r>
            <w:instrText xml:space="preserve"> STYLEREF CharDivText \*charformat </w:instrText>
          </w:r>
          <w:r>
            <w:fldChar w:fldCharType="end"/>
          </w:r>
        </w:p>
      </w:tc>
    </w:tr>
    <w:tr w:rsidR="00326D27">
      <w:trPr>
        <w:cantSplit/>
        <w:jc w:val="center"/>
      </w:trPr>
      <w:tc>
        <w:tcPr>
          <w:tcW w:w="7296" w:type="dxa"/>
          <w:gridSpan w:val="2"/>
          <w:tcBorders>
            <w:bottom w:val="single" w:sz="4" w:space="0" w:color="auto"/>
          </w:tcBorders>
        </w:tcPr>
        <w:p w:rsidR="00326D27" w:rsidRDefault="00326D27">
          <w:pPr>
            <w:pStyle w:val="HeaderEven6"/>
          </w:pPr>
          <w:r>
            <w:t xml:space="preserve">Regulation </w:t>
          </w:r>
          <w:r>
            <w:fldChar w:fldCharType="begin"/>
          </w:r>
          <w:r>
            <w:instrText xml:space="preserve"> STYLEREF CharSectNo \*charformat </w:instrText>
          </w:r>
          <w:r>
            <w:fldChar w:fldCharType="separate"/>
          </w:r>
          <w:r w:rsidR="00B351F2">
            <w:rPr>
              <w:noProof/>
            </w:rPr>
            <w:t>25</w:t>
          </w:r>
          <w:r>
            <w:fldChar w:fldCharType="end"/>
          </w:r>
        </w:p>
      </w:tc>
    </w:tr>
  </w:tbl>
  <w:p w:rsidR="00326D27" w:rsidRDefault="00326D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326D27">
      <w:trPr>
        <w:jc w:val="center"/>
      </w:trPr>
      <w:tc>
        <w:tcPr>
          <w:tcW w:w="5741" w:type="dxa"/>
        </w:tcPr>
        <w:p w:rsidR="00326D27" w:rsidRDefault="00326D27">
          <w:pPr>
            <w:pStyle w:val="HeaderEven"/>
            <w:jc w:val="right"/>
          </w:pPr>
          <w:r>
            <w:fldChar w:fldCharType="begin"/>
          </w:r>
          <w:r>
            <w:instrText xml:space="preserve"> STYLEREF CharPartText \*charformat </w:instrText>
          </w:r>
          <w:r>
            <w:fldChar w:fldCharType="separate"/>
          </w:r>
          <w:r w:rsidR="00B351F2">
            <w:rPr>
              <w:noProof/>
            </w:rPr>
            <w:t>Water supply</w:t>
          </w:r>
          <w:r>
            <w:fldChar w:fldCharType="end"/>
          </w:r>
        </w:p>
      </w:tc>
      <w:tc>
        <w:tcPr>
          <w:tcW w:w="1560" w:type="dxa"/>
        </w:tcPr>
        <w:p w:rsidR="00326D27" w:rsidRDefault="00326D27">
          <w:pPr>
            <w:pStyle w:val="HeaderEven"/>
            <w:jc w:val="right"/>
            <w:rPr>
              <w:b/>
            </w:rPr>
          </w:pPr>
          <w:r>
            <w:rPr>
              <w:b/>
            </w:rPr>
            <w:fldChar w:fldCharType="begin"/>
          </w:r>
          <w:r>
            <w:rPr>
              <w:b/>
            </w:rPr>
            <w:instrText xml:space="preserve"> STYLEREF CharPartNo \*charformat </w:instrText>
          </w:r>
          <w:r>
            <w:rPr>
              <w:b/>
            </w:rPr>
            <w:fldChar w:fldCharType="separate"/>
          </w:r>
          <w:r w:rsidR="00B351F2">
            <w:rPr>
              <w:b/>
              <w:noProof/>
            </w:rPr>
            <w:t>Part 3</w:t>
          </w:r>
          <w:r>
            <w:rPr>
              <w:b/>
            </w:rPr>
            <w:fldChar w:fldCharType="end"/>
          </w:r>
        </w:p>
      </w:tc>
    </w:tr>
    <w:tr w:rsidR="00326D27">
      <w:trPr>
        <w:jc w:val="center"/>
      </w:trPr>
      <w:tc>
        <w:tcPr>
          <w:tcW w:w="5741" w:type="dxa"/>
        </w:tcPr>
        <w:p w:rsidR="00326D27" w:rsidRDefault="00326D27">
          <w:pPr>
            <w:pStyle w:val="HeaderEven"/>
            <w:jc w:val="right"/>
          </w:pPr>
          <w:r>
            <w:fldChar w:fldCharType="begin"/>
          </w:r>
          <w:r>
            <w:instrText xml:space="preserve"> STYLEREF CharDivText \*charformat </w:instrText>
          </w:r>
          <w:r>
            <w:fldChar w:fldCharType="end"/>
          </w:r>
        </w:p>
      </w:tc>
      <w:tc>
        <w:tcPr>
          <w:tcW w:w="1560" w:type="dxa"/>
        </w:tcPr>
        <w:p w:rsidR="00326D27" w:rsidRDefault="00326D27">
          <w:pPr>
            <w:pStyle w:val="HeaderEven"/>
            <w:jc w:val="right"/>
            <w:rPr>
              <w:b/>
            </w:rPr>
          </w:pPr>
          <w:r>
            <w:rPr>
              <w:b/>
            </w:rPr>
            <w:fldChar w:fldCharType="begin"/>
          </w:r>
          <w:r>
            <w:rPr>
              <w:b/>
            </w:rPr>
            <w:instrText xml:space="preserve"> STYLEREF CharDivNo \*charformat </w:instrText>
          </w:r>
          <w:r>
            <w:rPr>
              <w:b/>
            </w:rPr>
            <w:fldChar w:fldCharType="end"/>
          </w:r>
        </w:p>
      </w:tc>
    </w:tr>
    <w:tr w:rsidR="00326D27">
      <w:trPr>
        <w:cantSplit/>
        <w:jc w:val="center"/>
      </w:trPr>
      <w:tc>
        <w:tcPr>
          <w:tcW w:w="7296" w:type="dxa"/>
          <w:gridSpan w:val="2"/>
          <w:tcBorders>
            <w:bottom w:val="single" w:sz="4" w:space="0" w:color="auto"/>
          </w:tcBorders>
        </w:tcPr>
        <w:p w:rsidR="00326D27" w:rsidRDefault="00326D27">
          <w:pPr>
            <w:pStyle w:val="HeaderOdd6"/>
          </w:pPr>
          <w:r>
            <w:t xml:space="preserve">Regulation </w:t>
          </w:r>
          <w:r>
            <w:fldChar w:fldCharType="begin"/>
          </w:r>
          <w:r>
            <w:instrText xml:space="preserve"> STYLEREF CharSectNo \*charformat </w:instrText>
          </w:r>
          <w:r>
            <w:fldChar w:fldCharType="separate"/>
          </w:r>
          <w:r w:rsidR="00B351F2">
            <w:rPr>
              <w:noProof/>
            </w:rPr>
            <w:t>24</w:t>
          </w:r>
          <w:r>
            <w:fldChar w:fldCharType="end"/>
          </w:r>
        </w:p>
      </w:tc>
    </w:tr>
  </w:tbl>
  <w:p w:rsidR="00326D27" w:rsidRDefault="00326D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326D27">
      <w:trPr>
        <w:jc w:val="center"/>
      </w:trPr>
      <w:tc>
        <w:tcPr>
          <w:tcW w:w="5741" w:type="dxa"/>
        </w:tcPr>
        <w:p w:rsidR="00326D27" w:rsidRDefault="00326D27">
          <w:pPr>
            <w:pStyle w:val="HeaderEven"/>
            <w:jc w:val="right"/>
          </w:pPr>
          <w:r>
            <w:fldChar w:fldCharType="begin"/>
          </w:r>
          <w:r>
            <w:instrText xml:space="preserve"> STYLEREF CharPartText \*charformat </w:instrText>
          </w:r>
          <w:r>
            <w:fldChar w:fldCharType="end"/>
          </w:r>
        </w:p>
      </w:tc>
      <w:tc>
        <w:tcPr>
          <w:tcW w:w="1560" w:type="dxa"/>
        </w:tcPr>
        <w:p w:rsidR="00326D27" w:rsidRDefault="00326D27">
          <w:pPr>
            <w:pStyle w:val="HeaderEven"/>
            <w:jc w:val="right"/>
            <w:rPr>
              <w:b/>
            </w:rPr>
          </w:pPr>
          <w:r>
            <w:rPr>
              <w:b/>
            </w:rPr>
            <w:fldChar w:fldCharType="begin"/>
          </w:r>
          <w:r>
            <w:rPr>
              <w:b/>
            </w:rPr>
            <w:instrText xml:space="preserve"> STYLEREF CharPartNo \*charformat </w:instrText>
          </w:r>
          <w:r>
            <w:rPr>
              <w:b/>
            </w:rPr>
            <w:fldChar w:fldCharType="end"/>
          </w:r>
        </w:p>
      </w:tc>
    </w:tr>
    <w:tr w:rsidR="00326D27">
      <w:trPr>
        <w:jc w:val="center"/>
      </w:trPr>
      <w:tc>
        <w:tcPr>
          <w:tcW w:w="5741" w:type="dxa"/>
        </w:tcPr>
        <w:p w:rsidR="00326D27" w:rsidRDefault="00326D27">
          <w:pPr>
            <w:pStyle w:val="HeaderEven"/>
            <w:jc w:val="right"/>
          </w:pPr>
          <w:r>
            <w:fldChar w:fldCharType="begin"/>
          </w:r>
          <w:r>
            <w:instrText xml:space="preserve"> STYLEREF CharDivText \*charformat </w:instrText>
          </w:r>
          <w:r>
            <w:fldChar w:fldCharType="end"/>
          </w:r>
        </w:p>
      </w:tc>
      <w:tc>
        <w:tcPr>
          <w:tcW w:w="1560" w:type="dxa"/>
        </w:tcPr>
        <w:p w:rsidR="00326D27" w:rsidRDefault="00326D27">
          <w:pPr>
            <w:pStyle w:val="HeaderEven"/>
            <w:jc w:val="right"/>
            <w:rPr>
              <w:b/>
            </w:rPr>
          </w:pPr>
          <w:r>
            <w:rPr>
              <w:b/>
            </w:rPr>
            <w:fldChar w:fldCharType="begin"/>
          </w:r>
          <w:r>
            <w:rPr>
              <w:b/>
            </w:rPr>
            <w:instrText xml:space="preserve"> STYLEREF CharDivNo \*charformat </w:instrText>
          </w:r>
          <w:r>
            <w:rPr>
              <w:b/>
            </w:rPr>
            <w:fldChar w:fldCharType="end"/>
          </w:r>
        </w:p>
      </w:tc>
    </w:tr>
    <w:tr w:rsidR="00326D27">
      <w:trPr>
        <w:cantSplit/>
        <w:jc w:val="center"/>
      </w:trPr>
      <w:tc>
        <w:tcPr>
          <w:tcW w:w="7296" w:type="dxa"/>
          <w:gridSpan w:val="2"/>
        </w:tcPr>
        <w:p w:rsidR="00326D27" w:rsidRDefault="00326D27">
          <w:pPr>
            <w:pStyle w:val="HeaderOdd6"/>
          </w:pPr>
        </w:p>
      </w:tc>
    </w:tr>
  </w:tbl>
  <w:p w:rsidR="00326D27" w:rsidRDefault="00326D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326D27">
      <w:trPr>
        <w:jc w:val="center"/>
      </w:trPr>
      <w:tc>
        <w:tcPr>
          <w:tcW w:w="1234" w:type="dxa"/>
        </w:tcPr>
        <w:p w:rsidR="00326D27" w:rsidRDefault="00326D27">
          <w:pPr>
            <w:pStyle w:val="HeaderEven"/>
          </w:pPr>
        </w:p>
      </w:tc>
      <w:tc>
        <w:tcPr>
          <w:tcW w:w="6062" w:type="dxa"/>
        </w:tcPr>
        <w:p w:rsidR="00326D27" w:rsidRDefault="00326D27">
          <w:pPr>
            <w:pStyle w:val="HeaderEven"/>
          </w:pPr>
        </w:p>
      </w:tc>
    </w:tr>
    <w:tr w:rsidR="00326D27">
      <w:trPr>
        <w:jc w:val="center"/>
      </w:trPr>
      <w:tc>
        <w:tcPr>
          <w:tcW w:w="1234" w:type="dxa"/>
        </w:tcPr>
        <w:p w:rsidR="00326D27" w:rsidRDefault="00326D27">
          <w:pPr>
            <w:pStyle w:val="HeaderEven"/>
          </w:pPr>
        </w:p>
      </w:tc>
      <w:tc>
        <w:tcPr>
          <w:tcW w:w="6062" w:type="dxa"/>
        </w:tcPr>
        <w:p w:rsidR="00326D27" w:rsidRDefault="00326D27">
          <w:pPr>
            <w:pStyle w:val="HeaderEven"/>
          </w:pPr>
        </w:p>
      </w:tc>
    </w:tr>
    <w:tr w:rsidR="00326D27">
      <w:trPr>
        <w:cantSplit/>
        <w:jc w:val="center"/>
      </w:trPr>
      <w:tc>
        <w:tcPr>
          <w:tcW w:w="7296" w:type="dxa"/>
          <w:gridSpan w:val="2"/>
          <w:tcBorders>
            <w:bottom w:val="single" w:sz="4" w:space="0" w:color="auto"/>
          </w:tcBorders>
        </w:tcPr>
        <w:p w:rsidR="00326D27" w:rsidRDefault="00326D27">
          <w:pPr>
            <w:pStyle w:val="HeaderEven6"/>
          </w:pPr>
          <w:r>
            <w:t>Dictionary</w:t>
          </w:r>
        </w:p>
      </w:tc>
    </w:tr>
  </w:tbl>
  <w:p w:rsidR="00326D27" w:rsidRDefault="00326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0"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1"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4"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1"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3"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4"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EEB609B"/>
    <w:multiLevelType w:val="singleLevel"/>
    <w:tmpl w:val="AE821EBC"/>
    <w:lvl w:ilvl="0">
      <w:start w:val="2"/>
      <w:numFmt w:val="decimal"/>
      <w:lvlText w:val="%1"/>
      <w:lvlJc w:val="left"/>
      <w:pPr>
        <w:tabs>
          <w:tab w:val="num" w:pos="465"/>
        </w:tabs>
        <w:ind w:left="465" w:hanging="465"/>
      </w:pPr>
      <w:rPr>
        <w:rFonts w:hint="default"/>
      </w:rPr>
    </w:lvl>
  </w:abstractNum>
  <w:abstractNum w:abstractNumId="27"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29"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3"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39"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9"/>
  </w:num>
  <w:num w:numId="4">
    <w:abstractNumId w:val="7"/>
  </w:num>
  <w:num w:numId="5">
    <w:abstractNumId w:val="26"/>
  </w:num>
  <w:num w:numId="6">
    <w:abstractNumId w:val="1"/>
  </w:num>
  <w:num w:numId="7">
    <w:abstractNumId w:val="25"/>
  </w:num>
  <w:num w:numId="8">
    <w:abstractNumId w:val="37"/>
  </w:num>
  <w:num w:numId="9">
    <w:abstractNumId w:val="31"/>
  </w:num>
  <w:num w:numId="10">
    <w:abstractNumId w:val="36"/>
  </w:num>
  <w:num w:numId="11">
    <w:abstractNumId w:val="24"/>
  </w:num>
  <w:num w:numId="12">
    <w:abstractNumId w:val="16"/>
  </w:num>
  <w:num w:numId="13">
    <w:abstractNumId w:val="11"/>
  </w:num>
  <w:num w:numId="14">
    <w:abstractNumId w:val="15"/>
  </w:num>
  <w:num w:numId="15">
    <w:abstractNumId w:val="5"/>
  </w:num>
  <w:num w:numId="16">
    <w:abstractNumId w:val="27"/>
  </w:num>
  <w:num w:numId="17">
    <w:abstractNumId w:val="12"/>
  </w:num>
  <w:num w:numId="18">
    <w:abstractNumId w:val="29"/>
  </w:num>
  <w:num w:numId="19">
    <w:abstractNumId w:val="17"/>
  </w:num>
  <w:num w:numId="20">
    <w:abstractNumId w:val="10"/>
  </w:num>
  <w:num w:numId="21">
    <w:abstractNumId w:val="18"/>
  </w:num>
  <w:num w:numId="22">
    <w:abstractNumId w:val="6"/>
  </w:num>
  <w:num w:numId="23">
    <w:abstractNumId w:val="8"/>
  </w:num>
  <w:num w:numId="24">
    <w:abstractNumId w:val="34"/>
  </w:num>
  <w:num w:numId="25">
    <w:abstractNumId w:val="22"/>
  </w:num>
  <w:num w:numId="26">
    <w:abstractNumId w:val="30"/>
  </w:num>
  <w:num w:numId="27">
    <w:abstractNumId w:val="32"/>
  </w:num>
  <w:num w:numId="28">
    <w:abstractNumId w:val="35"/>
  </w:num>
  <w:num w:numId="29">
    <w:abstractNumId w:val="23"/>
  </w:num>
  <w:num w:numId="30">
    <w:abstractNumId w:val="4"/>
  </w:num>
  <w:num w:numId="31">
    <w:abstractNumId w:val="19"/>
  </w:num>
  <w:num w:numId="32">
    <w:abstractNumId w:val="40"/>
  </w:num>
  <w:num w:numId="33">
    <w:abstractNumId w:val="39"/>
  </w:num>
  <w:num w:numId="34">
    <w:abstractNumId w:val="2"/>
  </w:num>
  <w:num w:numId="35">
    <w:abstractNumId w:val="28"/>
  </w:num>
  <w:num w:numId="36">
    <w:abstractNumId w:val="13"/>
  </w:num>
  <w:num w:numId="37">
    <w:abstractNumId w:val="20"/>
  </w:num>
  <w:num w:numId="38">
    <w:abstractNumId w:val="38"/>
  </w:num>
  <w:num w:numId="39">
    <w:abstractNumId w:val="2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0A"/>
    <w:rsid w:val="0001712F"/>
    <w:rsid w:val="000C68EE"/>
    <w:rsid w:val="00201E09"/>
    <w:rsid w:val="00202FD5"/>
    <w:rsid w:val="002D0016"/>
    <w:rsid w:val="00326D27"/>
    <w:rsid w:val="00433A28"/>
    <w:rsid w:val="00482E5B"/>
    <w:rsid w:val="004A538E"/>
    <w:rsid w:val="004E554E"/>
    <w:rsid w:val="00535180"/>
    <w:rsid w:val="00610B46"/>
    <w:rsid w:val="00652BC7"/>
    <w:rsid w:val="00682177"/>
    <w:rsid w:val="00764F26"/>
    <w:rsid w:val="00931E0E"/>
    <w:rsid w:val="00934D7B"/>
    <w:rsid w:val="00A30735"/>
    <w:rsid w:val="00B351F2"/>
    <w:rsid w:val="00C2226F"/>
    <w:rsid w:val="00CD5276"/>
    <w:rsid w:val="00DC5E4F"/>
    <w:rsid w:val="00E5230A"/>
    <w:rsid w:val="00F70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128FE7-8798-4B2F-9FBD-527C3105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2880"/>
      </w:tabs>
    </w:pPr>
    <w:rPr>
      <w:sz w:val="24"/>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7">
    <w:name w:val="heading 7"/>
    <w:basedOn w:val="Normal"/>
    <w:next w:val="Normal"/>
    <w:qFormat/>
    <w:pPr>
      <w:tabs>
        <w:tab w:val="clear" w:pos="2880"/>
      </w:tabs>
      <w:spacing w:before="240"/>
      <w:outlineLvl w:val="6"/>
    </w:pPr>
    <w:rPr>
      <w:rFonts w:ascii="Arial" w:hAnsi="Arial"/>
      <w:sz w:val="20"/>
    </w:rPr>
  </w:style>
  <w:style w:type="paragraph" w:styleId="Heading8">
    <w:name w:val="heading 8"/>
    <w:basedOn w:val="Normal"/>
    <w:next w:val="Normal"/>
    <w:qFormat/>
    <w:pPr>
      <w:numPr>
        <w:ilvl w:val="7"/>
        <w:numId w:val="3"/>
      </w:numPr>
      <w:tabs>
        <w:tab w:val="clear" w:pos="2880"/>
      </w:tabs>
      <w:spacing w:before="240"/>
      <w:outlineLvl w:val="7"/>
    </w:pPr>
    <w:rPr>
      <w:rFonts w:ascii="Arial" w:hAnsi="Arial"/>
      <w:i/>
      <w:sz w:val="20"/>
    </w:rPr>
  </w:style>
  <w:style w:type="paragraph" w:styleId="Heading9">
    <w:name w:val="heading 9"/>
    <w:basedOn w:val="Normal"/>
    <w:next w:val="Normal"/>
    <w:qFormat/>
    <w:pPr>
      <w:numPr>
        <w:ilvl w:val="8"/>
        <w:numId w:val="3"/>
      </w:numPr>
      <w:tabs>
        <w:tab w:val="clear" w:pos="2880"/>
      </w:tabs>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basedOn w:val="BillBasic"/>
    <w:next w:val="Amain"/>
    <w:pPr>
      <w:keepNext/>
      <w:spacing w:before="180" w:after="0"/>
      <w:ind w:left="700" w:hanging="700"/>
      <w:jc w:val="left"/>
      <w:outlineLvl w:val="4"/>
    </w:pPr>
    <w:rPr>
      <w:b/>
    </w:rPr>
  </w:style>
  <w:style w:type="paragraph" w:customStyle="1" w:styleId="Amain">
    <w:name w:val="A main"/>
    <w:basedOn w:val="BillBasic0"/>
    <w:pPr>
      <w:tabs>
        <w:tab w:val="right" w:pos="500"/>
        <w:tab w:val="left" w:pos="700"/>
      </w:tabs>
      <w:ind w:left="700" w:hanging="700"/>
      <w:outlineLvl w:val="5"/>
    </w:pPr>
  </w:style>
  <w:style w:type="paragraph" w:customStyle="1" w:styleId="Amainreturn">
    <w:name w:val="A main return"/>
    <w:basedOn w:val="BillBasic0"/>
    <w:pPr>
      <w:ind w:left="700"/>
    </w:pPr>
  </w:style>
  <w:style w:type="paragraph" w:customStyle="1" w:styleId="Apara">
    <w:name w:val="A para"/>
    <w:basedOn w:val="BillBasic0"/>
    <w:pPr>
      <w:tabs>
        <w:tab w:val="right" w:pos="1000"/>
        <w:tab w:val="left" w:pos="1200"/>
      </w:tabs>
      <w:ind w:left="1200" w:hanging="1200"/>
      <w:outlineLvl w:val="6"/>
    </w:pPr>
  </w:style>
  <w:style w:type="paragraph" w:customStyle="1" w:styleId="Asubpara">
    <w:name w:val="A subpara"/>
    <w:basedOn w:val="BillBasic0"/>
    <w:pPr>
      <w:tabs>
        <w:tab w:val="right" w:pos="1540"/>
        <w:tab w:val="left" w:pos="1740"/>
      </w:tabs>
      <w:ind w:left="1740" w:hanging="1740"/>
      <w:outlineLvl w:val="7"/>
    </w:pPr>
  </w:style>
  <w:style w:type="paragraph" w:customStyle="1" w:styleId="Asubsubpara">
    <w:name w:val="A subsubpara"/>
    <w:basedOn w:val="BillBasic0"/>
    <w:pPr>
      <w:tabs>
        <w:tab w:val="right" w:pos="2060"/>
        <w:tab w:val="left" w:pos="2260"/>
      </w:tabs>
      <w:ind w:left="2260" w:hanging="2260"/>
      <w:outlineLvl w:val="8"/>
    </w:pPr>
  </w:style>
  <w:style w:type="paragraph" w:customStyle="1" w:styleId="aDef">
    <w:name w:val="aDef"/>
    <w:basedOn w:val="BillBasic0"/>
    <w:pPr>
      <w:ind w:left="7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pPr>
      <w:tabs>
        <w:tab w:val="left" w:pos="1500"/>
      </w:tabs>
      <w:ind w:left="15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pPr>
      <w:tabs>
        <w:tab w:val="left" w:pos="2400"/>
      </w:tabs>
      <w:spacing w:before="1220" w:after="100"/>
    </w:pPr>
    <w:rPr>
      <w:rFonts w:ascii="Arial" w:hAnsi="Arial"/>
      <w:b/>
      <w:sz w:val="40"/>
      <w:lang w:val="en-AU"/>
    </w:rPr>
  </w:style>
  <w:style w:type="paragraph" w:customStyle="1" w:styleId="Comment">
    <w:name w:val="Comment"/>
    <w:basedOn w:val="BillBasic0"/>
    <w:pPr>
      <w:tabs>
        <w:tab w:val="left" w:pos="1400"/>
      </w:tabs>
      <w:ind w:left="900"/>
      <w:jc w:val="left"/>
    </w:pPr>
    <w:rPr>
      <w:b/>
      <w:sz w:val="18"/>
    </w:rPr>
  </w:style>
  <w:style w:type="paragraph" w:customStyle="1" w:styleId="Endnote1">
    <w:name w:val="Endnote1"/>
    <w:basedOn w:val="BillBasic0"/>
    <w:next w:val="Endnote2"/>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700"/>
      </w:tabs>
      <w:spacing w:before="480" w:after="240"/>
    </w:pPr>
    <w:rPr>
      <w:rFonts w:ascii="Arial" w:hAnsi="Arial"/>
      <w:b/>
      <w:lang w:val="en-AU"/>
    </w:rPr>
  </w:style>
  <w:style w:type="character" w:styleId="EndnoteReference">
    <w:name w:val="endnote reference"/>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272"/>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sz w:val="10"/>
      <w:lang w:val="en-AU"/>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Schclauseheading">
    <w:name w:val="Sch clause heading"/>
    <w:basedOn w:val="BillBasic0"/>
    <w:next w:val="Amain"/>
    <w:pPr>
      <w:keepNext/>
      <w:tabs>
        <w:tab w:val="left" w:pos="700"/>
      </w:tabs>
      <w:spacing w:before="160" w:after="0"/>
      <w:ind w:left="700" w:hanging="700"/>
      <w:jc w:val="left"/>
      <w:outlineLvl w:val="4"/>
    </w:pPr>
    <w:rPr>
      <w:rFonts w:ascii="Arial" w:hAnsi="Arial"/>
      <w:b/>
    </w:rPr>
  </w:style>
  <w:style w:type="paragraph" w:customStyle="1" w:styleId="Sched-heading">
    <w:name w:val="Sched-heading"/>
    <w:basedOn w:val="BillBasicHeading"/>
    <w:next w:val="ref"/>
    <w:pPr>
      <w:keepNext/>
      <w:spacing w:before="320"/>
      <w:ind w:left="2600" w:hanging="2600"/>
      <w:outlineLvl w:val="0"/>
    </w:pPr>
    <w:rPr>
      <w:b/>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pPr>
      <w:keepNext/>
      <w:tabs>
        <w:tab w:val="left" w:pos="1800"/>
        <w:tab w:val="right" w:pos="7266"/>
      </w:tabs>
      <w:spacing w:before="480" w:after="20"/>
      <w:ind w:left="1800" w:right="360" w:hanging="1800"/>
    </w:pPr>
    <w:rPr>
      <w:rFonts w:ascii="Arial" w:hAnsi="Arial"/>
      <w:b/>
      <w:noProof/>
    </w:rPr>
  </w:style>
  <w:style w:type="paragraph" w:styleId="TOC2">
    <w:name w:val="toc 2"/>
    <w:basedOn w:val="Normal"/>
    <w:next w:val="Normal"/>
    <w:autoRedefine/>
    <w:semiHidden/>
    <w:pPr>
      <w:keepNext/>
      <w:tabs>
        <w:tab w:val="left" w:pos="1800"/>
        <w:tab w:val="right" w:pos="7266"/>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266"/>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clear" w:pos="2880"/>
        <w:tab w:val="right" w:pos="400"/>
        <w:tab w:val="left" w:pos="1000"/>
        <w:tab w:val="right" w:pos="7272"/>
      </w:tabs>
      <w:spacing w:before="40" w:after="20"/>
      <w:ind w:left="1000" w:right="360" w:hanging="1000"/>
    </w:pPr>
    <w:rPr>
      <w:rFonts w:ascii="Arial" w:hAnsi="Arial"/>
      <w:noProof/>
      <w:sz w:val="20"/>
    </w:rPr>
  </w:style>
  <w:style w:type="paragraph" w:styleId="TOC6">
    <w:name w:val="toc 6"/>
    <w:basedOn w:val="TOC1"/>
    <w:next w:val="Normal"/>
    <w:autoRedefine/>
    <w:semiHidden/>
    <w:pPr>
      <w:tabs>
        <w:tab w:val="clear" w:pos="2880"/>
      </w:tabs>
    </w:pPr>
  </w:style>
  <w:style w:type="paragraph" w:styleId="TOC7">
    <w:name w:val="toc 7"/>
    <w:basedOn w:val="TOC2"/>
    <w:next w:val="Normal"/>
    <w:autoRedefine/>
    <w:semiHidden/>
    <w:pPr>
      <w:tabs>
        <w:tab w:val="clear" w:pos="2880"/>
      </w:tabs>
      <w:spacing w:before="120"/>
    </w:pPr>
    <w:rPr>
      <w:sz w:val="20"/>
    </w:rPr>
  </w:style>
  <w:style w:type="paragraph" w:styleId="TOC8">
    <w:name w:val="toc 8"/>
    <w:basedOn w:val="TOC3"/>
    <w:next w:val="Normal"/>
    <w:autoRedefine/>
    <w:semiHidden/>
  </w:style>
  <w:style w:type="paragraph" w:styleId="TOC9">
    <w:name w:val="toc 9"/>
    <w:basedOn w:val="TOC6"/>
    <w:next w:val="TOC6"/>
    <w:autoRedefine/>
    <w:semiHidden/>
  </w:style>
  <w:style w:type="paragraph" w:styleId="DocumentMap">
    <w:name w:val="Document Map"/>
    <w:basedOn w:val="Normal"/>
    <w:semiHidden/>
    <w:pPr>
      <w:shd w:val="clear" w:color="auto" w:fill="000080"/>
    </w:pPr>
    <w:rPr>
      <w:rFonts w:ascii="Tahoma" w:hAnsi="Tahoma"/>
    </w:rPr>
  </w:style>
  <w:style w:type="character" w:styleId="LineNumber">
    <w:name w:val="line number"/>
    <w:semiHidden/>
    <w:rPr>
      <w:rFonts w:ascii="Arial" w:hAnsi="Arial"/>
      <w:sz w:val="16"/>
    </w:rPr>
  </w:style>
  <w:style w:type="paragraph" w:customStyle="1" w:styleId="name">
    <w:name w:val="name"/>
    <w:next w:val="minister"/>
    <w:pPr>
      <w:spacing w:before="400" w:after="60"/>
      <w:ind w:left="4760"/>
      <w:jc w:val="center"/>
    </w:pPr>
    <w:rPr>
      <w:rFonts w:ascii="Times" w:hAnsi="Times"/>
      <w:caps/>
      <w:sz w:val="24"/>
      <w:lang w:val="en-US"/>
    </w:rPr>
  </w:style>
  <w:style w:type="paragraph" w:customStyle="1" w:styleId="minister">
    <w:name w:val="minister"/>
    <w:next w:val="Normal"/>
    <w:pPr>
      <w:ind w:left="4760"/>
      <w:jc w:val="center"/>
    </w:pPr>
    <w:rPr>
      <w:rFonts w:ascii="Times" w:hAnsi="Times"/>
      <w:sz w:val="24"/>
      <w:lang w:val="en-U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spacing w:before="120" w:after="60" w:line="240" w:lineRule="exact"/>
    </w:pPr>
    <w:rPr>
      <w:rFonts w:ascii="Arial" w:hAnsi="Arial"/>
      <w:sz w:val="18"/>
    </w:rPr>
  </w:style>
  <w:style w:type="paragraph" w:customStyle="1" w:styleId="InparaH3sec">
    <w:name w:val="Inpara H3 sec"/>
    <w:basedOn w:val="BillBasic"/>
    <w:pPr>
      <w:ind w:left="1600" w:hanging="700"/>
      <w:jc w:val="left"/>
    </w:pPr>
    <w:rPr>
      <w:b/>
    </w:rPr>
  </w:style>
  <w:style w:type="character" w:styleId="PageNumber">
    <w:name w:val="page number"/>
    <w:basedOn w:val="DefaultParagraphFont"/>
    <w:semiHidden/>
  </w:style>
  <w:style w:type="paragraph" w:customStyle="1" w:styleId="Aparareturn">
    <w:name w:val="A para return"/>
    <w:basedOn w:val="BillBasic0"/>
    <w:pPr>
      <w:ind w:left="1200"/>
    </w:pPr>
  </w:style>
  <w:style w:type="paragraph" w:customStyle="1" w:styleId="aindent">
    <w:name w:val="a indent"/>
    <w:basedOn w:val="Normal"/>
    <w:pPr>
      <w:tabs>
        <w:tab w:val="right" w:pos="700"/>
      </w:tabs>
      <w:spacing w:before="60" w:after="80"/>
      <w:ind w:left="900" w:hanging="900"/>
    </w:pPr>
  </w:style>
  <w:style w:type="paragraph" w:customStyle="1" w:styleId="fullout">
    <w:name w:val="full out"/>
    <w:pPr>
      <w:spacing w:before="80" w:after="80"/>
      <w:jc w:val="both"/>
    </w:pPr>
    <w:rPr>
      <w:rFonts w:ascii="Times" w:hAnsi="Times"/>
      <w:sz w:val="24"/>
    </w:rPr>
  </w:style>
  <w:style w:type="paragraph" w:customStyle="1" w:styleId="def">
    <w:name w:val="def"/>
    <w:pPr>
      <w:spacing w:before="80" w:after="80"/>
      <w:ind w:left="900" w:hanging="500"/>
      <w:jc w:val="both"/>
    </w:pPr>
    <w:rPr>
      <w:rFonts w:ascii="Times" w:hAnsi="Times"/>
      <w:sz w:val="24"/>
    </w:rPr>
  </w:style>
  <w:style w:type="paragraph" w:customStyle="1" w:styleId="defaindent">
    <w:name w:val="def a indent"/>
    <w:pPr>
      <w:tabs>
        <w:tab w:val="right" w:pos="1360"/>
      </w:tabs>
      <w:spacing w:before="80" w:after="80"/>
      <w:ind w:left="1620" w:hanging="1620"/>
      <w:jc w:val="both"/>
    </w:pPr>
    <w:rPr>
      <w:rFonts w:ascii="Times" w:hAnsi="Times"/>
      <w:sz w:val="24"/>
    </w:rPr>
  </w:style>
  <w:style w:type="paragraph" w:customStyle="1" w:styleId="iindent">
    <w:name w:val="i indent"/>
    <w:pPr>
      <w:tabs>
        <w:tab w:val="right" w:pos="1340"/>
      </w:tabs>
      <w:spacing w:before="80" w:after="80"/>
      <w:ind w:left="1600" w:hanging="1600"/>
      <w:jc w:val="both"/>
    </w:pPr>
    <w:rPr>
      <w:rFonts w:ascii="Times" w:hAnsi="Times"/>
      <w:sz w:val="24"/>
    </w:rPr>
  </w:style>
  <w:style w:type="paragraph" w:customStyle="1" w:styleId="Billcrest">
    <w:name w:val="Billcrest"/>
    <w:basedOn w:val="Normal"/>
    <w:pPr>
      <w:ind w:left="2800"/>
    </w:pPr>
    <w:rPr>
      <w:rFonts w:ascii="ACTCrest" w:hAnsi="ACTCrest"/>
      <w:sz w:val="216"/>
    </w:rPr>
  </w:style>
  <w:style w:type="paragraph" w:customStyle="1" w:styleId="N-line2">
    <w:name w:val="N-line2"/>
    <w:basedOn w:val="Normal"/>
    <w:pPr>
      <w:pBdr>
        <w:bottom w:val="single" w:sz="8" w:space="0" w:color="auto"/>
      </w:pBdr>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rPr>
  </w:style>
  <w:style w:type="paragraph" w:customStyle="1" w:styleId="BillBasicHeading">
    <w:name w:val="BillBasicHeading"/>
    <w:basedOn w:val="BillBasic0"/>
    <w:pPr>
      <w:tabs>
        <w:tab w:val="left" w:pos="2600"/>
      </w:tabs>
    </w:pPr>
    <w:rPr>
      <w:rFonts w:ascii="Arial" w:hAnsi="Arial"/>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pPr>
      <w:tabs>
        <w:tab w:val="center" w:pos="3160"/>
      </w:tabs>
      <w:spacing w:after="60"/>
    </w:pPr>
    <w:rPr>
      <w:sz w:val="216"/>
      <w:lang w:val="en-AU"/>
    </w:rPr>
  </w:style>
  <w:style w:type="paragraph" w:customStyle="1" w:styleId="aExamHead0">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paragraph" w:customStyle="1" w:styleId="ref">
    <w:name w:val="ref"/>
    <w:basedOn w:val="BillBasic0"/>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ed-Form-18Space">
    <w:name w:val="Sched-Form-18Space"/>
    <w:basedOn w:val="Normal"/>
    <w:pPr>
      <w:spacing w:before="360" w:after="60"/>
    </w:pPr>
    <w:rPr>
      <w:sz w:val="22"/>
    </w:rPr>
  </w:style>
  <w:style w:type="paragraph" w:customStyle="1" w:styleId="EndNote20">
    <w:name w:val="EndNote2"/>
    <w:basedOn w:val="BillBasic0"/>
    <w:pPr>
      <w:keepNext/>
      <w:tabs>
        <w:tab w:val="left" w:pos="240"/>
      </w:tabs>
      <w:spacing w:before="160" w:after="80"/>
      <w:jc w:val="left"/>
    </w:pPr>
    <w:rPr>
      <w:b/>
      <w:sz w:val="18"/>
    </w:rPr>
  </w:style>
  <w:style w:type="paragraph" w:customStyle="1" w:styleId="IH1Chap">
    <w:name w:val="I H1 Chap"/>
    <w:basedOn w:val="BillBasicHeading"/>
    <w:next w:val="IH2Part"/>
    <w:pPr>
      <w:spacing w:before="320"/>
      <w:ind w:left="2600" w:hanging="2600"/>
      <w:jc w:val="left"/>
    </w:pPr>
    <w:rPr>
      <w:b/>
      <w:sz w:val="34"/>
    </w:rPr>
  </w:style>
  <w:style w:type="paragraph" w:customStyle="1" w:styleId="IH2Part">
    <w:name w:val="I H2 Part"/>
    <w:basedOn w:val="BillBasicHeading"/>
    <w:next w:val="IH3Div"/>
    <w:pPr>
      <w:spacing w:before="320"/>
      <w:ind w:left="2600" w:hanging="2600"/>
      <w:jc w:val="left"/>
    </w:pPr>
    <w:rPr>
      <w:b/>
      <w:sz w:val="32"/>
    </w:rPr>
  </w:style>
  <w:style w:type="paragraph" w:customStyle="1" w:styleId="IH3Div">
    <w:name w:val="I H3 Div"/>
    <w:basedOn w:val="BillBasicHeading"/>
    <w:next w:val="IH5Sec"/>
    <w:pPr>
      <w:spacing w:before="180"/>
      <w:ind w:left="2600" w:hanging="2600"/>
      <w:jc w:val="left"/>
    </w:pPr>
    <w:rPr>
      <w:b/>
      <w:sz w:val="28"/>
    </w:rPr>
  </w:style>
  <w:style w:type="paragraph" w:customStyle="1" w:styleId="IH4SubDiv">
    <w:name w:val="I H4 SubDiv"/>
    <w:basedOn w:val="BillBasicHeading"/>
    <w:next w:val="IH5Sec"/>
    <w:pPr>
      <w:spacing w:before="180"/>
      <w:ind w:left="2600" w:hanging="2600"/>
    </w:pPr>
    <w:rPr>
      <w:b/>
      <w:sz w:val="26"/>
    </w:rPr>
  </w:style>
  <w:style w:type="paragraph" w:customStyle="1" w:styleId="IH5Sec">
    <w:name w:val="I H5 Sec"/>
    <w:basedOn w:val="BillBasicHeading"/>
    <w:next w:val="IMain"/>
    <w:pPr>
      <w:tabs>
        <w:tab w:val="clear" w:pos="2600"/>
        <w:tab w:val="left" w:pos="700"/>
      </w:tabs>
      <w:spacing w:before="180"/>
      <w:ind w:left="700" w:hanging="700"/>
      <w:jc w:val="left"/>
    </w:pPr>
    <w:rPr>
      <w:b/>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spacing w:before="320"/>
      <w:ind w:left="2600" w:hanging="2600"/>
    </w:pPr>
    <w:rPr>
      <w:b/>
      <w:sz w:val="34"/>
    </w:rPr>
  </w:style>
  <w:style w:type="paragraph" w:customStyle="1" w:styleId="ISched-Part">
    <w:name w:val="I Sched-Part"/>
    <w:basedOn w:val="BillBasicHeading"/>
    <w:pPr>
      <w:spacing w:before="320"/>
      <w:ind w:left="2600" w:hanging="2600"/>
      <w:jc w:val="left"/>
    </w:pPr>
    <w:rPr>
      <w:b/>
      <w:sz w:val="32"/>
    </w:rPr>
  </w:style>
  <w:style w:type="paragraph" w:customStyle="1" w:styleId="ISched-form">
    <w:name w:val="I Sched-form"/>
    <w:basedOn w:val="BillBasicHeading"/>
    <w:pPr>
      <w:tabs>
        <w:tab w:val="right" w:pos="7200"/>
      </w:tabs>
      <w:spacing w:before="180"/>
      <w:ind w:left="2600" w:hanging="2600"/>
      <w:jc w:val="left"/>
    </w:pPr>
    <w:rPr>
      <w:b/>
      <w:sz w:val="28"/>
    </w:rPr>
  </w:style>
  <w:style w:type="paragraph" w:customStyle="1" w:styleId="ISchclauseheading">
    <w:name w:val="I Sch clause heading"/>
    <w:basedOn w:val="BillBasic0"/>
    <w:pPr>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spacing w:before="1000"/>
    </w:pPr>
    <w:rPr>
      <w:b/>
      <w:sz w:val="32"/>
    </w:rPr>
  </w:style>
  <w:style w:type="paragraph" w:styleId="Signature">
    <w:name w:val="Signature"/>
    <w:basedOn w:val="Normal"/>
    <w:semiHidden/>
    <w:pPr>
      <w:ind w:left="4252"/>
    </w:pPr>
  </w:style>
  <w:style w:type="paragraph" w:customStyle="1" w:styleId="direction">
    <w:name w:val="direction"/>
    <w:basedOn w:val="BillBasic0"/>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0"/>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Minister0">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0"/>
    <w:pPr>
      <w:tabs>
        <w:tab w:val="left" w:pos="700"/>
        <w:tab w:val="left" w:pos="3760"/>
        <w:tab w:val="left" w:pos="57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subparareturn">
    <w:name w:val="A subpara return"/>
    <w:basedOn w:val="BillBasic0"/>
    <w:pPr>
      <w:ind w:left="1740"/>
    </w:pPr>
  </w:style>
  <w:style w:type="paragraph" w:customStyle="1" w:styleId="CommentNum">
    <w:name w:val="CommentNum"/>
    <w:basedOn w:val="Comment"/>
    <w:pPr>
      <w:ind w:left="1400" w:hanging="1400"/>
    </w:pPr>
  </w:style>
  <w:style w:type="paragraph" w:customStyle="1" w:styleId="Amainbullet">
    <w:name w:val="A main bullet"/>
    <w:basedOn w:val="BillBasic0"/>
    <w:pPr>
      <w:spacing w:before="0" w:after="40"/>
      <w:ind w:left="1200" w:hanging="500"/>
    </w:pPr>
  </w:style>
  <w:style w:type="paragraph" w:customStyle="1" w:styleId="Aparabullet">
    <w:name w:val="A para bullet"/>
    <w:basedOn w:val="BillBasic0"/>
    <w:pPr>
      <w:spacing w:before="0" w:after="40"/>
      <w:ind w:left="1740" w:hanging="540"/>
    </w:pPr>
  </w:style>
  <w:style w:type="paragraph" w:customStyle="1" w:styleId="Asubparabullet">
    <w:name w:val="A subpara bullet"/>
    <w:basedOn w:val="BillBasic0"/>
    <w:pPr>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spacing w:before="320"/>
    </w:pPr>
    <w:rPr>
      <w:b/>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Judges">
    <w:name w:val="Judges"/>
    <w:basedOn w:val="Minister0"/>
    <w:pPr>
      <w:spacing w:before="180" w:after="40"/>
    </w:pPr>
  </w:style>
  <w:style w:type="paragraph" w:customStyle="1" w:styleId="CoverInForce">
    <w:name w:val="CoverInForce"/>
    <w:basedOn w:val="BillBasicHeading"/>
    <w:pPr>
      <w:spacing w:before="200"/>
    </w:pPr>
  </w:style>
  <w:style w:type="paragraph" w:customStyle="1" w:styleId="LongTitle">
    <w:name w:val="LongTitle"/>
    <w:basedOn w:val="BillBasic0"/>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pPr>
    <w:rPr>
      <w:b/>
      <w:sz w:val="34"/>
    </w:rPr>
  </w:style>
  <w:style w:type="paragraph" w:customStyle="1" w:styleId="03ScheduleLandscape">
    <w:name w:val="03ScheduleLandscape"/>
    <w:basedOn w:val="Normal"/>
  </w:style>
  <w:style w:type="paragraph" w:customStyle="1" w:styleId="aNoteBullet">
    <w:name w:val="aNoteBullet"/>
    <w:basedOn w:val="aNote"/>
    <w:pPr>
      <w:tabs>
        <w:tab w:val="left" w:pos="1800"/>
      </w:tabs>
      <w:ind w:left="1800" w:hanging="300"/>
    </w:pPr>
  </w:style>
  <w:style w:type="paragraph" w:customStyle="1" w:styleId="aParaNoteBullet">
    <w:name w:val="aParaNoteBullet"/>
    <w:basedOn w:val="aParaNote"/>
    <w:pPr>
      <w:tabs>
        <w:tab w:val="left" w:pos="2300"/>
      </w:tabs>
      <w:ind w:left="2300" w:hanging="300"/>
    </w:pPr>
  </w:style>
  <w:style w:type="character" w:customStyle="1" w:styleId="charItals">
    <w:name w:val="charItals"/>
    <w:rPr>
      <w:i/>
    </w:rPr>
  </w:style>
  <w:style w:type="paragraph" w:customStyle="1" w:styleId="CoverHeading">
    <w:name w:val="CoverHeading"/>
    <w:basedOn w:val="Normal"/>
    <w:pPr>
      <w:spacing w:after="60"/>
    </w:pPr>
    <w:rPr>
      <w:rFonts w:ascii="Arial" w:hAnsi="Arial"/>
      <w:b/>
    </w:rPr>
  </w:style>
  <w:style w:type="paragraph" w:customStyle="1" w:styleId="CoverSubHdg">
    <w:name w:val="CoverSubHdg"/>
    <w:basedOn w:val="CoverHeading"/>
    <w:pPr>
      <w:spacing w:before="80"/>
    </w:pPr>
    <w:rPr>
      <w:sz w:val="20"/>
    </w:rPr>
  </w:style>
  <w:style w:type="paragraph" w:customStyle="1" w:styleId="CoverText">
    <w:name w:val="CoverText"/>
    <w:basedOn w:val="Normal"/>
    <w:pPr>
      <w:spacing w:before="60" w:after="60"/>
      <w:jc w:val="both"/>
    </w:pPr>
    <w:rPr>
      <w:sz w:val="20"/>
    </w:rPr>
  </w:style>
  <w:style w:type="paragraph" w:customStyle="1" w:styleId="CoverTextPara">
    <w:name w:val="CoverTextPara"/>
    <w:basedOn w:val="CoverText"/>
    <w:rPr>
      <w:color w:val="000000"/>
    </w:rPr>
  </w:style>
  <w:style w:type="paragraph" w:customStyle="1" w:styleId="EndNoteTextEPS">
    <w:name w:val="EndNoteTextEPS"/>
    <w:basedOn w:val="Normal"/>
    <w:pPr>
      <w:spacing w:before="40" w:after="40"/>
      <w:ind w:left="700"/>
      <w:jc w:val="both"/>
    </w:pPr>
    <w:rPr>
      <w:sz w:val="20"/>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sAbbrev">
    <w:name w:val="EndnotesAbbrev"/>
    <w:basedOn w:val="Normal"/>
    <w:pPr>
      <w:spacing w:before="20"/>
    </w:pPr>
    <w:rPr>
      <w:rFonts w:ascii="Arial" w:hAnsi="Arial"/>
      <w:color w:val="000000"/>
      <w:sz w:val="16"/>
    </w:rPr>
  </w:style>
  <w:style w:type="paragraph" w:customStyle="1" w:styleId="AH1ChapterSymb">
    <w:name w:val="A H1 Chapter Symb"/>
    <w:basedOn w:val="AH1Chapter"/>
    <w:next w:val="AH2Part"/>
    <w:pPr>
      <w:tabs>
        <w:tab w:val="left" w:pos="0"/>
      </w:tabs>
      <w:ind w:left="2480" w:hanging="2960"/>
    </w:pPr>
  </w:style>
  <w:style w:type="paragraph" w:customStyle="1" w:styleId="NewAct">
    <w:name w:val="New Act"/>
    <w:basedOn w:val="Normal"/>
    <w:pPr>
      <w:keepNext/>
      <w:spacing w:before="180"/>
      <w:ind w:left="700"/>
    </w:pPr>
    <w:rPr>
      <w:rFonts w:ascii="Arial" w:hAnsi="Arial"/>
      <w:b/>
      <w:sz w:val="20"/>
      <w:lang w:val="en-AU"/>
    </w:rPr>
  </w:style>
  <w:style w:type="paragraph" w:customStyle="1" w:styleId="SchSubClause">
    <w:name w:val="Sch SubClause"/>
    <w:basedOn w:val="Schclauseheading"/>
    <w:rPr>
      <w:b w:val="0"/>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tabs>
        <w:tab w:val="clear" w:pos="2880"/>
      </w:tabs>
      <w:spacing w:before="240"/>
      <w:ind w:left="700"/>
    </w:pPr>
    <w:rPr>
      <w:rFonts w:ascii="Arial" w:hAnsi="Arial"/>
      <w:sz w:val="20"/>
    </w:rPr>
  </w:style>
  <w:style w:type="paragraph" w:customStyle="1" w:styleId="AmdtsEntries">
    <w:name w:val="AmdtsEntries"/>
    <w:basedOn w:val="BillBasicHeading"/>
    <w:pPr>
      <w:tabs>
        <w:tab w:val="clear" w:pos="2600"/>
        <w:tab w:val="left" w:pos="1800"/>
      </w:tabs>
      <w:spacing w:before="0" w:after="0"/>
      <w:ind w:left="1800" w:hanging="1100"/>
    </w:pPr>
    <w:rPr>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style>
  <w:style w:type="paragraph" w:customStyle="1" w:styleId="aExamPara">
    <w:name w:val="aExamPara"/>
    <w:basedOn w:val="aExam"/>
    <w:pPr>
      <w:tabs>
        <w:tab w:val="right" w:pos="1320"/>
        <w:tab w:val="left" w:pos="1600"/>
      </w:tabs>
      <w:ind w:left="1600" w:hanging="900"/>
    </w:pPr>
  </w:style>
  <w:style w:type="paragraph" w:customStyle="1" w:styleId="Endnote3">
    <w:name w:val="Endnote3"/>
    <w:basedOn w:val="Normal"/>
    <w:pPr>
      <w:keepNext/>
      <w:tabs>
        <w:tab w:val="clear" w:pos="2880"/>
        <w:tab w:val="left" w:pos="700"/>
      </w:tabs>
      <w:spacing w:before="120" w:after="120"/>
      <w:ind w:left="700" w:hanging="700"/>
    </w:pPr>
    <w:rPr>
      <w:rFonts w:ascii="Arial" w:hAnsi="Arial"/>
      <w:b/>
      <w:color w:val="000000"/>
      <w:sz w:val="18"/>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AmdtsEntries"/>
    <w:pPr>
      <w:tabs>
        <w:tab w:val="left" w:leader="dot" w:pos="2400"/>
      </w:tabs>
      <w:spacing w:before="80"/>
      <w:ind w:left="2400" w:hanging="1700"/>
    </w:pPr>
  </w:style>
  <w:style w:type="character" w:customStyle="1" w:styleId="charBoldItals">
    <w:name w:val="charBoldItals"/>
    <w:rPr>
      <w:b/>
      <w:i/>
    </w:rPr>
  </w:style>
  <w:style w:type="character" w:customStyle="1" w:styleId="charUnderline">
    <w:name w:val="charUnderline"/>
    <w:rPr>
      <w:u w:val="single"/>
    </w:rPr>
  </w:style>
  <w:style w:type="paragraph" w:customStyle="1" w:styleId="OldAmdtEntries2ndLine">
    <w:name w:val="OldAmdtEntries2ndLine"/>
    <w:basedOn w:val="OldAmdtsEntries"/>
    <w:pPr>
      <w:tabs>
        <w:tab w:val="left" w:pos="1500"/>
      </w:tabs>
    </w:pPr>
  </w:style>
  <w:style w:type="paragraph" w:customStyle="1" w:styleId="OldAmdt2ndLine">
    <w:name w:val="OldAmdt2ndLine"/>
    <w:basedOn w:val="OldAmdtsEntries"/>
    <w:pPr>
      <w:tabs>
        <w:tab w:val="left" w:pos="24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tabs>
        <w:tab w:val="clear" w:pos="2880"/>
        <w:tab w:val="left" w:leader="dot" w:pos="2000"/>
      </w:tabs>
      <w:spacing w:before="80"/>
    </w:pPr>
    <w:rPr>
      <w:rFonts w:ascii="Arial" w:hAnsi="Arial"/>
      <w:sz w:val="18"/>
    </w:rPr>
  </w:style>
  <w:style w:type="paragraph" w:customStyle="1" w:styleId="aExamNumText">
    <w:name w:val="aExamNumText"/>
    <w:basedOn w:val="aExam"/>
    <w:pPr>
      <w:ind w:left="1100"/>
    </w:pPr>
  </w:style>
  <w:style w:type="paragraph" w:customStyle="1" w:styleId="aNotePara">
    <w:name w:val="aNotePara"/>
    <w:basedOn w:val="aNote"/>
    <w:pPr>
      <w:tabs>
        <w:tab w:val="right" w:pos="1740"/>
        <w:tab w:val="left" w:pos="2000"/>
      </w:tabs>
      <w:spacing w:before="0" w:after="40"/>
      <w:ind w:left="2000" w:hanging="1300"/>
    </w:p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amBullet">
    <w:name w:val="aExamBullet"/>
    <w:basedOn w:val="aExam"/>
    <w:pPr>
      <w:tabs>
        <w:tab w:val="left" w:pos="1100"/>
      </w:tabs>
      <w:ind w:left="1100" w:hanging="400"/>
    </w:pPr>
  </w:style>
  <w:style w:type="paragraph" w:customStyle="1" w:styleId="AH5SecSymb">
    <w:name w:val="A H5 Sec Symb"/>
    <w:basedOn w:val="AH5Sec"/>
    <w:pPr>
      <w:tabs>
        <w:tab w:val="left" w:pos="0"/>
      </w:tabs>
      <w:ind w:hanging="11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left="600"/>
    </w:pPr>
  </w:style>
  <w:style w:type="paragraph" w:customStyle="1" w:styleId="MinisterWord">
    <w:name w:val="MinisterWord"/>
    <w:basedOn w:val="Normal"/>
    <w:pPr>
      <w:jc w:val="right"/>
    </w:pPr>
  </w:style>
  <w:style w:type="paragraph" w:customStyle="1" w:styleId="PrincipalActdetails">
    <w:name w:val="Principal Act details"/>
    <w:basedOn w:val="Actdetails"/>
    <w:pPr>
      <w:tabs>
        <w:tab w:val="clear" w:pos="2880"/>
      </w:tabs>
      <w:ind w:left="600"/>
    </w:pPr>
    <w:rPr>
      <w:sz w:val="18"/>
    </w:rPr>
  </w:style>
  <w:style w:type="paragraph" w:customStyle="1" w:styleId="EffectiveDate">
    <w:name w:val="EffectiveDate"/>
    <w:basedOn w:val="Normal"/>
    <w:rsid w:val="00682177"/>
    <w:pPr>
      <w:tabs>
        <w:tab w:val="clear" w:pos="2880"/>
      </w:tabs>
      <w:spacing w:before="40" w:after="200"/>
    </w:pPr>
    <w:rPr>
      <w:rFonts w:ascii="Arial" w:hAnsi="Arial"/>
      <w:b/>
      <w:sz w:val="26"/>
      <w:lang w:val="en-AU" w:eastAsia="en-US"/>
    </w:rPr>
  </w:style>
  <w:style w:type="paragraph" w:customStyle="1" w:styleId="citation">
    <w:name w:val="citation"/>
    <w:basedOn w:val="Normal"/>
    <w:rsid w:val="00682177"/>
    <w:pPr>
      <w:tabs>
        <w:tab w:val="clear" w:pos="2880"/>
      </w:tabs>
      <w:spacing w:before="1220" w:after="100"/>
    </w:pPr>
    <w:rPr>
      <w:rFonts w:ascii="Arial" w:hAnsi="Arial"/>
      <w:b/>
      <w:sz w:val="40"/>
      <w:lang w:val="en-AU" w:eastAsia="en-US"/>
    </w:rPr>
  </w:style>
  <w:style w:type="paragraph" w:customStyle="1" w:styleId="Status">
    <w:name w:val="Status"/>
    <w:basedOn w:val="Normal"/>
    <w:rsid w:val="00682177"/>
    <w:pPr>
      <w:tabs>
        <w:tab w:val="clear" w:pos="2880"/>
      </w:tabs>
      <w:spacing w:before="280"/>
      <w:jc w:val="center"/>
    </w:pPr>
    <w:rPr>
      <w:rFonts w:ascii="Arial" w:hAnsi="Arial"/>
      <w:sz w:val="14"/>
      <w:lang w:val="en-AU" w:eastAsia="en-US"/>
    </w:rPr>
  </w:style>
  <w:style w:type="character" w:customStyle="1" w:styleId="FooterChar">
    <w:name w:val="Footer Char"/>
    <w:basedOn w:val="DefaultParagraphFont"/>
    <w:link w:val="Footer"/>
    <w:uiPriority w:val="99"/>
    <w:rsid w:val="00682177"/>
    <w:rPr>
      <w:rFonts w:ascii="Arial" w:hAnsi="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4515</Words>
  <Characters>22104</Characters>
  <Application>Microsoft Office Word</Application>
  <DocSecurity>0</DocSecurity>
  <Lines>640</Lines>
  <Paragraphs>352</Paragraphs>
  <ScaleCrop>false</ScaleCrop>
  <HeadingPairs>
    <vt:vector size="2" baseType="variant">
      <vt:variant>
        <vt:lpstr>Title</vt:lpstr>
      </vt:variant>
      <vt:variant>
        <vt:i4>1</vt:i4>
      </vt:variant>
    </vt:vector>
  </HeadingPairs>
  <TitlesOfParts>
    <vt:vector size="1" baseType="lpstr">
      <vt:lpstr>Water and Sewerage</vt:lpstr>
    </vt:vector>
  </TitlesOfParts>
  <Company>InTACT</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dc:title>
  <dc:subject>(No )</dc:subject>
  <dc:creator>pco</dc:creator>
  <cp:keywords>07</cp:keywords>
  <dc:description/>
  <cp:lastModifiedBy>PCODCS</cp:lastModifiedBy>
  <cp:revision>4</cp:revision>
  <cp:lastPrinted>2001-06-18T06:39:00Z</cp:lastPrinted>
  <dcterms:created xsi:type="dcterms:W3CDTF">2019-05-24T01:23:00Z</dcterms:created>
  <dcterms:modified xsi:type="dcterms:W3CDTF">2019-05-24T01:23:00Z</dcterms:modified>
  <cp:category>R No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ies>
</file>