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A7B0" w14:textId="77777777" w:rsidR="00D838C8" w:rsidRDefault="00D838C8" w:rsidP="00991BFF">
      <w:pPr>
        <w:jc w:val="center"/>
      </w:pPr>
      <w:bookmarkStart w:id="0" w:name="_Hlk9583484"/>
      <w:r>
        <w:rPr>
          <w:noProof/>
          <w:lang w:eastAsia="en-AU"/>
        </w:rPr>
        <w:drawing>
          <wp:inline distT="0" distB="0" distL="0" distR="0" wp14:anchorId="4E616697" wp14:editId="09A97D62">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7C0A18" w14:textId="77777777" w:rsidR="00D838C8" w:rsidRDefault="00D838C8" w:rsidP="00991BFF">
      <w:pPr>
        <w:jc w:val="center"/>
        <w:rPr>
          <w:rFonts w:ascii="Arial" w:hAnsi="Arial"/>
        </w:rPr>
      </w:pPr>
      <w:r>
        <w:rPr>
          <w:rFonts w:ascii="Arial" w:hAnsi="Arial"/>
        </w:rPr>
        <w:t>Australian Capital Territory</w:t>
      </w:r>
    </w:p>
    <w:p w14:paraId="2F9BF790" w14:textId="10E06469" w:rsidR="00D838C8" w:rsidRDefault="00C17B8B" w:rsidP="00991BFF">
      <w:pPr>
        <w:pStyle w:val="Billname1"/>
      </w:pPr>
      <w:r>
        <w:fldChar w:fldCharType="begin"/>
      </w:r>
      <w:r>
        <w:instrText xml:space="preserve"> REF Citation \*charformat </w:instrText>
      </w:r>
      <w:r>
        <w:fldChar w:fldCharType="separate"/>
      </w:r>
      <w:r w:rsidR="00010EDA">
        <w:t>Gambling and Racing Control (Code of Practice) Regulation 2002</w:t>
      </w:r>
      <w:r>
        <w:fldChar w:fldCharType="end"/>
      </w:r>
      <w:r w:rsidR="00D838C8">
        <w:t xml:space="preserve">    </w:t>
      </w:r>
    </w:p>
    <w:p w14:paraId="0D7515AC" w14:textId="750E64B2" w:rsidR="00D838C8" w:rsidRDefault="0007725C" w:rsidP="00991BFF">
      <w:pPr>
        <w:pStyle w:val="ActNo"/>
      </w:pPr>
      <w:bookmarkStart w:id="1" w:name="LawNo"/>
      <w:r>
        <w:t>SL2002-28</w:t>
      </w:r>
      <w:bookmarkEnd w:id="1"/>
    </w:p>
    <w:p w14:paraId="5FCD3077" w14:textId="77777777" w:rsidR="00D838C8" w:rsidRDefault="00D838C8" w:rsidP="00991BFF">
      <w:pPr>
        <w:pStyle w:val="CoverInForce"/>
      </w:pPr>
      <w:r>
        <w:t>made under the</w:t>
      </w:r>
    </w:p>
    <w:p w14:paraId="5DC91BEC" w14:textId="7562B7DC" w:rsidR="00D838C8" w:rsidRDefault="00C17B8B" w:rsidP="00991BFF">
      <w:pPr>
        <w:pStyle w:val="CoverActName"/>
      </w:pPr>
      <w:r>
        <w:fldChar w:fldCharType="begin"/>
      </w:r>
      <w:r>
        <w:instrText xml:space="preserve"> REF ActName \*charformat </w:instrText>
      </w:r>
      <w:r>
        <w:fldChar w:fldCharType="separate"/>
      </w:r>
      <w:r w:rsidR="00010EDA" w:rsidRPr="00010EDA">
        <w:t>Gambling and Racing Control Act 1999</w:t>
      </w:r>
      <w:r>
        <w:fldChar w:fldCharType="end"/>
      </w:r>
    </w:p>
    <w:p w14:paraId="07410CA5" w14:textId="1DC9DECC" w:rsidR="00D838C8" w:rsidRDefault="00D838C8" w:rsidP="00991BFF">
      <w:pPr>
        <w:pStyle w:val="RepubNo"/>
      </w:pPr>
      <w:r>
        <w:t xml:space="preserve">Republication No </w:t>
      </w:r>
      <w:bookmarkStart w:id="2" w:name="RepubNo"/>
      <w:r w:rsidR="0007725C">
        <w:t>13</w:t>
      </w:r>
      <w:bookmarkEnd w:id="2"/>
    </w:p>
    <w:p w14:paraId="658EDC99" w14:textId="1E1D3C66" w:rsidR="00D838C8" w:rsidRDefault="00D838C8" w:rsidP="00991BFF">
      <w:pPr>
        <w:pStyle w:val="EffectiveDate"/>
      </w:pPr>
      <w:r>
        <w:t xml:space="preserve">Effective:  </w:t>
      </w:r>
      <w:bookmarkStart w:id="3" w:name="EffectiveDate"/>
      <w:r w:rsidR="0007725C">
        <w:t>27 May 2021</w:t>
      </w:r>
      <w:bookmarkEnd w:id="3"/>
      <w:r w:rsidR="0007725C">
        <w:t xml:space="preserve"> – </w:t>
      </w:r>
      <w:bookmarkStart w:id="4" w:name="EndEffDate"/>
      <w:r w:rsidR="0007725C">
        <w:t>13 November 2022</w:t>
      </w:r>
      <w:bookmarkEnd w:id="4"/>
    </w:p>
    <w:p w14:paraId="34B1BE70" w14:textId="7E0CAFBD" w:rsidR="00D838C8" w:rsidRDefault="00D838C8" w:rsidP="00991BFF">
      <w:pPr>
        <w:pStyle w:val="CoverInForce"/>
      </w:pPr>
      <w:r>
        <w:t xml:space="preserve">Republication date: </w:t>
      </w:r>
      <w:bookmarkStart w:id="5" w:name="InForceDate"/>
      <w:r w:rsidR="0007725C">
        <w:t>27 May 2021</w:t>
      </w:r>
      <w:bookmarkEnd w:id="5"/>
    </w:p>
    <w:p w14:paraId="21E394E6" w14:textId="67347585" w:rsidR="00D838C8" w:rsidRPr="007659AE" w:rsidRDefault="00D838C8" w:rsidP="00991BFF">
      <w:pPr>
        <w:pStyle w:val="CoverInForce"/>
      </w:pPr>
      <w:r>
        <w:t xml:space="preserve">Last amendment made by </w:t>
      </w:r>
      <w:bookmarkStart w:id="6" w:name="LastAmdt"/>
      <w:r w:rsidRPr="00D838C8">
        <w:rPr>
          <w:rStyle w:val="charCitHyperlinkAbbrev"/>
        </w:rPr>
        <w:fldChar w:fldCharType="begin"/>
      </w:r>
      <w:r w:rsidR="0007725C">
        <w:rPr>
          <w:rStyle w:val="charCitHyperlinkAbbrev"/>
        </w:rPr>
        <w:instrText>HYPERLINK "http://www.legislation.act.gov.au/sl/2019-10/" \o "Gambling and Racing Control (Code of Practice) Amendment Regulation 2019 (No 1)"</w:instrText>
      </w:r>
      <w:r w:rsidRPr="00D838C8">
        <w:rPr>
          <w:rStyle w:val="charCitHyperlinkAbbrev"/>
        </w:rPr>
        <w:fldChar w:fldCharType="separate"/>
      </w:r>
      <w:r w:rsidR="0007725C">
        <w:rPr>
          <w:rStyle w:val="charCitHyperlinkAbbrev"/>
        </w:rPr>
        <w:t>SL2019</w:t>
      </w:r>
      <w:r w:rsidR="0007725C">
        <w:rPr>
          <w:rStyle w:val="charCitHyperlinkAbbrev"/>
        </w:rPr>
        <w:noBreakHyphen/>
        <w:t>10</w:t>
      </w:r>
      <w:r w:rsidRPr="00D838C8">
        <w:rPr>
          <w:rStyle w:val="charCitHyperlinkAbbrev"/>
        </w:rPr>
        <w:fldChar w:fldCharType="end"/>
      </w:r>
      <w:bookmarkEnd w:id="6"/>
      <w:r w:rsidR="007659AE" w:rsidRPr="007659AE">
        <w:rPr>
          <w:rStyle w:val="charCitHyperlinkAbbrev"/>
        </w:rPr>
        <w:br/>
      </w:r>
      <w:r w:rsidR="007659AE" w:rsidRPr="007659AE">
        <w:t>(republication for expiry of transitional provision</w:t>
      </w:r>
      <w:r w:rsidR="00221DDE">
        <w:t>s</w:t>
      </w:r>
      <w:r w:rsidR="007659AE" w:rsidRPr="007659AE">
        <w:t xml:space="preserve"> (sch 1 pt 1.10))</w:t>
      </w:r>
    </w:p>
    <w:p w14:paraId="32D3F699" w14:textId="77777777" w:rsidR="00D838C8" w:rsidRDefault="00D838C8" w:rsidP="00991BFF"/>
    <w:p w14:paraId="08A82A85" w14:textId="77777777" w:rsidR="00D838C8" w:rsidRDefault="00D838C8" w:rsidP="00991BFF"/>
    <w:p w14:paraId="3673E91D" w14:textId="77777777" w:rsidR="00D838C8" w:rsidRDefault="00D838C8" w:rsidP="00991BFF"/>
    <w:p w14:paraId="17C2CB3D" w14:textId="77777777" w:rsidR="00D838C8" w:rsidRDefault="00D838C8" w:rsidP="00991BFF"/>
    <w:p w14:paraId="26FBA480" w14:textId="77777777" w:rsidR="00D838C8" w:rsidRDefault="00D838C8" w:rsidP="00991BFF">
      <w:pPr>
        <w:spacing w:after="240"/>
        <w:rPr>
          <w:rFonts w:ascii="Arial" w:hAnsi="Arial"/>
        </w:rPr>
      </w:pPr>
    </w:p>
    <w:p w14:paraId="1EE284F7" w14:textId="77777777" w:rsidR="00D838C8" w:rsidRPr="00797332" w:rsidRDefault="00D838C8" w:rsidP="00991BFF">
      <w:pPr>
        <w:pStyle w:val="PageBreak"/>
      </w:pPr>
      <w:r w:rsidRPr="00797332">
        <w:br w:type="page"/>
      </w:r>
    </w:p>
    <w:bookmarkEnd w:id="0"/>
    <w:p w14:paraId="7313AFA0" w14:textId="77777777" w:rsidR="00D838C8" w:rsidRDefault="00D838C8" w:rsidP="00991BFF">
      <w:pPr>
        <w:pStyle w:val="CoverHeading"/>
      </w:pPr>
      <w:r>
        <w:lastRenderedPageBreak/>
        <w:t>About this republication</w:t>
      </w:r>
    </w:p>
    <w:p w14:paraId="55457A4B" w14:textId="77777777" w:rsidR="00D838C8" w:rsidRDefault="00D838C8" w:rsidP="00991BFF">
      <w:pPr>
        <w:pStyle w:val="CoverSubHdg"/>
      </w:pPr>
      <w:r>
        <w:t>The republished law</w:t>
      </w:r>
    </w:p>
    <w:p w14:paraId="6571821C" w14:textId="21959E27" w:rsidR="00D838C8" w:rsidRDefault="00D838C8" w:rsidP="00991BFF">
      <w:pPr>
        <w:pStyle w:val="CoverText"/>
      </w:pPr>
      <w:r>
        <w:t xml:space="preserve">This is a republication of the </w:t>
      </w:r>
      <w:r w:rsidRPr="0007725C">
        <w:rPr>
          <w:i/>
        </w:rPr>
        <w:fldChar w:fldCharType="begin"/>
      </w:r>
      <w:r w:rsidRPr="0007725C">
        <w:rPr>
          <w:i/>
        </w:rPr>
        <w:instrText xml:space="preserve"> REF citation *\charformat  \* MERGEFORMAT </w:instrText>
      </w:r>
      <w:r w:rsidRPr="0007725C">
        <w:rPr>
          <w:i/>
        </w:rPr>
        <w:fldChar w:fldCharType="separate"/>
      </w:r>
      <w:r w:rsidR="00010EDA" w:rsidRPr="00010EDA">
        <w:rPr>
          <w:i/>
        </w:rPr>
        <w:t>Gambling and Racing Control (Code of Practice) Regulation 2002</w:t>
      </w:r>
      <w:r w:rsidRPr="0007725C">
        <w:rPr>
          <w:i/>
        </w:rPr>
        <w:fldChar w:fldCharType="end"/>
      </w:r>
      <w:r>
        <w:rPr>
          <w:iCs/>
        </w:rPr>
        <w:t>,</w:t>
      </w:r>
      <w:r>
        <w:t xml:space="preserve"> made under the </w:t>
      </w:r>
      <w:r w:rsidRPr="0007725C">
        <w:rPr>
          <w:i/>
        </w:rPr>
        <w:fldChar w:fldCharType="begin"/>
      </w:r>
      <w:r w:rsidRPr="0007725C">
        <w:rPr>
          <w:i/>
        </w:rPr>
        <w:instrText xml:space="preserve"> REF ActName \*charformat  \* MERGEFORMAT </w:instrText>
      </w:r>
      <w:r w:rsidRPr="0007725C">
        <w:rPr>
          <w:i/>
        </w:rPr>
        <w:fldChar w:fldCharType="separate"/>
      </w:r>
      <w:r w:rsidR="00010EDA" w:rsidRPr="00010EDA">
        <w:rPr>
          <w:i/>
        </w:rPr>
        <w:t>Gambling and Racing Control Act 1999</w:t>
      </w:r>
      <w:r w:rsidRPr="0007725C">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C17B8B">
        <w:fldChar w:fldCharType="begin"/>
      </w:r>
      <w:r w:rsidR="00C17B8B">
        <w:instrText xml:space="preserve"> REF InForceDate *\charformat </w:instrText>
      </w:r>
      <w:r w:rsidR="00C17B8B">
        <w:fldChar w:fldCharType="separate"/>
      </w:r>
      <w:r w:rsidR="00010EDA">
        <w:t>27 May 2021</w:t>
      </w:r>
      <w:r w:rsidR="00C17B8B">
        <w:fldChar w:fldCharType="end"/>
      </w:r>
      <w:r w:rsidRPr="003D214E">
        <w:rPr>
          <w:rStyle w:val="charItals"/>
        </w:rPr>
        <w:t xml:space="preserve">.  </w:t>
      </w:r>
      <w:r>
        <w:t xml:space="preserve">It also includes any commencement, amendment, repeal or expiry affecting this republished law to </w:t>
      </w:r>
      <w:r w:rsidR="00C17B8B">
        <w:fldChar w:fldCharType="begin"/>
      </w:r>
      <w:r w:rsidR="00C17B8B">
        <w:instrText xml:space="preserve"> REF EffectiveDate *\charformat </w:instrText>
      </w:r>
      <w:r w:rsidR="00C17B8B">
        <w:fldChar w:fldCharType="separate"/>
      </w:r>
      <w:r w:rsidR="00010EDA">
        <w:t>27 May 2021</w:t>
      </w:r>
      <w:r w:rsidR="00C17B8B">
        <w:fldChar w:fldCharType="end"/>
      </w:r>
      <w:r>
        <w:t xml:space="preserve">.  </w:t>
      </w:r>
    </w:p>
    <w:p w14:paraId="4E995778" w14:textId="77777777" w:rsidR="00D838C8" w:rsidRDefault="00D838C8" w:rsidP="00991BFF">
      <w:pPr>
        <w:pStyle w:val="CoverText"/>
      </w:pPr>
      <w:r>
        <w:t xml:space="preserve">The legislation history and amendment history of the republished law are set out in endnotes 3 and 4. </w:t>
      </w:r>
    </w:p>
    <w:p w14:paraId="6BBD74A0" w14:textId="77777777" w:rsidR="00D838C8" w:rsidRDefault="00D838C8" w:rsidP="00991BFF">
      <w:pPr>
        <w:pStyle w:val="CoverSubHdg"/>
      </w:pPr>
      <w:r>
        <w:t>Kinds of republications</w:t>
      </w:r>
    </w:p>
    <w:p w14:paraId="5E301CC1" w14:textId="03E10B59" w:rsidR="00D838C8" w:rsidRDefault="00D838C8" w:rsidP="00991BFF">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76CBF10D" w14:textId="6B7D0C41" w:rsidR="00D838C8" w:rsidRDefault="00D838C8" w:rsidP="00991BFF">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08EB70DE" w14:textId="77777777" w:rsidR="00D838C8" w:rsidRDefault="00D838C8" w:rsidP="00991BFF">
      <w:pPr>
        <w:pStyle w:val="CoverTextBullet"/>
      </w:pPr>
      <w:r>
        <w:t>unauthorised republications.</w:t>
      </w:r>
    </w:p>
    <w:p w14:paraId="4B55B2EA" w14:textId="77777777" w:rsidR="00D838C8" w:rsidRDefault="00D838C8" w:rsidP="00991BFF">
      <w:pPr>
        <w:pStyle w:val="CoverText"/>
      </w:pPr>
      <w:r>
        <w:t>The status of this republication appears on the bottom of each page.</w:t>
      </w:r>
    </w:p>
    <w:p w14:paraId="31BD92AD" w14:textId="77777777" w:rsidR="00D838C8" w:rsidRDefault="00D838C8" w:rsidP="00991BFF">
      <w:pPr>
        <w:pStyle w:val="CoverSubHdg"/>
      </w:pPr>
      <w:r>
        <w:t>Editorial changes</w:t>
      </w:r>
    </w:p>
    <w:p w14:paraId="50B0BE41" w14:textId="7899515E" w:rsidR="00D838C8" w:rsidRDefault="00D838C8" w:rsidP="00991BFF">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77FA16D" w14:textId="58967A1B" w:rsidR="00D838C8" w:rsidRDefault="00D838C8" w:rsidP="00991BFF">
      <w:pPr>
        <w:pStyle w:val="CoverText"/>
      </w:pPr>
      <w:r>
        <w:t>This republication</w:t>
      </w:r>
      <w:r w:rsidR="001D15C1">
        <w:t xml:space="preserve"> does not</w:t>
      </w:r>
      <w:r>
        <w:t xml:space="preserve"> include amendments made under part 11.3 (see endnote 1).</w:t>
      </w:r>
    </w:p>
    <w:p w14:paraId="666095F5" w14:textId="77777777" w:rsidR="00D838C8" w:rsidRDefault="00D838C8" w:rsidP="00991BFF">
      <w:pPr>
        <w:pStyle w:val="CoverSubHdg"/>
      </w:pPr>
      <w:r>
        <w:t>Uncommenced provisions and amendments</w:t>
      </w:r>
    </w:p>
    <w:p w14:paraId="2265BD29" w14:textId="2CD388F9" w:rsidR="00D838C8" w:rsidRDefault="00D838C8" w:rsidP="00991BF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3416899D" w14:textId="77777777" w:rsidR="00D838C8" w:rsidRDefault="00D838C8" w:rsidP="00991BFF">
      <w:pPr>
        <w:pStyle w:val="CoverSubHdg"/>
      </w:pPr>
      <w:r>
        <w:t>Modifications</w:t>
      </w:r>
    </w:p>
    <w:p w14:paraId="5FAA1CF5" w14:textId="4A3A7BD1" w:rsidR="00D838C8" w:rsidRDefault="00D838C8" w:rsidP="00991BF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1C25C370" w14:textId="77777777" w:rsidR="00D838C8" w:rsidRDefault="00D838C8" w:rsidP="00991BFF">
      <w:pPr>
        <w:pStyle w:val="CoverSubHdg"/>
      </w:pPr>
      <w:r>
        <w:t>Penalties</w:t>
      </w:r>
    </w:p>
    <w:p w14:paraId="6FC770C2" w14:textId="40ACE614" w:rsidR="00D838C8" w:rsidRPr="003765DF" w:rsidRDefault="00D838C8" w:rsidP="00991BFF">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5E46C05C" w14:textId="77777777" w:rsidR="007659AE" w:rsidRDefault="007659AE">
      <w:pPr>
        <w:pStyle w:val="00SigningPage"/>
        <w:sectPr w:rsidR="007659AE">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46B63DBD" w14:textId="77777777" w:rsidR="00D838C8" w:rsidRDefault="00D838C8" w:rsidP="00991BFF">
      <w:pPr>
        <w:jc w:val="center"/>
      </w:pPr>
      <w:r>
        <w:rPr>
          <w:noProof/>
          <w:lang w:eastAsia="en-AU"/>
        </w:rPr>
        <w:lastRenderedPageBreak/>
        <w:drawing>
          <wp:inline distT="0" distB="0" distL="0" distR="0" wp14:anchorId="463BD9DD" wp14:editId="0121D525">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86B4B62" w14:textId="77777777" w:rsidR="00D838C8" w:rsidRDefault="00D838C8" w:rsidP="00991BFF">
      <w:pPr>
        <w:jc w:val="center"/>
        <w:rPr>
          <w:rFonts w:ascii="Arial" w:hAnsi="Arial"/>
        </w:rPr>
      </w:pPr>
      <w:r>
        <w:rPr>
          <w:rFonts w:ascii="Arial" w:hAnsi="Arial"/>
        </w:rPr>
        <w:t>Australian Capital Territory</w:t>
      </w:r>
    </w:p>
    <w:p w14:paraId="2737D2A2" w14:textId="7CD6CD6E" w:rsidR="00D838C8" w:rsidRDefault="00C17B8B" w:rsidP="00991BFF">
      <w:pPr>
        <w:pStyle w:val="Billname"/>
      </w:pPr>
      <w:r>
        <w:fldChar w:fldCharType="begin"/>
      </w:r>
      <w:r>
        <w:instrText xml:space="preserve"> REF Citation \*charformat  \* MERGEFORMAT </w:instrText>
      </w:r>
      <w:r>
        <w:fldChar w:fldCharType="separate"/>
      </w:r>
      <w:r w:rsidR="00010EDA">
        <w:t>Gambling and Racing Control (Code of Practice) Regulation 2002</w:t>
      </w:r>
      <w:r>
        <w:fldChar w:fldCharType="end"/>
      </w:r>
    </w:p>
    <w:p w14:paraId="23985723" w14:textId="77777777" w:rsidR="00D838C8" w:rsidRDefault="00D838C8" w:rsidP="00991BFF">
      <w:pPr>
        <w:pStyle w:val="CoverInForce"/>
      </w:pPr>
      <w:r>
        <w:t>made under the</w:t>
      </w:r>
    </w:p>
    <w:p w14:paraId="26539BBB" w14:textId="1D7B6887" w:rsidR="00D838C8" w:rsidRDefault="00C17B8B" w:rsidP="00991BFF">
      <w:pPr>
        <w:pStyle w:val="CoverActName"/>
      </w:pPr>
      <w:r>
        <w:fldChar w:fldCharType="begin"/>
      </w:r>
      <w:r>
        <w:instrText xml:space="preserve"> REF ActName \*charformat </w:instrText>
      </w:r>
      <w:r>
        <w:fldChar w:fldCharType="separate"/>
      </w:r>
      <w:r w:rsidR="00010EDA" w:rsidRPr="00010EDA">
        <w:t>Gambling and Racing Control Act 1999</w:t>
      </w:r>
      <w:r>
        <w:fldChar w:fldCharType="end"/>
      </w:r>
    </w:p>
    <w:p w14:paraId="708A0961" w14:textId="77777777" w:rsidR="00D838C8" w:rsidRDefault="00D838C8" w:rsidP="00991BFF">
      <w:pPr>
        <w:pStyle w:val="Placeholder"/>
      </w:pPr>
      <w:r>
        <w:rPr>
          <w:rStyle w:val="charContents"/>
          <w:sz w:val="16"/>
        </w:rPr>
        <w:t xml:space="preserve">  </w:t>
      </w:r>
      <w:r>
        <w:rPr>
          <w:rStyle w:val="charPage"/>
        </w:rPr>
        <w:t xml:space="preserve">  </w:t>
      </w:r>
    </w:p>
    <w:p w14:paraId="7A96D422" w14:textId="77777777" w:rsidR="00D838C8" w:rsidRDefault="00D838C8" w:rsidP="00991BFF">
      <w:pPr>
        <w:pStyle w:val="N-TOCheading"/>
      </w:pPr>
      <w:r>
        <w:rPr>
          <w:rStyle w:val="charContents"/>
        </w:rPr>
        <w:t>Contents</w:t>
      </w:r>
    </w:p>
    <w:p w14:paraId="07550CF9" w14:textId="77777777" w:rsidR="00D838C8" w:rsidRDefault="00D838C8" w:rsidP="00991BFF">
      <w:pPr>
        <w:pStyle w:val="N-9pt"/>
      </w:pPr>
      <w:r>
        <w:tab/>
      </w:r>
      <w:r>
        <w:rPr>
          <w:rStyle w:val="charPage"/>
        </w:rPr>
        <w:t>Page</w:t>
      </w:r>
    </w:p>
    <w:p w14:paraId="2824BDE6" w14:textId="4F3F6CE1" w:rsidR="00221DDE" w:rsidRDefault="00221DD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2505921" w:history="1">
        <w:r w:rsidRPr="00615A7E">
          <w:t>Part 1</w:t>
        </w:r>
        <w:r>
          <w:rPr>
            <w:rFonts w:asciiTheme="minorHAnsi" w:eastAsiaTheme="minorEastAsia" w:hAnsiTheme="minorHAnsi" w:cstheme="minorBidi"/>
            <w:b w:val="0"/>
            <w:sz w:val="22"/>
            <w:szCs w:val="22"/>
            <w:lang w:eastAsia="en-AU"/>
          </w:rPr>
          <w:tab/>
        </w:r>
        <w:r w:rsidRPr="00615A7E">
          <w:t>Preliminary</w:t>
        </w:r>
        <w:r w:rsidRPr="00221DDE">
          <w:rPr>
            <w:vanish/>
          </w:rPr>
          <w:tab/>
        </w:r>
        <w:r w:rsidRPr="00221DDE">
          <w:rPr>
            <w:vanish/>
          </w:rPr>
          <w:fldChar w:fldCharType="begin"/>
        </w:r>
        <w:r w:rsidRPr="00221DDE">
          <w:rPr>
            <w:vanish/>
          </w:rPr>
          <w:instrText xml:space="preserve"> PAGEREF _Toc72505921 \h </w:instrText>
        </w:r>
        <w:r w:rsidRPr="00221DDE">
          <w:rPr>
            <w:vanish/>
          </w:rPr>
        </w:r>
        <w:r w:rsidRPr="00221DDE">
          <w:rPr>
            <w:vanish/>
          </w:rPr>
          <w:fldChar w:fldCharType="separate"/>
        </w:r>
        <w:r w:rsidR="00010EDA">
          <w:rPr>
            <w:vanish/>
          </w:rPr>
          <w:t>2</w:t>
        </w:r>
        <w:r w:rsidRPr="00221DDE">
          <w:rPr>
            <w:vanish/>
          </w:rPr>
          <w:fldChar w:fldCharType="end"/>
        </w:r>
      </w:hyperlink>
    </w:p>
    <w:p w14:paraId="2495EF4E" w14:textId="6826FFEA" w:rsidR="00221DDE" w:rsidRDefault="00221DDE">
      <w:pPr>
        <w:pStyle w:val="TOC5"/>
        <w:rPr>
          <w:rFonts w:asciiTheme="minorHAnsi" w:eastAsiaTheme="minorEastAsia" w:hAnsiTheme="minorHAnsi" w:cstheme="minorBidi"/>
          <w:sz w:val="22"/>
          <w:szCs w:val="22"/>
          <w:lang w:eastAsia="en-AU"/>
        </w:rPr>
      </w:pPr>
      <w:r>
        <w:tab/>
      </w:r>
      <w:hyperlink w:anchor="_Toc72505922" w:history="1">
        <w:r w:rsidRPr="00615A7E">
          <w:t>1</w:t>
        </w:r>
        <w:r>
          <w:rPr>
            <w:rFonts w:asciiTheme="minorHAnsi" w:eastAsiaTheme="minorEastAsia" w:hAnsiTheme="minorHAnsi" w:cstheme="minorBidi"/>
            <w:sz w:val="22"/>
            <w:szCs w:val="22"/>
            <w:lang w:eastAsia="en-AU"/>
          </w:rPr>
          <w:tab/>
        </w:r>
        <w:r w:rsidRPr="00615A7E">
          <w:t>Name of regulation</w:t>
        </w:r>
        <w:r>
          <w:tab/>
        </w:r>
        <w:r>
          <w:fldChar w:fldCharType="begin"/>
        </w:r>
        <w:r>
          <w:instrText xml:space="preserve"> PAGEREF _Toc72505922 \h </w:instrText>
        </w:r>
        <w:r>
          <w:fldChar w:fldCharType="separate"/>
        </w:r>
        <w:r w:rsidR="00010EDA">
          <w:t>2</w:t>
        </w:r>
        <w:r>
          <w:fldChar w:fldCharType="end"/>
        </w:r>
      </w:hyperlink>
    </w:p>
    <w:p w14:paraId="270A5981" w14:textId="3169E9BD" w:rsidR="00221DDE" w:rsidRDefault="00221DDE">
      <w:pPr>
        <w:pStyle w:val="TOC5"/>
        <w:rPr>
          <w:rFonts w:asciiTheme="minorHAnsi" w:eastAsiaTheme="minorEastAsia" w:hAnsiTheme="minorHAnsi" w:cstheme="minorBidi"/>
          <w:sz w:val="22"/>
          <w:szCs w:val="22"/>
          <w:lang w:eastAsia="en-AU"/>
        </w:rPr>
      </w:pPr>
      <w:r>
        <w:tab/>
      </w:r>
      <w:hyperlink w:anchor="_Toc72505923" w:history="1">
        <w:r w:rsidRPr="00615A7E">
          <w:t>3</w:t>
        </w:r>
        <w:r>
          <w:rPr>
            <w:rFonts w:asciiTheme="minorHAnsi" w:eastAsiaTheme="minorEastAsia" w:hAnsiTheme="minorHAnsi" w:cstheme="minorBidi"/>
            <w:sz w:val="22"/>
            <w:szCs w:val="22"/>
            <w:lang w:eastAsia="en-AU"/>
          </w:rPr>
          <w:tab/>
        </w:r>
        <w:r w:rsidRPr="00615A7E">
          <w:t>Dictionary</w:t>
        </w:r>
        <w:r>
          <w:tab/>
        </w:r>
        <w:r>
          <w:fldChar w:fldCharType="begin"/>
        </w:r>
        <w:r>
          <w:instrText xml:space="preserve"> PAGEREF _Toc72505923 \h </w:instrText>
        </w:r>
        <w:r>
          <w:fldChar w:fldCharType="separate"/>
        </w:r>
        <w:r w:rsidR="00010EDA">
          <w:t>2</w:t>
        </w:r>
        <w:r>
          <w:fldChar w:fldCharType="end"/>
        </w:r>
      </w:hyperlink>
    </w:p>
    <w:p w14:paraId="53187F5B" w14:textId="2834D4DF" w:rsidR="00221DDE" w:rsidRDefault="00221DDE">
      <w:pPr>
        <w:pStyle w:val="TOC5"/>
        <w:rPr>
          <w:rFonts w:asciiTheme="minorHAnsi" w:eastAsiaTheme="minorEastAsia" w:hAnsiTheme="minorHAnsi" w:cstheme="minorBidi"/>
          <w:sz w:val="22"/>
          <w:szCs w:val="22"/>
          <w:lang w:eastAsia="en-AU"/>
        </w:rPr>
      </w:pPr>
      <w:r>
        <w:tab/>
      </w:r>
      <w:hyperlink w:anchor="_Toc72505924" w:history="1">
        <w:r w:rsidRPr="00615A7E">
          <w:t>4</w:t>
        </w:r>
        <w:r>
          <w:rPr>
            <w:rFonts w:asciiTheme="minorHAnsi" w:eastAsiaTheme="minorEastAsia" w:hAnsiTheme="minorHAnsi" w:cstheme="minorBidi"/>
            <w:sz w:val="22"/>
            <w:szCs w:val="22"/>
            <w:lang w:eastAsia="en-AU"/>
          </w:rPr>
          <w:tab/>
        </w:r>
        <w:r w:rsidRPr="00615A7E">
          <w:t>Notes</w:t>
        </w:r>
        <w:r>
          <w:tab/>
        </w:r>
        <w:r>
          <w:fldChar w:fldCharType="begin"/>
        </w:r>
        <w:r>
          <w:instrText xml:space="preserve"> PAGEREF _Toc72505924 \h </w:instrText>
        </w:r>
        <w:r>
          <w:fldChar w:fldCharType="separate"/>
        </w:r>
        <w:r w:rsidR="00010EDA">
          <w:t>2</w:t>
        </w:r>
        <w:r>
          <w:fldChar w:fldCharType="end"/>
        </w:r>
      </w:hyperlink>
    </w:p>
    <w:p w14:paraId="6DDAA990" w14:textId="4576D17C" w:rsidR="00221DDE" w:rsidRDefault="00221DDE">
      <w:pPr>
        <w:pStyle w:val="TOC5"/>
        <w:rPr>
          <w:rFonts w:asciiTheme="minorHAnsi" w:eastAsiaTheme="minorEastAsia" w:hAnsiTheme="minorHAnsi" w:cstheme="minorBidi"/>
          <w:sz w:val="22"/>
          <w:szCs w:val="22"/>
          <w:lang w:eastAsia="en-AU"/>
        </w:rPr>
      </w:pPr>
      <w:r>
        <w:tab/>
      </w:r>
      <w:hyperlink w:anchor="_Toc72505925" w:history="1">
        <w:r w:rsidRPr="00615A7E">
          <w:t>5</w:t>
        </w:r>
        <w:r>
          <w:rPr>
            <w:rFonts w:asciiTheme="minorHAnsi" w:eastAsiaTheme="minorEastAsia" w:hAnsiTheme="minorHAnsi" w:cstheme="minorBidi"/>
            <w:sz w:val="22"/>
            <w:szCs w:val="22"/>
            <w:lang w:eastAsia="en-AU"/>
          </w:rPr>
          <w:tab/>
        </w:r>
        <w:r w:rsidRPr="00615A7E">
          <w:t xml:space="preserve">Meaning of </w:t>
        </w:r>
        <w:r w:rsidRPr="00615A7E">
          <w:rPr>
            <w:i/>
          </w:rPr>
          <w:t>licensee</w:t>
        </w:r>
        <w:r>
          <w:tab/>
        </w:r>
        <w:r>
          <w:fldChar w:fldCharType="begin"/>
        </w:r>
        <w:r>
          <w:instrText xml:space="preserve"> PAGEREF _Toc72505925 \h </w:instrText>
        </w:r>
        <w:r>
          <w:fldChar w:fldCharType="separate"/>
        </w:r>
        <w:r w:rsidR="00010EDA">
          <w:t>2</w:t>
        </w:r>
        <w:r>
          <w:fldChar w:fldCharType="end"/>
        </w:r>
      </w:hyperlink>
    </w:p>
    <w:p w14:paraId="78A7DB8A" w14:textId="5C345955" w:rsidR="00221DDE" w:rsidRDefault="00C17B8B">
      <w:pPr>
        <w:pStyle w:val="TOC2"/>
        <w:rPr>
          <w:rFonts w:asciiTheme="minorHAnsi" w:eastAsiaTheme="minorEastAsia" w:hAnsiTheme="minorHAnsi" w:cstheme="minorBidi"/>
          <w:b w:val="0"/>
          <w:sz w:val="22"/>
          <w:szCs w:val="22"/>
          <w:lang w:eastAsia="en-AU"/>
        </w:rPr>
      </w:pPr>
      <w:hyperlink w:anchor="_Toc72505926" w:history="1">
        <w:r w:rsidR="00221DDE" w:rsidRPr="00615A7E">
          <w:t>Part 2</w:t>
        </w:r>
        <w:r w:rsidR="00221DDE">
          <w:rPr>
            <w:rFonts w:asciiTheme="minorHAnsi" w:eastAsiaTheme="minorEastAsia" w:hAnsiTheme="minorHAnsi" w:cstheme="minorBidi"/>
            <w:b w:val="0"/>
            <w:sz w:val="22"/>
            <w:szCs w:val="22"/>
            <w:lang w:eastAsia="en-AU"/>
          </w:rPr>
          <w:tab/>
        </w:r>
        <w:r w:rsidR="00221DDE" w:rsidRPr="00615A7E">
          <w:t>Code of practice</w:t>
        </w:r>
        <w:r w:rsidR="00221DDE" w:rsidRPr="00221DDE">
          <w:rPr>
            <w:vanish/>
          </w:rPr>
          <w:tab/>
        </w:r>
        <w:r w:rsidR="00221DDE" w:rsidRPr="00221DDE">
          <w:rPr>
            <w:vanish/>
          </w:rPr>
          <w:fldChar w:fldCharType="begin"/>
        </w:r>
        <w:r w:rsidR="00221DDE" w:rsidRPr="00221DDE">
          <w:rPr>
            <w:vanish/>
          </w:rPr>
          <w:instrText xml:space="preserve"> PAGEREF _Toc72505926 \h </w:instrText>
        </w:r>
        <w:r w:rsidR="00221DDE" w:rsidRPr="00221DDE">
          <w:rPr>
            <w:vanish/>
          </w:rPr>
        </w:r>
        <w:r w:rsidR="00221DDE" w:rsidRPr="00221DDE">
          <w:rPr>
            <w:vanish/>
          </w:rPr>
          <w:fldChar w:fldCharType="separate"/>
        </w:r>
        <w:r w:rsidR="00010EDA">
          <w:rPr>
            <w:vanish/>
          </w:rPr>
          <w:t>5</w:t>
        </w:r>
        <w:r w:rsidR="00221DDE" w:rsidRPr="00221DDE">
          <w:rPr>
            <w:vanish/>
          </w:rPr>
          <w:fldChar w:fldCharType="end"/>
        </w:r>
      </w:hyperlink>
    </w:p>
    <w:p w14:paraId="5A9E426E" w14:textId="4D0F1C64" w:rsidR="00221DDE" w:rsidRDefault="00C17B8B">
      <w:pPr>
        <w:pStyle w:val="TOC3"/>
        <w:rPr>
          <w:rFonts w:asciiTheme="minorHAnsi" w:eastAsiaTheme="minorEastAsia" w:hAnsiTheme="minorHAnsi" w:cstheme="minorBidi"/>
          <w:b w:val="0"/>
          <w:sz w:val="22"/>
          <w:szCs w:val="22"/>
          <w:lang w:eastAsia="en-AU"/>
        </w:rPr>
      </w:pPr>
      <w:hyperlink w:anchor="_Toc72505927" w:history="1">
        <w:r w:rsidR="00221DDE" w:rsidRPr="00615A7E">
          <w:t>Division 2.1</w:t>
        </w:r>
        <w:r w:rsidR="00221DDE">
          <w:rPr>
            <w:rFonts w:asciiTheme="minorHAnsi" w:eastAsiaTheme="minorEastAsia" w:hAnsiTheme="minorHAnsi" w:cstheme="minorBidi"/>
            <w:b w:val="0"/>
            <w:sz w:val="22"/>
            <w:szCs w:val="22"/>
            <w:lang w:eastAsia="en-AU"/>
          </w:rPr>
          <w:tab/>
        </w:r>
        <w:r w:rsidR="00221DDE" w:rsidRPr="00615A7E">
          <w:t>General</w:t>
        </w:r>
        <w:r w:rsidR="00221DDE" w:rsidRPr="00221DDE">
          <w:rPr>
            <w:vanish/>
          </w:rPr>
          <w:tab/>
        </w:r>
        <w:r w:rsidR="00221DDE" w:rsidRPr="00221DDE">
          <w:rPr>
            <w:vanish/>
          </w:rPr>
          <w:fldChar w:fldCharType="begin"/>
        </w:r>
        <w:r w:rsidR="00221DDE" w:rsidRPr="00221DDE">
          <w:rPr>
            <w:vanish/>
          </w:rPr>
          <w:instrText xml:space="preserve"> PAGEREF _Toc72505927 \h </w:instrText>
        </w:r>
        <w:r w:rsidR="00221DDE" w:rsidRPr="00221DDE">
          <w:rPr>
            <w:vanish/>
          </w:rPr>
        </w:r>
        <w:r w:rsidR="00221DDE" w:rsidRPr="00221DDE">
          <w:rPr>
            <w:vanish/>
          </w:rPr>
          <w:fldChar w:fldCharType="separate"/>
        </w:r>
        <w:r w:rsidR="00010EDA">
          <w:rPr>
            <w:vanish/>
          </w:rPr>
          <w:t>5</w:t>
        </w:r>
        <w:r w:rsidR="00221DDE" w:rsidRPr="00221DDE">
          <w:rPr>
            <w:vanish/>
          </w:rPr>
          <w:fldChar w:fldCharType="end"/>
        </w:r>
      </w:hyperlink>
    </w:p>
    <w:p w14:paraId="04675533" w14:textId="6A9216D5" w:rsidR="00221DDE" w:rsidRDefault="00221DDE">
      <w:pPr>
        <w:pStyle w:val="TOC5"/>
        <w:rPr>
          <w:rFonts w:asciiTheme="minorHAnsi" w:eastAsiaTheme="minorEastAsia" w:hAnsiTheme="minorHAnsi" w:cstheme="minorBidi"/>
          <w:sz w:val="22"/>
          <w:szCs w:val="22"/>
          <w:lang w:eastAsia="en-AU"/>
        </w:rPr>
      </w:pPr>
      <w:r>
        <w:tab/>
      </w:r>
      <w:hyperlink w:anchor="_Toc72505928" w:history="1">
        <w:r w:rsidRPr="00615A7E">
          <w:t>6</w:t>
        </w:r>
        <w:r>
          <w:rPr>
            <w:rFonts w:asciiTheme="minorHAnsi" w:eastAsiaTheme="minorEastAsia" w:hAnsiTheme="minorHAnsi" w:cstheme="minorBidi"/>
            <w:sz w:val="22"/>
            <w:szCs w:val="22"/>
            <w:lang w:eastAsia="en-AU"/>
          </w:rPr>
          <w:tab/>
        </w:r>
        <w:r w:rsidRPr="00615A7E">
          <w:t>Code of practice</w:t>
        </w:r>
        <w:r>
          <w:tab/>
        </w:r>
        <w:r>
          <w:fldChar w:fldCharType="begin"/>
        </w:r>
        <w:r>
          <w:instrText xml:space="preserve"> PAGEREF _Toc72505928 \h </w:instrText>
        </w:r>
        <w:r>
          <w:fldChar w:fldCharType="separate"/>
        </w:r>
        <w:r w:rsidR="00010EDA">
          <w:t>5</w:t>
        </w:r>
        <w:r>
          <w:fldChar w:fldCharType="end"/>
        </w:r>
      </w:hyperlink>
    </w:p>
    <w:p w14:paraId="0B3C33D6" w14:textId="14B2F2C0" w:rsidR="00221DDE" w:rsidRDefault="00221DDE">
      <w:pPr>
        <w:pStyle w:val="TOC5"/>
        <w:rPr>
          <w:rFonts w:asciiTheme="minorHAnsi" w:eastAsiaTheme="minorEastAsia" w:hAnsiTheme="minorHAnsi" w:cstheme="minorBidi"/>
          <w:sz w:val="22"/>
          <w:szCs w:val="22"/>
          <w:lang w:eastAsia="en-AU"/>
        </w:rPr>
      </w:pPr>
      <w:r>
        <w:tab/>
      </w:r>
      <w:hyperlink w:anchor="_Toc72505929" w:history="1">
        <w:r w:rsidRPr="00615A7E">
          <w:t>7</w:t>
        </w:r>
        <w:r>
          <w:rPr>
            <w:rFonts w:asciiTheme="minorHAnsi" w:eastAsiaTheme="minorEastAsia" w:hAnsiTheme="minorHAnsi" w:cstheme="minorBidi"/>
            <w:sz w:val="22"/>
            <w:szCs w:val="22"/>
            <w:lang w:eastAsia="en-AU"/>
          </w:rPr>
          <w:tab/>
        </w:r>
        <w:r w:rsidRPr="00615A7E">
          <w:t>Offences under pt 2</w:t>
        </w:r>
        <w:r>
          <w:tab/>
        </w:r>
        <w:r>
          <w:fldChar w:fldCharType="begin"/>
        </w:r>
        <w:r>
          <w:instrText xml:space="preserve"> PAGEREF _Toc72505929 \h </w:instrText>
        </w:r>
        <w:r>
          <w:fldChar w:fldCharType="separate"/>
        </w:r>
        <w:r w:rsidR="00010EDA">
          <w:t>5</w:t>
        </w:r>
        <w:r>
          <w:fldChar w:fldCharType="end"/>
        </w:r>
      </w:hyperlink>
    </w:p>
    <w:p w14:paraId="1F9D55F6" w14:textId="1A4A3309" w:rsidR="00221DDE" w:rsidRDefault="00C17B8B">
      <w:pPr>
        <w:pStyle w:val="TOC3"/>
        <w:rPr>
          <w:rFonts w:asciiTheme="minorHAnsi" w:eastAsiaTheme="minorEastAsia" w:hAnsiTheme="minorHAnsi" w:cstheme="minorBidi"/>
          <w:b w:val="0"/>
          <w:sz w:val="22"/>
          <w:szCs w:val="22"/>
          <w:lang w:eastAsia="en-AU"/>
        </w:rPr>
      </w:pPr>
      <w:hyperlink w:anchor="_Toc72505930" w:history="1">
        <w:r w:rsidR="00221DDE" w:rsidRPr="00615A7E">
          <w:t>Division 2.2</w:t>
        </w:r>
        <w:r w:rsidR="00221DDE">
          <w:rPr>
            <w:rFonts w:asciiTheme="minorHAnsi" w:eastAsiaTheme="minorEastAsia" w:hAnsiTheme="minorHAnsi" w:cstheme="minorBidi"/>
            <w:b w:val="0"/>
            <w:sz w:val="22"/>
            <w:szCs w:val="22"/>
            <w:lang w:eastAsia="en-AU"/>
          </w:rPr>
          <w:tab/>
        </w:r>
        <w:r w:rsidR="00221DDE" w:rsidRPr="00615A7E">
          <w:t>Conduct of gambling</w:t>
        </w:r>
        <w:r w:rsidR="00221DDE" w:rsidRPr="00221DDE">
          <w:rPr>
            <w:vanish/>
          </w:rPr>
          <w:tab/>
        </w:r>
        <w:r w:rsidR="00221DDE" w:rsidRPr="00221DDE">
          <w:rPr>
            <w:vanish/>
          </w:rPr>
          <w:fldChar w:fldCharType="begin"/>
        </w:r>
        <w:r w:rsidR="00221DDE" w:rsidRPr="00221DDE">
          <w:rPr>
            <w:vanish/>
          </w:rPr>
          <w:instrText xml:space="preserve"> PAGEREF _Toc72505930 \h </w:instrText>
        </w:r>
        <w:r w:rsidR="00221DDE" w:rsidRPr="00221DDE">
          <w:rPr>
            <w:vanish/>
          </w:rPr>
        </w:r>
        <w:r w:rsidR="00221DDE" w:rsidRPr="00221DDE">
          <w:rPr>
            <w:vanish/>
          </w:rPr>
          <w:fldChar w:fldCharType="separate"/>
        </w:r>
        <w:r w:rsidR="00010EDA">
          <w:rPr>
            <w:vanish/>
          </w:rPr>
          <w:t>6</w:t>
        </w:r>
        <w:r w:rsidR="00221DDE" w:rsidRPr="00221DDE">
          <w:rPr>
            <w:vanish/>
          </w:rPr>
          <w:fldChar w:fldCharType="end"/>
        </w:r>
      </w:hyperlink>
    </w:p>
    <w:p w14:paraId="71F78133" w14:textId="52440DE2" w:rsidR="00221DDE" w:rsidRDefault="00221DDE">
      <w:pPr>
        <w:pStyle w:val="TOC5"/>
        <w:rPr>
          <w:rFonts w:asciiTheme="minorHAnsi" w:eastAsiaTheme="minorEastAsia" w:hAnsiTheme="minorHAnsi" w:cstheme="minorBidi"/>
          <w:sz w:val="22"/>
          <w:szCs w:val="22"/>
          <w:lang w:eastAsia="en-AU"/>
        </w:rPr>
      </w:pPr>
      <w:r>
        <w:tab/>
      </w:r>
      <w:hyperlink w:anchor="_Toc72505931" w:history="1">
        <w:r w:rsidRPr="00615A7E">
          <w:t>8</w:t>
        </w:r>
        <w:r>
          <w:rPr>
            <w:rFonts w:asciiTheme="minorHAnsi" w:eastAsiaTheme="minorEastAsia" w:hAnsiTheme="minorHAnsi" w:cstheme="minorBidi"/>
            <w:sz w:val="22"/>
            <w:szCs w:val="22"/>
            <w:lang w:eastAsia="en-AU"/>
          </w:rPr>
          <w:tab/>
        </w:r>
        <w:r w:rsidRPr="00615A7E">
          <w:t>Licensees obligations generally</w:t>
        </w:r>
        <w:r>
          <w:tab/>
        </w:r>
        <w:r>
          <w:fldChar w:fldCharType="begin"/>
        </w:r>
        <w:r>
          <w:instrText xml:space="preserve"> PAGEREF _Toc72505931 \h </w:instrText>
        </w:r>
        <w:r>
          <w:fldChar w:fldCharType="separate"/>
        </w:r>
        <w:r w:rsidR="00010EDA">
          <w:t>6</w:t>
        </w:r>
        <w:r>
          <w:fldChar w:fldCharType="end"/>
        </w:r>
      </w:hyperlink>
    </w:p>
    <w:p w14:paraId="3F2482A1" w14:textId="5C340B64" w:rsidR="00221DDE" w:rsidRDefault="00221DDE">
      <w:pPr>
        <w:pStyle w:val="TOC5"/>
        <w:rPr>
          <w:rFonts w:asciiTheme="minorHAnsi" w:eastAsiaTheme="minorEastAsia" w:hAnsiTheme="minorHAnsi" w:cstheme="minorBidi"/>
          <w:sz w:val="22"/>
          <w:szCs w:val="22"/>
          <w:lang w:eastAsia="en-AU"/>
        </w:rPr>
      </w:pPr>
      <w:r>
        <w:tab/>
      </w:r>
      <w:hyperlink w:anchor="_Toc72505932" w:history="1">
        <w:r w:rsidRPr="00615A7E">
          <w:t>9</w:t>
        </w:r>
        <w:r>
          <w:rPr>
            <w:rFonts w:asciiTheme="minorHAnsi" w:eastAsiaTheme="minorEastAsia" w:hAnsiTheme="minorHAnsi" w:cstheme="minorBidi"/>
            <w:sz w:val="22"/>
            <w:szCs w:val="22"/>
            <w:lang w:eastAsia="en-AU"/>
          </w:rPr>
          <w:tab/>
        </w:r>
        <w:r w:rsidRPr="00615A7E">
          <w:t>Approved training programs</w:t>
        </w:r>
        <w:r>
          <w:tab/>
        </w:r>
        <w:r>
          <w:fldChar w:fldCharType="begin"/>
        </w:r>
        <w:r>
          <w:instrText xml:space="preserve"> PAGEREF _Toc72505932 \h </w:instrText>
        </w:r>
        <w:r>
          <w:fldChar w:fldCharType="separate"/>
        </w:r>
        <w:r w:rsidR="00010EDA">
          <w:t>6</w:t>
        </w:r>
        <w:r>
          <w:fldChar w:fldCharType="end"/>
        </w:r>
      </w:hyperlink>
    </w:p>
    <w:p w14:paraId="76B43320" w14:textId="44F74B1F" w:rsidR="00221DDE" w:rsidRDefault="00C17B8B">
      <w:pPr>
        <w:pStyle w:val="TOC3"/>
        <w:rPr>
          <w:rFonts w:asciiTheme="minorHAnsi" w:eastAsiaTheme="minorEastAsia" w:hAnsiTheme="minorHAnsi" w:cstheme="minorBidi"/>
          <w:b w:val="0"/>
          <w:sz w:val="22"/>
          <w:szCs w:val="22"/>
          <w:lang w:eastAsia="en-AU"/>
        </w:rPr>
      </w:pPr>
      <w:hyperlink w:anchor="_Toc72505933" w:history="1">
        <w:r w:rsidR="00221DDE" w:rsidRPr="00615A7E">
          <w:t>Division 2.3</w:t>
        </w:r>
        <w:r w:rsidR="00221DDE">
          <w:rPr>
            <w:rFonts w:asciiTheme="minorHAnsi" w:eastAsiaTheme="minorEastAsia" w:hAnsiTheme="minorHAnsi" w:cstheme="minorBidi"/>
            <w:b w:val="0"/>
            <w:sz w:val="22"/>
            <w:szCs w:val="22"/>
            <w:lang w:eastAsia="en-AU"/>
          </w:rPr>
          <w:tab/>
        </w:r>
        <w:r w:rsidR="00221DDE" w:rsidRPr="00615A7E">
          <w:t>Problem gambling</w:t>
        </w:r>
        <w:r w:rsidR="00221DDE" w:rsidRPr="00221DDE">
          <w:rPr>
            <w:vanish/>
          </w:rPr>
          <w:tab/>
        </w:r>
        <w:r w:rsidR="00221DDE" w:rsidRPr="00221DDE">
          <w:rPr>
            <w:vanish/>
          </w:rPr>
          <w:fldChar w:fldCharType="begin"/>
        </w:r>
        <w:r w:rsidR="00221DDE" w:rsidRPr="00221DDE">
          <w:rPr>
            <w:vanish/>
          </w:rPr>
          <w:instrText xml:space="preserve"> PAGEREF _Toc72505933 \h </w:instrText>
        </w:r>
        <w:r w:rsidR="00221DDE" w:rsidRPr="00221DDE">
          <w:rPr>
            <w:vanish/>
          </w:rPr>
        </w:r>
        <w:r w:rsidR="00221DDE" w:rsidRPr="00221DDE">
          <w:rPr>
            <w:vanish/>
          </w:rPr>
          <w:fldChar w:fldCharType="separate"/>
        </w:r>
        <w:r w:rsidR="00010EDA">
          <w:rPr>
            <w:vanish/>
          </w:rPr>
          <w:t>7</w:t>
        </w:r>
        <w:r w:rsidR="00221DDE" w:rsidRPr="00221DDE">
          <w:rPr>
            <w:vanish/>
          </w:rPr>
          <w:fldChar w:fldCharType="end"/>
        </w:r>
      </w:hyperlink>
    </w:p>
    <w:p w14:paraId="7A1A4E41" w14:textId="73A3E693" w:rsidR="00221DDE" w:rsidRDefault="00221DDE">
      <w:pPr>
        <w:pStyle w:val="TOC5"/>
        <w:rPr>
          <w:rFonts w:asciiTheme="minorHAnsi" w:eastAsiaTheme="minorEastAsia" w:hAnsiTheme="minorHAnsi" w:cstheme="minorBidi"/>
          <w:sz w:val="22"/>
          <w:szCs w:val="22"/>
          <w:lang w:eastAsia="en-AU"/>
        </w:rPr>
      </w:pPr>
      <w:r>
        <w:tab/>
      </w:r>
      <w:hyperlink w:anchor="_Toc72505934" w:history="1">
        <w:r w:rsidRPr="00615A7E">
          <w:t>10</w:t>
        </w:r>
        <w:r>
          <w:rPr>
            <w:rFonts w:asciiTheme="minorHAnsi" w:eastAsiaTheme="minorEastAsia" w:hAnsiTheme="minorHAnsi" w:cstheme="minorBidi"/>
            <w:sz w:val="22"/>
            <w:szCs w:val="22"/>
            <w:lang w:eastAsia="en-AU"/>
          </w:rPr>
          <w:tab/>
        </w:r>
        <w:r w:rsidRPr="00615A7E">
          <w:t>Recording problem gambling incidents</w:t>
        </w:r>
        <w:r>
          <w:tab/>
        </w:r>
        <w:r>
          <w:fldChar w:fldCharType="begin"/>
        </w:r>
        <w:r>
          <w:instrText xml:space="preserve"> PAGEREF _Toc72505934 \h </w:instrText>
        </w:r>
        <w:r>
          <w:fldChar w:fldCharType="separate"/>
        </w:r>
        <w:r w:rsidR="00010EDA">
          <w:t>7</w:t>
        </w:r>
        <w:r>
          <w:fldChar w:fldCharType="end"/>
        </w:r>
      </w:hyperlink>
    </w:p>
    <w:p w14:paraId="5E3908BA" w14:textId="26953FF3" w:rsidR="00221DDE" w:rsidRDefault="00221DDE">
      <w:pPr>
        <w:pStyle w:val="TOC5"/>
        <w:rPr>
          <w:rFonts w:asciiTheme="minorHAnsi" w:eastAsiaTheme="minorEastAsia" w:hAnsiTheme="minorHAnsi" w:cstheme="minorBidi"/>
          <w:sz w:val="22"/>
          <w:szCs w:val="22"/>
          <w:lang w:eastAsia="en-AU"/>
        </w:rPr>
      </w:pPr>
      <w:r>
        <w:tab/>
      </w:r>
      <w:hyperlink w:anchor="_Toc72505935" w:history="1">
        <w:r w:rsidRPr="00615A7E">
          <w:t>11</w:t>
        </w:r>
        <w:r>
          <w:rPr>
            <w:rFonts w:asciiTheme="minorHAnsi" w:eastAsiaTheme="minorEastAsia" w:hAnsiTheme="minorHAnsi" w:cstheme="minorBidi"/>
            <w:sz w:val="22"/>
            <w:szCs w:val="22"/>
            <w:lang w:eastAsia="en-AU"/>
          </w:rPr>
          <w:tab/>
        </w:r>
        <w:r w:rsidRPr="00615A7E">
          <w:t>Gambling facility to have gambling contact officer</w:t>
        </w:r>
        <w:r>
          <w:tab/>
        </w:r>
        <w:r>
          <w:fldChar w:fldCharType="begin"/>
        </w:r>
        <w:r>
          <w:instrText xml:space="preserve"> PAGEREF _Toc72505935 \h </w:instrText>
        </w:r>
        <w:r>
          <w:fldChar w:fldCharType="separate"/>
        </w:r>
        <w:r w:rsidR="00010EDA">
          <w:t>8</w:t>
        </w:r>
        <w:r>
          <w:fldChar w:fldCharType="end"/>
        </w:r>
      </w:hyperlink>
    </w:p>
    <w:p w14:paraId="4D109DD0" w14:textId="4C3D3769" w:rsidR="00221DDE" w:rsidRDefault="00221DDE">
      <w:pPr>
        <w:pStyle w:val="TOC5"/>
        <w:rPr>
          <w:rFonts w:asciiTheme="minorHAnsi" w:eastAsiaTheme="minorEastAsia" w:hAnsiTheme="minorHAnsi" w:cstheme="minorBidi"/>
          <w:sz w:val="22"/>
          <w:szCs w:val="22"/>
          <w:lang w:eastAsia="en-AU"/>
        </w:rPr>
      </w:pPr>
      <w:r>
        <w:tab/>
      </w:r>
      <w:hyperlink w:anchor="_Toc72505936" w:history="1">
        <w:r w:rsidRPr="00615A7E">
          <w:t>12</w:t>
        </w:r>
        <w:r>
          <w:rPr>
            <w:rFonts w:asciiTheme="minorHAnsi" w:eastAsiaTheme="minorEastAsia" w:hAnsiTheme="minorHAnsi" w:cstheme="minorBidi"/>
            <w:sz w:val="22"/>
            <w:szCs w:val="22"/>
            <w:lang w:eastAsia="en-AU"/>
          </w:rPr>
          <w:tab/>
        </w:r>
        <w:r w:rsidRPr="00615A7E">
          <w:t>Dealing with people with gambling problem</w:t>
        </w:r>
        <w:r>
          <w:tab/>
        </w:r>
        <w:r>
          <w:fldChar w:fldCharType="begin"/>
        </w:r>
        <w:r>
          <w:instrText xml:space="preserve"> PAGEREF _Toc72505936 \h </w:instrText>
        </w:r>
        <w:r>
          <w:fldChar w:fldCharType="separate"/>
        </w:r>
        <w:r w:rsidR="00010EDA">
          <w:t>8</w:t>
        </w:r>
        <w:r>
          <w:fldChar w:fldCharType="end"/>
        </w:r>
      </w:hyperlink>
    </w:p>
    <w:p w14:paraId="11831107" w14:textId="3FFC1F9C" w:rsidR="00221DDE" w:rsidRDefault="00C17B8B">
      <w:pPr>
        <w:pStyle w:val="TOC3"/>
        <w:rPr>
          <w:rFonts w:asciiTheme="minorHAnsi" w:eastAsiaTheme="minorEastAsia" w:hAnsiTheme="minorHAnsi" w:cstheme="minorBidi"/>
          <w:b w:val="0"/>
          <w:sz w:val="22"/>
          <w:szCs w:val="22"/>
          <w:lang w:eastAsia="en-AU"/>
        </w:rPr>
      </w:pPr>
      <w:hyperlink w:anchor="_Toc72505937" w:history="1">
        <w:r w:rsidR="00221DDE" w:rsidRPr="00615A7E">
          <w:t>Division 2.4</w:t>
        </w:r>
        <w:r w:rsidR="00221DDE">
          <w:rPr>
            <w:rFonts w:asciiTheme="minorHAnsi" w:eastAsiaTheme="minorEastAsia" w:hAnsiTheme="minorHAnsi" w:cstheme="minorBidi"/>
            <w:b w:val="0"/>
            <w:sz w:val="22"/>
            <w:szCs w:val="22"/>
            <w:lang w:eastAsia="en-AU"/>
          </w:rPr>
          <w:tab/>
        </w:r>
        <w:r w:rsidR="00221DDE" w:rsidRPr="00615A7E">
          <w:t>Exclusion from gambling</w:t>
        </w:r>
        <w:r w:rsidR="00221DDE" w:rsidRPr="00221DDE">
          <w:rPr>
            <w:vanish/>
          </w:rPr>
          <w:tab/>
        </w:r>
        <w:r w:rsidR="00221DDE" w:rsidRPr="00221DDE">
          <w:rPr>
            <w:vanish/>
          </w:rPr>
          <w:fldChar w:fldCharType="begin"/>
        </w:r>
        <w:r w:rsidR="00221DDE" w:rsidRPr="00221DDE">
          <w:rPr>
            <w:vanish/>
          </w:rPr>
          <w:instrText xml:space="preserve"> PAGEREF _Toc72505937 \h </w:instrText>
        </w:r>
        <w:r w:rsidR="00221DDE" w:rsidRPr="00221DDE">
          <w:rPr>
            <w:vanish/>
          </w:rPr>
        </w:r>
        <w:r w:rsidR="00221DDE" w:rsidRPr="00221DDE">
          <w:rPr>
            <w:vanish/>
          </w:rPr>
          <w:fldChar w:fldCharType="separate"/>
        </w:r>
        <w:r w:rsidR="00010EDA">
          <w:rPr>
            <w:vanish/>
          </w:rPr>
          <w:t>9</w:t>
        </w:r>
        <w:r w:rsidR="00221DDE" w:rsidRPr="00221DDE">
          <w:rPr>
            <w:vanish/>
          </w:rPr>
          <w:fldChar w:fldCharType="end"/>
        </w:r>
      </w:hyperlink>
    </w:p>
    <w:p w14:paraId="6C30F290" w14:textId="60B8270C" w:rsidR="00221DDE" w:rsidRDefault="00221DDE">
      <w:pPr>
        <w:pStyle w:val="TOC5"/>
        <w:rPr>
          <w:rFonts w:asciiTheme="minorHAnsi" w:eastAsiaTheme="minorEastAsia" w:hAnsiTheme="minorHAnsi" w:cstheme="minorBidi"/>
          <w:sz w:val="22"/>
          <w:szCs w:val="22"/>
          <w:lang w:eastAsia="en-AU"/>
        </w:rPr>
      </w:pPr>
      <w:r>
        <w:tab/>
      </w:r>
      <w:hyperlink w:anchor="_Toc72505938" w:history="1">
        <w:r w:rsidRPr="00615A7E">
          <w:t>13</w:t>
        </w:r>
        <w:r>
          <w:rPr>
            <w:rFonts w:asciiTheme="minorHAnsi" w:eastAsiaTheme="minorEastAsia" w:hAnsiTheme="minorHAnsi" w:cstheme="minorBidi"/>
            <w:sz w:val="22"/>
            <w:szCs w:val="22"/>
            <w:lang w:eastAsia="en-AU"/>
          </w:rPr>
          <w:tab/>
        </w:r>
        <w:r w:rsidRPr="00615A7E">
          <w:t>Application of div 2.4</w:t>
        </w:r>
        <w:r>
          <w:tab/>
        </w:r>
        <w:r>
          <w:fldChar w:fldCharType="begin"/>
        </w:r>
        <w:r>
          <w:instrText xml:space="preserve"> PAGEREF _Toc72505938 \h </w:instrText>
        </w:r>
        <w:r>
          <w:fldChar w:fldCharType="separate"/>
        </w:r>
        <w:r w:rsidR="00010EDA">
          <w:t>9</w:t>
        </w:r>
        <w:r>
          <w:fldChar w:fldCharType="end"/>
        </w:r>
      </w:hyperlink>
    </w:p>
    <w:p w14:paraId="2CD660EB" w14:textId="2ED26487" w:rsidR="00221DDE" w:rsidRDefault="00221DDE">
      <w:pPr>
        <w:pStyle w:val="TOC5"/>
        <w:rPr>
          <w:rFonts w:asciiTheme="minorHAnsi" w:eastAsiaTheme="minorEastAsia" w:hAnsiTheme="minorHAnsi" w:cstheme="minorBidi"/>
          <w:sz w:val="22"/>
          <w:szCs w:val="22"/>
          <w:lang w:eastAsia="en-AU"/>
        </w:rPr>
      </w:pPr>
      <w:r>
        <w:tab/>
      </w:r>
      <w:hyperlink w:anchor="_Toc72505939" w:history="1">
        <w:r w:rsidRPr="00615A7E">
          <w:t>14</w:t>
        </w:r>
        <w:r>
          <w:rPr>
            <w:rFonts w:asciiTheme="minorHAnsi" w:eastAsiaTheme="minorEastAsia" w:hAnsiTheme="minorHAnsi" w:cstheme="minorBidi"/>
            <w:sz w:val="22"/>
            <w:szCs w:val="22"/>
            <w:lang w:eastAsia="en-AU"/>
          </w:rPr>
          <w:tab/>
        </w:r>
        <w:r w:rsidRPr="00615A7E">
          <w:t>Deeds of exclusion</w:t>
        </w:r>
        <w:r>
          <w:tab/>
        </w:r>
        <w:r>
          <w:fldChar w:fldCharType="begin"/>
        </w:r>
        <w:r>
          <w:instrText xml:space="preserve"> PAGEREF _Toc72505939 \h </w:instrText>
        </w:r>
        <w:r>
          <w:fldChar w:fldCharType="separate"/>
        </w:r>
        <w:r w:rsidR="00010EDA">
          <w:t>9</w:t>
        </w:r>
        <w:r>
          <w:fldChar w:fldCharType="end"/>
        </w:r>
      </w:hyperlink>
    </w:p>
    <w:p w14:paraId="3750F2B6" w14:textId="3C7D313C" w:rsidR="00221DDE" w:rsidRDefault="00221DDE">
      <w:pPr>
        <w:pStyle w:val="TOC5"/>
        <w:rPr>
          <w:rFonts w:asciiTheme="minorHAnsi" w:eastAsiaTheme="minorEastAsia" w:hAnsiTheme="minorHAnsi" w:cstheme="minorBidi"/>
          <w:sz w:val="22"/>
          <w:szCs w:val="22"/>
          <w:lang w:eastAsia="en-AU"/>
        </w:rPr>
      </w:pPr>
      <w:r>
        <w:tab/>
      </w:r>
      <w:hyperlink w:anchor="_Toc72505940" w:history="1">
        <w:r w:rsidRPr="00615A7E">
          <w:t>15</w:t>
        </w:r>
        <w:r>
          <w:rPr>
            <w:rFonts w:asciiTheme="minorHAnsi" w:eastAsiaTheme="minorEastAsia" w:hAnsiTheme="minorHAnsi" w:cstheme="minorBidi"/>
            <w:sz w:val="22"/>
            <w:szCs w:val="22"/>
            <w:lang w:eastAsia="en-AU"/>
          </w:rPr>
          <w:tab/>
        </w:r>
        <w:r w:rsidRPr="00615A7E">
          <w:t>Exclusion of people at risk or excluded under deed</w:t>
        </w:r>
        <w:r>
          <w:tab/>
        </w:r>
        <w:r>
          <w:fldChar w:fldCharType="begin"/>
        </w:r>
        <w:r>
          <w:instrText xml:space="preserve"> PAGEREF _Toc72505940 \h </w:instrText>
        </w:r>
        <w:r>
          <w:fldChar w:fldCharType="separate"/>
        </w:r>
        <w:r w:rsidR="00010EDA">
          <w:t>9</w:t>
        </w:r>
        <w:r>
          <w:fldChar w:fldCharType="end"/>
        </w:r>
      </w:hyperlink>
    </w:p>
    <w:p w14:paraId="377BF3B4" w14:textId="649ECF6A" w:rsidR="00221DDE" w:rsidRDefault="00221DDE">
      <w:pPr>
        <w:pStyle w:val="TOC5"/>
        <w:rPr>
          <w:rFonts w:asciiTheme="minorHAnsi" w:eastAsiaTheme="minorEastAsia" w:hAnsiTheme="minorHAnsi" w:cstheme="minorBidi"/>
          <w:sz w:val="22"/>
          <w:szCs w:val="22"/>
          <w:lang w:eastAsia="en-AU"/>
        </w:rPr>
      </w:pPr>
      <w:r>
        <w:tab/>
      </w:r>
      <w:hyperlink w:anchor="_Toc72505941" w:history="1">
        <w:r w:rsidRPr="00615A7E">
          <w:t>16</w:t>
        </w:r>
        <w:r>
          <w:rPr>
            <w:rFonts w:asciiTheme="minorHAnsi" w:eastAsiaTheme="minorEastAsia" w:hAnsiTheme="minorHAnsi" w:cstheme="minorBidi"/>
            <w:sz w:val="22"/>
            <w:szCs w:val="22"/>
            <w:lang w:eastAsia="en-AU"/>
          </w:rPr>
          <w:tab/>
        </w:r>
        <w:r w:rsidRPr="00615A7E">
          <w:t>Commission’s review of exclusion decision</w:t>
        </w:r>
        <w:r>
          <w:tab/>
        </w:r>
        <w:r>
          <w:fldChar w:fldCharType="begin"/>
        </w:r>
        <w:r>
          <w:instrText xml:space="preserve"> PAGEREF _Toc72505941 \h </w:instrText>
        </w:r>
        <w:r>
          <w:fldChar w:fldCharType="separate"/>
        </w:r>
        <w:r w:rsidR="00010EDA">
          <w:t>10</w:t>
        </w:r>
        <w:r>
          <w:fldChar w:fldCharType="end"/>
        </w:r>
      </w:hyperlink>
    </w:p>
    <w:p w14:paraId="29411416" w14:textId="255D1F89" w:rsidR="00221DDE" w:rsidRDefault="00221DDE">
      <w:pPr>
        <w:pStyle w:val="TOC5"/>
        <w:rPr>
          <w:rFonts w:asciiTheme="minorHAnsi" w:eastAsiaTheme="minorEastAsia" w:hAnsiTheme="minorHAnsi" w:cstheme="minorBidi"/>
          <w:sz w:val="22"/>
          <w:szCs w:val="22"/>
          <w:lang w:eastAsia="en-AU"/>
        </w:rPr>
      </w:pPr>
      <w:r>
        <w:tab/>
      </w:r>
      <w:hyperlink w:anchor="_Toc72505942" w:history="1">
        <w:r w:rsidRPr="00615A7E">
          <w:t>17</w:t>
        </w:r>
        <w:r>
          <w:rPr>
            <w:rFonts w:asciiTheme="minorHAnsi" w:eastAsiaTheme="minorEastAsia" w:hAnsiTheme="minorHAnsi" w:cstheme="minorBidi"/>
            <w:sz w:val="22"/>
            <w:szCs w:val="22"/>
            <w:lang w:eastAsia="en-AU"/>
          </w:rPr>
          <w:tab/>
        </w:r>
        <w:r w:rsidRPr="00615A7E">
          <w:t>Review by ACAT of commission’s decision under s 16</w:t>
        </w:r>
        <w:r>
          <w:tab/>
        </w:r>
        <w:r>
          <w:fldChar w:fldCharType="begin"/>
        </w:r>
        <w:r>
          <w:instrText xml:space="preserve"> PAGEREF _Toc72505942 \h </w:instrText>
        </w:r>
        <w:r>
          <w:fldChar w:fldCharType="separate"/>
        </w:r>
        <w:r w:rsidR="00010EDA">
          <w:t>11</w:t>
        </w:r>
        <w:r>
          <w:fldChar w:fldCharType="end"/>
        </w:r>
      </w:hyperlink>
    </w:p>
    <w:p w14:paraId="40AC65B6" w14:textId="109D41EA" w:rsidR="00221DDE" w:rsidRDefault="00221DDE">
      <w:pPr>
        <w:pStyle w:val="TOC5"/>
        <w:rPr>
          <w:rFonts w:asciiTheme="minorHAnsi" w:eastAsiaTheme="minorEastAsia" w:hAnsiTheme="minorHAnsi" w:cstheme="minorBidi"/>
          <w:sz w:val="22"/>
          <w:szCs w:val="22"/>
          <w:lang w:eastAsia="en-AU"/>
        </w:rPr>
      </w:pPr>
      <w:r>
        <w:tab/>
      </w:r>
      <w:hyperlink w:anchor="_Toc72505943" w:history="1">
        <w:r w:rsidRPr="00615A7E">
          <w:t>18</w:t>
        </w:r>
        <w:r>
          <w:rPr>
            <w:rFonts w:asciiTheme="minorHAnsi" w:eastAsiaTheme="minorEastAsia" w:hAnsiTheme="minorHAnsi" w:cstheme="minorBidi"/>
            <w:sz w:val="22"/>
            <w:szCs w:val="22"/>
            <w:lang w:eastAsia="en-AU"/>
          </w:rPr>
          <w:tab/>
        </w:r>
        <w:r w:rsidRPr="00615A7E">
          <w:t>Compliance with decision to revoke or amend</w:t>
        </w:r>
        <w:r>
          <w:tab/>
        </w:r>
        <w:r>
          <w:fldChar w:fldCharType="begin"/>
        </w:r>
        <w:r>
          <w:instrText xml:space="preserve"> PAGEREF _Toc72505943 \h </w:instrText>
        </w:r>
        <w:r>
          <w:fldChar w:fldCharType="separate"/>
        </w:r>
        <w:r w:rsidR="00010EDA">
          <w:t>11</w:t>
        </w:r>
        <w:r>
          <w:fldChar w:fldCharType="end"/>
        </w:r>
      </w:hyperlink>
    </w:p>
    <w:p w14:paraId="30C6C92A" w14:textId="1E3FD153" w:rsidR="00221DDE" w:rsidRDefault="00221DDE">
      <w:pPr>
        <w:pStyle w:val="TOC5"/>
        <w:rPr>
          <w:rFonts w:asciiTheme="minorHAnsi" w:eastAsiaTheme="minorEastAsia" w:hAnsiTheme="minorHAnsi" w:cstheme="minorBidi"/>
          <w:sz w:val="22"/>
          <w:szCs w:val="22"/>
          <w:lang w:eastAsia="en-AU"/>
        </w:rPr>
      </w:pPr>
      <w:r>
        <w:tab/>
      </w:r>
      <w:hyperlink w:anchor="_Toc72505944" w:history="1">
        <w:r w:rsidRPr="00615A7E">
          <w:t>19</w:t>
        </w:r>
        <w:r>
          <w:rPr>
            <w:rFonts w:asciiTheme="minorHAnsi" w:eastAsiaTheme="minorEastAsia" w:hAnsiTheme="minorHAnsi" w:cstheme="minorBidi"/>
            <w:sz w:val="22"/>
            <w:szCs w:val="22"/>
            <w:lang w:eastAsia="en-AU"/>
          </w:rPr>
          <w:tab/>
        </w:r>
        <w:r w:rsidRPr="00615A7E">
          <w:t>Exclusion procedures</w:t>
        </w:r>
        <w:r>
          <w:tab/>
        </w:r>
        <w:r>
          <w:fldChar w:fldCharType="begin"/>
        </w:r>
        <w:r>
          <w:instrText xml:space="preserve"> PAGEREF _Toc72505944 \h </w:instrText>
        </w:r>
        <w:r>
          <w:fldChar w:fldCharType="separate"/>
        </w:r>
        <w:r w:rsidR="00010EDA">
          <w:t>11</w:t>
        </w:r>
        <w:r>
          <w:fldChar w:fldCharType="end"/>
        </w:r>
      </w:hyperlink>
    </w:p>
    <w:p w14:paraId="55202620" w14:textId="3518D8DD" w:rsidR="00221DDE" w:rsidRDefault="00221DDE">
      <w:pPr>
        <w:pStyle w:val="TOC5"/>
        <w:rPr>
          <w:rFonts w:asciiTheme="minorHAnsi" w:eastAsiaTheme="minorEastAsia" w:hAnsiTheme="minorHAnsi" w:cstheme="minorBidi"/>
          <w:sz w:val="22"/>
          <w:szCs w:val="22"/>
          <w:lang w:eastAsia="en-AU"/>
        </w:rPr>
      </w:pPr>
      <w:r>
        <w:tab/>
      </w:r>
      <w:hyperlink w:anchor="_Toc72505945" w:history="1">
        <w:r w:rsidRPr="00615A7E">
          <w:t>20</w:t>
        </w:r>
        <w:r>
          <w:rPr>
            <w:rFonts w:asciiTheme="minorHAnsi" w:eastAsiaTheme="minorEastAsia" w:hAnsiTheme="minorHAnsi" w:cstheme="minorBidi"/>
            <w:sz w:val="22"/>
            <w:szCs w:val="22"/>
            <w:lang w:eastAsia="en-AU"/>
          </w:rPr>
          <w:tab/>
        </w:r>
        <w:r w:rsidRPr="00615A7E">
          <w:t>Exclusion register</w:t>
        </w:r>
        <w:r>
          <w:tab/>
        </w:r>
        <w:r>
          <w:fldChar w:fldCharType="begin"/>
        </w:r>
        <w:r>
          <w:instrText xml:space="preserve"> PAGEREF _Toc72505945 \h </w:instrText>
        </w:r>
        <w:r>
          <w:fldChar w:fldCharType="separate"/>
        </w:r>
        <w:r w:rsidR="00010EDA">
          <w:t>12</w:t>
        </w:r>
        <w:r>
          <w:fldChar w:fldCharType="end"/>
        </w:r>
      </w:hyperlink>
    </w:p>
    <w:p w14:paraId="4D63799C" w14:textId="6F03CF9E" w:rsidR="00221DDE" w:rsidRDefault="00221DDE">
      <w:pPr>
        <w:pStyle w:val="TOC5"/>
        <w:rPr>
          <w:rFonts w:asciiTheme="minorHAnsi" w:eastAsiaTheme="minorEastAsia" w:hAnsiTheme="minorHAnsi" w:cstheme="minorBidi"/>
          <w:sz w:val="22"/>
          <w:szCs w:val="22"/>
          <w:lang w:eastAsia="en-AU"/>
        </w:rPr>
      </w:pPr>
      <w:r>
        <w:tab/>
      </w:r>
      <w:hyperlink w:anchor="_Toc72505946" w:history="1">
        <w:r w:rsidRPr="00615A7E">
          <w:t>20A</w:t>
        </w:r>
        <w:r>
          <w:rPr>
            <w:rFonts w:asciiTheme="minorHAnsi" w:eastAsiaTheme="minorEastAsia" w:hAnsiTheme="minorHAnsi" w:cstheme="minorBidi"/>
            <w:sz w:val="22"/>
            <w:szCs w:val="22"/>
            <w:lang w:eastAsia="en-AU"/>
          </w:rPr>
          <w:tab/>
        </w:r>
        <w:r w:rsidRPr="00615A7E">
          <w:t>Exclusion register—offences</w:t>
        </w:r>
        <w:r>
          <w:tab/>
        </w:r>
        <w:r>
          <w:fldChar w:fldCharType="begin"/>
        </w:r>
        <w:r>
          <w:instrText xml:space="preserve"> PAGEREF _Toc72505946 \h </w:instrText>
        </w:r>
        <w:r>
          <w:fldChar w:fldCharType="separate"/>
        </w:r>
        <w:r w:rsidR="00010EDA">
          <w:t>13</w:t>
        </w:r>
        <w:r>
          <w:fldChar w:fldCharType="end"/>
        </w:r>
      </w:hyperlink>
    </w:p>
    <w:p w14:paraId="7C3D234B" w14:textId="30F18CA0" w:rsidR="00221DDE" w:rsidRDefault="00221DDE">
      <w:pPr>
        <w:pStyle w:val="TOC5"/>
        <w:rPr>
          <w:rFonts w:asciiTheme="minorHAnsi" w:eastAsiaTheme="minorEastAsia" w:hAnsiTheme="minorHAnsi" w:cstheme="minorBidi"/>
          <w:sz w:val="22"/>
          <w:szCs w:val="22"/>
          <w:lang w:eastAsia="en-AU"/>
        </w:rPr>
      </w:pPr>
      <w:r>
        <w:tab/>
      </w:r>
      <w:hyperlink w:anchor="_Toc72505947" w:history="1">
        <w:r w:rsidRPr="00615A7E">
          <w:t>21</w:t>
        </w:r>
        <w:r>
          <w:rPr>
            <w:rFonts w:asciiTheme="minorHAnsi" w:eastAsiaTheme="minorEastAsia" w:hAnsiTheme="minorHAnsi" w:cstheme="minorBidi"/>
            <w:sz w:val="22"/>
            <w:szCs w:val="22"/>
            <w:lang w:eastAsia="en-AU"/>
          </w:rPr>
          <w:tab/>
        </w:r>
        <w:r w:rsidRPr="00615A7E">
          <w:t>Accounts of certain excluded people</w:t>
        </w:r>
        <w:r>
          <w:tab/>
        </w:r>
        <w:r>
          <w:fldChar w:fldCharType="begin"/>
        </w:r>
        <w:r>
          <w:instrText xml:space="preserve"> PAGEREF _Toc72505947 \h </w:instrText>
        </w:r>
        <w:r>
          <w:fldChar w:fldCharType="separate"/>
        </w:r>
        <w:r w:rsidR="00010EDA">
          <w:t>15</w:t>
        </w:r>
        <w:r>
          <w:fldChar w:fldCharType="end"/>
        </w:r>
      </w:hyperlink>
    </w:p>
    <w:p w14:paraId="507FFB57" w14:textId="0BB7CFA0" w:rsidR="00221DDE" w:rsidRDefault="00221DDE">
      <w:pPr>
        <w:pStyle w:val="TOC5"/>
        <w:rPr>
          <w:rFonts w:asciiTheme="minorHAnsi" w:eastAsiaTheme="minorEastAsia" w:hAnsiTheme="minorHAnsi" w:cstheme="minorBidi"/>
          <w:sz w:val="22"/>
          <w:szCs w:val="22"/>
          <w:lang w:eastAsia="en-AU"/>
        </w:rPr>
      </w:pPr>
      <w:r>
        <w:tab/>
      </w:r>
      <w:hyperlink w:anchor="_Toc72505948" w:history="1">
        <w:r w:rsidRPr="00615A7E">
          <w:t>22</w:t>
        </w:r>
        <w:r>
          <w:rPr>
            <w:rFonts w:asciiTheme="minorHAnsi" w:eastAsiaTheme="minorEastAsia" w:hAnsiTheme="minorHAnsi" w:cstheme="minorBidi"/>
            <w:sz w:val="22"/>
            <w:szCs w:val="22"/>
            <w:lang w:eastAsia="en-AU"/>
          </w:rPr>
          <w:tab/>
        </w:r>
        <w:r w:rsidRPr="00615A7E">
          <w:t>Promotional material not to be sent to certain excluded people</w:t>
        </w:r>
        <w:r>
          <w:tab/>
        </w:r>
        <w:r>
          <w:fldChar w:fldCharType="begin"/>
        </w:r>
        <w:r>
          <w:instrText xml:space="preserve"> PAGEREF _Toc72505948 \h </w:instrText>
        </w:r>
        <w:r>
          <w:fldChar w:fldCharType="separate"/>
        </w:r>
        <w:r w:rsidR="00010EDA">
          <w:t>15</w:t>
        </w:r>
        <w:r>
          <w:fldChar w:fldCharType="end"/>
        </w:r>
      </w:hyperlink>
    </w:p>
    <w:p w14:paraId="58DA25A0" w14:textId="59E434D0" w:rsidR="00221DDE" w:rsidRDefault="00C17B8B">
      <w:pPr>
        <w:pStyle w:val="TOC3"/>
        <w:rPr>
          <w:rFonts w:asciiTheme="minorHAnsi" w:eastAsiaTheme="minorEastAsia" w:hAnsiTheme="minorHAnsi" w:cstheme="minorBidi"/>
          <w:b w:val="0"/>
          <w:sz w:val="22"/>
          <w:szCs w:val="22"/>
          <w:lang w:eastAsia="en-AU"/>
        </w:rPr>
      </w:pPr>
      <w:hyperlink w:anchor="_Toc72505949" w:history="1">
        <w:r w:rsidR="00221DDE" w:rsidRPr="00615A7E">
          <w:t>Division 2.5</w:t>
        </w:r>
        <w:r w:rsidR="00221DDE">
          <w:rPr>
            <w:rFonts w:asciiTheme="minorHAnsi" w:eastAsiaTheme="minorEastAsia" w:hAnsiTheme="minorHAnsi" w:cstheme="minorBidi"/>
            <w:b w:val="0"/>
            <w:sz w:val="22"/>
            <w:szCs w:val="22"/>
            <w:lang w:eastAsia="en-AU"/>
          </w:rPr>
          <w:tab/>
        </w:r>
        <w:r w:rsidR="00221DDE" w:rsidRPr="00615A7E">
          <w:t>Financial controls and gambling environment</w:t>
        </w:r>
        <w:r w:rsidR="00221DDE" w:rsidRPr="00221DDE">
          <w:rPr>
            <w:vanish/>
          </w:rPr>
          <w:tab/>
        </w:r>
        <w:r w:rsidR="00221DDE" w:rsidRPr="00221DDE">
          <w:rPr>
            <w:vanish/>
          </w:rPr>
          <w:fldChar w:fldCharType="begin"/>
        </w:r>
        <w:r w:rsidR="00221DDE" w:rsidRPr="00221DDE">
          <w:rPr>
            <w:vanish/>
          </w:rPr>
          <w:instrText xml:space="preserve"> PAGEREF _Toc72505949 \h </w:instrText>
        </w:r>
        <w:r w:rsidR="00221DDE" w:rsidRPr="00221DDE">
          <w:rPr>
            <w:vanish/>
          </w:rPr>
        </w:r>
        <w:r w:rsidR="00221DDE" w:rsidRPr="00221DDE">
          <w:rPr>
            <w:vanish/>
          </w:rPr>
          <w:fldChar w:fldCharType="separate"/>
        </w:r>
        <w:r w:rsidR="00010EDA">
          <w:rPr>
            <w:vanish/>
          </w:rPr>
          <w:t>15</w:t>
        </w:r>
        <w:r w:rsidR="00221DDE" w:rsidRPr="00221DDE">
          <w:rPr>
            <w:vanish/>
          </w:rPr>
          <w:fldChar w:fldCharType="end"/>
        </w:r>
      </w:hyperlink>
    </w:p>
    <w:p w14:paraId="43E24FFB" w14:textId="00783DC9" w:rsidR="00221DDE" w:rsidRDefault="00221DDE">
      <w:pPr>
        <w:pStyle w:val="TOC5"/>
        <w:rPr>
          <w:rFonts w:asciiTheme="minorHAnsi" w:eastAsiaTheme="minorEastAsia" w:hAnsiTheme="minorHAnsi" w:cstheme="minorBidi"/>
          <w:sz w:val="22"/>
          <w:szCs w:val="22"/>
          <w:lang w:eastAsia="en-AU"/>
        </w:rPr>
      </w:pPr>
      <w:r>
        <w:tab/>
      </w:r>
      <w:hyperlink w:anchor="_Toc72505950" w:history="1">
        <w:r w:rsidRPr="00615A7E">
          <w:t>23</w:t>
        </w:r>
        <w:r>
          <w:rPr>
            <w:rFonts w:asciiTheme="minorHAnsi" w:eastAsiaTheme="minorEastAsia" w:hAnsiTheme="minorHAnsi" w:cstheme="minorBidi"/>
            <w:sz w:val="22"/>
            <w:szCs w:val="22"/>
            <w:lang w:eastAsia="en-AU"/>
          </w:rPr>
          <w:tab/>
        </w:r>
        <w:r w:rsidRPr="00615A7E">
          <w:t>Other cash payment limits</w:t>
        </w:r>
        <w:r>
          <w:tab/>
        </w:r>
        <w:r>
          <w:fldChar w:fldCharType="begin"/>
        </w:r>
        <w:r>
          <w:instrText xml:space="preserve"> PAGEREF _Toc72505950 \h </w:instrText>
        </w:r>
        <w:r>
          <w:fldChar w:fldCharType="separate"/>
        </w:r>
        <w:r w:rsidR="00010EDA">
          <w:t>15</w:t>
        </w:r>
        <w:r>
          <w:fldChar w:fldCharType="end"/>
        </w:r>
      </w:hyperlink>
    </w:p>
    <w:p w14:paraId="5C231664" w14:textId="2BF1E134" w:rsidR="00221DDE" w:rsidRDefault="00221DDE">
      <w:pPr>
        <w:pStyle w:val="TOC5"/>
        <w:rPr>
          <w:rFonts w:asciiTheme="minorHAnsi" w:eastAsiaTheme="minorEastAsia" w:hAnsiTheme="minorHAnsi" w:cstheme="minorBidi"/>
          <w:sz w:val="22"/>
          <w:szCs w:val="22"/>
          <w:lang w:eastAsia="en-AU"/>
        </w:rPr>
      </w:pPr>
      <w:r>
        <w:tab/>
      </w:r>
      <w:hyperlink w:anchor="_Toc72505951" w:history="1">
        <w:r w:rsidRPr="00615A7E">
          <w:t>24</w:t>
        </w:r>
        <w:r>
          <w:rPr>
            <w:rFonts w:asciiTheme="minorHAnsi" w:eastAsiaTheme="minorEastAsia" w:hAnsiTheme="minorHAnsi" w:cstheme="minorBidi"/>
            <w:sz w:val="22"/>
            <w:szCs w:val="22"/>
            <w:lang w:eastAsia="en-AU"/>
          </w:rPr>
          <w:tab/>
        </w:r>
        <w:r w:rsidRPr="00615A7E">
          <w:t>Directions about information, clocks and lighting</w:t>
        </w:r>
        <w:r>
          <w:tab/>
        </w:r>
        <w:r>
          <w:fldChar w:fldCharType="begin"/>
        </w:r>
        <w:r>
          <w:instrText xml:space="preserve"> PAGEREF _Toc72505951 \h </w:instrText>
        </w:r>
        <w:r>
          <w:fldChar w:fldCharType="separate"/>
        </w:r>
        <w:r w:rsidR="00010EDA">
          <w:t>16</w:t>
        </w:r>
        <w:r>
          <w:fldChar w:fldCharType="end"/>
        </w:r>
      </w:hyperlink>
    </w:p>
    <w:p w14:paraId="491EDBBC" w14:textId="78C5D0E7" w:rsidR="00221DDE" w:rsidRDefault="00C17B8B">
      <w:pPr>
        <w:pStyle w:val="TOC3"/>
        <w:rPr>
          <w:rFonts w:asciiTheme="minorHAnsi" w:eastAsiaTheme="minorEastAsia" w:hAnsiTheme="minorHAnsi" w:cstheme="minorBidi"/>
          <w:b w:val="0"/>
          <w:sz w:val="22"/>
          <w:szCs w:val="22"/>
          <w:lang w:eastAsia="en-AU"/>
        </w:rPr>
      </w:pPr>
      <w:hyperlink w:anchor="_Toc72505952" w:history="1">
        <w:r w:rsidR="00221DDE" w:rsidRPr="00615A7E">
          <w:t>Division 2.6</w:t>
        </w:r>
        <w:r w:rsidR="00221DDE">
          <w:rPr>
            <w:rFonts w:asciiTheme="minorHAnsi" w:eastAsiaTheme="minorEastAsia" w:hAnsiTheme="minorHAnsi" w:cstheme="minorBidi"/>
            <w:b w:val="0"/>
            <w:sz w:val="22"/>
            <w:szCs w:val="22"/>
            <w:lang w:eastAsia="en-AU"/>
          </w:rPr>
          <w:tab/>
        </w:r>
        <w:r w:rsidR="00221DDE" w:rsidRPr="00615A7E">
          <w:t>Advertising, promotions and inducements</w:t>
        </w:r>
        <w:r w:rsidR="00221DDE" w:rsidRPr="00221DDE">
          <w:rPr>
            <w:vanish/>
          </w:rPr>
          <w:tab/>
        </w:r>
        <w:r w:rsidR="00221DDE" w:rsidRPr="00221DDE">
          <w:rPr>
            <w:vanish/>
          </w:rPr>
          <w:fldChar w:fldCharType="begin"/>
        </w:r>
        <w:r w:rsidR="00221DDE" w:rsidRPr="00221DDE">
          <w:rPr>
            <w:vanish/>
          </w:rPr>
          <w:instrText xml:space="preserve"> PAGEREF _Toc72505952 \h </w:instrText>
        </w:r>
        <w:r w:rsidR="00221DDE" w:rsidRPr="00221DDE">
          <w:rPr>
            <w:vanish/>
          </w:rPr>
        </w:r>
        <w:r w:rsidR="00221DDE" w:rsidRPr="00221DDE">
          <w:rPr>
            <w:vanish/>
          </w:rPr>
          <w:fldChar w:fldCharType="separate"/>
        </w:r>
        <w:r w:rsidR="00010EDA">
          <w:rPr>
            <w:vanish/>
          </w:rPr>
          <w:t>16</w:t>
        </w:r>
        <w:r w:rsidR="00221DDE" w:rsidRPr="00221DDE">
          <w:rPr>
            <w:vanish/>
          </w:rPr>
          <w:fldChar w:fldCharType="end"/>
        </w:r>
      </w:hyperlink>
    </w:p>
    <w:p w14:paraId="3FE09A3B" w14:textId="178BE7E4" w:rsidR="00221DDE" w:rsidRDefault="00221DDE">
      <w:pPr>
        <w:pStyle w:val="TOC5"/>
        <w:rPr>
          <w:rFonts w:asciiTheme="minorHAnsi" w:eastAsiaTheme="minorEastAsia" w:hAnsiTheme="minorHAnsi" w:cstheme="minorBidi"/>
          <w:sz w:val="22"/>
          <w:szCs w:val="22"/>
          <w:lang w:eastAsia="en-AU"/>
        </w:rPr>
      </w:pPr>
      <w:r>
        <w:tab/>
      </w:r>
      <w:hyperlink w:anchor="_Toc72505953" w:history="1">
        <w:r w:rsidRPr="00615A7E">
          <w:t>25</w:t>
        </w:r>
        <w:r>
          <w:rPr>
            <w:rFonts w:asciiTheme="minorHAnsi" w:eastAsiaTheme="minorEastAsia" w:hAnsiTheme="minorHAnsi" w:cstheme="minorBidi"/>
            <w:sz w:val="22"/>
            <w:szCs w:val="22"/>
            <w:lang w:eastAsia="en-AU"/>
          </w:rPr>
          <w:tab/>
        </w:r>
        <w:r w:rsidRPr="00615A7E">
          <w:t>Directions about advertising, promotions and inducements</w:t>
        </w:r>
        <w:r>
          <w:tab/>
        </w:r>
        <w:r>
          <w:fldChar w:fldCharType="begin"/>
        </w:r>
        <w:r>
          <w:instrText xml:space="preserve"> PAGEREF _Toc72505953 \h </w:instrText>
        </w:r>
        <w:r>
          <w:fldChar w:fldCharType="separate"/>
        </w:r>
        <w:r w:rsidR="00010EDA">
          <w:t>16</w:t>
        </w:r>
        <w:r>
          <w:fldChar w:fldCharType="end"/>
        </w:r>
      </w:hyperlink>
    </w:p>
    <w:p w14:paraId="2689A898" w14:textId="354E9527" w:rsidR="00221DDE" w:rsidRDefault="00C17B8B">
      <w:pPr>
        <w:pStyle w:val="TOC2"/>
        <w:rPr>
          <w:rFonts w:asciiTheme="minorHAnsi" w:eastAsiaTheme="minorEastAsia" w:hAnsiTheme="minorHAnsi" w:cstheme="minorBidi"/>
          <w:b w:val="0"/>
          <w:sz w:val="22"/>
          <w:szCs w:val="22"/>
          <w:lang w:eastAsia="en-AU"/>
        </w:rPr>
      </w:pPr>
      <w:hyperlink w:anchor="_Toc72505954" w:history="1">
        <w:r w:rsidR="00221DDE" w:rsidRPr="00615A7E">
          <w:t>Part 3</w:t>
        </w:r>
        <w:r w:rsidR="00221DDE">
          <w:rPr>
            <w:rFonts w:asciiTheme="minorHAnsi" w:eastAsiaTheme="minorEastAsia" w:hAnsiTheme="minorHAnsi" w:cstheme="minorBidi"/>
            <w:b w:val="0"/>
            <w:sz w:val="22"/>
            <w:szCs w:val="22"/>
            <w:lang w:eastAsia="en-AU"/>
          </w:rPr>
          <w:tab/>
        </w:r>
        <w:r w:rsidR="00221DDE" w:rsidRPr="00615A7E">
          <w:t>Miscellaneous</w:t>
        </w:r>
        <w:r w:rsidR="00221DDE" w:rsidRPr="00221DDE">
          <w:rPr>
            <w:vanish/>
          </w:rPr>
          <w:tab/>
        </w:r>
        <w:r w:rsidR="00221DDE" w:rsidRPr="00221DDE">
          <w:rPr>
            <w:vanish/>
          </w:rPr>
          <w:fldChar w:fldCharType="begin"/>
        </w:r>
        <w:r w:rsidR="00221DDE" w:rsidRPr="00221DDE">
          <w:rPr>
            <w:vanish/>
          </w:rPr>
          <w:instrText xml:space="preserve"> PAGEREF _Toc72505954 \h </w:instrText>
        </w:r>
        <w:r w:rsidR="00221DDE" w:rsidRPr="00221DDE">
          <w:rPr>
            <w:vanish/>
          </w:rPr>
        </w:r>
        <w:r w:rsidR="00221DDE" w:rsidRPr="00221DDE">
          <w:rPr>
            <w:vanish/>
          </w:rPr>
          <w:fldChar w:fldCharType="separate"/>
        </w:r>
        <w:r w:rsidR="00010EDA">
          <w:rPr>
            <w:vanish/>
          </w:rPr>
          <w:t>17</w:t>
        </w:r>
        <w:r w:rsidR="00221DDE" w:rsidRPr="00221DDE">
          <w:rPr>
            <w:vanish/>
          </w:rPr>
          <w:fldChar w:fldCharType="end"/>
        </w:r>
      </w:hyperlink>
    </w:p>
    <w:p w14:paraId="0A159CEC" w14:textId="1FB0C28F" w:rsidR="00221DDE" w:rsidRDefault="00221DDE">
      <w:pPr>
        <w:pStyle w:val="TOC5"/>
        <w:rPr>
          <w:rFonts w:asciiTheme="minorHAnsi" w:eastAsiaTheme="minorEastAsia" w:hAnsiTheme="minorHAnsi" w:cstheme="minorBidi"/>
          <w:sz w:val="22"/>
          <w:szCs w:val="22"/>
          <w:lang w:eastAsia="en-AU"/>
        </w:rPr>
      </w:pPr>
      <w:r>
        <w:tab/>
      </w:r>
      <w:hyperlink w:anchor="_Toc72505955" w:history="1">
        <w:r w:rsidRPr="00615A7E">
          <w:t>26</w:t>
        </w:r>
        <w:r>
          <w:rPr>
            <w:rFonts w:asciiTheme="minorHAnsi" w:eastAsiaTheme="minorEastAsia" w:hAnsiTheme="minorHAnsi" w:cstheme="minorBidi"/>
            <w:sz w:val="22"/>
            <w:szCs w:val="22"/>
            <w:lang w:eastAsia="en-AU"/>
          </w:rPr>
          <w:tab/>
        </w:r>
        <w:r w:rsidRPr="00615A7E">
          <w:t>Reasonable excuse available as defence</w:t>
        </w:r>
        <w:r>
          <w:tab/>
        </w:r>
        <w:r>
          <w:fldChar w:fldCharType="begin"/>
        </w:r>
        <w:r>
          <w:instrText xml:space="preserve"> PAGEREF _Toc72505955 \h </w:instrText>
        </w:r>
        <w:r>
          <w:fldChar w:fldCharType="separate"/>
        </w:r>
        <w:r w:rsidR="00010EDA">
          <w:t>17</w:t>
        </w:r>
        <w:r>
          <w:fldChar w:fldCharType="end"/>
        </w:r>
      </w:hyperlink>
    </w:p>
    <w:p w14:paraId="7A31CB12" w14:textId="6FA73CF6" w:rsidR="00221DDE" w:rsidRDefault="00C17B8B">
      <w:pPr>
        <w:pStyle w:val="TOC6"/>
        <w:rPr>
          <w:rFonts w:asciiTheme="minorHAnsi" w:eastAsiaTheme="minorEastAsia" w:hAnsiTheme="minorHAnsi" w:cstheme="minorBidi"/>
          <w:b w:val="0"/>
          <w:sz w:val="22"/>
          <w:szCs w:val="22"/>
          <w:lang w:eastAsia="en-AU"/>
        </w:rPr>
      </w:pPr>
      <w:hyperlink w:anchor="_Toc72505956" w:history="1">
        <w:r w:rsidR="00221DDE" w:rsidRPr="00615A7E">
          <w:t>Schedule 1</w:t>
        </w:r>
        <w:r w:rsidR="00221DDE">
          <w:rPr>
            <w:rFonts w:asciiTheme="minorHAnsi" w:eastAsiaTheme="minorEastAsia" w:hAnsiTheme="minorHAnsi" w:cstheme="minorBidi"/>
            <w:b w:val="0"/>
            <w:sz w:val="22"/>
            <w:szCs w:val="22"/>
            <w:lang w:eastAsia="en-AU"/>
          </w:rPr>
          <w:tab/>
        </w:r>
        <w:r w:rsidR="00221DDE" w:rsidRPr="00615A7E">
          <w:t>Code of practice</w:t>
        </w:r>
        <w:r w:rsidR="00221DDE">
          <w:tab/>
        </w:r>
        <w:r w:rsidR="00221DDE" w:rsidRPr="00221DDE">
          <w:rPr>
            <w:b w:val="0"/>
            <w:sz w:val="20"/>
          </w:rPr>
          <w:fldChar w:fldCharType="begin"/>
        </w:r>
        <w:r w:rsidR="00221DDE" w:rsidRPr="00221DDE">
          <w:rPr>
            <w:b w:val="0"/>
            <w:sz w:val="20"/>
          </w:rPr>
          <w:instrText xml:space="preserve"> PAGEREF _Toc72505956 \h </w:instrText>
        </w:r>
        <w:r w:rsidR="00221DDE" w:rsidRPr="00221DDE">
          <w:rPr>
            <w:b w:val="0"/>
            <w:sz w:val="20"/>
          </w:rPr>
        </w:r>
        <w:r w:rsidR="00221DDE" w:rsidRPr="00221DDE">
          <w:rPr>
            <w:b w:val="0"/>
            <w:sz w:val="20"/>
          </w:rPr>
          <w:fldChar w:fldCharType="separate"/>
        </w:r>
        <w:r w:rsidR="00010EDA">
          <w:rPr>
            <w:b w:val="0"/>
            <w:sz w:val="20"/>
          </w:rPr>
          <w:t>18</w:t>
        </w:r>
        <w:r w:rsidR="00221DDE" w:rsidRPr="00221DDE">
          <w:rPr>
            <w:b w:val="0"/>
            <w:sz w:val="20"/>
          </w:rPr>
          <w:fldChar w:fldCharType="end"/>
        </w:r>
      </w:hyperlink>
    </w:p>
    <w:p w14:paraId="63485A5D" w14:textId="3163B605" w:rsidR="00221DDE" w:rsidRDefault="00C17B8B">
      <w:pPr>
        <w:pStyle w:val="TOC7"/>
        <w:rPr>
          <w:rFonts w:asciiTheme="minorHAnsi" w:eastAsiaTheme="minorEastAsia" w:hAnsiTheme="minorHAnsi" w:cstheme="minorBidi"/>
          <w:b w:val="0"/>
          <w:sz w:val="22"/>
          <w:szCs w:val="22"/>
          <w:lang w:eastAsia="en-AU"/>
        </w:rPr>
      </w:pPr>
      <w:hyperlink w:anchor="_Toc72505957" w:history="1">
        <w:r w:rsidR="00221DDE" w:rsidRPr="00615A7E">
          <w:t>Part 1.1</w:t>
        </w:r>
        <w:r w:rsidR="00221DDE">
          <w:rPr>
            <w:rFonts w:asciiTheme="minorHAnsi" w:eastAsiaTheme="minorEastAsia" w:hAnsiTheme="minorHAnsi" w:cstheme="minorBidi"/>
            <w:b w:val="0"/>
            <w:sz w:val="22"/>
            <w:szCs w:val="22"/>
            <w:lang w:eastAsia="en-AU"/>
          </w:rPr>
          <w:tab/>
        </w:r>
        <w:r w:rsidR="00221DDE" w:rsidRPr="00615A7E">
          <w:t>Key concepts</w:t>
        </w:r>
        <w:r w:rsidR="00221DDE">
          <w:tab/>
        </w:r>
        <w:r w:rsidR="00221DDE" w:rsidRPr="00221DDE">
          <w:rPr>
            <w:b w:val="0"/>
          </w:rPr>
          <w:fldChar w:fldCharType="begin"/>
        </w:r>
        <w:r w:rsidR="00221DDE" w:rsidRPr="00221DDE">
          <w:rPr>
            <w:b w:val="0"/>
          </w:rPr>
          <w:instrText xml:space="preserve"> PAGEREF _Toc72505957 \h </w:instrText>
        </w:r>
        <w:r w:rsidR="00221DDE" w:rsidRPr="00221DDE">
          <w:rPr>
            <w:b w:val="0"/>
          </w:rPr>
        </w:r>
        <w:r w:rsidR="00221DDE" w:rsidRPr="00221DDE">
          <w:rPr>
            <w:b w:val="0"/>
          </w:rPr>
          <w:fldChar w:fldCharType="separate"/>
        </w:r>
        <w:r w:rsidR="00010EDA">
          <w:rPr>
            <w:b w:val="0"/>
          </w:rPr>
          <w:t>18</w:t>
        </w:r>
        <w:r w:rsidR="00221DDE" w:rsidRPr="00221DDE">
          <w:rPr>
            <w:b w:val="0"/>
          </w:rPr>
          <w:fldChar w:fldCharType="end"/>
        </w:r>
      </w:hyperlink>
    </w:p>
    <w:p w14:paraId="69BF801E" w14:textId="1C756BD5" w:rsidR="00221DDE" w:rsidRDefault="00221DDE">
      <w:pPr>
        <w:pStyle w:val="TOC5"/>
        <w:rPr>
          <w:rFonts w:asciiTheme="minorHAnsi" w:eastAsiaTheme="minorEastAsia" w:hAnsiTheme="minorHAnsi" w:cstheme="minorBidi"/>
          <w:sz w:val="22"/>
          <w:szCs w:val="22"/>
          <w:lang w:eastAsia="en-AU"/>
        </w:rPr>
      </w:pPr>
      <w:r>
        <w:tab/>
      </w:r>
      <w:hyperlink w:anchor="_Toc72505958" w:history="1">
        <w:r w:rsidRPr="00615A7E">
          <w:t>1.1</w:t>
        </w:r>
        <w:r>
          <w:rPr>
            <w:rFonts w:asciiTheme="minorHAnsi" w:eastAsiaTheme="minorEastAsia" w:hAnsiTheme="minorHAnsi" w:cstheme="minorBidi"/>
            <w:sz w:val="22"/>
            <w:szCs w:val="22"/>
            <w:lang w:eastAsia="en-AU"/>
          </w:rPr>
          <w:tab/>
        </w:r>
        <w:r w:rsidRPr="00615A7E">
          <w:t xml:space="preserve">Meaning of </w:t>
        </w:r>
        <w:r w:rsidRPr="00615A7E">
          <w:rPr>
            <w:i/>
          </w:rPr>
          <w:t>licensee</w:t>
        </w:r>
        <w:r>
          <w:tab/>
        </w:r>
        <w:r>
          <w:fldChar w:fldCharType="begin"/>
        </w:r>
        <w:r>
          <w:instrText xml:space="preserve"> PAGEREF _Toc72505958 \h </w:instrText>
        </w:r>
        <w:r>
          <w:fldChar w:fldCharType="separate"/>
        </w:r>
        <w:r w:rsidR="00010EDA">
          <w:t>18</w:t>
        </w:r>
        <w:r>
          <w:fldChar w:fldCharType="end"/>
        </w:r>
      </w:hyperlink>
    </w:p>
    <w:p w14:paraId="72A2F309" w14:textId="1EF12406" w:rsidR="00221DDE" w:rsidRDefault="00221DDE">
      <w:pPr>
        <w:pStyle w:val="TOC5"/>
        <w:rPr>
          <w:rFonts w:asciiTheme="minorHAnsi" w:eastAsiaTheme="minorEastAsia" w:hAnsiTheme="minorHAnsi" w:cstheme="minorBidi"/>
          <w:sz w:val="22"/>
          <w:szCs w:val="22"/>
          <w:lang w:eastAsia="en-AU"/>
        </w:rPr>
      </w:pPr>
      <w:r>
        <w:tab/>
      </w:r>
      <w:hyperlink w:anchor="_Toc72505959" w:history="1">
        <w:r w:rsidRPr="00615A7E">
          <w:t>1.2</w:t>
        </w:r>
        <w:r>
          <w:rPr>
            <w:rFonts w:asciiTheme="minorHAnsi" w:eastAsiaTheme="minorEastAsia" w:hAnsiTheme="minorHAnsi" w:cstheme="minorBidi"/>
            <w:sz w:val="22"/>
            <w:szCs w:val="22"/>
            <w:lang w:eastAsia="en-AU"/>
          </w:rPr>
          <w:tab/>
        </w:r>
        <w:r w:rsidRPr="00615A7E">
          <w:t xml:space="preserve">Meaning of </w:t>
        </w:r>
        <w:r w:rsidRPr="00615A7E">
          <w:rPr>
            <w:i/>
          </w:rPr>
          <w:t>gambling problem</w:t>
        </w:r>
        <w:r>
          <w:tab/>
        </w:r>
        <w:r>
          <w:fldChar w:fldCharType="begin"/>
        </w:r>
        <w:r>
          <w:instrText xml:space="preserve"> PAGEREF _Toc72505959 \h </w:instrText>
        </w:r>
        <w:r>
          <w:fldChar w:fldCharType="separate"/>
        </w:r>
        <w:r w:rsidR="00010EDA">
          <w:t>19</w:t>
        </w:r>
        <w:r>
          <w:fldChar w:fldCharType="end"/>
        </w:r>
      </w:hyperlink>
    </w:p>
    <w:p w14:paraId="70528EF0" w14:textId="69B21E92" w:rsidR="00221DDE" w:rsidRDefault="00C17B8B">
      <w:pPr>
        <w:pStyle w:val="TOC7"/>
        <w:rPr>
          <w:rFonts w:asciiTheme="minorHAnsi" w:eastAsiaTheme="minorEastAsia" w:hAnsiTheme="minorHAnsi" w:cstheme="minorBidi"/>
          <w:b w:val="0"/>
          <w:sz w:val="22"/>
          <w:szCs w:val="22"/>
          <w:lang w:eastAsia="en-AU"/>
        </w:rPr>
      </w:pPr>
      <w:hyperlink w:anchor="_Toc72505960" w:history="1">
        <w:r w:rsidR="00221DDE" w:rsidRPr="00615A7E">
          <w:t>Part 1.2</w:t>
        </w:r>
        <w:r w:rsidR="00221DDE">
          <w:rPr>
            <w:rFonts w:asciiTheme="minorHAnsi" w:eastAsiaTheme="minorEastAsia" w:hAnsiTheme="minorHAnsi" w:cstheme="minorBidi"/>
            <w:b w:val="0"/>
            <w:sz w:val="22"/>
            <w:szCs w:val="22"/>
            <w:lang w:eastAsia="en-AU"/>
          </w:rPr>
          <w:tab/>
        </w:r>
        <w:r w:rsidR="00221DDE" w:rsidRPr="00615A7E">
          <w:t>Conduct of gambling</w:t>
        </w:r>
        <w:r w:rsidR="00221DDE">
          <w:tab/>
        </w:r>
        <w:r w:rsidR="00221DDE" w:rsidRPr="00221DDE">
          <w:rPr>
            <w:b w:val="0"/>
          </w:rPr>
          <w:fldChar w:fldCharType="begin"/>
        </w:r>
        <w:r w:rsidR="00221DDE" w:rsidRPr="00221DDE">
          <w:rPr>
            <w:b w:val="0"/>
          </w:rPr>
          <w:instrText xml:space="preserve"> PAGEREF _Toc72505960 \h </w:instrText>
        </w:r>
        <w:r w:rsidR="00221DDE" w:rsidRPr="00221DDE">
          <w:rPr>
            <w:b w:val="0"/>
          </w:rPr>
        </w:r>
        <w:r w:rsidR="00221DDE" w:rsidRPr="00221DDE">
          <w:rPr>
            <w:b w:val="0"/>
          </w:rPr>
          <w:fldChar w:fldCharType="separate"/>
        </w:r>
        <w:r w:rsidR="00010EDA">
          <w:rPr>
            <w:b w:val="0"/>
          </w:rPr>
          <w:t>20</w:t>
        </w:r>
        <w:r w:rsidR="00221DDE" w:rsidRPr="00221DDE">
          <w:rPr>
            <w:b w:val="0"/>
          </w:rPr>
          <w:fldChar w:fldCharType="end"/>
        </w:r>
      </w:hyperlink>
    </w:p>
    <w:p w14:paraId="2A4271F8" w14:textId="3567417C" w:rsidR="00221DDE" w:rsidRDefault="00C17B8B">
      <w:pPr>
        <w:pStyle w:val="TOC8"/>
        <w:rPr>
          <w:rFonts w:asciiTheme="minorHAnsi" w:eastAsiaTheme="minorEastAsia" w:hAnsiTheme="minorHAnsi" w:cstheme="minorBidi"/>
          <w:b w:val="0"/>
          <w:sz w:val="22"/>
          <w:szCs w:val="22"/>
          <w:lang w:eastAsia="en-AU"/>
        </w:rPr>
      </w:pPr>
      <w:hyperlink w:anchor="_Toc72505961" w:history="1">
        <w:r w:rsidR="00221DDE" w:rsidRPr="00615A7E">
          <w:t>Division 1.2.1</w:t>
        </w:r>
        <w:r w:rsidR="00221DDE">
          <w:rPr>
            <w:rFonts w:asciiTheme="minorHAnsi" w:eastAsiaTheme="minorEastAsia" w:hAnsiTheme="minorHAnsi" w:cstheme="minorBidi"/>
            <w:b w:val="0"/>
            <w:sz w:val="22"/>
            <w:szCs w:val="22"/>
            <w:lang w:eastAsia="en-AU"/>
          </w:rPr>
          <w:tab/>
        </w:r>
        <w:r w:rsidR="00221DDE" w:rsidRPr="00615A7E">
          <w:t>General</w:t>
        </w:r>
        <w:r w:rsidR="00221DDE">
          <w:tab/>
        </w:r>
        <w:r w:rsidR="00221DDE" w:rsidRPr="00221DDE">
          <w:rPr>
            <w:b w:val="0"/>
          </w:rPr>
          <w:fldChar w:fldCharType="begin"/>
        </w:r>
        <w:r w:rsidR="00221DDE" w:rsidRPr="00221DDE">
          <w:rPr>
            <w:b w:val="0"/>
          </w:rPr>
          <w:instrText xml:space="preserve"> PAGEREF _Toc72505961 \h </w:instrText>
        </w:r>
        <w:r w:rsidR="00221DDE" w:rsidRPr="00221DDE">
          <w:rPr>
            <w:b w:val="0"/>
          </w:rPr>
        </w:r>
        <w:r w:rsidR="00221DDE" w:rsidRPr="00221DDE">
          <w:rPr>
            <w:b w:val="0"/>
          </w:rPr>
          <w:fldChar w:fldCharType="separate"/>
        </w:r>
        <w:r w:rsidR="00010EDA">
          <w:rPr>
            <w:b w:val="0"/>
          </w:rPr>
          <w:t>20</w:t>
        </w:r>
        <w:r w:rsidR="00221DDE" w:rsidRPr="00221DDE">
          <w:rPr>
            <w:b w:val="0"/>
          </w:rPr>
          <w:fldChar w:fldCharType="end"/>
        </w:r>
      </w:hyperlink>
    </w:p>
    <w:p w14:paraId="521AF668" w14:textId="2F5C8E7C" w:rsidR="00221DDE" w:rsidRDefault="00221DDE">
      <w:pPr>
        <w:pStyle w:val="TOC5"/>
        <w:rPr>
          <w:rFonts w:asciiTheme="minorHAnsi" w:eastAsiaTheme="minorEastAsia" w:hAnsiTheme="minorHAnsi" w:cstheme="minorBidi"/>
          <w:sz w:val="22"/>
          <w:szCs w:val="22"/>
          <w:lang w:eastAsia="en-AU"/>
        </w:rPr>
      </w:pPr>
      <w:r>
        <w:tab/>
      </w:r>
      <w:hyperlink w:anchor="_Toc72505962" w:history="1">
        <w:r w:rsidRPr="00615A7E">
          <w:t>1.3</w:t>
        </w:r>
        <w:r>
          <w:rPr>
            <w:rFonts w:asciiTheme="minorHAnsi" w:eastAsiaTheme="minorEastAsia" w:hAnsiTheme="minorHAnsi" w:cstheme="minorBidi"/>
            <w:sz w:val="22"/>
            <w:szCs w:val="22"/>
            <w:lang w:eastAsia="en-AU"/>
          </w:rPr>
          <w:tab/>
        </w:r>
        <w:r w:rsidRPr="00615A7E">
          <w:t>Licensees obligations generally</w:t>
        </w:r>
        <w:r>
          <w:tab/>
        </w:r>
        <w:r>
          <w:fldChar w:fldCharType="begin"/>
        </w:r>
        <w:r>
          <w:instrText xml:space="preserve"> PAGEREF _Toc72505962 \h </w:instrText>
        </w:r>
        <w:r>
          <w:fldChar w:fldCharType="separate"/>
        </w:r>
        <w:r w:rsidR="00010EDA">
          <w:t>20</w:t>
        </w:r>
        <w:r>
          <w:fldChar w:fldCharType="end"/>
        </w:r>
      </w:hyperlink>
    </w:p>
    <w:p w14:paraId="6F6BE046" w14:textId="1DEFB33B" w:rsidR="00221DDE" w:rsidRDefault="00221DDE">
      <w:pPr>
        <w:pStyle w:val="TOC5"/>
        <w:rPr>
          <w:rFonts w:asciiTheme="minorHAnsi" w:eastAsiaTheme="minorEastAsia" w:hAnsiTheme="minorHAnsi" w:cstheme="minorBidi"/>
          <w:sz w:val="22"/>
          <w:szCs w:val="22"/>
          <w:lang w:eastAsia="en-AU"/>
        </w:rPr>
      </w:pPr>
      <w:r>
        <w:tab/>
      </w:r>
      <w:hyperlink w:anchor="_Toc72505963" w:history="1">
        <w:r w:rsidRPr="00615A7E">
          <w:t>1.4</w:t>
        </w:r>
        <w:r>
          <w:rPr>
            <w:rFonts w:asciiTheme="minorHAnsi" w:eastAsiaTheme="minorEastAsia" w:hAnsiTheme="minorHAnsi" w:cstheme="minorBidi"/>
            <w:sz w:val="22"/>
            <w:szCs w:val="22"/>
            <w:lang w:eastAsia="en-AU"/>
          </w:rPr>
          <w:tab/>
        </w:r>
        <w:r w:rsidRPr="00615A7E">
          <w:t>Staff care and training</w:t>
        </w:r>
        <w:r>
          <w:tab/>
        </w:r>
        <w:r>
          <w:fldChar w:fldCharType="begin"/>
        </w:r>
        <w:r>
          <w:instrText xml:space="preserve"> PAGEREF _Toc72505963 \h </w:instrText>
        </w:r>
        <w:r>
          <w:fldChar w:fldCharType="separate"/>
        </w:r>
        <w:r w:rsidR="00010EDA">
          <w:t>20</w:t>
        </w:r>
        <w:r>
          <w:fldChar w:fldCharType="end"/>
        </w:r>
      </w:hyperlink>
    </w:p>
    <w:p w14:paraId="1887DE3C" w14:textId="456D8A7B" w:rsidR="00221DDE" w:rsidRDefault="00221DDE">
      <w:pPr>
        <w:pStyle w:val="TOC5"/>
        <w:rPr>
          <w:rFonts w:asciiTheme="minorHAnsi" w:eastAsiaTheme="minorEastAsia" w:hAnsiTheme="minorHAnsi" w:cstheme="minorBidi"/>
          <w:sz w:val="22"/>
          <w:szCs w:val="22"/>
          <w:lang w:eastAsia="en-AU"/>
        </w:rPr>
      </w:pPr>
      <w:r>
        <w:tab/>
      </w:r>
      <w:hyperlink w:anchor="_Toc72505964" w:history="1">
        <w:r w:rsidRPr="00615A7E">
          <w:t>1.5</w:t>
        </w:r>
        <w:r>
          <w:rPr>
            <w:rFonts w:asciiTheme="minorHAnsi" w:eastAsiaTheme="minorEastAsia" w:hAnsiTheme="minorHAnsi" w:cstheme="minorBidi"/>
            <w:sz w:val="22"/>
            <w:szCs w:val="22"/>
            <w:lang w:eastAsia="en-AU"/>
          </w:rPr>
          <w:tab/>
        </w:r>
        <w:r w:rsidRPr="00615A7E">
          <w:t>Exemptions in relation to approved training courses</w:t>
        </w:r>
        <w:r>
          <w:tab/>
        </w:r>
        <w:r>
          <w:fldChar w:fldCharType="begin"/>
        </w:r>
        <w:r>
          <w:instrText xml:space="preserve"> PAGEREF _Toc72505964 \h </w:instrText>
        </w:r>
        <w:r>
          <w:fldChar w:fldCharType="separate"/>
        </w:r>
        <w:r w:rsidR="00010EDA">
          <w:t>22</w:t>
        </w:r>
        <w:r>
          <w:fldChar w:fldCharType="end"/>
        </w:r>
      </w:hyperlink>
    </w:p>
    <w:p w14:paraId="2F656091" w14:textId="36647C53" w:rsidR="00221DDE" w:rsidRDefault="00C17B8B">
      <w:pPr>
        <w:pStyle w:val="TOC8"/>
        <w:rPr>
          <w:rFonts w:asciiTheme="minorHAnsi" w:eastAsiaTheme="minorEastAsia" w:hAnsiTheme="minorHAnsi" w:cstheme="minorBidi"/>
          <w:b w:val="0"/>
          <w:sz w:val="22"/>
          <w:szCs w:val="22"/>
          <w:lang w:eastAsia="en-AU"/>
        </w:rPr>
      </w:pPr>
      <w:hyperlink w:anchor="_Toc72505965" w:history="1">
        <w:r w:rsidR="00221DDE" w:rsidRPr="00615A7E">
          <w:t>Division 1.2.2</w:t>
        </w:r>
        <w:r w:rsidR="00221DDE">
          <w:rPr>
            <w:rFonts w:asciiTheme="minorHAnsi" w:eastAsiaTheme="minorEastAsia" w:hAnsiTheme="minorHAnsi" w:cstheme="minorBidi"/>
            <w:b w:val="0"/>
            <w:sz w:val="22"/>
            <w:szCs w:val="22"/>
            <w:lang w:eastAsia="en-AU"/>
          </w:rPr>
          <w:tab/>
        </w:r>
        <w:r w:rsidR="00221DDE" w:rsidRPr="00615A7E">
          <w:t>Problem gambling</w:t>
        </w:r>
        <w:r w:rsidR="00221DDE">
          <w:tab/>
        </w:r>
        <w:r w:rsidR="00221DDE" w:rsidRPr="00221DDE">
          <w:rPr>
            <w:b w:val="0"/>
          </w:rPr>
          <w:fldChar w:fldCharType="begin"/>
        </w:r>
        <w:r w:rsidR="00221DDE" w:rsidRPr="00221DDE">
          <w:rPr>
            <w:b w:val="0"/>
          </w:rPr>
          <w:instrText xml:space="preserve"> PAGEREF _Toc72505965 \h </w:instrText>
        </w:r>
        <w:r w:rsidR="00221DDE" w:rsidRPr="00221DDE">
          <w:rPr>
            <w:b w:val="0"/>
          </w:rPr>
        </w:r>
        <w:r w:rsidR="00221DDE" w:rsidRPr="00221DDE">
          <w:rPr>
            <w:b w:val="0"/>
          </w:rPr>
          <w:fldChar w:fldCharType="separate"/>
        </w:r>
        <w:r w:rsidR="00010EDA">
          <w:rPr>
            <w:b w:val="0"/>
          </w:rPr>
          <w:t>22</w:t>
        </w:r>
        <w:r w:rsidR="00221DDE" w:rsidRPr="00221DDE">
          <w:rPr>
            <w:b w:val="0"/>
          </w:rPr>
          <w:fldChar w:fldCharType="end"/>
        </w:r>
      </w:hyperlink>
    </w:p>
    <w:p w14:paraId="5F365A10" w14:textId="51D7896A" w:rsidR="00221DDE" w:rsidRDefault="00221DDE">
      <w:pPr>
        <w:pStyle w:val="TOC5"/>
        <w:rPr>
          <w:rFonts w:asciiTheme="minorHAnsi" w:eastAsiaTheme="minorEastAsia" w:hAnsiTheme="minorHAnsi" w:cstheme="minorBidi"/>
          <w:sz w:val="22"/>
          <w:szCs w:val="22"/>
          <w:lang w:eastAsia="en-AU"/>
        </w:rPr>
      </w:pPr>
      <w:r>
        <w:tab/>
      </w:r>
      <w:hyperlink w:anchor="_Toc72505966" w:history="1">
        <w:r w:rsidRPr="00615A7E">
          <w:t>1.6</w:t>
        </w:r>
        <w:r>
          <w:rPr>
            <w:rFonts w:asciiTheme="minorHAnsi" w:eastAsiaTheme="minorEastAsia" w:hAnsiTheme="minorHAnsi" w:cstheme="minorBidi"/>
            <w:sz w:val="22"/>
            <w:szCs w:val="22"/>
            <w:lang w:eastAsia="en-AU"/>
          </w:rPr>
          <w:tab/>
        </w:r>
        <w:r w:rsidRPr="00615A7E">
          <w:t>Problem gambling incident register</w:t>
        </w:r>
        <w:r>
          <w:tab/>
        </w:r>
        <w:r>
          <w:fldChar w:fldCharType="begin"/>
        </w:r>
        <w:r>
          <w:instrText xml:space="preserve"> PAGEREF _Toc72505966 \h </w:instrText>
        </w:r>
        <w:r>
          <w:fldChar w:fldCharType="separate"/>
        </w:r>
        <w:r w:rsidR="00010EDA">
          <w:t>22</w:t>
        </w:r>
        <w:r>
          <w:fldChar w:fldCharType="end"/>
        </w:r>
      </w:hyperlink>
    </w:p>
    <w:p w14:paraId="432A0B47" w14:textId="72AE8E57" w:rsidR="00221DDE" w:rsidRDefault="00221DDE">
      <w:pPr>
        <w:pStyle w:val="TOC5"/>
        <w:rPr>
          <w:rFonts w:asciiTheme="minorHAnsi" w:eastAsiaTheme="minorEastAsia" w:hAnsiTheme="minorHAnsi" w:cstheme="minorBidi"/>
          <w:sz w:val="22"/>
          <w:szCs w:val="22"/>
          <w:lang w:eastAsia="en-AU"/>
        </w:rPr>
      </w:pPr>
      <w:r>
        <w:tab/>
      </w:r>
      <w:hyperlink w:anchor="_Toc72505967" w:history="1">
        <w:r w:rsidRPr="00615A7E">
          <w:t>1.6A</w:t>
        </w:r>
        <w:r>
          <w:rPr>
            <w:rFonts w:asciiTheme="minorHAnsi" w:eastAsiaTheme="minorEastAsia" w:hAnsiTheme="minorHAnsi" w:cstheme="minorBidi"/>
            <w:sz w:val="22"/>
            <w:szCs w:val="22"/>
            <w:lang w:eastAsia="en-AU"/>
          </w:rPr>
          <w:tab/>
        </w:r>
        <w:r w:rsidRPr="00615A7E">
          <w:t>Recording problem gambling incidents</w:t>
        </w:r>
        <w:r>
          <w:tab/>
        </w:r>
        <w:r>
          <w:fldChar w:fldCharType="begin"/>
        </w:r>
        <w:r>
          <w:instrText xml:space="preserve"> PAGEREF _Toc72505967 \h </w:instrText>
        </w:r>
        <w:r>
          <w:fldChar w:fldCharType="separate"/>
        </w:r>
        <w:r w:rsidR="00010EDA">
          <w:t>22</w:t>
        </w:r>
        <w:r>
          <w:fldChar w:fldCharType="end"/>
        </w:r>
      </w:hyperlink>
    </w:p>
    <w:p w14:paraId="3EFF791C" w14:textId="2629F81E" w:rsidR="00221DDE" w:rsidRDefault="00221DDE">
      <w:pPr>
        <w:pStyle w:val="TOC5"/>
        <w:rPr>
          <w:rFonts w:asciiTheme="minorHAnsi" w:eastAsiaTheme="minorEastAsia" w:hAnsiTheme="minorHAnsi" w:cstheme="minorBidi"/>
          <w:sz w:val="22"/>
          <w:szCs w:val="22"/>
          <w:lang w:eastAsia="en-AU"/>
        </w:rPr>
      </w:pPr>
      <w:r>
        <w:tab/>
      </w:r>
      <w:hyperlink w:anchor="_Toc72505968" w:history="1">
        <w:r w:rsidRPr="00615A7E">
          <w:t>1.7</w:t>
        </w:r>
        <w:r>
          <w:rPr>
            <w:rFonts w:asciiTheme="minorHAnsi" w:eastAsiaTheme="minorEastAsia" w:hAnsiTheme="minorHAnsi" w:cstheme="minorBidi"/>
            <w:sz w:val="22"/>
            <w:szCs w:val="22"/>
            <w:lang w:eastAsia="en-AU"/>
          </w:rPr>
          <w:tab/>
        </w:r>
        <w:r w:rsidRPr="00615A7E">
          <w:t>Gambling beyond means</w:t>
        </w:r>
        <w:r>
          <w:tab/>
        </w:r>
        <w:r>
          <w:fldChar w:fldCharType="begin"/>
        </w:r>
        <w:r>
          <w:instrText xml:space="preserve"> PAGEREF _Toc72505968 \h </w:instrText>
        </w:r>
        <w:r>
          <w:fldChar w:fldCharType="separate"/>
        </w:r>
        <w:r w:rsidR="00010EDA">
          <w:t>24</w:t>
        </w:r>
        <w:r>
          <w:fldChar w:fldCharType="end"/>
        </w:r>
      </w:hyperlink>
    </w:p>
    <w:p w14:paraId="69D60A99" w14:textId="4606F771" w:rsidR="00221DDE" w:rsidRDefault="00221DDE">
      <w:pPr>
        <w:pStyle w:val="TOC5"/>
        <w:rPr>
          <w:rFonts w:asciiTheme="minorHAnsi" w:eastAsiaTheme="minorEastAsia" w:hAnsiTheme="minorHAnsi" w:cstheme="minorBidi"/>
          <w:sz w:val="22"/>
          <w:szCs w:val="22"/>
          <w:lang w:eastAsia="en-AU"/>
        </w:rPr>
      </w:pPr>
      <w:r>
        <w:tab/>
      </w:r>
      <w:hyperlink w:anchor="_Toc72505969" w:history="1">
        <w:r w:rsidRPr="00615A7E">
          <w:t>1.8</w:t>
        </w:r>
        <w:r>
          <w:rPr>
            <w:rFonts w:asciiTheme="minorHAnsi" w:eastAsiaTheme="minorEastAsia" w:hAnsiTheme="minorHAnsi" w:cstheme="minorBidi"/>
            <w:sz w:val="22"/>
            <w:szCs w:val="22"/>
            <w:lang w:eastAsia="en-AU"/>
          </w:rPr>
          <w:tab/>
        </w:r>
        <w:r w:rsidRPr="00615A7E">
          <w:t>Help in relation to gambling problems</w:t>
        </w:r>
        <w:r>
          <w:tab/>
        </w:r>
        <w:r>
          <w:fldChar w:fldCharType="begin"/>
        </w:r>
        <w:r>
          <w:instrText xml:space="preserve"> PAGEREF _Toc72505969 \h </w:instrText>
        </w:r>
        <w:r>
          <w:fldChar w:fldCharType="separate"/>
        </w:r>
        <w:r w:rsidR="00010EDA">
          <w:t>25</w:t>
        </w:r>
        <w:r>
          <w:fldChar w:fldCharType="end"/>
        </w:r>
      </w:hyperlink>
    </w:p>
    <w:p w14:paraId="53619135" w14:textId="691AADAD" w:rsidR="00221DDE" w:rsidRDefault="00221DDE">
      <w:pPr>
        <w:pStyle w:val="TOC5"/>
        <w:rPr>
          <w:rFonts w:asciiTheme="minorHAnsi" w:eastAsiaTheme="minorEastAsia" w:hAnsiTheme="minorHAnsi" w:cstheme="minorBidi"/>
          <w:sz w:val="22"/>
          <w:szCs w:val="22"/>
          <w:lang w:eastAsia="en-AU"/>
        </w:rPr>
      </w:pPr>
      <w:r>
        <w:tab/>
      </w:r>
      <w:hyperlink w:anchor="_Toc72505970" w:history="1">
        <w:r w:rsidRPr="00615A7E">
          <w:t>1.9</w:t>
        </w:r>
        <w:r>
          <w:rPr>
            <w:rFonts w:asciiTheme="minorHAnsi" w:eastAsiaTheme="minorEastAsia" w:hAnsiTheme="minorHAnsi" w:cstheme="minorBidi"/>
            <w:sz w:val="22"/>
            <w:szCs w:val="22"/>
            <w:lang w:eastAsia="en-AU"/>
          </w:rPr>
          <w:tab/>
        </w:r>
        <w:r w:rsidRPr="00615A7E">
          <w:t>Gambling contact officers</w:t>
        </w:r>
        <w:r>
          <w:tab/>
        </w:r>
        <w:r>
          <w:fldChar w:fldCharType="begin"/>
        </w:r>
        <w:r>
          <w:instrText xml:space="preserve"> PAGEREF _Toc72505970 \h </w:instrText>
        </w:r>
        <w:r>
          <w:fldChar w:fldCharType="separate"/>
        </w:r>
        <w:r w:rsidR="00010EDA">
          <w:t>25</w:t>
        </w:r>
        <w:r>
          <w:fldChar w:fldCharType="end"/>
        </w:r>
      </w:hyperlink>
    </w:p>
    <w:p w14:paraId="610C813C" w14:textId="764B32EE" w:rsidR="00221DDE" w:rsidRDefault="00221DDE">
      <w:pPr>
        <w:pStyle w:val="TOC5"/>
        <w:rPr>
          <w:rFonts w:asciiTheme="minorHAnsi" w:eastAsiaTheme="minorEastAsia" w:hAnsiTheme="minorHAnsi" w:cstheme="minorBidi"/>
          <w:sz w:val="22"/>
          <w:szCs w:val="22"/>
          <w:lang w:eastAsia="en-AU"/>
        </w:rPr>
      </w:pPr>
      <w:r>
        <w:tab/>
      </w:r>
      <w:hyperlink w:anchor="_Toc72505971" w:history="1">
        <w:r w:rsidRPr="00615A7E">
          <w:t>1.10</w:t>
        </w:r>
        <w:r>
          <w:rPr>
            <w:rFonts w:asciiTheme="minorHAnsi" w:eastAsiaTheme="minorEastAsia" w:hAnsiTheme="minorHAnsi" w:cstheme="minorBidi"/>
            <w:sz w:val="22"/>
            <w:szCs w:val="22"/>
            <w:lang w:eastAsia="en-AU"/>
          </w:rPr>
          <w:tab/>
        </w:r>
        <w:r w:rsidRPr="00615A7E">
          <w:t>Gambling contact officers functions</w:t>
        </w:r>
        <w:r>
          <w:tab/>
        </w:r>
        <w:r>
          <w:fldChar w:fldCharType="begin"/>
        </w:r>
        <w:r>
          <w:instrText xml:space="preserve"> PAGEREF _Toc72505971 \h </w:instrText>
        </w:r>
        <w:r>
          <w:fldChar w:fldCharType="separate"/>
        </w:r>
        <w:r w:rsidR="00010EDA">
          <w:t>26</w:t>
        </w:r>
        <w:r>
          <w:fldChar w:fldCharType="end"/>
        </w:r>
      </w:hyperlink>
    </w:p>
    <w:p w14:paraId="37C6B29D" w14:textId="38021B77" w:rsidR="00221DDE" w:rsidRDefault="00221DDE">
      <w:pPr>
        <w:pStyle w:val="TOC5"/>
        <w:rPr>
          <w:rFonts w:asciiTheme="minorHAnsi" w:eastAsiaTheme="minorEastAsia" w:hAnsiTheme="minorHAnsi" w:cstheme="minorBidi"/>
          <w:sz w:val="22"/>
          <w:szCs w:val="22"/>
          <w:lang w:eastAsia="en-AU"/>
        </w:rPr>
      </w:pPr>
      <w:r>
        <w:tab/>
      </w:r>
      <w:hyperlink w:anchor="_Toc72505972" w:history="1">
        <w:r w:rsidRPr="00615A7E">
          <w:t>1.11</w:t>
        </w:r>
        <w:r>
          <w:rPr>
            <w:rFonts w:asciiTheme="minorHAnsi" w:eastAsiaTheme="minorEastAsia" w:hAnsiTheme="minorHAnsi" w:cstheme="minorBidi"/>
            <w:sz w:val="22"/>
            <w:szCs w:val="22"/>
            <w:lang w:eastAsia="en-AU"/>
          </w:rPr>
          <w:tab/>
        </w:r>
        <w:r w:rsidRPr="00615A7E">
          <w:t>Dealing with people with gambling problem</w:t>
        </w:r>
        <w:r>
          <w:tab/>
        </w:r>
        <w:r>
          <w:fldChar w:fldCharType="begin"/>
        </w:r>
        <w:r>
          <w:instrText xml:space="preserve"> PAGEREF _Toc72505972 \h </w:instrText>
        </w:r>
        <w:r>
          <w:fldChar w:fldCharType="separate"/>
        </w:r>
        <w:r w:rsidR="00010EDA">
          <w:t>27</w:t>
        </w:r>
        <w:r>
          <w:fldChar w:fldCharType="end"/>
        </w:r>
      </w:hyperlink>
    </w:p>
    <w:p w14:paraId="5CBF0661" w14:textId="50958639" w:rsidR="00221DDE" w:rsidRDefault="00C17B8B">
      <w:pPr>
        <w:pStyle w:val="TOC8"/>
        <w:rPr>
          <w:rFonts w:asciiTheme="minorHAnsi" w:eastAsiaTheme="minorEastAsia" w:hAnsiTheme="minorHAnsi" w:cstheme="minorBidi"/>
          <w:b w:val="0"/>
          <w:sz w:val="22"/>
          <w:szCs w:val="22"/>
          <w:lang w:eastAsia="en-AU"/>
        </w:rPr>
      </w:pPr>
      <w:hyperlink w:anchor="_Toc72505973" w:history="1">
        <w:r w:rsidR="00221DDE" w:rsidRPr="00615A7E">
          <w:t>Division 1.2.3</w:t>
        </w:r>
        <w:r w:rsidR="00221DDE">
          <w:rPr>
            <w:rFonts w:asciiTheme="minorHAnsi" w:eastAsiaTheme="minorEastAsia" w:hAnsiTheme="minorHAnsi" w:cstheme="minorBidi"/>
            <w:b w:val="0"/>
            <w:sz w:val="22"/>
            <w:szCs w:val="22"/>
            <w:lang w:eastAsia="en-AU"/>
          </w:rPr>
          <w:tab/>
        </w:r>
        <w:r w:rsidR="00221DDE" w:rsidRPr="00615A7E">
          <w:t>Exclusion from gambling generally</w:t>
        </w:r>
        <w:r w:rsidR="00221DDE">
          <w:tab/>
        </w:r>
        <w:r w:rsidR="00221DDE" w:rsidRPr="00221DDE">
          <w:rPr>
            <w:b w:val="0"/>
          </w:rPr>
          <w:fldChar w:fldCharType="begin"/>
        </w:r>
        <w:r w:rsidR="00221DDE" w:rsidRPr="00221DDE">
          <w:rPr>
            <w:b w:val="0"/>
          </w:rPr>
          <w:instrText xml:space="preserve"> PAGEREF _Toc72505973 \h </w:instrText>
        </w:r>
        <w:r w:rsidR="00221DDE" w:rsidRPr="00221DDE">
          <w:rPr>
            <w:b w:val="0"/>
          </w:rPr>
        </w:r>
        <w:r w:rsidR="00221DDE" w:rsidRPr="00221DDE">
          <w:rPr>
            <w:b w:val="0"/>
          </w:rPr>
          <w:fldChar w:fldCharType="separate"/>
        </w:r>
        <w:r w:rsidR="00010EDA">
          <w:rPr>
            <w:b w:val="0"/>
          </w:rPr>
          <w:t>28</w:t>
        </w:r>
        <w:r w:rsidR="00221DDE" w:rsidRPr="00221DDE">
          <w:rPr>
            <w:b w:val="0"/>
          </w:rPr>
          <w:fldChar w:fldCharType="end"/>
        </w:r>
      </w:hyperlink>
    </w:p>
    <w:p w14:paraId="27648CCF" w14:textId="1C58A3D9" w:rsidR="00221DDE" w:rsidRDefault="00221DDE">
      <w:pPr>
        <w:pStyle w:val="TOC5"/>
        <w:rPr>
          <w:rFonts w:asciiTheme="minorHAnsi" w:eastAsiaTheme="minorEastAsia" w:hAnsiTheme="minorHAnsi" w:cstheme="minorBidi"/>
          <w:sz w:val="22"/>
          <w:szCs w:val="22"/>
          <w:lang w:eastAsia="en-AU"/>
        </w:rPr>
      </w:pPr>
      <w:r>
        <w:tab/>
      </w:r>
      <w:hyperlink w:anchor="_Toc72505974" w:history="1">
        <w:r w:rsidRPr="00615A7E">
          <w:t>1.12</w:t>
        </w:r>
        <w:r>
          <w:rPr>
            <w:rFonts w:asciiTheme="minorHAnsi" w:eastAsiaTheme="minorEastAsia" w:hAnsiTheme="minorHAnsi" w:cstheme="minorBidi"/>
            <w:sz w:val="22"/>
            <w:szCs w:val="22"/>
            <w:lang w:eastAsia="en-AU"/>
          </w:rPr>
          <w:tab/>
        </w:r>
        <w:r w:rsidRPr="00615A7E">
          <w:t>Application of div 1.2.3</w:t>
        </w:r>
        <w:r>
          <w:tab/>
        </w:r>
        <w:r>
          <w:fldChar w:fldCharType="begin"/>
        </w:r>
        <w:r>
          <w:instrText xml:space="preserve"> PAGEREF _Toc72505974 \h </w:instrText>
        </w:r>
        <w:r>
          <w:fldChar w:fldCharType="separate"/>
        </w:r>
        <w:r w:rsidR="00010EDA">
          <w:t>28</w:t>
        </w:r>
        <w:r>
          <w:fldChar w:fldCharType="end"/>
        </w:r>
      </w:hyperlink>
    </w:p>
    <w:p w14:paraId="577AA54F" w14:textId="256BFF17" w:rsidR="00221DDE" w:rsidRDefault="00221DDE">
      <w:pPr>
        <w:pStyle w:val="TOC5"/>
        <w:rPr>
          <w:rFonts w:asciiTheme="minorHAnsi" w:eastAsiaTheme="minorEastAsia" w:hAnsiTheme="minorHAnsi" w:cstheme="minorBidi"/>
          <w:sz w:val="22"/>
          <w:szCs w:val="22"/>
          <w:lang w:eastAsia="en-AU"/>
        </w:rPr>
      </w:pPr>
      <w:r>
        <w:tab/>
      </w:r>
      <w:hyperlink w:anchor="_Toc72505975" w:history="1">
        <w:r w:rsidRPr="00615A7E">
          <w:t>1.13</w:t>
        </w:r>
        <w:r>
          <w:rPr>
            <w:rFonts w:asciiTheme="minorHAnsi" w:eastAsiaTheme="minorEastAsia" w:hAnsiTheme="minorHAnsi" w:cstheme="minorBidi"/>
            <w:sz w:val="22"/>
            <w:szCs w:val="22"/>
            <w:lang w:eastAsia="en-AU"/>
          </w:rPr>
          <w:tab/>
        </w:r>
        <w:r w:rsidRPr="00615A7E">
          <w:t>Deeds of exclusion</w:t>
        </w:r>
        <w:r>
          <w:tab/>
        </w:r>
        <w:r>
          <w:fldChar w:fldCharType="begin"/>
        </w:r>
        <w:r>
          <w:instrText xml:space="preserve"> PAGEREF _Toc72505975 \h </w:instrText>
        </w:r>
        <w:r>
          <w:fldChar w:fldCharType="separate"/>
        </w:r>
        <w:r w:rsidR="00010EDA">
          <w:t>28</w:t>
        </w:r>
        <w:r>
          <w:fldChar w:fldCharType="end"/>
        </w:r>
      </w:hyperlink>
    </w:p>
    <w:p w14:paraId="1724A5D0" w14:textId="4EA634E7" w:rsidR="00221DDE" w:rsidRDefault="00221DDE">
      <w:pPr>
        <w:pStyle w:val="TOC5"/>
        <w:rPr>
          <w:rFonts w:asciiTheme="minorHAnsi" w:eastAsiaTheme="minorEastAsia" w:hAnsiTheme="minorHAnsi" w:cstheme="minorBidi"/>
          <w:sz w:val="22"/>
          <w:szCs w:val="22"/>
          <w:lang w:eastAsia="en-AU"/>
        </w:rPr>
      </w:pPr>
      <w:r>
        <w:tab/>
      </w:r>
      <w:hyperlink w:anchor="_Toc72505976" w:history="1">
        <w:r w:rsidRPr="00615A7E">
          <w:t>1.13A</w:t>
        </w:r>
        <w:r>
          <w:rPr>
            <w:rFonts w:asciiTheme="minorHAnsi" w:eastAsiaTheme="minorEastAsia" w:hAnsiTheme="minorHAnsi" w:cstheme="minorBidi"/>
            <w:sz w:val="22"/>
            <w:szCs w:val="22"/>
            <w:lang w:eastAsia="en-AU"/>
          </w:rPr>
          <w:tab/>
        </w:r>
        <w:r w:rsidRPr="00615A7E">
          <w:t>Deeds of exclusion—revocation</w:t>
        </w:r>
        <w:r>
          <w:tab/>
        </w:r>
        <w:r>
          <w:fldChar w:fldCharType="begin"/>
        </w:r>
        <w:r>
          <w:instrText xml:space="preserve"> PAGEREF _Toc72505976 \h </w:instrText>
        </w:r>
        <w:r>
          <w:fldChar w:fldCharType="separate"/>
        </w:r>
        <w:r w:rsidR="00010EDA">
          <w:t>30</w:t>
        </w:r>
        <w:r>
          <w:fldChar w:fldCharType="end"/>
        </w:r>
      </w:hyperlink>
    </w:p>
    <w:p w14:paraId="73F9D56E" w14:textId="6BA8BC0E" w:rsidR="00221DDE" w:rsidRDefault="00221DDE">
      <w:pPr>
        <w:pStyle w:val="TOC5"/>
        <w:rPr>
          <w:rFonts w:asciiTheme="minorHAnsi" w:eastAsiaTheme="minorEastAsia" w:hAnsiTheme="minorHAnsi" w:cstheme="minorBidi"/>
          <w:sz w:val="22"/>
          <w:szCs w:val="22"/>
          <w:lang w:eastAsia="en-AU"/>
        </w:rPr>
      </w:pPr>
      <w:r>
        <w:tab/>
      </w:r>
      <w:hyperlink w:anchor="_Toc72505977" w:history="1">
        <w:r w:rsidRPr="00615A7E">
          <w:t>1.14</w:t>
        </w:r>
        <w:r>
          <w:rPr>
            <w:rFonts w:asciiTheme="minorHAnsi" w:eastAsiaTheme="minorEastAsia" w:hAnsiTheme="minorHAnsi" w:cstheme="minorBidi"/>
            <w:sz w:val="22"/>
            <w:szCs w:val="22"/>
            <w:lang w:eastAsia="en-AU"/>
          </w:rPr>
          <w:tab/>
        </w:r>
        <w:r w:rsidRPr="00615A7E">
          <w:t>Exclusion of people at risk or excluded under deed</w:t>
        </w:r>
        <w:r>
          <w:tab/>
        </w:r>
        <w:r>
          <w:fldChar w:fldCharType="begin"/>
        </w:r>
        <w:r>
          <w:instrText xml:space="preserve"> PAGEREF _Toc72505977 \h </w:instrText>
        </w:r>
        <w:r>
          <w:fldChar w:fldCharType="separate"/>
        </w:r>
        <w:r w:rsidR="00010EDA">
          <w:t>31</w:t>
        </w:r>
        <w:r>
          <w:fldChar w:fldCharType="end"/>
        </w:r>
      </w:hyperlink>
    </w:p>
    <w:p w14:paraId="527DD7FE" w14:textId="2CF14218" w:rsidR="00221DDE" w:rsidRDefault="00221DDE">
      <w:pPr>
        <w:pStyle w:val="TOC5"/>
        <w:rPr>
          <w:rFonts w:asciiTheme="minorHAnsi" w:eastAsiaTheme="minorEastAsia" w:hAnsiTheme="minorHAnsi" w:cstheme="minorBidi"/>
          <w:sz w:val="22"/>
          <w:szCs w:val="22"/>
          <w:lang w:eastAsia="en-AU"/>
        </w:rPr>
      </w:pPr>
      <w:r>
        <w:tab/>
      </w:r>
      <w:hyperlink w:anchor="_Toc72505978" w:history="1">
        <w:r w:rsidRPr="00615A7E">
          <w:t>1.15</w:t>
        </w:r>
        <w:r>
          <w:rPr>
            <w:rFonts w:asciiTheme="minorHAnsi" w:eastAsiaTheme="minorEastAsia" w:hAnsiTheme="minorHAnsi" w:cstheme="minorBidi"/>
            <w:sz w:val="22"/>
            <w:szCs w:val="22"/>
            <w:lang w:eastAsia="en-AU"/>
          </w:rPr>
          <w:tab/>
        </w:r>
        <w:r w:rsidRPr="00615A7E">
          <w:t>Matters to which licensee to have regard when deciding whether to exclude</w:t>
        </w:r>
        <w:r>
          <w:tab/>
        </w:r>
        <w:r>
          <w:fldChar w:fldCharType="begin"/>
        </w:r>
        <w:r>
          <w:instrText xml:space="preserve"> PAGEREF _Toc72505978 \h </w:instrText>
        </w:r>
        <w:r>
          <w:fldChar w:fldCharType="separate"/>
        </w:r>
        <w:r w:rsidR="00010EDA">
          <w:t>32</w:t>
        </w:r>
        <w:r>
          <w:fldChar w:fldCharType="end"/>
        </w:r>
      </w:hyperlink>
    </w:p>
    <w:p w14:paraId="40D40F01" w14:textId="1D52A45D" w:rsidR="00221DDE" w:rsidRDefault="00221DDE">
      <w:pPr>
        <w:pStyle w:val="TOC5"/>
        <w:rPr>
          <w:rFonts w:asciiTheme="minorHAnsi" w:eastAsiaTheme="minorEastAsia" w:hAnsiTheme="minorHAnsi" w:cstheme="minorBidi"/>
          <w:sz w:val="22"/>
          <w:szCs w:val="22"/>
          <w:lang w:eastAsia="en-AU"/>
        </w:rPr>
      </w:pPr>
      <w:r>
        <w:tab/>
      </w:r>
      <w:hyperlink w:anchor="_Toc72505979" w:history="1">
        <w:r w:rsidRPr="00615A7E">
          <w:t>1.16</w:t>
        </w:r>
        <w:r>
          <w:rPr>
            <w:rFonts w:asciiTheme="minorHAnsi" w:eastAsiaTheme="minorEastAsia" w:hAnsiTheme="minorHAnsi" w:cstheme="minorBidi"/>
            <w:sz w:val="22"/>
            <w:szCs w:val="22"/>
            <w:lang w:eastAsia="en-AU"/>
          </w:rPr>
          <w:tab/>
        </w:r>
        <w:r w:rsidRPr="00615A7E">
          <w:t>Commission’s review of exclusion decisions</w:t>
        </w:r>
        <w:r>
          <w:tab/>
        </w:r>
        <w:r>
          <w:fldChar w:fldCharType="begin"/>
        </w:r>
        <w:r>
          <w:instrText xml:space="preserve"> PAGEREF _Toc72505979 \h </w:instrText>
        </w:r>
        <w:r>
          <w:fldChar w:fldCharType="separate"/>
        </w:r>
        <w:r w:rsidR="00010EDA">
          <w:t>32</w:t>
        </w:r>
        <w:r>
          <w:fldChar w:fldCharType="end"/>
        </w:r>
      </w:hyperlink>
    </w:p>
    <w:p w14:paraId="22506A23" w14:textId="6B7B83D3" w:rsidR="00221DDE" w:rsidRDefault="00221DDE">
      <w:pPr>
        <w:pStyle w:val="TOC5"/>
        <w:rPr>
          <w:rFonts w:asciiTheme="minorHAnsi" w:eastAsiaTheme="minorEastAsia" w:hAnsiTheme="minorHAnsi" w:cstheme="minorBidi"/>
          <w:sz w:val="22"/>
          <w:szCs w:val="22"/>
          <w:lang w:eastAsia="en-AU"/>
        </w:rPr>
      </w:pPr>
      <w:r>
        <w:tab/>
      </w:r>
      <w:hyperlink w:anchor="_Toc72505980" w:history="1">
        <w:r w:rsidRPr="00615A7E">
          <w:t>1.17</w:t>
        </w:r>
        <w:r>
          <w:rPr>
            <w:rFonts w:asciiTheme="minorHAnsi" w:eastAsiaTheme="minorEastAsia" w:hAnsiTheme="minorHAnsi" w:cstheme="minorBidi"/>
            <w:sz w:val="22"/>
            <w:szCs w:val="22"/>
            <w:lang w:eastAsia="en-AU"/>
          </w:rPr>
          <w:tab/>
        </w:r>
        <w:r w:rsidRPr="00615A7E">
          <w:t>Exclusion procedures</w:t>
        </w:r>
        <w:r>
          <w:tab/>
        </w:r>
        <w:r>
          <w:fldChar w:fldCharType="begin"/>
        </w:r>
        <w:r>
          <w:instrText xml:space="preserve"> PAGEREF _Toc72505980 \h </w:instrText>
        </w:r>
        <w:r>
          <w:fldChar w:fldCharType="separate"/>
        </w:r>
        <w:r w:rsidR="00010EDA">
          <w:t>32</w:t>
        </w:r>
        <w:r>
          <w:fldChar w:fldCharType="end"/>
        </w:r>
      </w:hyperlink>
    </w:p>
    <w:p w14:paraId="02049337" w14:textId="6508209D" w:rsidR="00221DDE" w:rsidRDefault="00221DDE">
      <w:pPr>
        <w:pStyle w:val="TOC5"/>
        <w:rPr>
          <w:rFonts w:asciiTheme="minorHAnsi" w:eastAsiaTheme="minorEastAsia" w:hAnsiTheme="minorHAnsi" w:cstheme="minorBidi"/>
          <w:sz w:val="22"/>
          <w:szCs w:val="22"/>
          <w:lang w:eastAsia="en-AU"/>
        </w:rPr>
      </w:pPr>
      <w:r>
        <w:tab/>
      </w:r>
      <w:hyperlink w:anchor="_Toc72505981" w:history="1">
        <w:r w:rsidRPr="00615A7E">
          <w:t>1.18</w:t>
        </w:r>
        <w:r>
          <w:rPr>
            <w:rFonts w:asciiTheme="minorHAnsi" w:eastAsiaTheme="minorEastAsia" w:hAnsiTheme="minorHAnsi" w:cstheme="minorBidi"/>
            <w:sz w:val="22"/>
            <w:szCs w:val="22"/>
            <w:lang w:eastAsia="en-AU"/>
          </w:rPr>
          <w:tab/>
        </w:r>
        <w:r w:rsidRPr="00615A7E">
          <w:t>Licensee must keep deeds and notices of exclusion</w:t>
        </w:r>
        <w:r>
          <w:tab/>
        </w:r>
        <w:r>
          <w:fldChar w:fldCharType="begin"/>
        </w:r>
        <w:r>
          <w:instrText xml:space="preserve"> PAGEREF _Toc72505981 \h </w:instrText>
        </w:r>
        <w:r>
          <w:fldChar w:fldCharType="separate"/>
        </w:r>
        <w:r w:rsidR="00010EDA">
          <w:t>33</w:t>
        </w:r>
        <w:r>
          <w:fldChar w:fldCharType="end"/>
        </w:r>
      </w:hyperlink>
    </w:p>
    <w:p w14:paraId="049057F0" w14:textId="7EF11B7E" w:rsidR="00221DDE" w:rsidRDefault="00221DDE">
      <w:pPr>
        <w:pStyle w:val="TOC5"/>
        <w:rPr>
          <w:rFonts w:asciiTheme="minorHAnsi" w:eastAsiaTheme="minorEastAsia" w:hAnsiTheme="minorHAnsi" w:cstheme="minorBidi"/>
          <w:sz w:val="22"/>
          <w:szCs w:val="22"/>
          <w:lang w:eastAsia="en-AU"/>
        </w:rPr>
      </w:pPr>
      <w:r>
        <w:tab/>
      </w:r>
      <w:hyperlink w:anchor="_Toc72505982" w:history="1">
        <w:r w:rsidRPr="00615A7E">
          <w:t>1.19</w:t>
        </w:r>
        <w:r>
          <w:rPr>
            <w:rFonts w:asciiTheme="minorHAnsi" w:eastAsiaTheme="minorEastAsia" w:hAnsiTheme="minorHAnsi" w:cstheme="minorBidi"/>
            <w:sz w:val="22"/>
            <w:szCs w:val="22"/>
            <w:lang w:eastAsia="en-AU"/>
          </w:rPr>
          <w:tab/>
        </w:r>
        <w:r w:rsidRPr="00615A7E">
          <w:t>Accounts of excluded people</w:t>
        </w:r>
        <w:r>
          <w:tab/>
        </w:r>
        <w:r>
          <w:fldChar w:fldCharType="begin"/>
        </w:r>
        <w:r>
          <w:instrText xml:space="preserve"> PAGEREF _Toc72505982 \h </w:instrText>
        </w:r>
        <w:r>
          <w:fldChar w:fldCharType="separate"/>
        </w:r>
        <w:r w:rsidR="00010EDA">
          <w:t>33</w:t>
        </w:r>
        <w:r>
          <w:fldChar w:fldCharType="end"/>
        </w:r>
      </w:hyperlink>
    </w:p>
    <w:p w14:paraId="308A3316" w14:textId="0CA3F7AB" w:rsidR="00221DDE" w:rsidRDefault="00221DDE">
      <w:pPr>
        <w:pStyle w:val="TOC5"/>
        <w:rPr>
          <w:rFonts w:asciiTheme="minorHAnsi" w:eastAsiaTheme="minorEastAsia" w:hAnsiTheme="minorHAnsi" w:cstheme="minorBidi"/>
          <w:sz w:val="22"/>
          <w:szCs w:val="22"/>
          <w:lang w:eastAsia="en-AU"/>
        </w:rPr>
      </w:pPr>
      <w:r>
        <w:tab/>
      </w:r>
      <w:hyperlink w:anchor="_Toc72505983" w:history="1">
        <w:r w:rsidRPr="00615A7E">
          <w:t>1.20</w:t>
        </w:r>
        <w:r>
          <w:rPr>
            <w:rFonts w:asciiTheme="minorHAnsi" w:eastAsiaTheme="minorEastAsia" w:hAnsiTheme="minorHAnsi" w:cstheme="minorBidi"/>
            <w:sz w:val="22"/>
            <w:szCs w:val="22"/>
            <w:lang w:eastAsia="en-AU"/>
          </w:rPr>
          <w:tab/>
        </w:r>
        <w:r w:rsidRPr="00615A7E">
          <w:t>Promotional material not to be given to certain excluded people</w:t>
        </w:r>
        <w:r>
          <w:tab/>
        </w:r>
        <w:r>
          <w:fldChar w:fldCharType="begin"/>
        </w:r>
        <w:r>
          <w:instrText xml:space="preserve"> PAGEREF _Toc72505983 \h </w:instrText>
        </w:r>
        <w:r>
          <w:fldChar w:fldCharType="separate"/>
        </w:r>
        <w:r w:rsidR="00010EDA">
          <w:t>33</w:t>
        </w:r>
        <w:r>
          <w:fldChar w:fldCharType="end"/>
        </w:r>
      </w:hyperlink>
    </w:p>
    <w:p w14:paraId="40D6937F" w14:textId="690F9949" w:rsidR="00221DDE" w:rsidRDefault="00C17B8B">
      <w:pPr>
        <w:pStyle w:val="TOC3"/>
        <w:rPr>
          <w:rFonts w:asciiTheme="minorHAnsi" w:eastAsiaTheme="minorEastAsia" w:hAnsiTheme="minorHAnsi" w:cstheme="minorBidi"/>
          <w:b w:val="0"/>
          <w:sz w:val="22"/>
          <w:szCs w:val="22"/>
          <w:lang w:eastAsia="en-AU"/>
        </w:rPr>
      </w:pPr>
      <w:hyperlink w:anchor="_Toc72505984" w:history="1">
        <w:r w:rsidR="00221DDE" w:rsidRPr="00615A7E">
          <w:t>Division 1.2.4</w:t>
        </w:r>
        <w:r w:rsidR="00221DDE">
          <w:rPr>
            <w:rFonts w:asciiTheme="minorHAnsi" w:eastAsiaTheme="minorEastAsia" w:hAnsiTheme="minorHAnsi" w:cstheme="minorBidi"/>
            <w:b w:val="0"/>
            <w:sz w:val="22"/>
            <w:szCs w:val="22"/>
            <w:lang w:eastAsia="en-AU"/>
          </w:rPr>
          <w:tab/>
        </w:r>
        <w:r w:rsidR="00221DDE" w:rsidRPr="00615A7E">
          <w:t>Betting accounts—totalisator and sports bookmaking licensees</w:t>
        </w:r>
        <w:r w:rsidR="00221DDE" w:rsidRPr="00221DDE">
          <w:rPr>
            <w:vanish/>
          </w:rPr>
          <w:tab/>
        </w:r>
        <w:r w:rsidR="00221DDE" w:rsidRPr="00221DDE">
          <w:rPr>
            <w:vanish/>
          </w:rPr>
          <w:fldChar w:fldCharType="begin"/>
        </w:r>
        <w:r w:rsidR="00221DDE" w:rsidRPr="00221DDE">
          <w:rPr>
            <w:vanish/>
          </w:rPr>
          <w:instrText xml:space="preserve"> PAGEREF _Toc72505984 \h </w:instrText>
        </w:r>
        <w:r w:rsidR="00221DDE" w:rsidRPr="00221DDE">
          <w:rPr>
            <w:vanish/>
          </w:rPr>
        </w:r>
        <w:r w:rsidR="00221DDE" w:rsidRPr="00221DDE">
          <w:rPr>
            <w:vanish/>
          </w:rPr>
          <w:fldChar w:fldCharType="separate"/>
        </w:r>
        <w:r w:rsidR="00010EDA">
          <w:rPr>
            <w:vanish/>
          </w:rPr>
          <w:t>34</w:t>
        </w:r>
        <w:r w:rsidR="00221DDE" w:rsidRPr="00221DDE">
          <w:rPr>
            <w:vanish/>
          </w:rPr>
          <w:fldChar w:fldCharType="end"/>
        </w:r>
      </w:hyperlink>
    </w:p>
    <w:p w14:paraId="02E548CB" w14:textId="65BD7FA4" w:rsidR="00221DDE" w:rsidRDefault="00221DDE">
      <w:pPr>
        <w:pStyle w:val="TOC5"/>
        <w:rPr>
          <w:rFonts w:asciiTheme="minorHAnsi" w:eastAsiaTheme="minorEastAsia" w:hAnsiTheme="minorHAnsi" w:cstheme="minorBidi"/>
          <w:sz w:val="22"/>
          <w:szCs w:val="22"/>
          <w:lang w:eastAsia="en-AU"/>
        </w:rPr>
      </w:pPr>
      <w:r>
        <w:tab/>
      </w:r>
      <w:hyperlink w:anchor="_Toc72505985" w:history="1">
        <w:r w:rsidRPr="00615A7E">
          <w:t>1.20A</w:t>
        </w:r>
        <w:r>
          <w:rPr>
            <w:rFonts w:asciiTheme="minorHAnsi" w:eastAsiaTheme="minorEastAsia" w:hAnsiTheme="minorHAnsi" w:cstheme="minorBidi"/>
            <w:sz w:val="22"/>
            <w:szCs w:val="22"/>
            <w:lang w:eastAsia="en-AU"/>
          </w:rPr>
          <w:tab/>
        </w:r>
        <w:r w:rsidRPr="00615A7E">
          <w:t>Application—div 1.2.4</w:t>
        </w:r>
        <w:r>
          <w:tab/>
        </w:r>
        <w:r>
          <w:fldChar w:fldCharType="begin"/>
        </w:r>
        <w:r>
          <w:instrText xml:space="preserve"> PAGEREF _Toc72505985 \h </w:instrText>
        </w:r>
        <w:r>
          <w:fldChar w:fldCharType="separate"/>
        </w:r>
        <w:r w:rsidR="00010EDA">
          <w:t>34</w:t>
        </w:r>
        <w:r>
          <w:fldChar w:fldCharType="end"/>
        </w:r>
      </w:hyperlink>
    </w:p>
    <w:p w14:paraId="312640DB" w14:textId="7AE59882" w:rsidR="00221DDE" w:rsidRDefault="00221DDE">
      <w:pPr>
        <w:pStyle w:val="TOC5"/>
        <w:rPr>
          <w:rFonts w:asciiTheme="minorHAnsi" w:eastAsiaTheme="minorEastAsia" w:hAnsiTheme="minorHAnsi" w:cstheme="minorBidi"/>
          <w:sz w:val="22"/>
          <w:szCs w:val="22"/>
          <w:lang w:eastAsia="en-AU"/>
        </w:rPr>
      </w:pPr>
      <w:r>
        <w:lastRenderedPageBreak/>
        <w:tab/>
      </w:r>
      <w:hyperlink w:anchor="_Toc72505986" w:history="1">
        <w:r w:rsidRPr="00615A7E">
          <w:t>1.20B</w:t>
        </w:r>
        <w:r>
          <w:rPr>
            <w:rFonts w:asciiTheme="minorHAnsi" w:eastAsiaTheme="minorEastAsia" w:hAnsiTheme="minorHAnsi" w:cstheme="minorBidi"/>
            <w:sz w:val="22"/>
            <w:szCs w:val="22"/>
            <w:lang w:eastAsia="en-AU"/>
          </w:rPr>
          <w:tab/>
        </w:r>
        <w:r w:rsidRPr="00615A7E">
          <w:t>Definitions—div 1.2.4</w:t>
        </w:r>
        <w:r>
          <w:tab/>
        </w:r>
        <w:r>
          <w:fldChar w:fldCharType="begin"/>
        </w:r>
        <w:r>
          <w:instrText xml:space="preserve"> PAGEREF _Toc72505986 \h </w:instrText>
        </w:r>
        <w:r>
          <w:fldChar w:fldCharType="separate"/>
        </w:r>
        <w:r w:rsidR="00010EDA">
          <w:t>34</w:t>
        </w:r>
        <w:r>
          <w:fldChar w:fldCharType="end"/>
        </w:r>
      </w:hyperlink>
    </w:p>
    <w:p w14:paraId="2392D260" w14:textId="4491921B" w:rsidR="00221DDE" w:rsidRDefault="00221DDE">
      <w:pPr>
        <w:pStyle w:val="TOC5"/>
        <w:rPr>
          <w:rFonts w:asciiTheme="minorHAnsi" w:eastAsiaTheme="minorEastAsia" w:hAnsiTheme="minorHAnsi" w:cstheme="minorBidi"/>
          <w:sz w:val="22"/>
          <w:szCs w:val="22"/>
          <w:lang w:eastAsia="en-AU"/>
        </w:rPr>
      </w:pPr>
      <w:r>
        <w:tab/>
      </w:r>
      <w:hyperlink w:anchor="_Toc72505987" w:history="1">
        <w:r w:rsidRPr="00615A7E">
          <w:t>1.20C</w:t>
        </w:r>
        <w:r>
          <w:rPr>
            <w:rFonts w:asciiTheme="minorHAnsi" w:eastAsiaTheme="minorEastAsia" w:hAnsiTheme="minorHAnsi" w:cstheme="minorBidi"/>
            <w:sz w:val="22"/>
            <w:szCs w:val="22"/>
            <w:lang w:eastAsia="en-AU"/>
          </w:rPr>
          <w:tab/>
        </w:r>
        <w:r w:rsidRPr="00615A7E">
          <w:t>Information about deposit limits</w:t>
        </w:r>
        <w:r>
          <w:tab/>
        </w:r>
        <w:r>
          <w:fldChar w:fldCharType="begin"/>
        </w:r>
        <w:r>
          <w:instrText xml:space="preserve"> PAGEREF _Toc72505987 \h </w:instrText>
        </w:r>
        <w:r>
          <w:fldChar w:fldCharType="separate"/>
        </w:r>
        <w:r w:rsidR="00010EDA">
          <w:t>35</w:t>
        </w:r>
        <w:r>
          <w:fldChar w:fldCharType="end"/>
        </w:r>
      </w:hyperlink>
    </w:p>
    <w:p w14:paraId="529D7BEC" w14:textId="7F423D2E" w:rsidR="00221DDE" w:rsidRDefault="00221DDE">
      <w:pPr>
        <w:pStyle w:val="TOC5"/>
        <w:rPr>
          <w:rFonts w:asciiTheme="minorHAnsi" w:eastAsiaTheme="minorEastAsia" w:hAnsiTheme="minorHAnsi" w:cstheme="minorBidi"/>
          <w:sz w:val="22"/>
          <w:szCs w:val="22"/>
          <w:lang w:eastAsia="en-AU"/>
        </w:rPr>
      </w:pPr>
      <w:r>
        <w:tab/>
      </w:r>
      <w:hyperlink w:anchor="_Toc72505988" w:history="1">
        <w:r w:rsidRPr="00615A7E">
          <w:t>1.20D</w:t>
        </w:r>
        <w:r>
          <w:rPr>
            <w:rFonts w:asciiTheme="minorHAnsi" w:eastAsiaTheme="minorEastAsia" w:hAnsiTheme="minorHAnsi" w:cstheme="minorBidi"/>
            <w:sz w:val="22"/>
            <w:szCs w:val="22"/>
            <w:lang w:eastAsia="en-AU"/>
          </w:rPr>
          <w:tab/>
        </w:r>
        <w:r w:rsidRPr="00615A7E">
          <w:t>No deposits over deposit limit</w:t>
        </w:r>
        <w:r>
          <w:tab/>
        </w:r>
        <w:r>
          <w:fldChar w:fldCharType="begin"/>
        </w:r>
        <w:r>
          <w:instrText xml:space="preserve"> PAGEREF _Toc72505988 \h </w:instrText>
        </w:r>
        <w:r>
          <w:fldChar w:fldCharType="separate"/>
        </w:r>
        <w:r w:rsidR="00010EDA">
          <w:t>35</w:t>
        </w:r>
        <w:r>
          <w:fldChar w:fldCharType="end"/>
        </w:r>
      </w:hyperlink>
    </w:p>
    <w:p w14:paraId="7EA7FEC6" w14:textId="19D8F326" w:rsidR="00221DDE" w:rsidRDefault="00221DDE">
      <w:pPr>
        <w:pStyle w:val="TOC5"/>
        <w:rPr>
          <w:rFonts w:asciiTheme="minorHAnsi" w:eastAsiaTheme="minorEastAsia" w:hAnsiTheme="minorHAnsi" w:cstheme="minorBidi"/>
          <w:sz w:val="22"/>
          <w:szCs w:val="22"/>
          <w:lang w:eastAsia="en-AU"/>
        </w:rPr>
      </w:pPr>
      <w:r>
        <w:tab/>
      </w:r>
      <w:hyperlink w:anchor="_Toc72505989" w:history="1">
        <w:r w:rsidRPr="00615A7E">
          <w:t>1.20E</w:t>
        </w:r>
        <w:r>
          <w:rPr>
            <w:rFonts w:asciiTheme="minorHAnsi" w:eastAsiaTheme="minorEastAsia" w:hAnsiTheme="minorHAnsi" w:cstheme="minorBidi"/>
            <w:sz w:val="22"/>
            <w:szCs w:val="22"/>
            <w:lang w:eastAsia="en-AU"/>
          </w:rPr>
          <w:tab/>
        </w:r>
        <w:r w:rsidRPr="00615A7E">
          <w:t>Setting and changing deposit limits</w:t>
        </w:r>
        <w:r>
          <w:tab/>
        </w:r>
        <w:r>
          <w:fldChar w:fldCharType="begin"/>
        </w:r>
        <w:r>
          <w:instrText xml:space="preserve"> PAGEREF _Toc72505989 \h </w:instrText>
        </w:r>
        <w:r>
          <w:fldChar w:fldCharType="separate"/>
        </w:r>
        <w:r w:rsidR="00010EDA">
          <w:t>36</w:t>
        </w:r>
        <w:r>
          <w:fldChar w:fldCharType="end"/>
        </w:r>
      </w:hyperlink>
    </w:p>
    <w:p w14:paraId="0DE5DD4E" w14:textId="724F6B61" w:rsidR="00221DDE" w:rsidRDefault="00221DDE">
      <w:pPr>
        <w:pStyle w:val="TOC5"/>
        <w:rPr>
          <w:rFonts w:asciiTheme="minorHAnsi" w:eastAsiaTheme="minorEastAsia" w:hAnsiTheme="minorHAnsi" w:cstheme="minorBidi"/>
          <w:sz w:val="22"/>
          <w:szCs w:val="22"/>
          <w:lang w:eastAsia="en-AU"/>
        </w:rPr>
      </w:pPr>
      <w:r>
        <w:tab/>
      </w:r>
      <w:hyperlink w:anchor="_Toc72505990" w:history="1">
        <w:r w:rsidRPr="00615A7E">
          <w:t>1.20F</w:t>
        </w:r>
        <w:r>
          <w:rPr>
            <w:rFonts w:asciiTheme="minorHAnsi" w:eastAsiaTheme="minorEastAsia" w:hAnsiTheme="minorHAnsi" w:cstheme="minorBidi"/>
            <w:sz w:val="22"/>
            <w:szCs w:val="22"/>
            <w:lang w:eastAsia="en-AU"/>
          </w:rPr>
          <w:tab/>
        </w:r>
        <w:r w:rsidRPr="00615A7E">
          <w:t>Closing betting accounts</w:t>
        </w:r>
        <w:r>
          <w:tab/>
        </w:r>
        <w:r>
          <w:fldChar w:fldCharType="begin"/>
        </w:r>
        <w:r>
          <w:instrText xml:space="preserve"> PAGEREF _Toc72505990 \h </w:instrText>
        </w:r>
        <w:r>
          <w:fldChar w:fldCharType="separate"/>
        </w:r>
        <w:r w:rsidR="00010EDA">
          <w:t>36</w:t>
        </w:r>
        <w:r>
          <w:fldChar w:fldCharType="end"/>
        </w:r>
      </w:hyperlink>
    </w:p>
    <w:p w14:paraId="4667B80D" w14:textId="56AFD13B" w:rsidR="00221DDE" w:rsidRDefault="00221DDE">
      <w:pPr>
        <w:pStyle w:val="TOC5"/>
        <w:rPr>
          <w:rFonts w:asciiTheme="minorHAnsi" w:eastAsiaTheme="minorEastAsia" w:hAnsiTheme="minorHAnsi" w:cstheme="minorBidi"/>
          <w:sz w:val="22"/>
          <w:szCs w:val="22"/>
          <w:lang w:eastAsia="en-AU"/>
        </w:rPr>
      </w:pPr>
      <w:r>
        <w:tab/>
      </w:r>
      <w:hyperlink w:anchor="_Toc72505991" w:history="1">
        <w:r w:rsidRPr="00615A7E">
          <w:t>1.20G</w:t>
        </w:r>
        <w:r>
          <w:rPr>
            <w:rFonts w:asciiTheme="minorHAnsi" w:eastAsiaTheme="minorEastAsia" w:hAnsiTheme="minorHAnsi" w:cstheme="minorBidi"/>
            <w:sz w:val="22"/>
            <w:szCs w:val="22"/>
            <w:lang w:eastAsia="en-AU"/>
          </w:rPr>
          <w:tab/>
        </w:r>
        <w:r w:rsidRPr="00615A7E">
          <w:t>Guidelines about betting accounts</w:t>
        </w:r>
        <w:r>
          <w:tab/>
        </w:r>
        <w:r>
          <w:fldChar w:fldCharType="begin"/>
        </w:r>
        <w:r>
          <w:instrText xml:space="preserve"> PAGEREF _Toc72505991 \h </w:instrText>
        </w:r>
        <w:r>
          <w:fldChar w:fldCharType="separate"/>
        </w:r>
        <w:r w:rsidR="00010EDA">
          <w:t>37</w:t>
        </w:r>
        <w:r>
          <w:fldChar w:fldCharType="end"/>
        </w:r>
      </w:hyperlink>
    </w:p>
    <w:p w14:paraId="140CA5D7" w14:textId="0100EC12" w:rsidR="00221DDE" w:rsidRDefault="00221DDE">
      <w:pPr>
        <w:pStyle w:val="TOC5"/>
        <w:rPr>
          <w:rFonts w:asciiTheme="minorHAnsi" w:eastAsiaTheme="minorEastAsia" w:hAnsiTheme="minorHAnsi" w:cstheme="minorBidi"/>
          <w:sz w:val="22"/>
          <w:szCs w:val="22"/>
          <w:lang w:eastAsia="en-AU"/>
        </w:rPr>
      </w:pPr>
      <w:r>
        <w:tab/>
      </w:r>
      <w:hyperlink w:anchor="_Toc72505992" w:history="1">
        <w:r w:rsidRPr="00615A7E">
          <w:t>1.20H</w:t>
        </w:r>
        <w:r>
          <w:rPr>
            <w:rFonts w:asciiTheme="minorHAnsi" w:eastAsiaTheme="minorEastAsia" w:hAnsiTheme="minorHAnsi" w:cstheme="minorBidi"/>
            <w:sz w:val="22"/>
            <w:szCs w:val="22"/>
            <w:lang w:eastAsia="en-AU"/>
          </w:rPr>
          <w:tab/>
        </w:r>
        <w:r w:rsidRPr="00615A7E">
          <w:t>Directions about betting accounts</w:t>
        </w:r>
        <w:r>
          <w:tab/>
        </w:r>
        <w:r>
          <w:fldChar w:fldCharType="begin"/>
        </w:r>
        <w:r>
          <w:instrText xml:space="preserve"> PAGEREF _Toc72505992 \h </w:instrText>
        </w:r>
        <w:r>
          <w:fldChar w:fldCharType="separate"/>
        </w:r>
        <w:r w:rsidR="00010EDA">
          <w:t>38</w:t>
        </w:r>
        <w:r>
          <w:fldChar w:fldCharType="end"/>
        </w:r>
      </w:hyperlink>
    </w:p>
    <w:p w14:paraId="4442D7C9" w14:textId="696B09A4" w:rsidR="00221DDE" w:rsidRDefault="00C17B8B">
      <w:pPr>
        <w:pStyle w:val="TOC7"/>
        <w:rPr>
          <w:rFonts w:asciiTheme="minorHAnsi" w:eastAsiaTheme="minorEastAsia" w:hAnsiTheme="minorHAnsi" w:cstheme="minorBidi"/>
          <w:b w:val="0"/>
          <w:sz w:val="22"/>
          <w:szCs w:val="22"/>
          <w:lang w:eastAsia="en-AU"/>
        </w:rPr>
      </w:pPr>
      <w:hyperlink w:anchor="_Toc72505993" w:history="1">
        <w:r w:rsidR="00221DDE" w:rsidRPr="00615A7E">
          <w:t>Part 1.3</w:t>
        </w:r>
        <w:r w:rsidR="00221DDE">
          <w:rPr>
            <w:rFonts w:asciiTheme="minorHAnsi" w:eastAsiaTheme="minorEastAsia" w:hAnsiTheme="minorHAnsi" w:cstheme="minorBidi"/>
            <w:b w:val="0"/>
            <w:sz w:val="22"/>
            <w:szCs w:val="22"/>
            <w:lang w:eastAsia="en-AU"/>
          </w:rPr>
          <w:tab/>
        </w:r>
        <w:r w:rsidR="00221DDE" w:rsidRPr="00615A7E">
          <w:t>Financial controls and gambling environment</w:t>
        </w:r>
        <w:r w:rsidR="00221DDE">
          <w:tab/>
        </w:r>
        <w:r w:rsidR="00221DDE" w:rsidRPr="00221DDE">
          <w:rPr>
            <w:b w:val="0"/>
          </w:rPr>
          <w:fldChar w:fldCharType="begin"/>
        </w:r>
        <w:r w:rsidR="00221DDE" w:rsidRPr="00221DDE">
          <w:rPr>
            <w:b w:val="0"/>
          </w:rPr>
          <w:instrText xml:space="preserve"> PAGEREF _Toc72505993 \h </w:instrText>
        </w:r>
        <w:r w:rsidR="00221DDE" w:rsidRPr="00221DDE">
          <w:rPr>
            <w:b w:val="0"/>
          </w:rPr>
        </w:r>
        <w:r w:rsidR="00221DDE" w:rsidRPr="00221DDE">
          <w:rPr>
            <w:b w:val="0"/>
          </w:rPr>
          <w:fldChar w:fldCharType="separate"/>
        </w:r>
        <w:r w:rsidR="00010EDA">
          <w:rPr>
            <w:b w:val="0"/>
          </w:rPr>
          <w:t>39</w:t>
        </w:r>
        <w:r w:rsidR="00221DDE" w:rsidRPr="00221DDE">
          <w:rPr>
            <w:b w:val="0"/>
          </w:rPr>
          <w:fldChar w:fldCharType="end"/>
        </w:r>
      </w:hyperlink>
    </w:p>
    <w:p w14:paraId="535D1A14" w14:textId="573F800A" w:rsidR="00221DDE" w:rsidRDefault="00221DDE">
      <w:pPr>
        <w:pStyle w:val="TOC5"/>
        <w:rPr>
          <w:rFonts w:asciiTheme="minorHAnsi" w:eastAsiaTheme="minorEastAsia" w:hAnsiTheme="minorHAnsi" w:cstheme="minorBidi"/>
          <w:sz w:val="22"/>
          <w:szCs w:val="22"/>
          <w:lang w:eastAsia="en-AU"/>
        </w:rPr>
      </w:pPr>
      <w:r>
        <w:tab/>
      </w:r>
      <w:hyperlink w:anchor="_Toc72505994" w:history="1">
        <w:r w:rsidRPr="00615A7E">
          <w:t>1.21</w:t>
        </w:r>
        <w:r>
          <w:rPr>
            <w:rFonts w:asciiTheme="minorHAnsi" w:eastAsiaTheme="minorEastAsia" w:hAnsiTheme="minorHAnsi" w:cstheme="minorBidi"/>
            <w:sz w:val="22"/>
            <w:szCs w:val="22"/>
            <w:lang w:eastAsia="en-AU"/>
          </w:rPr>
          <w:tab/>
        </w:r>
        <w:r w:rsidRPr="00615A7E">
          <w:t>Cash facilities</w:t>
        </w:r>
        <w:r>
          <w:tab/>
        </w:r>
        <w:r>
          <w:fldChar w:fldCharType="begin"/>
        </w:r>
        <w:r>
          <w:instrText xml:space="preserve"> PAGEREF _Toc72505994 \h </w:instrText>
        </w:r>
        <w:r>
          <w:fldChar w:fldCharType="separate"/>
        </w:r>
        <w:r w:rsidR="00010EDA">
          <w:t>39</w:t>
        </w:r>
        <w:r>
          <w:fldChar w:fldCharType="end"/>
        </w:r>
      </w:hyperlink>
    </w:p>
    <w:p w14:paraId="35BE45DC" w14:textId="5D09838B" w:rsidR="00221DDE" w:rsidRDefault="00221DDE">
      <w:pPr>
        <w:pStyle w:val="TOC5"/>
        <w:rPr>
          <w:rFonts w:asciiTheme="minorHAnsi" w:eastAsiaTheme="minorEastAsia" w:hAnsiTheme="minorHAnsi" w:cstheme="minorBidi"/>
          <w:sz w:val="22"/>
          <w:szCs w:val="22"/>
          <w:lang w:eastAsia="en-AU"/>
        </w:rPr>
      </w:pPr>
      <w:r>
        <w:tab/>
      </w:r>
      <w:hyperlink w:anchor="_Toc72505995" w:history="1">
        <w:r w:rsidRPr="00615A7E">
          <w:t>1.22</w:t>
        </w:r>
        <w:r>
          <w:rPr>
            <w:rFonts w:asciiTheme="minorHAnsi" w:eastAsiaTheme="minorEastAsia" w:hAnsiTheme="minorHAnsi" w:cstheme="minorBidi"/>
            <w:sz w:val="22"/>
            <w:szCs w:val="22"/>
            <w:lang w:eastAsia="en-AU"/>
          </w:rPr>
          <w:tab/>
        </w:r>
        <w:r w:rsidRPr="00615A7E">
          <w:t>Cash payment limits for casino licensees</w:t>
        </w:r>
        <w:r>
          <w:tab/>
        </w:r>
        <w:r>
          <w:fldChar w:fldCharType="begin"/>
        </w:r>
        <w:r>
          <w:instrText xml:space="preserve"> PAGEREF _Toc72505995 \h </w:instrText>
        </w:r>
        <w:r>
          <w:fldChar w:fldCharType="separate"/>
        </w:r>
        <w:r w:rsidR="00010EDA">
          <w:t>39</w:t>
        </w:r>
        <w:r>
          <w:fldChar w:fldCharType="end"/>
        </w:r>
      </w:hyperlink>
    </w:p>
    <w:p w14:paraId="5F8AE588" w14:textId="557FA089" w:rsidR="00221DDE" w:rsidRDefault="00221DDE">
      <w:pPr>
        <w:pStyle w:val="TOC5"/>
        <w:rPr>
          <w:rFonts w:asciiTheme="minorHAnsi" w:eastAsiaTheme="minorEastAsia" w:hAnsiTheme="minorHAnsi" w:cstheme="minorBidi"/>
          <w:sz w:val="22"/>
          <w:szCs w:val="22"/>
          <w:lang w:eastAsia="en-AU"/>
        </w:rPr>
      </w:pPr>
      <w:r>
        <w:tab/>
      </w:r>
      <w:hyperlink w:anchor="_Toc72505996" w:history="1">
        <w:r w:rsidRPr="00615A7E">
          <w:t>1.23</w:t>
        </w:r>
        <w:r>
          <w:rPr>
            <w:rFonts w:asciiTheme="minorHAnsi" w:eastAsiaTheme="minorEastAsia" w:hAnsiTheme="minorHAnsi" w:cstheme="minorBidi"/>
            <w:sz w:val="22"/>
            <w:szCs w:val="22"/>
            <w:lang w:eastAsia="en-AU"/>
          </w:rPr>
          <w:tab/>
        </w:r>
        <w:r w:rsidRPr="00615A7E">
          <w:t>Other cash payment limits</w:t>
        </w:r>
        <w:r>
          <w:tab/>
        </w:r>
        <w:r>
          <w:fldChar w:fldCharType="begin"/>
        </w:r>
        <w:r>
          <w:instrText xml:space="preserve"> PAGEREF _Toc72505996 \h </w:instrText>
        </w:r>
        <w:r>
          <w:fldChar w:fldCharType="separate"/>
        </w:r>
        <w:r w:rsidR="00010EDA">
          <w:t>40</w:t>
        </w:r>
        <w:r>
          <w:fldChar w:fldCharType="end"/>
        </w:r>
      </w:hyperlink>
    </w:p>
    <w:p w14:paraId="6E947FB9" w14:textId="47F9C0F2" w:rsidR="00221DDE" w:rsidRDefault="00221DDE">
      <w:pPr>
        <w:pStyle w:val="TOC5"/>
        <w:rPr>
          <w:rFonts w:asciiTheme="minorHAnsi" w:eastAsiaTheme="minorEastAsia" w:hAnsiTheme="minorHAnsi" w:cstheme="minorBidi"/>
          <w:sz w:val="22"/>
          <w:szCs w:val="22"/>
          <w:lang w:eastAsia="en-AU"/>
        </w:rPr>
      </w:pPr>
      <w:r>
        <w:tab/>
      </w:r>
      <w:hyperlink w:anchor="_Toc72505997" w:history="1">
        <w:r w:rsidRPr="00615A7E">
          <w:t>1.23AA</w:t>
        </w:r>
        <w:r>
          <w:rPr>
            <w:rFonts w:asciiTheme="minorHAnsi" w:eastAsiaTheme="minorEastAsia" w:hAnsiTheme="minorHAnsi" w:cstheme="minorBidi"/>
            <w:sz w:val="22"/>
            <w:szCs w:val="22"/>
            <w:lang w:eastAsia="en-AU"/>
          </w:rPr>
          <w:tab/>
        </w:r>
        <w:r w:rsidRPr="00615A7E">
          <w:t>No winnings for excluded or underage patrons</w:t>
        </w:r>
        <w:r>
          <w:tab/>
        </w:r>
        <w:r>
          <w:fldChar w:fldCharType="begin"/>
        </w:r>
        <w:r>
          <w:instrText xml:space="preserve"> PAGEREF _Toc72505997 \h </w:instrText>
        </w:r>
        <w:r>
          <w:fldChar w:fldCharType="separate"/>
        </w:r>
        <w:r w:rsidR="00010EDA">
          <w:t>41</w:t>
        </w:r>
        <w:r>
          <w:fldChar w:fldCharType="end"/>
        </w:r>
      </w:hyperlink>
    </w:p>
    <w:p w14:paraId="51F4DCEF" w14:textId="31E4D043" w:rsidR="00221DDE" w:rsidRDefault="00221DDE">
      <w:pPr>
        <w:pStyle w:val="TOC5"/>
        <w:rPr>
          <w:rFonts w:asciiTheme="minorHAnsi" w:eastAsiaTheme="minorEastAsia" w:hAnsiTheme="minorHAnsi" w:cstheme="minorBidi"/>
          <w:sz w:val="22"/>
          <w:szCs w:val="22"/>
          <w:lang w:eastAsia="en-AU"/>
        </w:rPr>
      </w:pPr>
      <w:r>
        <w:tab/>
      </w:r>
      <w:hyperlink w:anchor="_Toc72505998" w:history="1">
        <w:r w:rsidRPr="00615A7E">
          <w:t>1.23A</w:t>
        </w:r>
        <w:r>
          <w:rPr>
            <w:rFonts w:asciiTheme="minorHAnsi" w:eastAsiaTheme="minorEastAsia" w:hAnsiTheme="minorHAnsi" w:cstheme="minorBidi"/>
            <w:sz w:val="22"/>
            <w:szCs w:val="22"/>
            <w:lang w:eastAsia="en-AU"/>
          </w:rPr>
          <w:tab/>
        </w:r>
        <w:r w:rsidRPr="00615A7E">
          <w:t>Non-cash payment of winnings</w:t>
        </w:r>
        <w:r>
          <w:tab/>
        </w:r>
        <w:r>
          <w:fldChar w:fldCharType="begin"/>
        </w:r>
        <w:r>
          <w:instrText xml:space="preserve"> PAGEREF _Toc72505998 \h </w:instrText>
        </w:r>
        <w:r>
          <w:fldChar w:fldCharType="separate"/>
        </w:r>
        <w:r w:rsidR="00010EDA">
          <w:t>42</w:t>
        </w:r>
        <w:r>
          <w:fldChar w:fldCharType="end"/>
        </w:r>
      </w:hyperlink>
    </w:p>
    <w:p w14:paraId="39CC9910" w14:textId="69D5C90A" w:rsidR="00221DDE" w:rsidRDefault="00221DDE">
      <w:pPr>
        <w:pStyle w:val="TOC5"/>
        <w:rPr>
          <w:rFonts w:asciiTheme="minorHAnsi" w:eastAsiaTheme="minorEastAsia" w:hAnsiTheme="minorHAnsi" w:cstheme="minorBidi"/>
          <w:sz w:val="22"/>
          <w:szCs w:val="22"/>
          <w:lang w:eastAsia="en-AU"/>
        </w:rPr>
      </w:pPr>
      <w:r>
        <w:tab/>
      </w:r>
      <w:hyperlink w:anchor="_Toc72505999" w:history="1">
        <w:r w:rsidRPr="00615A7E">
          <w:t>1.24</w:t>
        </w:r>
        <w:r>
          <w:rPr>
            <w:rFonts w:asciiTheme="minorHAnsi" w:eastAsiaTheme="minorEastAsia" w:hAnsiTheme="minorHAnsi" w:cstheme="minorBidi"/>
            <w:sz w:val="22"/>
            <w:szCs w:val="22"/>
            <w:lang w:eastAsia="en-AU"/>
          </w:rPr>
          <w:tab/>
        </w:r>
        <w:r w:rsidRPr="00615A7E">
          <w:t>Cheques</w:t>
        </w:r>
        <w:r>
          <w:tab/>
        </w:r>
        <w:r>
          <w:fldChar w:fldCharType="begin"/>
        </w:r>
        <w:r>
          <w:instrText xml:space="preserve"> PAGEREF _Toc72505999 \h </w:instrText>
        </w:r>
        <w:r>
          <w:fldChar w:fldCharType="separate"/>
        </w:r>
        <w:r w:rsidR="00010EDA">
          <w:t>42</w:t>
        </w:r>
        <w:r>
          <w:fldChar w:fldCharType="end"/>
        </w:r>
      </w:hyperlink>
    </w:p>
    <w:p w14:paraId="7918C54A" w14:textId="73B85825" w:rsidR="00221DDE" w:rsidRDefault="00221DDE">
      <w:pPr>
        <w:pStyle w:val="TOC5"/>
        <w:rPr>
          <w:rFonts w:asciiTheme="minorHAnsi" w:eastAsiaTheme="minorEastAsia" w:hAnsiTheme="minorHAnsi" w:cstheme="minorBidi"/>
          <w:sz w:val="22"/>
          <w:szCs w:val="22"/>
          <w:lang w:eastAsia="en-AU"/>
        </w:rPr>
      </w:pPr>
      <w:r>
        <w:tab/>
      </w:r>
      <w:hyperlink w:anchor="_Toc72506000" w:history="1">
        <w:r w:rsidRPr="00615A7E">
          <w:t>1.25</w:t>
        </w:r>
        <w:r>
          <w:rPr>
            <w:rFonts w:asciiTheme="minorHAnsi" w:eastAsiaTheme="minorEastAsia" w:hAnsiTheme="minorHAnsi" w:cstheme="minorBidi"/>
            <w:sz w:val="22"/>
            <w:szCs w:val="22"/>
            <w:lang w:eastAsia="en-AU"/>
          </w:rPr>
          <w:tab/>
        </w:r>
        <w:r w:rsidRPr="00615A7E">
          <w:t>Availability of information</w:t>
        </w:r>
        <w:r>
          <w:tab/>
        </w:r>
        <w:r>
          <w:fldChar w:fldCharType="begin"/>
        </w:r>
        <w:r>
          <w:instrText xml:space="preserve"> PAGEREF _Toc72506000 \h </w:instrText>
        </w:r>
        <w:r>
          <w:fldChar w:fldCharType="separate"/>
        </w:r>
        <w:r w:rsidR="00010EDA">
          <w:t>42</w:t>
        </w:r>
        <w:r>
          <w:fldChar w:fldCharType="end"/>
        </w:r>
      </w:hyperlink>
    </w:p>
    <w:p w14:paraId="465596DA" w14:textId="1475F75E" w:rsidR="00221DDE" w:rsidRDefault="00221DDE">
      <w:pPr>
        <w:pStyle w:val="TOC5"/>
        <w:rPr>
          <w:rFonts w:asciiTheme="minorHAnsi" w:eastAsiaTheme="minorEastAsia" w:hAnsiTheme="minorHAnsi" w:cstheme="minorBidi"/>
          <w:sz w:val="22"/>
          <w:szCs w:val="22"/>
          <w:lang w:eastAsia="en-AU"/>
        </w:rPr>
      </w:pPr>
      <w:r>
        <w:tab/>
      </w:r>
      <w:hyperlink w:anchor="_Toc72506001" w:history="1">
        <w:r w:rsidRPr="00615A7E">
          <w:t>1.26</w:t>
        </w:r>
        <w:r>
          <w:rPr>
            <w:rFonts w:asciiTheme="minorHAnsi" w:eastAsiaTheme="minorEastAsia" w:hAnsiTheme="minorHAnsi" w:cstheme="minorBidi"/>
            <w:sz w:val="22"/>
            <w:szCs w:val="22"/>
            <w:lang w:eastAsia="en-AU"/>
          </w:rPr>
          <w:tab/>
        </w:r>
        <w:r w:rsidRPr="00615A7E">
          <w:t>Clocks and lighting</w:t>
        </w:r>
        <w:r>
          <w:tab/>
        </w:r>
        <w:r>
          <w:fldChar w:fldCharType="begin"/>
        </w:r>
        <w:r>
          <w:instrText xml:space="preserve"> PAGEREF _Toc72506001 \h </w:instrText>
        </w:r>
        <w:r>
          <w:fldChar w:fldCharType="separate"/>
        </w:r>
        <w:r w:rsidR="00010EDA">
          <w:t>44</w:t>
        </w:r>
        <w:r>
          <w:fldChar w:fldCharType="end"/>
        </w:r>
      </w:hyperlink>
    </w:p>
    <w:p w14:paraId="5C89037C" w14:textId="34BEF735" w:rsidR="00221DDE" w:rsidRDefault="00221DDE">
      <w:pPr>
        <w:pStyle w:val="TOC5"/>
        <w:rPr>
          <w:rFonts w:asciiTheme="minorHAnsi" w:eastAsiaTheme="minorEastAsia" w:hAnsiTheme="minorHAnsi" w:cstheme="minorBidi"/>
          <w:sz w:val="22"/>
          <w:szCs w:val="22"/>
          <w:lang w:eastAsia="en-AU"/>
        </w:rPr>
      </w:pPr>
      <w:r>
        <w:tab/>
      </w:r>
      <w:hyperlink w:anchor="_Toc72506002" w:history="1">
        <w:r w:rsidRPr="00615A7E">
          <w:t>1.27</w:t>
        </w:r>
        <w:r>
          <w:rPr>
            <w:rFonts w:asciiTheme="minorHAnsi" w:eastAsiaTheme="minorEastAsia" w:hAnsiTheme="minorHAnsi" w:cstheme="minorBidi"/>
            <w:sz w:val="22"/>
            <w:szCs w:val="22"/>
            <w:lang w:eastAsia="en-AU"/>
          </w:rPr>
          <w:tab/>
        </w:r>
        <w:r w:rsidRPr="00615A7E">
          <w:t>Directions about information, clocks and lighting</w:t>
        </w:r>
        <w:r>
          <w:tab/>
        </w:r>
        <w:r>
          <w:fldChar w:fldCharType="begin"/>
        </w:r>
        <w:r>
          <w:instrText xml:space="preserve"> PAGEREF _Toc72506002 \h </w:instrText>
        </w:r>
        <w:r>
          <w:fldChar w:fldCharType="separate"/>
        </w:r>
        <w:r w:rsidR="00010EDA">
          <w:t>45</w:t>
        </w:r>
        <w:r>
          <w:fldChar w:fldCharType="end"/>
        </w:r>
      </w:hyperlink>
    </w:p>
    <w:p w14:paraId="0F57812B" w14:textId="0123742E" w:rsidR="00221DDE" w:rsidRDefault="00221DDE">
      <w:pPr>
        <w:pStyle w:val="TOC5"/>
        <w:rPr>
          <w:rFonts w:asciiTheme="minorHAnsi" w:eastAsiaTheme="minorEastAsia" w:hAnsiTheme="minorHAnsi" w:cstheme="minorBidi"/>
          <w:sz w:val="22"/>
          <w:szCs w:val="22"/>
          <w:lang w:eastAsia="en-AU"/>
        </w:rPr>
      </w:pPr>
      <w:r>
        <w:tab/>
      </w:r>
      <w:hyperlink w:anchor="_Toc72506003" w:history="1">
        <w:r w:rsidRPr="00615A7E">
          <w:t>1.27A</w:t>
        </w:r>
        <w:r>
          <w:rPr>
            <w:rFonts w:asciiTheme="minorHAnsi" w:eastAsiaTheme="minorEastAsia" w:hAnsiTheme="minorHAnsi" w:cstheme="minorBidi"/>
            <w:sz w:val="22"/>
            <w:szCs w:val="22"/>
            <w:lang w:eastAsia="en-AU"/>
          </w:rPr>
          <w:tab/>
        </w:r>
        <w:r w:rsidRPr="00615A7E">
          <w:t>Alcohol service prohibited while gambling</w:t>
        </w:r>
        <w:r>
          <w:tab/>
        </w:r>
        <w:r>
          <w:fldChar w:fldCharType="begin"/>
        </w:r>
        <w:r>
          <w:instrText xml:space="preserve"> PAGEREF _Toc72506003 \h </w:instrText>
        </w:r>
        <w:r>
          <w:fldChar w:fldCharType="separate"/>
        </w:r>
        <w:r w:rsidR="00010EDA">
          <w:t>45</w:t>
        </w:r>
        <w:r>
          <w:fldChar w:fldCharType="end"/>
        </w:r>
      </w:hyperlink>
    </w:p>
    <w:p w14:paraId="2B030F49" w14:textId="08BC8555" w:rsidR="00221DDE" w:rsidRDefault="00221DDE">
      <w:pPr>
        <w:pStyle w:val="TOC5"/>
        <w:rPr>
          <w:rFonts w:asciiTheme="minorHAnsi" w:eastAsiaTheme="minorEastAsia" w:hAnsiTheme="minorHAnsi" w:cstheme="minorBidi"/>
          <w:sz w:val="22"/>
          <w:szCs w:val="22"/>
          <w:lang w:eastAsia="en-AU"/>
        </w:rPr>
      </w:pPr>
      <w:r>
        <w:tab/>
      </w:r>
      <w:hyperlink w:anchor="_Toc72506004" w:history="1">
        <w:r w:rsidRPr="00615A7E">
          <w:t>1.27B</w:t>
        </w:r>
        <w:r>
          <w:rPr>
            <w:rFonts w:asciiTheme="minorHAnsi" w:eastAsiaTheme="minorEastAsia" w:hAnsiTheme="minorHAnsi" w:cstheme="minorBidi"/>
            <w:sz w:val="22"/>
            <w:szCs w:val="22"/>
            <w:lang w:eastAsia="en-AU"/>
          </w:rPr>
          <w:tab/>
        </w:r>
        <w:r w:rsidRPr="00615A7E">
          <w:t>Operating times of gaming machines</w:t>
        </w:r>
        <w:r>
          <w:tab/>
        </w:r>
        <w:r>
          <w:fldChar w:fldCharType="begin"/>
        </w:r>
        <w:r>
          <w:instrText xml:space="preserve"> PAGEREF _Toc72506004 \h </w:instrText>
        </w:r>
        <w:r>
          <w:fldChar w:fldCharType="separate"/>
        </w:r>
        <w:r w:rsidR="00010EDA">
          <w:t>45</w:t>
        </w:r>
        <w:r>
          <w:fldChar w:fldCharType="end"/>
        </w:r>
      </w:hyperlink>
    </w:p>
    <w:p w14:paraId="2F6E33FE" w14:textId="64CA775B" w:rsidR="00221DDE" w:rsidRDefault="00C17B8B">
      <w:pPr>
        <w:pStyle w:val="TOC7"/>
        <w:rPr>
          <w:rFonts w:asciiTheme="minorHAnsi" w:eastAsiaTheme="minorEastAsia" w:hAnsiTheme="minorHAnsi" w:cstheme="minorBidi"/>
          <w:b w:val="0"/>
          <w:sz w:val="22"/>
          <w:szCs w:val="22"/>
          <w:lang w:eastAsia="en-AU"/>
        </w:rPr>
      </w:pPr>
      <w:hyperlink w:anchor="_Toc72506005" w:history="1">
        <w:r w:rsidR="00221DDE" w:rsidRPr="00615A7E">
          <w:t>Part 1.4</w:t>
        </w:r>
        <w:r w:rsidR="00221DDE">
          <w:rPr>
            <w:rFonts w:asciiTheme="minorHAnsi" w:eastAsiaTheme="minorEastAsia" w:hAnsiTheme="minorHAnsi" w:cstheme="minorBidi"/>
            <w:b w:val="0"/>
            <w:sz w:val="22"/>
            <w:szCs w:val="22"/>
            <w:lang w:eastAsia="en-AU"/>
          </w:rPr>
          <w:tab/>
        </w:r>
        <w:r w:rsidR="00221DDE" w:rsidRPr="00615A7E">
          <w:t>Advertising, promotions and inducements</w:t>
        </w:r>
        <w:r w:rsidR="00221DDE">
          <w:tab/>
        </w:r>
        <w:r w:rsidR="00221DDE" w:rsidRPr="00221DDE">
          <w:rPr>
            <w:b w:val="0"/>
          </w:rPr>
          <w:fldChar w:fldCharType="begin"/>
        </w:r>
        <w:r w:rsidR="00221DDE" w:rsidRPr="00221DDE">
          <w:rPr>
            <w:b w:val="0"/>
          </w:rPr>
          <w:instrText xml:space="preserve"> PAGEREF _Toc72506005 \h </w:instrText>
        </w:r>
        <w:r w:rsidR="00221DDE" w:rsidRPr="00221DDE">
          <w:rPr>
            <w:b w:val="0"/>
          </w:rPr>
        </w:r>
        <w:r w:rsidR="00221DDE" w:rsidRPr="00221DDE">
          <w:rPr>
            <w:b w:val="0"/>
          </w:rPr>
          <w:fldChar w:fldCharType="separate"/>
        </w:r>
        <w:r w:rsidR="00010EDA">
          <w:rPr>
            <w:b w:val="0"/>
          </w:rPr>
          <w:t>46</w:t>
        </w:r>
        <w:r w:rsidR="00221DDE" w:rsidRPr="00221DDE">
          <w:rPr>
            <w:b w:val="0"/>
          </w:rPr>
          <w:fldChar w:fldCharType="end"/>
        </w:r>
      </w:hyperlink>
    </w:p>
    <w:p w14:paraId="31CD7443" w14:textId="6D8B610A" w:rsidR="00221DDE" w:rsidRDefault="00221DDE">
      <w:pPr>
        <w:pStyle w:val="TOC5"/>
        <w:rPr>
          <w:rFonts w:asciiTheme="minorHAnsi" w:eastAsiaTheme="minorEastAsia" w:hAnsiTheme="minorHAnsi" w:cstheme="minorBidi"/>
          <w:sz w:val="22"/>
          <w:szCs w:val="22"/>
          <w:lang w:eastAsia="en-AU"/>
        </w:rPr>
      </w:pPr>
      <w:r>
        <w:tab/>
      </w:r>
      <w:hyperlink w:anchor="_Toc72506006" w:history="1">
        <w:r w:rsidRPr="00615A7E">
          <w:t>1.28</w:t>
        </w:r>
        <w:r>
          <w:rPr>
            <w:rFonts w:asciiTheme="minorHAnsi" w:eastAsiaTheme="minorEastAsia" w:hAnsiTheme="minorHAnsi" w:cstheme="minorBidi"/>
            <w:sz w:val="22"/>
            <w:szCs w:val="22"/>
            <w:lang w:eastAsia="en-AU"/>
          </w:rPr>
          <w:tab/>
        </w:r>
        <w:r w:rsidRPr="00615A7E">
          <w:t>Advertising</w:t>
        </w:r>
        <w:r>
          <w:tab/>
        </w:r>
        <w:r>
          <w:fldChar w:fldCharType="begin"/>
        </w:r>
        <w:r>
          <w:instrText xml:space="preserve"> PAGEREF _Toc72506006 \h </w:instrText>
        </w:r>
        <w:r>
          <w:fldChar w:fldCharType="separate"/>
        </w:r>
        <w:r w:rsidR="00010EDA">
          <w:t>46</w:t>
        </w:r>
        <w:r>
          <w:fldChar w:fldCharType="end"/>
        </w:r>
      </w:hyperlink>
    </w:p>
    <w:p w14:paraId="31F1F1C7" w14:textId="329CBF1B" w:rsidR="00221DDE" w:rsidRDefault="00221DDE">
      <w:pPr>
        <w:pStyle w:val="TOC5"/>
        <w:rPr>
          <w:rFonts w:asciiTheme="minorHAnsi" w:eastAsiaTheme="minorEastAsia" w:hAnsiTheme="minorHAnsi" w:cstheme="minorBidi"/>
          <w:sz w:val="22"/>
          <w:szCs w:val="22"/>
          <w:lang w:eastAsia="en-AU"/>
        </w:rPr>
      </w:pPr>
      <w:r>
        <w:tab/>
      </w:r>
      <w:hyperlink w:anchor="_Toc72506007" w:history="1">
        <w:r w:rsidRPr="00615A7E">
          <w:t>1.29</w:t>
        </w:r>
        <w:r>
          <w:rPr>
            <w:rFonts w:asciiTheme="minorHAnsi" w:eastAsiaTheme="minorEastAsia" w:hAnsiTheme="minorHAnsi" w:cstheme="minorBidi"/>
            <w:sz w:val="22"/>
            <w:szCs w:val="22"/>
            <w:lang w:eastAsia="en-AU"/>
          </w:rPr>
          <w:tab/>
        </w:r>
        <w:r w:rsidRPr="00615A7E">
          <w:t>Advertising requirements</w:t>
        </w:r>
        <w:r>
          <w:tab/>
        </w:r>
        <w:r>
          <w:fldChar w:fldCharType="begin"/>
        </w:r>
        <w:r>
          <w:instrText xml:space="preserve"> PAGEREF _Toc72506007 \h </w:instrText>
        </w:r>
        <w:r>
          <w:fldChar w:fldCharType="separate"/>
        </w:r>
        <w:r w:rsidR="00010EDA">
          <w:t>46</w:t>
        </w:r>
        <w:r>
          <w:fldChar w:fldCharType="end"/>
        </w:r>
      </w:hyperlink>
    </w:p>
    <w:p w14:paraId="29D5250E" w14:textId="0BDE29E5" w:rsidR="00221DDE" w:rsidRDefault="00221DDE">
      <w:pPr>
        <w:pStyle w:val="TOC5"/>
        <w:rPr>
          <w:rFonts w:asciiTheme="minorHAnsi" w:eastAsiaTheme="minorEastAsia" w:hAnsiTheme="minorHAnsi" w:cstheme="minorBidi"/>
          <w:sz w:val="22"/>
          <w:szCs w:val="22"/>
          <w:lang w:eastAsia="en-AU"/>
        </w:rPr>
      </w:pPr>
      <w:r>
        <w:tab/>
      </w:r>
      <w:hyperlink w:anchor="_Toc72506008" w:history="1">
        <w:r w:rsidRPr="00615A7E">
          <w:t>1.30</w:t>
        </w:r>
        <w:r>
          <w:rPr>
            <w:rFonts w:asciiTheme="minorHAnsi" w:eastAsiaTheme="minorEastAsia" w:hAnsiTheme="minorHAnsi" w:cstheme="minorBidi"/>
            <w:sz w:val="22"/>
            <w:szCs w:val="22"/>
            <w:lang w:eastAsia="en-AU"/>
          </w:rPr>
          <w:tab/>
        </w:r>
        <w:r w:rsidRPr="00615A7E">
          <w:t>Promotions and inducements</w:t>
        </w:r>
        <w:r>
          <w:tab/>
        </w:r>
        <w:r>
          <w:fldChar w:fldCharType="begin"/>
        </w:r>
        <w:r>
          <w:instrText xml:space="preserve"> PAGEREF _Toc72506008 \h </w:instrText>
        </w:r>
        <w:r>
          <w:fldChar w:fldCharType="separate"/>
        </w:r>
        <w:r w:rsidR="00010EDA">
          <w:t>47</w:t>
        </w:r>
        <w:r>
          <w:fldChar w:fldCharType="end"/>
        </w:r>
      </w:hyperlink>
    </w:p>
    <w:p w14:paraId="70FB41AE" w14:textId="4AA2CD89" w:rsidR="00221DDE" w:rsidRDefault="00221DDE">
      <w:pPr>
        <w:pStyle w:val="TOC5"/>
        <w:rPr>
          <w:rFonts w:asciiTheme="minorHAnsi" w:eastAsiaTheme="minorEastAsia" w:hAnsiTheme="minorHAnsi" w:cstheme="minorBidi"/>
          <w:sz w:val="22"/>
          <w:szCs w:val="22"/>
          <w:lang w:eastAsia="en-AU"/>
        </w:rPr>
      </w:pPr>
      <w:r>
        <w:tab/>
      </w:r>
      <w:hyperlink w:anchor="_Toc72506009" w:history="1">
        <w:r w:rsidRPr="00615A7E">
          <w:t>1.30A</w:t>
        </w:r>
        <w:r>
          <w:rPr>
            <w:rFonts w:asciiTheme="minorHAnsi" w:eastAsiaTheme="minorEastAsia" w:hAnsiTheme="minorHAnsi" w:cstheme="minorBidi"/>
            <w:sz w:val="22"/>
            <w:szCs w:val="22"/>
            <w:lang w:eastAsia="en-AU"/>
          </w:rPr>
          <w:tab/>
        </w:r>
        <w:r w:rsidRPr="00615A7E">
          <w:t>Gaming machine promotions—alternative ways to participate</w:t>
        </w:r>
        <w:r>
          <w:tab/>
        </w:r>
        <w:r>
          <w:fldChar w:fldCharType="begin"/>
        </w:r>
        <w:r>
          <w:instrText xml:space="preserve"> PAGEREF _Toc72506009 \h </w:instrText>
        </w:r>
        <w:r>
          <w:fldChar w:fldCharType="separate"/>
        </w:r>
        <w:r w:rsidR="00010EDA">
          <w:t>50</w:t>
        </w:r>
        <w:r>
          <w:fldChar w:fldCharType="end"/>
        </w:r>
      </w:hyperlink>
    </w:p>
    <w:p w14:paraId="7213A7DE" w14:textId="58FE6446" w:rsidR="00221DDE" w:rsidRDefault="00221DDE">
      <w:pPr>
        <w:pStyle w:val="TOC5"/>
        <w:rPr>
          <w:rFonts w:asciiTheme="minorHAnsi" w:eastAsiaTheme="minorEastAsia" w:hAnsiTheme="minorHAnsi" w:cstheme="minorBidi"/>
          <w:sz w:val="22"/>
          <w:szCs w:val="22"/>
          <w:lang w:eastAsia="en-AU"/>
        </w:rPr>
      </w:pPr>
      <w:r>
        <w:tab/>
      </w:r>
      <w:hyperlink w:anchor="_Toc72506010" w:history="1">
        <w:r w:rsidRPr="00615A7E">
          <w:t>1.30B</w:t>
        </w:r>
        <w:r>
          <w:rPr>
            <w:rFonts w:asciiTheme="minorHAnsi" w:eastAsiaTheme="minorEastAsia" w:hAnsiTheme="minorHAnsi" w:cstheme="minorBidi"/>
            <w:sz w:val="22"/>
            <w:szCs w:val="22"/>
            <w:lang w:eastAsia="en-AU"/>
          </w:rPr>
          <w:tab/>
        </w:r>
        <w:r w:rsidRPr="00615A7E">
          <w:t>Personally addressed promotional material—gaming machine and casino licensees</w:t>
        </w:r>
        <w:r>
          <w:tab/>
        </w:r>
        <w:r>
          <w:fldChar w:fldCharType="begin"/>
        </w:r>
        <w:r>
          <w:instrText xml:space="preserve"> PAGEREF _Toc72506010 \h </w:instrText>
        </w:r>
        <w:r>
          <w:fldChar w:fldCharType="separate"/>
        </w:r>
        <w:r w:rsidR="00010EDA">
          <w:t>50</w:t>
        </w:r>
        <w:r>
          <w:fldChar w:fldCharType="end"/>
        </w:r>
      </w:hyperlink>
    </w:p>
    <w:p w14:paraId="771BF2FF" w14:textId="3EB16C8A" w:rsidR="00221DDE" w:rsidRDefault="00221DDE">
      <w:pPr>
        <w:pStyle w:val="TOC5"/>
        <w:rPr>
          <w:rFonts w:asciiTheme="minorHAnsi" w:eastAsiaTheme="minorEastAsia" w:hAnsiTheme="minorHAnsi" w:cstheme="minorBidi"/>
          <w:sz w:val="22"/>
          <w:szCs w:val="22"/>
          <w:lang w:eastAsia="en-AU"/>
        </w:rPr>
      </w:pPr>
      <w:r>
        <w:tab/>
      </w:r>
      <w:hyperlink w:anchor="_Toc72506011" w:history="1">
        <w:r w:rsidRPr="00615A7E">
          <w:t>1.30C</w:t>
        </w:r>
        <w:r>
          <w:rPr>
            <w:rFonts w:asciiTheme="minorHAnsi" w:eastAsiaTheme="minorEastAsia" w:hAnsiTheme="minorHAnsi" w:cstheme="minorBidi"/>
            <w:sz w:val="22"/>
            <w:szCs w:val="22"/>
            <w:lang w:eastAsia="en-AU"/>
          </w:rPr>
          <w:tab/>
        </w:r>
        <w:r w:rsidRPr="00615A7E">
          <w:t>Direct marketing—totalisator and sports bookmaking licensees</w:t>
        </w:r>
        <w:r>
          <w:tab/>
        </w:r>
        <w:r>
          <w:fldChar w:fldCharType="begin"/>
        </w:r>
        <w:r>
          <w:instrText xml:space="preserve"> PAGEREF _Toc72506011 \h </w:instrText>
        </w:r>
        <w:r>
          <w:fldChar w:fldCharType="separate"/>
        </w:r>
        <w:r w:rsidR="00010EDA">
          <w:t>50</w:t>
        </w:r>
        <w:r>
          <w:fldChar w:fldCharType="end"/>
        </w:r>
      </w:hyperlink>
    </w:p>
    <w:p w14:paraId="06460A84" w14:textId="765DA6C1" w:rsidR="00221DDE" w:rsidRDefault="00221DDE">
      <w:pPr>
        <w:pStyle w:val="TOC5"/>
        <w:rPr>
          <w:rFonts w:asciiTheme="minorHAnsi" w:eastAsiaTheme="minorEastAsia" w:hAnsiTheme="minorHAnsi" w:cstheme="minorBidi"/>
          <w:sz w:val="22"/>
          <w:szCs w:val="22"/>
          <w:lang w:eastAsia="en-AU"/>
        </w:rPr>
      </w:pPr>
      <w:r>
        <w:tab/>
      </w:r>
      <w:hyperlink w:anchor="_Toc72506012" w:history="1">
        <w:r w:rsidRPr="00615A7E">
          <w:t>1.30D</w:t>
        </w:r>
        <w:r>
          <w:rPr>
            <w:rFonts w:asciiTheme="minorHAnsi" w:eastAsiaTheme="minorEastAsia" w:hAnsiTheme="minorHAnsi" w:cstheme="minorBidi"/>
            <w:sz w:val="22"/>
            <w:szCs w:val="22"/>
            <w:lang w:eastAsia="en-AU"/>
          </w:rPr>
          <w:tab/>
        </w:r>
        <w:r w:rsidRPr="00615A7E">
          <w:t>Guidelines for direct marketing by totalisator and sports bookmaking licensees</w:t>
        </w:r>
        <w:r>
          <w:tab/>
        </w:r>
        <w:r>
          <w:fldChar w:fldCharType="begin"/>
        </w:r>
        <w:r>
          <w:instrText xml:space="preserve"> PAGEREF _Toc72506012 \h </w:instrText>
        </w:r>
        <w:r>
          <w:fldChar w:fldCharType="separate"/>
        </w:r>
        <w:r w:rsidR="00010EDA">
          <w:t>51</w:t>
        </w:r>
        <w:r>
          <w:fldChar w:fldCharType="end"/>
        </w:r>
      </w:hyperlink>
    </w:p>
    <w:p w14:paraId="480E1064" w14:textId="05BA3E4C" w:rsidR="00221DDE" w:rsidRDefault="00221DDE">
      <w:pPr>
        <w:pStyle w:val="TOC5"/>
        <w:rPr>
          <w:rFonts w:asciiTheme="minorHAnsi" w:eastAsiaTheme="minorEastAsia" w:hAnsiTheme="minorHAnsi" w:cstheme="minorBidi"/>
          <w:sz w:val="22"/>
          <w:szCs w:val="22"/>
          <w:lang w:eastAsia="en-AU"/>
        </w:rPr>
      </w:pPr>
      <w:r>
        <w:tab/>
      </w:r>
      <w:hyperlink w:anchor="_Toc72506013" w:history="1">
        <w:r w:rsidRPr="00615A7E">
          <w:t>1.31</w:t>
        </w:r>
        <w:r>
          <w:rPr>
            <w:rFonts w:asciiTheme="minorHAnsi" w:eastAsiaTheme="minorEastAsia" w:hAnsiTheme="minorHAnsi" w:cstheme="minorBidi"/>
            <w:sz w:val="22"/>
            <w:szCs w:val="22"/>
            <w:lang w:eastAsia="en-AU"/>
          </w:rPr>
          <w:tab/>
        </w:r>
        <w:r w:rsidRPr="00615A7E">
          <w:t>Directions about advertising, promotions and inducements</w:t>
        </w:r>
        <w:r>
          <w:tab/>
        </w:r>
        <w:r>
          <w:fldChar w:fldCharType="begin"/>
        </w:r>
        <w:r>
          <w:instrText xml:space="preserve"> PAGEREF _Toc72506013 \h </w:instrText>
        </w:r>
        <w:r>
          <w:fldChar w:fldCharType="separate"/>
        </w:r>
        <w:r w:rsidR="00010EDA">
          <w:t>52</w:t>
        </w:r>
        <w:r>
          <w:fldChar w:fldCharType="end"/>
        </w:r>
      </w:hyperlink>
    </w:p>
    <w:p w14:paraId="5E97AD22" w14:textId="6C8E16A9" w:rsidR="00221DDE" w:rsidRDefault="00C17B8B">
      <w:pPr>
        <w:pStyle w:val="TOC6"/>
        <w:rPr>
          <w:rFonts w:asciiTheme="minorHAnsi" w:eastAsiaTheme="minorEastAsia" w:hAnsiTheme="minorHAnsi" w:cstheme="minorBidi"/>
          <w:b w:val="0"/>
          <w:sz w:val="22"/>
          <w:szCs w:val="22"/>
          <w:lang w:eastAsia="en-AU"/>
        </w:rPr>
      </w:pPr>
      <w:hyperlink w:anchor="_Toc72506014" w:history="1">
        <w:r w:rsidR="00221DDE" w:rsidRPr="00615A7E">
          <w:t>Dictionary</w:t>
        </w:r>
        <w:r w:rsidR="00221DDE">
          <w:tab/>
        </w:r>
        <w:r w:rsidR="00221DDE">
          <w:tab/>
        </w:r>
        <w:r w:rsidR="00221DDE" w:rsidRPr="00221DDE">
          <w:rPr>
            <w:b w:val="0"/>
            <w:sz w:val="20"/>
          </w:rPr>
          <w:fldChar w:fldCharType="begin"/>
        </w:r>
        <w:r w:rsidR="00221DDE" w:rsidRPr="00221DDE">
          <w:rPr>
            <w:b w:val="0"/>
            <w:sz w:val="20"/>
          </w:rPr>
          <w:instrText xml:space="preserve"> PAGEREF _Toc72506014 \h </w:instrText>
        </w:r>
        <w:r w:rsidR="00221DDE" w:rsidRPr="00221DDE">
          <w:rPr>
            <w:b w:val="0"/>
            <w:sz w:val="20"/>
          </w:rPr>
        </w:r>
        <w:r w:rsidR="00221DDE" w:rsidRPr="00221DDE">
          <w:rPr>
            <w:b w:val="0"/>
            <w:sz w:val="20"/>
          </w:rPr>
          <w:fldChar w:fldCharType="separate"/>
        </w:r>
        <w:r w:rsidR="00010EDA">
          <w:rPr>
            <w:b w:val="0"/>
            <w:sz w:val="20"/>
          </w:rPr>
          <w:t>53</w:t>
        </w:r>
        <w:r w:rsidR="00221DDE" w:rsidRPr="00221DDE">
          <w:rPr>
            <w:b w:val="0"/>
            <w:sz w:val="20"/>
          </w:rPr>
          <w:fldChar w:fldCharType="end"/>
        </w:r>
      </w:hyperlink>
    </w:p>
    <w:p w14:paraId="7BD9E543" w14:textId="1A852169" w:rsidR="00221DDE" w:rsidRDefault="00C17B8B" w:rsidP="00221DDE">
      <w:pPr>
        <w:pStyle w:val="TOC7"/>
        <w:spacing w:before="480"/>
        <w:rPr>
          <w:rFonts w:asciiTheme="minorHAnsi" w:eastAsiaTheme="minorEastAsia" w:hAnsiTheme="minorHAnsi" w:cstheme="minorBidi"/>
          <w:b w:val="0"/>
          <w:sz w:val="22"/>
          <w:szCs w:val="22"/>
          <w:lang w:eastAsia="en-AU"/>
        </w:rPr>
      </w:pPr>
      <w:hyperlink w:anchor="_Toc72506015" w:history="1">
        <w:r w:rsidR="00221DDE">
          <w:t>Endnotes</w:t>
        </w:r>
        <w:r w:rsidR="00221DDE" w:rsidRPr="00221DDE">
          <w:rPr>
            <w:vanish/>
          </w:rPr>
          <w:tab/>
        </w:r>
        <w:r w:rsidR="00221DDE">
          <w:rPr>
            <w:vanish/>
          </w:rPr>
          <w:tab/>
        </w:r>
        <w:r w:rsidR="00221DDE" w:rsidRPr="00221DDE">
          <w:rPr>
            <w:b w:val="0"/>
            <w:vanish/>
          </w:rPr>
          <w:fldChar w:fldCharType="begin"/>
        </w:r>
        <w:r w:rsidR="00221DDE" w:rsidRPr="00221DDE">
          <w:rPr>
            <w:b w:val="0"/>
            <w:vanish/>
          </w:rPr>
          <w:instrText xml:space="preserve"> PAGEREF _Toc72506015 \h </w:instrText>
        </w:r>
        <w:r w:rsidR="00221DDE" w:rsidRPr="00221DDE">
          <w:rPr>
            <w:b w:val="0"/>
            <w:vanish/>
          </w:rPr>
        </w:r>
        <w:r w:rsidR="00221DDE" w:rsidRPr="00221DDE">
          <w:rPr>
            <w:b w:val="0"/>
            <w:vanish/>
          </w:rPr>
          <w:fldChar w:fldCharType="separate"/>
        </w:r>
        <w:r w:rsidR="00010EDA">
          <w:rPr>
            <w:b w:val="0"/>
            <w:vanish/>
          </w:rPr>
          <w:t>55</w:t>
        </w:r>
        <w:r w:rsidR="00221DDE" w:rsidRPr="00221DDE">
          <w:rPr>
            <w:b w:val="0"/>
            <w:vanish/>
          </w:rPr>
          <w:fldChar w:fldCharType="end"/>
        </w:r>
      </w:hyperlink>
    </w:p>
    <w:p w14:paraId="713D3B77" w14:textId="7493C457" w:rsidR="00221DDE" w:rsidRDefault="00221DDE">
      <w:pPr>
        <w:pStyle w:val="TOC5"/>
        <w:rPr>
          <w:rFonts w:asciiTheme="minorHAnsi" w:eastAsiaTheme="minorEastAsia" w:hAnsiTheme="minorHAnsi" w:cstheme="minorBidi"/>
          <w:sz w:val="22"/>
          <w:szCs w:val="22"/>
          <w:lang w:eastAsia="en-AU"/>
        </w:rPr>
      </w:pPr>
      <w:r>
        <w:tab/>
      </w:r>
      <w:hyperlink w:anchor="_Toc72506016" w:history="1">
        <w:r w:rsidRPr="00615A7E">
          <w:t>1</w:t>
        </w:r>
        <w:r>
          <w:rPr>
            <w:rFonts w:asciiTheme="minorHAnsi" w:eastAsiaTheme="minorEastAsia" w:hAnsiTheme="minorHAnsi" w:cstheme="minorBidi"/>
            <w:sz w:val="22"/>
            <w:szCs w:val="22"/>
            <w:lang w:eastAsia="en-AU"/>
          </w:rPr>
          <w:tab/>
        </w:r>
        <w:r w:rsidRPr="00615A7E">
          <w:t>About the endnotes</w:t>
        </w:r>
        <w:r>
          <w:tab/>
        </w:r>
        <w:r>
          <w:fldChar w:fldCharType="begin"/>
        </w:r>
        <w:r>
          <w:instrText xml:space="preserve"> PAGEREF _Toc72506016 \h </w:instrText>
        </w:r>
        <w:r>
          <w:fldChar w:fldCharType="separate"/>
        </w:r>
        <w:r w:rsidR="00010EDA">
          <w:t>55</w:t>
        </w:r>
        <w:r>
          <w:fldChar w:fldCharType="end"/>
        </w:r>
      </w:hyperlink>
    </w:p>
    <w:p w14:paraId="551F3572" w14:textId="01542779" w:rsidR="00221DDE" w:rsidRDefault="00221DDE">
      <w:pPr>
        <w:pStyle w:val="TOC5"/>
        <w:rPr>
          <w:rFonts w:asciiTheme="minorHAnsi" w:eastAsiaTheme="minorEastAsia" w:hAnsiTheme="minorHAnsi" w:cstheme="minorBidi"/>
          <w:sz w:val="22"/>
          <w:szCs w:val="22"/>
          <w:lang w:eastAsia="en-AU"/>
        </w:rPr>
      </w:pPr>
      <w:r>
        <w:tab/>
      </w:r>
      <w:hyperlink w:anchor="_Toc72506017" w:history="1">
        <w:r w:rsidRPr="00615A7E">
          <w:t>2</w:t>
        </w:r>
        <w:r>
          <w:rPr>
            <w:rFonts w:asciiTheme="minorHAnsi" w:eastAsiaTheme="minorEastAsia" w:hAnsiTheme="minorHAnsi" w:cstheme="minorBidi"/>
            <w:sz w:val="22"/>
            <w:szCs w:val="22"/>
            <w:lang w:eastAsia="en-AU"/>
          </w:rPr>
          <w:tab/>
        </w:r>
        <w:r w:rsidRPr="00615A7E">
          <w:t>Abbreviation key</w:t>
        </w:r>
        <w:r>
          <w:tab/>
        </w:r>
        <w:r>
          <w:fldChar w:fldCharType="begin"/>
        </w:r>
        <w:r>
          <w:instrText xml:space="preserve"> PAGEREF _Toc72506017 \h </w:instrText>
        </w:r>
        <w:r>
          <w:fldChar w:fldCharType="separate"/>
        </w:r>
        <w:r w:rsidR="00010EDA">
          <w:t>55</w:t>
        </w:r>
        <w:r>
          <w:fldChar w:fldCharType="end"/>
        </w:r>
      </w:hyperlink>
    </w:p>
    <w:p w14:paraId="295241F0" w14:textId="4D315DDF" w:rsidR="00221DDE" w:rsidRDefault="00221DDE">
      <w:pPr>
        <w:pStyle w:val="TOC5"/>
        <w:rPr>
          <w:rFonts w:asciiTheme="minorHAnsi" w:eastAsiaTheme="minorEastAsia" w:hAnsiTheme="minorHAnsi" w:cstheme="minorBidi"/>
          <w:sz w:val="22"/>
          <w:szCs w:val="22"/>
          <w:lang w:eastAsia="en-AU"/>
        </w:rPr>
      </w:pPr>
      <w:r>
        <w:tab/>
      </w:r>
      <w:hyperlink w:anchor="_Toc72506018" w:history="1">
        <w:r w:rsidRPr="00615A7E">
          <w:t>3</w:t>
        </w:r>
        <w:r>
          <w:rPr>
            <w:rFonts w:asciiTheme="minorHAnsi" w:eastAsiaTheme="minorEastAsia" w:hAnsiTheme="minorHAnsi" w:cstheme="minorBidi"/>
            <w:sz w:val="22"/>
            <w:szCs w:val="22"/>
            <w:lang w:eastAsia="en-AU"/>
          </w:rPr>
          <w:tab/>
        </w:r>
        <w:r w:rsidRPr="00615A7E">
          <w:t>Legislation history</w:t>
        </w:r>
        <w:r>
          <w:tab/>
        </w:r>
        <w:r>
          <w:fldChar w:fldCharType="begin"/>
        </w:r>
        <w:r>
          <w:instrText xml:space="preserve"> PAGEREF _Toc72506018 \h </w:instrText>
        </w:r>
        <w:r>
          <w:fldChar w:fldCharType="separate"/>
        </w:r>
        <w:r w:rsidR="00010EDA">
          <w:t>56</w:t>
        </w:r>
        <w:r>
          <w:fldChar w:fldCharType="end"/>
        </w:r>
      </w:hyperlink>
    </w:p>
    <w:p w14:paraId="53B860C3" w14:textId="45C9BD5A" w:rsidR="00221DDE" w:rsidRDefault="00221DDE">
      <w:pPr>
        <w:pStyle w:val="TOC5"/>
        <w:rPr>
          <w:rFonts w:asciiTheme="minorHAnsi" w:eastAsiaTheme="minorEastAsia" w:hAnsiTheme="minorHAnsi" w:cstheme="minorBidi"/>
          <w:sz w:val="22"/>
          <w:szCs w:val="22"/>
          <w:lang w:eastAsia="en-AU"/>
        </w:rPr>
      </w:pPr>
      <w:r>
        <w:tab/>
      </w:r>
      <w:hyperlink w:anchor="_Toc72506019" w:history="1">
        <w:r w:rsidRPr="00615A7E">
          <w:t>4</w:t>
        </w:r>
        <w:r>
          <w:rPr>
            <w:rFonts w:asciiTheme="minorHAnsi" w:eastAsiaTheme="minorEastAsia" w:hAnsiTheme="minorHAnsi" w:cstheme="minorBidi"/>
            <w:sz w:val="22"/>
            <w:szCs w:val="22"/>
            <w:lang w:eastAsia="en-AU"/>
          </w:rPr>
          <w:tab/>
        </w:r>
        <w:r w:rsidRPr="00615A7E">
          <w:t>Amendment history</w:t>
        </w:r>
        <w:r>
          <w:tab/>
        </w:r>
        <w:r>
          <w:fldChar w:fldCharType="begin"/>
        </w:r>
        <w:r>
          <w:instrText xml:space="preserve"> PAGEREF _Toc72506019 \h </w:instrText>
        </w:r>
        <w:r>
          <w:fldChar w:fldCharType="separate"/>
        </w:r>
        <w:r w:rsidR="00010EDA">
          <w:t>58</w:t>
        </w:r>
        <w:r>
          <w:fldChar w:fldCharType="end"/>
        </w:r>
      </w:hyperlink>
    </w:p>
    <w:p w14:paraId="63650B1B" w14:textId="35F8BE63" w:rsidR="00221DDE" w:rsidRDefault="00221DDE">
      <w:pPr>
        <w:pStyle w:val="TOC5"/>
        <w:rPr>
          <w:rFonts w:asciiTheme="minorHAnsi" w:eastAsiaTheme="minorEastAsia" w:hAnsiTheme="minorHAnsi" w:cstheme="minorBidi"/>
          <w:sz w:val="22"/>
          <w:szCs w:val="22"/>
          <w:lang w:eastAsia="en-AU"/>
        </w:rPr>
      </w:pPr>
      <w:r>
        <w:tab/>
      </w:r>
      <w:hyperlink w:anchor="_Toc72506020" w:history="1">
        <w:r w:rsidRPr="00615A7E">
          <w:t>5</w:t>
        </w:r>
        <w:r>
          <w:rPr>
            <w:rFonts w:asciiTheme="minorHAnsi" w:eastAsiaTheme="minorEastAsia" w:hAnsiTheme="minorHAnsi" w:cstheme="minorBidi"/>
            <w:sz w:val="22"/>
            <w:szCs w:val="22"/>
            <w:lang w:eastAsia="en-AU"/>
          </w:rPr>
          <w:tab/>
        </w:r>
        <w:r w:rsidRPr="00615A7E">
          <w:t>Earlier republications</w:t>
        </w:r>
        <w:r>
          <w:tab/>
        </w:r>
        <w:r>
          <w:fldChar w:fldCharType="begin"/>
        </w:r>
        <w:r>
          <w:instrText xml:space="preserve"> PAGEREF _Toc72506020 \h </w:instrText>
        </w:r>
        <w:r>
          <w:fldChar w:fldCharType="separate"/>
        </w:r>
        <w:r w:rsidR="00010EDA">
          <w:t>63</w:t>
        </w:r>
        <w:r>
          <w:fldChar w:fldCharType="end"/>
        </w:r>
      </w:hyperlink>
    </w:p>
    <w:p w14:paraId="3667E4B9" w14:textId="6230E653" w:rsidR="00221DDE" w:rsidRDefault="00221DDE">
      <w:pPr>
        <w:pStyle w:val="TOC5"/>
        <w:rPr>
          <w:rFonts w:asciiTheme="minorHAnsi" w:eastAsiaTheme="minorEastAsia" w:hAnsiTheme="minorHAnsi" w:cstheme="minorBidi"/>
          <w:sz w:val="22"/>
          <w:szCs w:val="22"/>
          <w:lang w:eastAsia="en-AU"/>
        </w:rPr>
      </w:pPr>
      <w:r>
        <w:tab/>
      </w:r>
      <w:hyperlink w:anchor="_Toc72506021" w:history="1">
        <w:r w:rsidRPr="00615A7E">
          <w:t>6</w:t>
        </w:r>
        <w:r>
          <w:rPr>
            <w:rFonts w:asciiTheme="minorHAnsi" w:eastAsiaTheme="minorEastAsia" w:hAnsiTheme="minorHAnsi" w:cstheme="minorBidi"/>
            <w:sz w:val="22"/>
            <w:szCs w:val="22"/>
            <w:lang w:eastAsia="en-AU"/>
          </w:rPr>
          <w:tab/>
        </w:r>
        <w:r w:rsidRPr="00615A7E">
          <w:t>Expired transitional or validating provisions</w:t>
        </w:r>
        <w:r>
          <w:tab/>
        </w:r>
        <w:r>
          <w:fldChar w:fldCharType="begin"/>
        </w:r>
        <w:r>
          <w:instrText xml:space="preserve"> PAGEREF _Toc72506021 \h </w:instrText>
        </w:r>
        <w:r>
          <w:fldChar w:fldCharType="separate"/>
        </w:r>
        <w:r w:rsidR="00010EDA">
          <w:t>64</w:t>
        </w:r>
        <w:r>
          <w:fldChar w:fldCharType="end"/>
        </w:r>
      </w:hyperlink>
    </w:p>
    <w:p w14:paraId="2C72AF3A" w14:textId="4ABE65D9" w:rsidR="00D838C8" w:rsidRDefault="00221DDE" w:rsidP="00991BFF">
      <w:pPr>
        <w:pStyle w:val="BillBasic"/>
      </w:pPr>
      <w:r>
        <w:fldChar w:fldCharType="end"/>
      </w:r>
    </w:p>
    <w:p w14:paraId="271318F8" w14:textId="77777777" w:rsidR="0007725C" w:rsidRDefault="0007725C">
      <w:pPr>
        <w:pStyle w:val="01Contents"/>
        <w:sectPr w:rsidR="0007725C"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431FAEF6" w14:textId="77777777" w:rsidR="00D838C8" w:rsidRDefault="00D838C8" w:rsidP="00991BFF">
      <w:pPr>
        <w:jc w:val="center"/>
      </w:pPr>
      <w:r>
        <w:rPr>
          <w:noProof/>
          <w:lang w:eastAsia="en-AU"/>
        </w:rPr>
        <w:lastRenderedPageBreak/>
        <w:drawing>
          <wp:inline distT="0" distB="0" distL="0" distR="0" wp14:anchorId="09FAA876" wp14:editId="701D7D4C">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187DD06" w14:textId="77777777" w:rsidR="00D838C8" w:rsidRDefault="00D838C8" w:rsidP="00991BFF">
      <w:pPr>
        <w:jc w:val="center"/>
        <w:rPr>
          <w:rFonts w:ascii="Arial" w:hAnsi="Arial"/>
        </w:rPr>
      </w:pPr>
      <w:r>
        <w:rPr>
          <w:rFonts w:ascii="Arial" w:hAnsi="Arial"/>
        </w:rPr>
        <w:t>Australian Capital Territory</w:t>
      </w:r>
    </w:p>
    <w:p w14:paraId="4436F7DC" w14:textId="7581255B" w:rsidR="00D838C8" w:rsidRDefault="0007725C" w:rsidP="00991BFF">
      <w:pPr>
        <w:pStyle w:val="Billname"/>
      </w:pPr>
      <w:bookmarkStart w:id="7" w:name="Citation"/>
      <w:r>
        <w:t>Gambling and Racing Control (Code of Practice) Regulation 2002</w:t>
      </w:r>
      <w:bookmarkEnd w:id="7"/>
      <w:r w:rsidR="00D838C8">
        <w:t xml:space="preserve">     </w:t>
      </w:r>
    </w:p>
    <w:p w14:paraId="0BCF941B" w14:textId="77777777" w:rsidR="00D838C8" w:rsidRDefault="00D838C8" w:rsidP="00991BFF">
      <w:pPr>
        <w:spacing w:before="240" w:after="60"/>
        <w:rPr>
          <w:rFonts w:ascii="Arial" w:hAnsi="Arial"/>
        </w:rPr>
      </w:pPr>
    </w:p>
    <w:p w14:paraId="357199D7" w14:textId="77777777" w:rsidR="00D838C8" w:rsidRDefault="00D838C8" w:rsidP="00991BFF">
      <w:pPr>
        <w:pStyle w:val="N-line3"/>
      </w:pPr>
    </w:p>
    <w:p w14:paraId="62279243" w14:textId="77777777" w:rsidR="00D838C8" w:rsidRDefault="00D838C8" w:rsidP="00991BFF">
      <w:pPr>
        <w:pStyle w:val="CoverInForce"/>
      </w:pPr>
      <w:r>
        <w:t>made under the</w:t>
      </w:r>
    </w:p>
    <w:bookmarkStart w:id="8" w:name="ActName"/>
    <w:p w14:paraId="23230748" w14:textId="6FA203AF" w:rsidR="00D838C8" w:rsidRDefault="00D838C8" w:rsidP="00991BFF">
      <w:pPr>
        <w:pStyle w:val="CoverActName"/>
      </w:pPr>
      <w:r w:rsidRPr="00D838C8">
        <w:rPr>
          <w:rStyle w:val="charCitHyperlinkAbbrev"/>
        </w:rPr>
        <w:fldChar w:fldCharType="begin"/>
      </w:r>
      <w:r w:rsidRPr="00D838C8">
        <w:rPr>
          <w:rStyle w:val="charCitHyperlinkAbbrev"/>
        </w:rPr>
        <w:instrText xml:space="preserve"> HYPERLINK "http://www.legislation.act.gov.au/a/1999-46" \o "A1999-46" </w:instrText>
      </w:r>
      <w:r w:rsidRPr="00D838C8">
        <w:rPr>
          <w:rStyle w:val="charCitHyperlinkAbbrev"/>
        </w:rPr>
        <w:fldChar w:fldCharType="separate"/>
      </w:r>
      <w:r w:rsidRPr="00D838C8">
        <w:rPr>
          <w:rStyle w:val="charCitHyperlinkAbbrev"/>
        </w:rPr>
        <w:t>Gambling and Racing Control Act 1999</w:t>
      </w:r>
      <w:r w:rsidRPr="00D838C8">
        <w:rPr>
          <w:rStyle w:val="charCitHyperlinkAbbrev"/>
        </w:rPr>
        <w:fldChar w:fldCharType="end"/>
      </w:r>
      <w:bookmarkEnd w:id="8"/>
    </w:p>
    <w:p w14:paraId="11DB2110" w14:textId="77777777" w:rsidR="00D838C8" w:rsidRDefault="00D838C8" w:rsidP="00991BFF">
      <w:pPr>
        <w:pStyle w:val="N-line3"/>
      </w:pPr>
    </w:p>
    <w:p w14:paraId="1E90165E" w14:textId="77777777" w:rsidR="00D838C8" w:rsidRDefault="00D838C8" w:rsidP="00991BFF">
      <w:pPr>
        <w:pStyle w:val="Placeholder"/>
      </w:pPr>
      <w:r>
        <w:rPr>
          <w:rStyle w:val="charContents"/>
          <w:sz w:val="16"/>
        </w:rPr>
        <w:t xml:space="preserve">  </w:t>
      </w:r>
      <w:r>
        <w:rPr>
          <w:rStyle w:val="charPage"/>
        </w:rPr>
        <w:t xml:space="preserve">  </w:t>
      </w:r>
    </w:p>
    <w:p w14:paraId="18B6C66E" w14:textId="77777777" w:rsidR="00D838C8" w:rsidRDefault="00D838C8" w:rsidP="00991BFF">
      <w:pPr>
        <w:pStyle w:val="Placeholder"/>
      </w:pPr>
      <w:r>
        <w:rPr>
          <w:rStyle w:val="CharChapNo"/>
        </w:rPr>
        <w:t xml:space="preserve">  </w:t>
      </w:r>
      <w:r>
        <w:rPr>
          <w:rStyle w:val="CharChapText"/>
        </w:rPr>
        <w:t xml:space="preserve">  </w:t>
      </w:r>
    </w:p>
    <w:p w14:paraId="36E718DE" w14:textId="77777777" w:rsidR="00D838C8" w:rsidRDefault="00D838C8" w:rsidP="00991BFF">
      <w:pPr>
        <w:pStyle w:val="Placeholder"/>
      </w:pPr>
      <w:r>
        <w:rPr>
          <w:rStyle w:val="CharPartNo"/>
        </w:rPr>
        <w:t xml:space="preserve">  </w:t>
      </w:r>
      <w:r>
        <w:rPr>
          <w:rStyle w:val="CharPartText"/>
        </w:rPr>
        <w:t xml:space="preserve">  </w:t>
      </w:r>
    </w:p>
    <w:p w14:paraId="5AB1CB3F" w14:textId="77777777" w:rsidR="00D838C8" w:rsidRDefault="00D838C8" w:rsidP="00991BFF">
      <w:pPr>
        <w:pStyle w:val="Placeholder"/>
      </w:pPr>
      <w:r>
        <w:rPr>
          <w:rStyle w:val="CharDivNo"/>
        </w:rPr>
        <w:t xml:space="preserve">  </w:t>
      </w:r>
      <w:r>
        <w:rPr>
          <w:rStyle w:val="CharDivText"/>
        </w:rPr>
        <w:t xml:space="preserve">  </w:t>
      </w:r>
    </w:p>
    <w:p w14:paraId="71CF1E7A" w14:textId="77777777" w:rsidR="00D838C8" w:rsidRDefault="00D838C8" w:rsidP="00991BFF">
      <w:pPr>
        <w:pStyle w:val="Placeholder"/>
      </w:pPr>
      <w:r>
        <w:rPr>
          <w:rStyle w:val="CharSectNo"/>
        </w:rPr>
        <w:t xml:space="preserve">  </w:t>
      </w:r>
    </w:p>
    <w:p w14:paraId="31D1326C" w14:textId="77777777" w:rsidR="00D838C8" w:rsidRPr="006A0812" w:rsidRDefault="00D838C8" w:rsidP="00D838C8">
      <w:pPr>
        <w:pStyle w:val="PageBreak"/>
      </w:pPr>
      <w:r>
        <w:br w:type="page"/>
      </w:r>
    </w:p>
    <w:p w14:paraId="418815B4" w14:textId="77777777" w:rsidR="00D847F1" w:rsidRPr="00224E14" w:rsidRDefault="00D847F1">
      <w:pPr>
        <w:pStyle w:val="AH2Part"/>
      </w:pPr>
      <w:bookmarkStart w:id="9" w:name="_Toc72505921"/>
      <w:r w:rsidRPr="00224E14">
        <w:rPr>
          <w:rStyle w:val="CharPartNo"/>
        </w:rPr>
        <w:lastRenderedPageBreak/>
        <w:t>Part 1</w:t>
      </w:r>
      <w:r>
        <w:tab/>
      </w:r>
      <w:r w:rsidRPr="00224E14">
        <w:rPr>
          <w:rStyle w:val="CharPartText"/>
        </w:rPr>
        <w:t>Preliminary</w:t>
      </w:r>
      <w:bookmarkEnd w:id="9"/>
    </w:p>
    <w:p w14:paraId="1CB56446" w14:textId="77777777" w:rsidR="00D847F1" w:rsidRDefault="00D847F1">
      <w:pPr>
        <w:pStyle w:val="Placeholder"/>
      </w:pPr>
      <w:r>
        <w:rPr>
          <w:rStyle w:val="CharDivNo"/>
        </w:rPr>
        <w:t xml:space="preserve">  </w:t>
      </w:r>
      <w:r>
        <w:rPr>
          <w:rStyle w:val="CharDivText"/>
        </w:rPr>
        <w:t xml:space="preserve">  </w:t>
      </w:r>
    </w:p>
    <w:p w14:paraId="75D488A6" w14:textId="77777777" w:rsidR="00D847F1" w:rsidRDefault="00D847F1">
      <w:pPr>
        <w:pStyle w:val="AH5Sec"/>
      </w:pPr>
      <w:bookmarkStart w:id="10" w:name="_Toc72505922"/>
      <w:r w:rsidRPr="00224E14">
        <w:rPr>
          <w:rStyle w:val="CharSectNo"/>
        </w:rPr>
        <w:t>1</w:t>
      </w:r>
      <w:r>
        <w:tab/>
        <w:t>Name of regulation</w:t>
      </w:r>
      <w:bookmarkEnd w:id="10"/>
    </w:p>
    <w:p w14:paraId="758B437C" w14:textId="77777777" w:rsidR="00D847F1" w:rsidRDefault="00D847F1">
      <w:pPr>
        <w:pStyle w:val="Amainreturn"/>
      </w:pPr>
      <w:r>
        <w:t xml:space="preserve">This regulation is the </w:t>
      </w:r>
      <w:r>
        <w:rPr>
          <w:rStyle w:val="charItals"/>
        </w:rPr>
        <w:t>Gambling and Racing Control (Code of Practice) Regulation 2002</w:t>
      </w:r>
      <w:r w:rsidRPr="00F1531F">
        <w:t>.</w:t>
      </w:r>
    </w:p>
    <w:p w14:paraId="7AA8DD8F" w14:textId="77777777" w:rsidR="00D847F1" w:rsidRDefault="00D847F1">
      <w:pPr>
        <w:pStyle w:val="AH5Sec"/>
      </w:pPr>
      <w:bookmarkStart w:id="11" w:name="_Toc72505923"/>
      <w:r w:rsidRPr="00224E14">
        <w:rPr>
          <w:rStyle w:val="CharSectNo"/>
        </w:rPr>
        <w:t>3</w:t>
      </w:r>
      <w:r>
        <w:tab/>
        <w:t>Dictionary</w:t>
      </w:r>
      <w:bookmarkEnd w:id="11"/>
    </w:p>
    <w:p w14:paraId="3B48BE58" w14:textId="77777777" w:rsidR="00D847F1" w:rsidRDefault="00D847F1">
      <w:pPr>
        <w:pStyle w:val="Amainreturn"/>
      </w:pPr>
      <w:r>
        <w:t>The dictionary at the end of this regulation is part of this regulation.</w:t>
      </w:r>
    </w:p>
    <w:p w14:paraId="70BB187F" w14:textId="77777777" w:rsidR="00D847F1" w:rsidRDefault="00D847F1">
      <w:pPr>
        <w:pStyle w:val="aNote"/>
        <w:keepNext/>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w:t>
      </w:r>
    </w:p>
    <w:p w14:paraId="54A7BADE" w14:textId="4725E341" w:rsidR="00D847F1" w:rsidRDefault="00D847F1">
      <w:pPr>
        <w:pStyle w:val="aNote"/>
      </w:pPr>
      <w:r>
        <w:tab/>
        <w:t>For example, the signpost definition ‘</w:t>
      </w:r>
      <w:r>
        <w:rPr>
          <w:rStyle w:val="charBoldItals"/>
        </w:rPr>
        <w:t>exempt lottery</w:t>
      </w:r>
      <w:r>
        <w:t xml:space="preserve">—see the </w:t>
      </w:r>
      <w:hyperlink r:id="rId27" w:tooltip="A1964-13" w:history="1">
        <w:r w:rsidR="00DF21AF" w:rsidRPr="00DF21AF">
          <w:rPr>
            <w:rStyle w:val="charCitHyperlinkItal"/>
          </w:rPr>
          <w:t>Lotteries Act 1964</w:t>
        </w:r>
      </w:hyperlink>
      <w:r>
        <w:t>, dictionary.’ means that the term ‘exempt lottery’ is defined in that dictionary and the definition applies to this regulation.</w:t>
      </w:r>
    </w:p>
    <w:p w14:paraId="41B8C4DE" w14:textId="138C0131" w:rsidR="00D847F1" w:rsidRDefault="00D847F1">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DF21AF" w:rsidRPr="00DF21AF">
          <w:rPr>
            <w:rStyle w:val="charCitHyperlinkAbbrev"/>
          </w:rPr>
          <w:t>Legislation Act</w:t>
        </w:r>
      </w:hyperlink>
      <w:r>
        <w:t>, s 155 and s 156 (1)).</w:t>
      </w:r>
    </w:p>
    <w:p w14:paraId="686559E7" w14:textId="77777777" w:rsidR="00D847F1" w:rsidRDefault="00D847F1">
      <w:pPr>
        <w:pStyle w:val="AH5Sec"/>
      </w:pPr>
      <w:bookmarkStart w:id="12" w:name="_Toc72505924"/>
      <w:r w:rsidRPr="00224E14">
        <w:rPr>
          <w:rStyle w:val="CharSectNo"/>
        </w:rPr>
        <w:t>4</w:t>
      </w:r>
      <w:r>
        <w:tab/>
        <w:t>Notes</w:t>
      </w:r>
      <w:bookmarkEnd w:id="12"/>
    </w:p>
    <w:p w14:paraId="1336EA48" w14:textId="77777777" w:rsidR="00D847F1" w:rsidRDefault="00D847F1">
      <w:pPr>
        <w:pStyle w:val="Amainreturn"/>
      </w:pPr>
      <w:r>
        <w:t>A note included in this regulation is explanatory and is not part of this regulation.</w:t>
      </w:r>
    </w:p>
    <w:p w14:paraId="3CC68D32" w14:textId="7D1680B3" w:rsidR="00D847F1" w:rsidRDefault="00D847F1">
      <w:pPr>
        <w:pStyle w:val="aNote"/>
      </w:pPr>
      <w:r>
        <w:rPr>
          <w:rStyle w:val="charItals"/>
        </w:rPr>
        <w:t>Note</w:t>
      </w:r>
      <w:r>
        <w:rPr>
          <w:rStyle w:val="charItals"/>
        </w:rPr>
        <w:tab/>
      </w:r>
      <w:r>
        <w:t xml:space="preserve">See the </w:t>
      </w:r>
      <w:hyperlink r:id="rId29" w:tooltip="A2001-14" w:history="1">
        <w:r w:rsidR="00DF21AF" w:rsidRPr="00DF21AF">
          <w:rPr>
            <w:rStyle w:val="charCitHyperlinkAbbrev"/>
          </w:rPr>
          <w:t>Legislation Act</w:t>
        </w:r>
      </w:hyperlink>
      <w:r>
        <w:t>, s 127 (1), (4) and (5) for the legal status of notes.</w:t>
      </w:r>
    </w:p>
    <w:p w14:paraId="2823841E" w14:textId="77777777" w:rsidR="00D847F1" w:rsidRDefault="00D847F1">
      <w:pPr>
        <w:pStyle w:val="AH5Sec"/>
      </w:pPr>
      <w:bookmarkStart w:id="13" w:name="_Toc72505925"/>
      <w:r w:rsidRPr="00224E14">
        <w:rPr>
          <w:rStyle w:val="CharSectNo"/>
        </w:rPr>
        <w:t>5</w:t>
      </w:r>
      <w:r>
        <w:tab/>
        <w:t xml:space="preserve">Meaning of </w:t>
      </w:r>
      <w:r>
        <w:rPr>
          <w:rStyle w:val="charItals"/>
        </w:rPr>
        <w:t>licensee</w:t>
      </w:r>
      <w:bookmarkEnd w:id="13"/>
    </w:p>
    <w:p w14:paraId="75903B47" w14:textId="77777777" w:rsidR="00D847F1" w:rsidRDefault="00220D86" w:rsidP="00220D86">
      <w:pPr>
        <w:pStyle w:val="Amain"/>
      </w:pPr>
      <w:r>
        <w:tab/>
        <w:t>(1)</w:t>
      </w:r>
      <w:r>
        <w:tab/>
      </w:r>
      <w:r w:rsidR="00D847F1">
        <w:t>In this regulation:</w:t>
      </w:r>
    </w:p>
    <w:p w14:paraId="393EFE77" w14:textId="77777777" w:rsidR="00D847F1" w:rsidRDefault="00D847F1">
      <w:pPr>
        <w:pStyle w:val="aDef"/>
        <w:keepNext/>
      </w:pPr>
      <w:r>
        <w:rPr>
          <w:rStyle w:val="charBoldItals"/>
        </w:rPr>
        <w:t>licensee</w:t>
      </w:r>
      <w:r>
        <w:t>, of a gambling facility, means—</w:t>
      </w:r>
    </w:p>
    <w:p w14:paraId="40B4F5D2" w14:textId="77777777" w:rsidR="00D847F1" w:rsidRDefault="00D847F1">
      <w:pPr>
        <w:pStyle w:val="aDefpara"/>
        <w:keepNext/>
      </w:pPr>
      <w:r>
        <w:tab/>
        <w:t>(a)</w:t>
      </w:r>
      <w:r>
        <w:tab/>
        <w:t>a gaming machine licensee; or</w:t>
      </w:r>
    </w:p>
    <w:p w14:paraId="794743EA" w14:textId="77777777" w:rsidR="00D847F1" w:rsidRDefault="00D847F1">
      <w:pPr>
        <w:pStyle w:val="aNotepar"/>
      </w:pPr>
      <w:r>
        <w:rPr>
          <w:rStyle w:val="charItals"/>
        </w:rPr>
        <w:t>Note</w:t>
      </w:r>
      <w:r>
        <w:rPr>
          <w:rStyle w:val="charItals"/>
        </w:rPr>
        <w:tab/>
      </w:r>
      <w:r>
        <w:rPr>
          <w:rStyle w:val="charBoldItals"/>
        </w:rPr>
        <w:t>Gaming machine licensee</w:t>
      </w:r>
      <w:r>
        <w:t xml:space="preserve"> is defined in the dictionary.</w:t>
      </w:r>
    </w:p>
    <w:p w14:paraId="3E0564EA" w14:textId="77777777" w:rsidR="00D847F1" w:rsidRDefault="00D847F1">
      <w:pPr>
        <w:pStyle w:val="aDefpara"/>
        <w:keepNext/>
      </w:pPr>
      <w:r>
        <w:lastRenderedPageBreak/>
        <w:tab/>
        <w:t>(b)</w:t>
      </w:r>
      <w:r>
        <w:tab/>
        <w:t>a casino licensee; or</w:t>
      </w:r>
    </w:p>
    <w:p w14:paraId="6FFD370D" w14:textId="77777777" w:rsidR="00D847F1" w:rsidRDefault="00D847F1">
      <w:pPr>
        <w:pStyle w:val="aNotepar"/>
      </w:pPr>
      <w:r>
        <w:rPr>
          <w:rStyle w:val="charItals"/>
        </w:rPr>
        <w:t>Note</w:t>
      </w:r>
      <w:r>
        <w:rPr>
          <w:rStyle w:val="charBoldItals"/>
        </w:rPr>
        <w:tab/>
        <w:t>Casino licensee</w:t>
      </w:r>
      <w:r>
        <w:t xml:space="preserve"> is defined in the dictionary.</w:t>
      </w:r>
    </w:p>
    <w:p w14:paraId="6035E9F4" w14:textId="6354534E" w:rsidR="00D847F1" w:rsidRDefault="00D847F1">
      <w:pPr>
        <w:pStyle w:val="aDefpara"/>
      </w:pPr>
      <w:r>
        <w:tab/>
        <w:t>(c)</w:t>
      </w:r>
      <w:r>
        <w:tab/>
        <w:t xml:space="preserve">a licensed provider under the </w:t>
      </w:r>
      <w:hyperlink r:id="rId30" w:tooltip="A1998-24" w:history="1">
        <w:r w:rsidR="00DF21AF" w:rsidRPr="00DF21AF">
          <w:rPr>
            <w:rStyle w:val="charCitHyperlinkItal"/>
          </w:rPr>
          <w:t>Interactive Gambling Act 1998</w:t>
        </w:r>
      </w:hyperlink>
      <w:r>
        <w:t>; or</w:t>
      </w:r>
    </w:p>
    <w:p w14:paraId="0F5D15C7" w14:textId="350CAFFA" w:rsidR="00D847F1" w:rsidRDefault="00D847F1">
      <w:pPr>
        <w:pStyle w:val="aDefpara"/>
      </w:pPr>
      <w:r>
        <w:tab/>
        <w:t>(d)</w:t>
      </w:r>
      <w:r>
        <w:tab/>
        <w:t xml:space="preserve">the holder of a race bookmaking licence, a race bookmaker’s agent licence, a sports bookmaking licence or a sports bookmaker’s agent licence under the </w:t>
      </w:r>
      <w:hyperlink r:id="rId31" w:tooltip="A2001-49" w:history="1">
        <w:r w:rsidR="00DF21AF" w:rsidRPr="00DF21AF">
          <w:rPr>
            <w:rStyle w:val="charCitHyperlinkItal"/>
          </w:rPr>
          <w:t>Race and Sports Bookmaking Act 2001</w:t>
        </w:r>
      </w:hyperlink>
      <w:r>
        <w:t>; or</w:t>
      </w:r>
    </w:p>
    <w:p w14:paraId="0119287F" w14:textId="42C7DF17" w:rsidR="008123E7" w:rsidRPr="003A70CF" w:rsidRDefault="008123E7" w:rsidP="008123E7">
      <w:pPr>
        <w:pStyle w:val="Ipara"/>
      </w:pPr>
      <w:r w:rsidRPr="003A70CF">
        <w:tab/>
        <w:t>(e)</w:t>
      </w:r>
      <w:r w:rsidRPr="003A70CF">
        <w:tab/>
        <w:t xml:space="preserve">a licensee of a totalisator under the </w:t>
      </w:r>
      <w:hyperlink r:id="rId32" w:tooltip="A2014-4" w:history="1">
        <w:r>
          <w:rPr>
            <w:rStyle w:val="charCitHyperlinkItal"/>
          </w:rPr>
          <w:t>Totalisator Act 2014</w:t>
        </w:r>
      </w:hyperlink>
      <w:r w:rsidRPr="003A70CF">
        <w:t>; or</w:t>
      </w:r>
    </w:p>
    <w:p w14:paraId="3D334244" w14:textId="3929D63C" w:rsidR="00D847F1" w:rsidRDefault="00D847F1">
      <w:pPr>
        <w:pStyle w:val="aDefpara"/>
      </w:pPr>
      <w:r>
        <w:tab/>
        <w:t>(f)</w:t>
      </w:r>
      <w:r>
        <w:tab/>
        <w:t xml:space="preserve">anyone authorised to conduct a lottery, scheme or competition under the </w:t>
      </w:r>
      <w:hyperlink r:id="rId33" w:tooltip="A1964-13" w:history="1">
        <w:r w:rsidR="00DF21AF" w:rsidRPr="00DF21AF">
          <w:rPr>
            <w:rStyle w:val="charCitHyperlinkItal"/>
          </w:rPr>
          <w:t>Lotteries Act 1964</w:t>
        </w:r>
      </w:hyperlink>
      <w:r>
        <w:t xml:space="preserve"> or the </w:t>
      </w:r>
      <w:hyperlink r:id="rId34" w:tooltip="A1964-15" w:history="1">
        <w:r w:rsidR="00DF21AF" w:rsidRPr="00DF21AF">
          <w:rPr>
            <w:rStyle w:val="charCitHyperlinkItal"/>
          </w:rPr>
          <w:t>Pool Betting Act 1964</w:t>
        </w:r>
      </w:hyperlink>
      <w:r>
        <w:t>, other than—</w:t>
      </w:r>
    </w:p>
    <w:p w14:paraId="7281F209" w14:textId="77777777" w:rsidR="00D847F1" w:rsidRDefault="00D847F1">
      <w:pPr>
        <w:pStyle w:val="Asubpara"/>
      </w:pPr>
      <w:r>
        <w:tab/>
        <w:t>(i)</w:t>
      </w:r>
      <w:r>
        <w:tab/>
        <w:t>a calcutta sweepstake; or</w:t>
      </w:r>
    </w:p>
    <w:p w14:paraId="7E2F2592" w14:textId="77777777" w:rsidR="00D847F1" w:rsidRDefault="00D847F1">
      <w:pPr>
        <w:pStyle w:val="Asubpara"/>
      </w:pPr>
      <w:r>
        <w:tab/>
        <w:t>(ii)</w:t>
      </w:r>
      <w:r>
        <w:tab/>
        <w:t>a trade promotion, other than a trade promotion that involves gambling, in which participants are given free entry to a contest that promotes a trade or business and involves an element of chance in the allocation of the prize; or</w:t>
      </w:r>
    </w:p>
    <w:p w14:paraId="71C15E3A" w14:textId="77777777" w:rsidR="00D847F1" w:rsidRDefault="00D847F1">
      <w:pPr>
        <w:pStyle w:val="Asubpara"/>
      </w:pPr>
      <w:r>
        <w:tab/>
        <w:t>(iii)</w:t>
      </w:r>
      <w:r>
        <w:tab/>
        <w:t>a raffle; or</w:t>
      </w:r>
    </w:p>
    <w:p w14:paraId="2248D195" w14:textId="77777777" w:rsidR="00D847F1" w:rsidRDefault="00D847F1">
      <w:pPr>
        <w:pStyle w:val="Asubpara"/>
      </w:pPr>
      <w:r>
        <w:tab/>
        <w:t>(iv)</w:t>
      </w:r>
      <w:r>
        <w:tab/>
        <w:t>a progressive lottery or silver circle involving a number of draws on different days, including tipping competitions, in which regular or different prizes are drawn; or</w:t>
      </w:r>
    </w:p>
    <w:p w14:paraId="5E9CF401" w14:textId="77777777" w:rsidR="00D847F1" w:rsidRDefault="00D847F1">
      <w:pPr>
        <w:pStyle w:val="Asubpara"/>
      </w:pPr>
      <w:r>
        <w:tab/>
        <w:t>(v)</w:t>
      </w:r>
      <w:r>
        <w:tab/>
        <w:t>an exempt lottery.</w:t>
      </w:r>
    </w:p>
    <w:p w14:paraId="4649B104" w14:textId="77777777" w:rsidR="00D847F1" w:rsidRDefault="00D847F1">
      <w:pPr>
        <w:pStyle w:val="aNote"/>
      </w:pPr>
      <w:r w:rsidRPr="00F1531F">
        <w:rPr>
          <w:rStyle w:val="charItals"/>
        </w:rPr>
        <w:t>Note 1</w:t>
      </w:r>
      <w:r w:rsidRPr="00F1531F">
        <w:rPr>
          <w:rStyle w:val="charItals"/>
        </w:rPr>
        <w:tab/>
      </w:r>
      <w:r>
        <w:rPr>
          <w:rStyle w:val="charBoldItals"/>
        </w:rPr>
        <w:t>Exempt lottery</w:t>
      </w:r>
      <w:r>
        <w:t xml:space="preserve"> is defined in the dictionary.</w:t>
      </w:r>
    </w:p>
    <w:p w14:paraId="1418BA73" w14:textId="77777777" w:rsidR="00D847F1" w:rsidRDefault="00D847F1">
      <w:pPr>
        <w:pStyle w:val="aNote"/>
      </w:pPr>
      <w:r>
        <w:rPr>
          <w:rStyle w:val="charItals"/>
        </w:rPr>
        <w:t>Note 2</w:t>
      </w:r>
      <w:r>
        <w:rPr>
          <w:rStyle w:val="charItals"/>
        </w:rPr>
        <w:tab/>
      </w:r>
      <w:r>
        <w:rPr>
          <w:rStyle w:val="charBoldItals"/>
        </w:rPr>
        <w:t>Licensee</w:t>
      </w:r>
      <w:r>
        <w:t xml:space="preserve"> is defined in the same terms in the code of practice, s 1.1.</w:t>
      </w:r>
    </w:p>
    <w:p w14:paraId="13B59902" w14:textId="77777777" w:rsidR="004A2630" w:rsidRPr="00793319" w:rsidRDefault="004A2630" w:rsidP="00972E74">
      <w:pPr>
        <w:pStyle w:val="Amain"/>
        <w:keepNext/>
      </w:pPr>
      <w:r w:rsidRPr="00793319">
        <w:lastRenderedPageBreak/>
        <w:tab/>
        <w:t>(2)</w:t>
      </w:r>
      <w:r w:rsidRPr="00793319">
        <w:tab/>
        <w:t>In this section:</w:t>
      </w:r>
    </w:p>
    <w:p w14:paraId="38BBA34A" w14:textId="150C9989" w:rsidR="004A2630" w:rsidRPr="00793319" w:rsidRDefault="004A2630" w:rsidP="004A2630">
      <w:pPr>
        <w:pStyle w:val="aDef"/>
        <w:keepNext/>
        <w:rPr>
          <w:lang w:eastAsia="en-AU"/>
        </w:rPr>
      </w:pPr>
      <w:r w:rsidRPr="00793319">
        <w:rPr>
          <w:rStyle w:val="charBoldItals"/>
        </w:rPr>
        <w:t>exempt lottery</w:t>
      </w:r>
      <w:r w:rsidRPr="00793319">
        <w:t xml:space="preserve"> </w:t>
      </w:r>
      <w:r w:rsidRPr="00793319">
        <w:rPr>
          <w:lang w:eastAsia="en-AU"/>
        </w:rPr>
        <w:t xml:space="preserve">does not include housie, unless the housie is exempt under the </w:t>
      </w:r>
      <w:hyperlink r:id="rId35" w:tooltip="A1964-13" w:history="1">
        <w:r w:rsidRPr="00793319">
          <w:rPr>
            <w:rStyle w:val="charCitHyperlinkItal"/>
          </w:rPr>
          <w:t>Lotteries Act 1964</w:t>
        </w:r>
      </w:hyperlink>
      <w:r w:rsidRPr="00793319">
        <w:rPr>
          <w:lang w:eastAsia="en-AU"/>
        </w:rPr>
        <w:t>, section 6 (1) (a) (ii).</w:t>
      </w:r>
    </w:p>
    <w:p w14:paraId="11742541" w14:textId="1F6AD92A" w:rsidR="004A2630" w:rsidRPr="00793319" w:rsidRDefault="004A2630" w:rsidP="004A2630">
      <w:pPr>
        <w:pStyle w:val="aNote"/>
        <w:rPr>
          <w:lang w:eastAsia="en-AU"/>
        </w:rPr>
      </w:pPr>
      <w:r w:rsidRPr="00793319">
        <w:rPr>
          <w:rStyle w:val="charItals"/>
        </w:rPr>
        <w:t>Note</w:t>
      </w:r>
      <w:r w:rsidRPr="00793319">
        <w:rPr>
          <w:rStyle w:val="charItals"/>
        </w:rPr>
        <w:tab/>
      </w:r>
      <w:r w:rsidRPr="00793319">
        <w:rPr>
          <w:lang w:eastAsia="en-AU"/>
        </w:rPr>
        <w:t xml:space="preserve">Under the </w:t>
      </w:r>
      <w:hyperlink r:id="rId36" w:tooltip="A1964-13" w:history="1">
        <w:r w:rsidRPr="00793319">
          <w:rPr>
            <w:rStyle w:val="charCitHyperlinkItal"/>
          </w:rPr>
          <w:t>Lotteries Act 1964</w:t>
        </w:r>
      </w:hyperlink>
      <w:r w:rsidRPr="00793319">
        <w:rPr>
          <w:lang w:eastAsia="en-AU"/>
        </w:rPr>
        <w:t xml:space="preserve">, a lottery is an </w:t>
      </w:r>
      <w:r w:rsidRPr="00793319">
        <w:rPr>
          <w:rStyle w:val="charBoldItals"/>
        </w:rPr>
        <w:t>exempt lottery</w:t>
      </w:r>
      <w:r w:rsidRPr="00793319">
        <w:rPr>
          <w:lang w:eastAsia="en-AU"/>
        </w:rPr>
        <w:t xml:space="preserve"> if the total value of the prizes does not exceed an amount determined by the commission (see s 6 (1) (a) (ii)) or if the lottery is a private lottery (see s 6 (1) (a) (iii)).</w:t>
      </w:r>
    </w:p>
    <w:p w14:paraId="2FC5DA26" w14:textId="77777777" w:rsidR="00D847F1" w:rsidRDefault="00D847F1">
      <w:pPr>
        <w:pStyle w:val="PageBreak"/>
      </w:pPr>
      <w:r>
        <w:br w:type="page"/>
      </w:r>
    </w:p>
    <w:p w14:paraId="544EABBC" w14:textId="77777777" w:rsidR="00D847F1" w:rsidRPr="00224E14" w:rsidRDefault="00D847F1">
      <w:pPr>
        <w:pStyle w:val="AH2Part"/>
      </w:pPr>
      <w:bookmarkStart w:id="14" w:name="_Toc72505926"/>
      <w:r w:rsidRPr="00224E14">
        <w:rPr>
          <w:rStyle w:val="CharPartNo"/>
        </w:rPr>
        <w:lastRenderedPageBreak/>
        <w:t>Part 2</w:t>
      </w:r>
      <w:r>
        <w:tab/>
      </w:r>
      <w:r w:rsidRPr="00224E14">
        <w:rPr>
          <w:rStyle w:val="CharPartText"/>
        </w:rPr>
        <w:t>Code of practice</w:t>
      </w:r>
      <w:bookmarkEnd w:id="14"/>
    </w:p>
    <w:p w14:paraId="691F3385" w14:textId="77777777" w:rsidR="00D847F1" w:rsidRPr="00224E14" w:rsidRDefault="00D847F1">
      <w:pPr>
        <w:pStyle w:val="AH3Div"/>
      </w:pPr>
      <w:bookmarkStart w:id="15" w:name="_Toc72505927"/>
      <w:r w:rsidRPr="00224E14">
        <w:rPr>
          <w:rStyle w:val="CharDivNo"/>
        </w:rPr>
        <w:t>Division 2.1</w:t>
      </w:r>
      <w:r>
        <w:tab/>
      </w:r>
      <w:r w:rsidRPr="00224E14">
        <w:rPr>
          <w:rStyle w:val="CharDivText"/>
        </w:rPr>
        <w:t>General</w:t>
      </w:r>
      <w:bookmarkEnd w:id="15"/>
    </w:p>
    <w:p w14:paraId="6D08688E" w14:textId="77777777" w:rsidR="00D847F1" w:rsidRDefault="00D847F1">
      <w:pPr>
        <w:pStyle w:val="AH5Sec"/>
      </w:pPr>
      <w:bookmarkStart w:id="16" w:name="_Toc72505928"/>
      <w:r w:rsidRPr="00224E14">
        <w:rPr>
          <w:rStyle w:val="CharSectNo"/>
        </w:rPr>
        <w:t>6</w:t>
      </w:r>
      <w:r>
        <w:tab/>
        <w:t>Code of practice</w:t>
      </w:r>
      <w:bookmarkEnd w:id="16"/>
    </w:p>
    <w:p w14:paraId="769FF75C" w14:textId="77777777" w:rsidR="00D847F1" w:rsidRDefault="00D847F1">
      <w:pPr>
        <w:pStyle w:val="Amainreturn"/>
      </w:pPr>
      <w:r>
        <w:t>The code of practice in schedule 1 applies to licensees.</w:t>
      </w:r>
    </w:p>
    <w:p w14:paraId="71E17449" w14:textId="77777777" w:rsidR="00A875BE" w:rsidRPr="00A35BB6" w:rsidRDefault="00A875BE" w:rsidP="00A875BE">
      <w:pPr>
        <w:pStyle w:val="AH5Sec"/>
      </w:pPr>
      <w:bookmarkStart w:id="17" w:name="_Toc72505929"/>
      <w:r w:rsidRPr="00224E14">
        <w:rPr>
          <w:rStyle w:val="CharSectNo"/>
        </w:rPr>
        <w:t>7</w:t>
      </w:r>
      <w:r w:rsidRPr="00A35BB6">
        <w:tab/>
        <w:t>Offences under pt 2</w:t>
      </w:r>
      <w:bookmarkEnd w:id="17"/>
    </w:p>
    <w:p w14:paraId="71371C10" w14:textId="77777777" w:rsidR="00A875BE" w:rsidRPr="00A35BB6" w:rsidRDefault="00A875BE" w:rsidP="00A875BE">
      <w:pPr>
        <w:pStyle w:val="Amainreturn"/>
      </w:pPr>
      <w:r w:rsidRPr="00A35BB6">
        <w:t xml:space="preserve">A person may be prosecuted under this part for an offence only if the person is someone mentioned in section 5, definition of </w:t>
      </w:r>
      <w:r w:rsidRPr="00A35BB6">
        <w:rPr>
          <w:rStyle w:val="charBoldItals"/>
        </w:rPr>
        <w:t>licensee</w:t>
      </w:r>
      <w:r w:rsidRPr="00A35BB6">
        <w:t>, paragraph (f).</w:t>
      </w:r>
    </w:p>
    <w:p w14:paraId="6A3C8247" w14:textId="77777777" w:rsidR="00D847F1" w:rsidRDefault="00D847F1">
      <w:pPr>
        <w:pStyle w:val="aNote"/>
        <w:keepNext/>
      </w:pPr>
      <w:r>
        <w:rPr>
          <w:rStyle w:val="charItals"/>
        </w:rPr>
        <w:t>Note</w:t>
      </w:r>
      <w:r>
        <w:rPr>
          <w:rStyle w:val="charItals"/>
        </w:rPr>
        <w:tab/>
      </w:r>
      <w:r>
        <w:t>The penalties set out in this part apply only in relation to the licensees mentioned in this definition.  If 1 of the following licensees contravenes the code of practice, the Act under which the person is licensed or is a licensed provider deals with the disciplinary action that may be taken against the person for the contravention:</w:t>
      </w:r>
    </w:p>
    <w:p w14:paraId="2E5ED05C" w14:textId="77777777" w:rsidR="00D847F1" w:rsidRDefault="00D847F1">
      <w:pPr>
        <w:pStyle w:val="aNoteBulletss"/>
      </w:pPr>
      <w:r>
        <w:rPr>
          <w:rFonts w:ascii="Symbol" w:hAnsi="Symbol"/>
        </w:rPr>
        <w:t></w:t>
      </w:r>
      <w:r>
        <w:rPr>
          <w:rFonts w:ascii="Symbol" w:hAnsi="Symbol"/>
        </w:rPr>
        <w:tab/>
      </w:r>
      <w:r>
        <w:t>a casino licensee</w:t>
      </w:r>
    </w:p>
    <w:p w14:paraId="066C28DA" w14:textId="77777777" w:rsidR="00D847F1" w:rsidRDefault="00D847F1">
      <w:pPr>
        <w:pStyle w:val="aNoteBulletss"/>
      </w:pPr>
      <w:r>
        <w:rPr>
          <w:rFonts w:ascii="Symbol" w:hAnsi="Symbol"/>
        </w:rPr>
        <w:t></w:t>
      </w:r>
      <w:r>
        <w:rPr>
          <w:rFonts w:ascii="Symbol" w:hAnsi="Symbol"/>
        </w:rPr>
        <w:tab/>
      </w:r>
      <w:r>
        <w:t>a gaming machine licensee</w:t>
      </w:r>
    </w:p>
    <w:p w14:paraId="7E67D4FC" w14:textId="6119E32B" w:rsidR="00D847F1" w:rsidRDefault="00D847F1">
      <w:pPr>
        <w:pStyle w:val="aNoteBulletss"/>
      </w:pPr>
      <w:r>
        <w:rPr>
          <w:rFonts w:ascii="Symbol" w:hAnsi="Symbol"/>
        </w:rPr>
        <w:t></w:t>
      </w:r>
      <w:r>
        <w:rPr>
          <w:rFonts w:ascii="Symbol" w:hAnsi="Symbol"/>
        </w:rPr>
        <w:tab/>
      </w:r>
      <w:r>
        <w:t xml:space="preserve">a licensed provider under the </w:t>
      </w:r>
      <w:hyperlink r:id="rId37" w:tooltip="A1998-24" w:history="1">
        <w:r w:rsidR="00DF21AF" w:rsidRPr="00DF21AF">
          <w:rPr>
            <w:rStyle w:val="charCitHyperlinkItal"/>
          </w:rPr>
          <w:t>Interactive Gambling Act 1998</w:t>
        </w:r>
      </w:hyperlink>
    </w:p>
    <w:p w14:paraId="7062C4AD" w14:textId="77777777" w:rsidR="00FD252A" w:rsidRPr="00A35BB6" w:rsidRDefault="00FD252A" w:rsidP="00FD252A">
      <w:pPr>
        <w:pStyle w:val="aNoteBulletss"/>
        <w:tabs>
          <w:tab w:val="left" w:pos="2300"/>
        </w:tabs>
      </w:pPr>
      <w:r w:rsidRPr="00A35BB6">
        <w:rPr>
          <w:rFonts w:ascii="Symbol" w:hAnsi="Symbol"/>
        </w:rPr>
        <w:t></w:t>
      </w:r>
      <w:r w:rsidRPr="00A35BB6">
        <w:rPr>
          <w:rFonts w:ascii="Symbol" w:hAnsi="Symbol"/>
        </w:rPr>
        <w:tab/>
      </w:r>
      <w:r w:rsidRPr="00A35BB6">
        <w:t>a totalisator licensee</w:t>
      </w:r>
    </w:p>
    <w:p w14:paraId="182007E0" w14:textId="392CCA54" w:rsidR="00D847F1" w:rsidRDefault="00D847F1">
      <w:pPr>
        <w:pStyle w:val="aNoteBulletss"/>
      </w:pPr>
      <w:r>
        <w:rPr>
          <w:rFonts w:ascii="Symbol" w:hAnsi="Symbol"/>
        </w:rPr>
        <w:t></w:t>
      </w:r>
      <w:r>
        <w:rPr>
          <w:rFonts w:ascii="Symbol" w:hAnsi="Symbol"/>
        </w:rPr>
        <w:tab/>
      </w:r>
      <w:r>
        <w:t xml:space="preserve">the holder of a licence under the </w:t>
      </w:r>
      <w:hyperlink r:id="rId38" w:tooltip="A2001-49" w:history="1">
        <w:r w:rsidR="00DF21AF" w:rsidRPr="00DF21AF">
          <w:rPr>
            <w:rStyle w:val="charCitHyperlinkItal"/>
          </w:rPr>
          <w:t>Race and Sports Bookmaking Act 2001</w:t>
        </w:r>
      </w:hyperlink>
      <w:r>
        <w:t>.</w:t>
      </w:r>
    </w:p>
    <w:p w14:paraId="1FDAECED" w14:textId="77777777" w:rsidR="00D847F1" w:rsidRPr="00224E14" w:rsidRDefault="00D847F1">
      <w:pPr>
        <w:pStyle w:val="AH3Div"/>
      </w:pPr>
      <w:bookmarkStart w:id="18" w:name="_Toc72505930"/>
      <w:r w:rsidRPr="00224E14">
        <w:rPr>
          <w:rStyle w:val="CharDivNo"/>
        </w:rPr>
        <w:lastRenderedPageBreak/>
        <w:t>Division 2.2</w:t>
      </w:r>
      <w:r>
        <w:tab/>
      </w:r>
      <w:r w:rsidRPr="00224E14">
        <w:rPr>
          <w:rStyle w:val="CharDivText"/>
        </w:rPr>
        <w:t>Conduct of gambling</w:t>
      </w:r>
      <w:bookmarkEnd w:id="18"/>
    </w:p>
    <w:p w14:paraId="2CBFFDB1" w14:textId="77777777" w:rsidR="00D847F1" w:rsidRDefault="00D847F1">
      <w:pPr>
        <w:pStyle w:val="AH5Sec"/>
      </w:pPr>
      <w:bookmarkStart w:id="19" w:name="_Toc72505931"/>
      <w:r w:rsidRPr="00224E14">
        <w:rPr>
          <w:rStyle w:val="CharSectNo"/>
        </w:rPr>
        <w:t>8</w:t>
      </w:r>
      <w:r>
        <w:tab/>
        <w:t>Licensees obligations generally</w:t>
      </w:r>
      <w:bookmarkEnd w:id="19"/>
    </w:p>
    <w:p w14:paraId="5C742E9D" w14:textId="77777777" w:rsidR="00D847F1" w:rsidRDefault="00D847F1">
      <w:pPr>
        <w:pStyle w:val="Amain"/>
        <w:keepNext/>
      </w:pPr>
      <w:r>
        <w:tab/>
        <w:t>(1)</w:t>
      </w:r>
      <w:r>
        <w:tab/>
        <w:t>A licensee commits an offence if the licensee contravenes the code of practice, section 1.3 (2) (which is about false or misleading information).</w:t>
      </w:r>
    </w:p>
    <w:p w14:paraId="702D2987" w14:textId="77777777" w:rsidR="00D847F1" w:rsidRDefault="00D847F1">
      <w:pPr>
        <w:pStyle w:val="Penalty"/>
        <w:keepNext/>
      </w:pPr>
      <w:r>
        <w:t xml:space="preserve">Maximum penalty:  </w:t>
      </w:r>
      <w:r w:rsidR="00B776B3">
        <w:t>10 pen</w:t>
      </w:r>
      <w:r>
        <w:t>alty units.</w:t>
      </w:r>
    </w:p>
    <w:p w14:paraId="0F9F20D9" w14:textId="77777777" w:rsidR="00D847F1" w:rsidRDefault="00D847F1">
      <w:pPr>
        <w:pStyle w:val="Amain"/>
        <w:keepNext/>
      </w:pPr>
      <w:r>
        <w:tab/>
        <w:t>(2)</w:t>
      </w:r>
      <w:r>
        <w:tab/>
        <w:t>An offence against this section is an offence of strict liability.</w:t>
      </w:r>
    </w:p>
    <w:p w14:paraId="66BBE199"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50CA9055" w14:textId="77777777" w:rsidR="00FD252A" w:rsidRPr="00A35BB6" w:rsidRDefault="00FD252A" w:rsidP="00FD252A">
      <w:pPr>
        <w:pStyle w:val="AH5Sec"/>
      </w:pPr>
      <w:bookmarkStart w:id="20" w:name="_Toc72505932"/>
      <w:r w:rsidRPr="00224E14">
        <w:rPr>
          <w:rStyle w:val="CharSectNo"/>
        </w:rPr>
        <w:t>9</w:t>
      </w:r>
      <w:r w:rsidRPr="00A35BB6">
        <w:tab/>
        <w:t>Approved training programs</w:t>
      </w:r>
      <w:bookmarkEnd w:id="20"/>
    </w:p>
    <w:p w14:paraId="06100059" w14:textId="77777777" w:rsidR="00FD252A" w:rsidRPr="00A35BB6" w:rsidRDefault="00FD252A" w:rsidP="00FD252A">
      <w:pPr>
        <w:pStyle w:val="Amain"/>
      </w:pPr>
      <w:r w:rsidRPr="00A35BB6">
        <w:tab/>
        <w:t>(1)</w:t>
      </w:r>
      <w:r w:rsidRPr="00A35BB6">
        <w:tab/>
        <w:t>A person may apply to the commission for approval of a training program about the responsible provision of gambling services.</w:t>
      </w:r>
    </w:p>
    <w:p w14:paraId="2EEA064A" w14:textId="065ACCF7"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If a form is approved under the </w:t>
      </w:r>
      <w:hyperlink r:id="rId39" w:tooltip="A1999-46" w:history="1">
        <w:r w:rsidRPr="00A35BB6">
          <w:rPr>
            <w:rStyle w:val="charCitHyperlinkAbbrev"/>
          </w:rPr>
          <w:t>Act</w:t>
        </w:r>
      </w:hyperlink>
      <w:r w:rsidRPr="00A35BB6">
        <w:rPr>
          <w:lang w:eastAsia="en-AU"/>
        </w:rPr>
        <w:t>, s 53D for this provision, the form must be used.</w:t>
      </w:r>
    </w:p>
    <w:p w14:paraId="630001F3" w14:textId="77777777" w:rsidR="00FD252A" w:rsidRPr="00A35BB6" w:rsidRDefault="00FD252A" w:rsidP="00FD252A">
      <w:pPr>
        <w:pStyle w:val="Amain"/>
      </w:pPr>
      <w:r w:rsidRPr="00A35BB6">
        <w:tab/>
        <w:t>(2)</w:t>
      </w:r>
      <w:r w:rsidRPr="00A35BB6">
        <w:tab/>
        <w:t xml:space="preserve">The commission may approve a training program (an </w:t>
      </w:r>
      <w:r w:rsidRPr="00A35BB6">
        <w:rPr>
          <w:rStyle w:val="charBoldItals"/>
        </w:rPr>
        <w:t>approved training program</w:t>
      </w:r>
      <w:r w:rsidRPr="00A35BB6">
        <w:t>) if satisfied that the program content is relevant, sufficiently comprehensive, accurate and up-to-date.</w:t>
      </w:r>
    </w:p>
    <w:p w14:paraId="1257A28B" w14:textId="6475C80A" w:rsidR="00FD252A" w:rsidRPr="00A35BB6" w:rsidRDefault="00FD252A" w:rsidP="00FD252A">
      <w:pPr>
        <w:pStyle w:val="aNote"/>
      </w:pPr>
      <w:r w:rsidRPr="00A35BB6">
        <w:rPr>
          <w:rStyle w:val="charItals"/>
        </w:rPr>
        <w:t>Note</w:t>
      </w:r>
      <w:r w:rsidRPr="00A35BB6">
        <w:rPr>
          <w:rStyle w:val="charItals"/>
        </w:rPr>
        <w:tab/>
      </w:r>
      <w:r w:rsidRPr="00A35BB6">
        <w:t xml:space="preserve">The power to make an instrument includes the power to amend or repeal the instrument.  The power to amend or repeal the instrument is exercisable in the same way, and subject to the same conditions, as the power to make the instrument (see </w:t>
      </w:r>
      <w:hyperlink r:id="rId40" w:tooltip="A2001-14" w:history="1">
        <w:r w:rsidRPr="00A35BB6">
          <w:rPr>
            <w:rStyle w:val="charCitHyperlinkAbbrev"/>
          </w:rPr>
          <w:t>Legislation Act</w:t>
        </w:r>
      </w:hyperlink>
      <w:r w:rsidRPr="00A35BB6">
        <w:t>, s 46).</w:t>
      </w:r>
    </w:p>
    <w:p w14:paraId="47036B1D" w14:textId="77777777" w:rsidR="00FD252A" w:rsidRPr="00A35BB6" w:rsidRDefault="00FD252A" w:rsidP="00FD252A">
      <w:pPr>
        <w:pStyle w:val="Amain"/>
        <w:rPr>
          <w:lang w:eastAsia="en-AU"/>
        </w:rPr>
      </w:pPr>
      <w:r w:rsidRPr="00A35BB6">
        <w:tab/>
        <w:t>(3)</w:t>
      </w:r>
      <w:r w:rsidRPr="00A35BB6">
        <w:tab/>
      </w:r>
      <w:r w:rsidRPr="00A35BB6">
        <w:rPr>
          <w:lang w:eastAsia="en-AU"/>
        </w:rPr>
        <w:t>An approval is a notifiable instrument.</w:t>
      </w:r>
    </w:p>
    <w:p w14:paraId="69310F59" w14:textId="15881D33"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A notifiable instrument must be notified under the </w:t>
      </w:r>
      <w:hyperlink r:id="rId41" w:tooltip="A2001-14" w:history="1">
        <w:r w:rsidRPr="00A35BB6">
          <w:rPr>
            <w:rStyle w:val="charCitHyperlinkAbbrev"/>
          </w:rPr>
          <w:t>Legislation Act</w:t>
        </w:r>
      </w:hyperlink>
      <w:r w:rsidRPr="00A35BB6">
        <w:rPr>
          <w:lang w:eastAsia="en-AU"/>
        </w:rPr>
        <w:t>.</w:t>
      </w:r>
    </w:p>
    <w:p w14:paraId="1A26C50B" w14:textId="77777777" w:rsidR="00FD252A" w:rsidRPr="00A35BB6" w:rsidRDefault="00FD252A" w:rsidP="00FA1B52">
      <w:pPr>
        <w:pStyle w:val="Amain"/>
        <w:keepNext/>
        <w:rPr>
          <w:lang w:eastAsia="en-AU"/>
        </w:rPr>
      </w:pPr>
      <w:r w:rsidRPr="00A35BB6">
        <w:rPr>
          <w:lang w:eastAsia="en-AU"/>
        </w:rPr>
        <w:lastRenderedPageBreak/>
        <w:tab/>
        <w:t>(4)</w:t>
      </w:r>
      <w:r w:rsidRPr="00A35BB6">
        <w:rPr>
          <w:lang w:eastAsia="en-AU"/>
        </w:rPr>
        <w:tab/>
        <w:t xml:space="preserve">If the commission revokes an approval, the commission must </w:t>
      </w:r>
      <w:r w:rsidRPr="00A35BB6">
        <w:rPr>
          <w:szCs w:val="24"/>
          <w:lang w:eastAsia="en-AU"/>
        </w:rPr>
        <w:t>give a reviewable decision notice setting out the reasons for the revocation to any person whose interests are affected by the decision.</w:t>
      </w:r>
    </w:p>
    <w:p w14:paraId="5C61E633" w14:textId="21D4E0C8" w:rsidR="00FD252A" w:rsidRPr="00A35BB6" w:rsidRDefault="00FD252A" w:rsidP="00FA1B52">
      <w:pPr>
        <w:pStyle w:val="aNote"/>
        <w:keepNext/>
        <w:rPr>
          <w:szCs w:val="24"/>
          <w:lang w:eastAsia="en-AU"/>
        </w:rPr>
      </w:pPr>
      <w:r w:rsidRPr="00A35BB6">
        <w:rPr>
          <w:rStyle w:val="charItals"/>
        </w:rPr>
        <w:t>Note</w:t>
      </w:r>
      <w:r w:rsidRPr="00A35BB6">
        <w:rPr>
          <w:rStyle w:val="charItals"/>
        </w:rPr>
        <w:tab/>
      </w:r>
      <w:r w:rsidRPr="00A35BB6">
        <w:rPr>
          <w:lang w:eastAsia="en-AU"/>
        </w:rPr>
        <w:t xml:space="preserve">The requirements for reviewable decision notices are prescribed under the </w:t>
      </w:r>
      <w:hyperlink r:id="rId42" w:tooltip="A2008-35" w:history="1">
        <w:r w:rsidRPr="00A35BB6">
          <w:rPr>
            <w:rStyle w:val="charCitHyperlinkItal"/>
          </w:rPr>
          <w:t>ACT Civil and Administrative Tribunal Act 2008</w:t>
        </w:r>
      </w:hyperlink>
      <w:r w:rsidRPr="00A35BB6">
        <w:rPr>
          <w:lang w:eastAsia="en-AU"/>
        </w:rPr>
        <w:t>.</w:t>
      </w:r>
    </w:p>
    <w:p w14:paraId="32C91D00" w14:textId="77777777" w:rsidR="00FD252A" w:rsidRPr="00A35BB6" w:rsidRDefault="00FD252A" w:rsidP="00FD252A">
      <w:pPr>
        <w:pStyle w:val="Amain"/>
        <w:rPr>
          <w:lang w:eastAsia="en-AU"/>
        </w:rPr>
      </w:pPr>
      <w:r w:rsidRPr="00A35BB6">
        <w:rPr>
          <w:lang w:eastAsia="en-AU"/>
        </w:rPr>
        <w:tab/>
        <w:t>(5)</w:t>
      </w:r>
      <w:r w:rsidRPr="00A35BB6">
        <w:rPr>
          <w:lang w:eastAsia="en-AU"/>
        </w:rPr>
        <w:tab/>
        <w:t xml:space="preserve">A person whose interests are affected by a decision of the </w:t>
      </w:r>
      <w:r w:rsidRPr="00A35BB6">
        <w:rPr>
          <w:szCs w:val="24"/>
          <w:lang w:eastAsia="en-AU"/>
        </w:rPr>
        <w:t xml:space="preserve">commission to revoke </w:t>
      </w:r>
      <w:r w:rsidRPr="00A35BB6">
        <w:t>approval of an approved training course</w:t>
      </w:r>
      <w:r w:rsidRPr="00A35BB6">
        <w:rPr>
          <w:szCs w:val="24"/>
          <w:lang w:eastAsia="en-AU"/>
        </w:rPr>
        <w:t xml:space="preserve"> may apply to the ACAT for review of the decision.</w:t>
      </w:r>
    </w:p>
    <w:p w14:paraId="686A671C" w14:textId="7EC0156B"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If a form is approved under the </w:t>
      </w:r>
      <w:hyperlink r:id="rId43" w:tooltip="A2008-35" w:history="1">
        <w:r w:rsidRPr="00A35BB6">
          <w:rPr>
            <w:rStyle w:val="charCitHyperlinkItal"/>
          </w:rPr>
          <w:t>ACT Civil and Administrative Tribunal Act 2008</w:t>
        </w:r>
      </w:hyperlink>
      <w:r w:rsidRPr="00A35BB6">
        <w:rPr>
          <w:rStyle w:val="charItals"/>
        </w:rPr>
        <w:t xml:space="preserve"> </w:t>
      </w:r>
      <w:r w:rsidRPr="00A35BB6">
        <w:rPr>
          <w:lang w:eastAsia="en-AU"/>
        </w:rPr>
        <w:t>for this provision, the form must be used.</w:t>
      </w:r>
    </w:p>
    <w:p w14:paraId="55027C68" w14:textId="77777777" w:rsidR="00D847F1" w:rsidRPr="00224E14" w:rsidRDefault="00D847F1">
      <w:pPr>
        <w:pStyle w:val="AH3Div"/>
      </w:pPr>
      <w:bookmarkStart w:id="21" w:name="_Toc72505933"/>
      <w:r w:rsidRPr="00224E14">
        <w:rPr>
          <w:rStyle w:val="CharDivNo"/>
        </w:rPr>
        <w:t>Division 2.3</w:t>
      </w:r>
      <w:r>
        <w:tab/>
      </w:r>
      <w:r w:rsidRPr="00224E14">
        <w:rPr>
          <w:rStyle w:val="CharDivText"/>
        </w:rPr>
        <w:t>Problem gambling</w:t>
      </w:r>
      <w:bookmarkEnd w:id="21"/>
      <w:r w:rsidRPr="00224E14">
        <w:rPr>
          <w:rStyle w:val="CharDivText"/>
        </w:rPr>
        <w:t xml:space="preserve"> </w:t>
      </w:r>
    </w:p>
    <w:p w14:paraId="5B6B7673" w14:textId="77777777" w:rsidR="00D847F1" w:rsidRDefault="00D847F1">
      <w:pPr>
        <w:pStyle w:val="AH5Sec"/>
        <w:rPr>
          <w:rStyle w:val="charItals"/>
        </w:rPr>
      </w:pPr>
      <w:bookmarkStart w:id="22" w:name="_Toc72505934"/>
      <w:r w:rsidRPr="00224E14">
        <w:rPr>
          <w:rStyle w:val="CharSectNo"/>
        </w:rPr>
        <w:t>10</w:t>
      </w:r>
      <w:r>
        <w:tab/>
        <w:t>Recording problem gambling incidents</w:t>
      </w:r>
      <w:bookmarkEnd w:id="22"/>
    </w:p>
    <w:p w14:paraId="44ABFD5B" w14:textId="77777777" w:rsidR="00D847F1" w:rsidRDefault="00D847F1">
      <w:pPr>
        <w:pStyle w:val="Amain"/>
        <w:keepNext/>
      </w:pPr>
      <w:r>
        <w:tab/>
        <w:t>(1)</w:t>
      </w:r>
      <w:r>
        <w:tab/>
        <w:t>A licensee commits an offence if, when asked by the commission, the licensee fails to make available for inspection by the commission a record of problem gambling incidents kept by the licensee under the code of practice.</w:t>
      </w:r>
    </w:p>
    <w:p w14:paraId="15237543" w14:textId="77777777" w:rsidR="00D847F1" w:rsidRDefault="00D847F1">
      <w:pPr>
        <w:pStyle w:val="Penalty"/>
        <w:keepNext/>
      </w:pPr>
      <w:r>
        <w:t xml:space="preserve">Maximum penalty:  </w:t>
      </w:r>
      <w:r w:rsidR="00B776B3">
        <w:t>10 pen</w:t>
      </w:r>
      <w:r>
        <w:t>alty units.</w:t>
      </w:r>
    </w:p>
    <w:p w14:paraId="0C563FB8" w14:textId="77777777" w:rsidR="00FA1B52" w:rsidRPr="00A35BB6" w:rsidRDefault="001739A9" w:rsidP="00FA1B52">
      <w:pPr>
        <w:pStyle w:val="Amain"/>
      </w:pPr>
      <w:r>
        <w:tab/>
        <w:t>(2</w:t>
      </w:r>
      <w:r w:rsidR="00FA1B52" w:rsidRPr="00A35BB6">
        <w:t>)</w:t>
      </w:r>
      <w:r w:rsidR="00FA1B52" w:rsidRPr="00A35BB6">
        <w:tab/>
        <w:t>A licensee commits an offence if the licensee contravenes the code of practice, section 1.6A (4) (Recording problem gambling incidents).</w:t>
      </w:r>
    </w:p>
    <w:p w14:paraId="63D7280B" w14:textId="77777777" w:rsidR="00FA1B52" w:rsidRPr="00A35BB6" w:rsidRDefault="00FA1B52" w:rsidP="00FA1B52">
      <w:pPr>
        <w:pStyle w:val="Penalty"/>
      </w:pPr>
      <w:r w:rsidRPr="00A35BB6">
        <w:t>Maximum penalty: 10 penalty units.</w:t>
      </w:r>
    </w:p>
    <w:p w14:paraId="502822A9" w14:textId="77777777" w:rsidR="00D847F1" w:rsidRDefault="001739A9">
      <w:pPr>
        <w:pStyle w:val="Amain"/>
        <w:keepNext/>
      </w:pPr>
      <w:r>
        <w:tab/>
        <w:t>(3</w:t>
      </w:r>
      <w:r w:rsidR="00D847F1">
        <w:t>)</w:t>
      </w:r>
      <w:r w:rsidR="00D847F1">
        <w:tab/>
        <w:t>An offence against this section is an offence of strict liability.</w:t>
      </w:r>
    </w:p>
    <w:p w14:paraId="2EC6801E"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102DC6C2" w14:textId="77777777" w:rsidR="00D847F1" w:rsidRDefault="00D847F1">
      <w:pPr>
        <w:pStyle w:val="AH5Sec"/>
      </w:pPr>
      <w:bookmarkStart w:id="23" w:name="_Toc72505935"/>
      <w:r w:rsidRPr="00224E14">
        <w:rPr>
          <w:rStyle w:val="CharSectNo"/>
        </w:rPr>
        <w:lastRenderedPageBreak/>
        <w:t>11</w:t>
      </w:r>
      <w:r>
        <w:tab/>
        <w:t>Gambling facility to have gambling contact officer</w:t>
      </w:r>
      <w:bookmarkEnd w:id="23"/>
    </w:p>
    <w:p w14:paraId="472EBB5F" w14:textId="77777777" w:rsidR="00D847F1" w:rsidRDefault="00D847F1" w:rsidP="00FA1B52">
      <w:pPr>
        <w:pStyle w:val="Amain"/>
        <w:keepNext/>
      </w:pPr>
      <w:r>
        <w:tab/>
        <w:t>(1)</w:t>
      </w:r>
      <w:r>
        <w:tab/>
        <w:t>The licensee of a gambling facility commits an offence if the licensee contravenes the code of practice, section 1.9 (1) (Gambling contact officers).</w:t>
      </w:r>
    </w:p>
    <w:p w14:paraId="66D6FC82" w14:textId="77777777" w:rsidR="00D847F1" w:rsidRDefault="00D847F1">
      <w:pPr>
        <w:pStyle w:val="Penalty"/>
        <w:keepNext/>
      </w:pPr>
      <w:r>
        <w:t xml:space="preserve">Maximum penalty:  </w:t>
      </w:r>
      <w:r w:rsidR="00B776B3">
        <w:t>10 pen</w:t>
      </w:r>
      <w:r>
        <w:t>alty units.</w:t>
      </w:r>
    </w:p>
    <w:p w14:paraId="60A1EEA0" w14:textId="77777777" w:rsidR="00D847F1" w:rsidRDefault="00D847F1" w:rsidP="00FA1B52">
      <w:pPr>
        <w:pStyle w:val="Amain"/>
        <w:keepNext/>
      </w:pPr>
      <w:r>
        <w:tab/>
        <w:t>(2)</w:t>
      </w:r>
      <w:r>
        <w:tab/>
        <w:t>The licensee of a gambling facility must, as soon as practicable, give the commission—</w:t>
      </w:r>
    </w:p>
    <w:p w14:paraId="3F4C6371" w14:textId="77777777" w:rsidR="00D847F1" w:rsidRDefault="00D847F1">
      <w:pPr>
        <w:pStyle w:val="Apara"/>
      </w:pPr>
      <w:r>
        <w:tab/>
        <w:t>(a)</w:t>
      </w:r>
      <w:r>
        <w:tab/>
        <w:t>the name and address of each gambling contact officer for the facility; and</w:t>
      </w:r>
    </w:p>
    <w:p w14:paraId="708FAE6E" w14:textId="77777777" w:rsidR="00D847F1" w:rsidRDefault="00D847F1">
      <w:pPr>
        <w:pStyle w:val="Apara"/>
        <w:keepNext/>
      </w:pPr>
      <w:r>
        <w:tab/>
        <w:t>(b)</w:t>
      </w:r>
      <w:r>
        <w:tab/>
        <w:t>if a detail given under paragraph (a) changes—details of the change.</w:t>
      </w:r>
    </w:p>
    <w:p w14:paraId="53239DA2" w14:textId="77777777" w:rsidR="00D847F1" w:rsidRDefault="00D847F1">
      <w:pPr>
        <w:pStyle w:val="Penalty"/>
        <w:keepNext/>
      </w:pPr>
      <w:r>
        <w:t xml:space="preserve">Maximum penalty:  </w:t>
      </w:r>
      <w:r w:rsidR="00B776B3">
        <w:t>10 pen</w:t>
      </w:r>
      <w:r>
        <w:t>alty units.</w:t>
      </w:r>
    </w:p>
    <w:p w14:paraId="18632A71" w14:textId="77777777" w:rsidR="00D847F1" w:rsidRDefault="00D847F1">
      <w:pPr>
        <w:pStyle w:val="Amain"/>
        <w:keepNext/>
      </w:pPr>
      <w:r>
        <w:tab/>
        <w:t>(3)</w:t>
      </w:r>
      <w:r>
        <w:tab/>
        <w:t>An offence against this section is an offence of strict liability.</w:t>
      </w:r>
    </w:p>
    <w:p w14:paraId="2F5FFBAE"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104718C2" w14:textId="77777777" w:rsidR="00D847F1" w:rsidRDefault="00D847F1">
      <w:pPr>
        <w:pStyle w:val="AH5Sec"/>
      </w:pPr>
      <w:bookmarkStart w:id="24" w:name="_Toc72505936"/>
      <w:r w:rsidRPr="00224E14">
        <w:rPr>
          <w:rStyle w:val="CharSectNo"/>
        </w:rPr>
        <w:t>12</w:t>
      </w:r>
      <w:r>
        <w:tab/>
        <w:t>Dealing with people with gambling problem</w:t>
      </w:r>
      <w:bookmarkEnd w:id="24"/>
      <w:r>
        <w:t xml:space="preserve"> </w:t>
      </w:r>
    </w:p>
    <w:p w14:paraId="128D7617" w14:textId="77777777" w:rsidR="00D847F1" w:rsidRDefault="00D847F1">
      <w:pPr>
        <w:pStyle w:val="Amain"/>
      </w:pPr>
      <w:r>
        <w:tab/>
        <w:t>(1)</w:t>
      </w:r>
      <w:r>
        <w:tab/>
        <w:t>A gambling contact officer commits an offence if the gambling contact officer contravenes the code of practice, section 1.11 (2) or (3) (which is about problem gamblers).</w:t>
      </w:r>
    </w:p>
    <w:p w14:paraId="57F7F8E4" w14:textId="77777777" w:rsidR="00D847F1" w:rsidRDefault="00D847F1">
      <w:pPr>
        <w:pStyle w:val="Penalty"/>
        <w:keepNext/>
      </w:pPr>
      <w:r>
        <w:t xml:space="preserve">Maximum penalty:  </w:t>
      </w:r>
      <w:r w:rsidR="00B776B3">
        <w:t>10 pen</w:t>
      </w:r>
      <w:r>
        <w:t>alty units.</w:t>
      </w:r>
    </w:p>
    <w:p w14:paraId="5F1426EE" w14:textId="77777777" w:rsidR="00D847F1" w:rsidRDefault="00D847F1">
      <w:pPr>
        <w:pStyle w:val="Amain"/>
        <w:keepNext/>
      </w:pPr>
      <w:r>
        <w:tab/>
        <w:t>(2)</w:t>
      </w:r>
      <w:r>
        <w:tab/>
        <w:t>An offence against this section is an offence of strict liability.</w:t>
      </w:r>
    </w:p>
    <w:p w14:paraId="23266C14"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140CF929" w14:textId="77777777" w:rsidR="00D847F1" w:rsidRPr="00224E14" w:rsidRDefault="00D847F1">
      <w:pPr>
        <w:pStyle w:val="AH3Div"/>
      </w:pPr>
      <w:bookmarkStart w:id="25" w:name="_Toc72505937"/>
      <w:r w:rsidRPr="00224E14">
        <w:rPr>
          <w:rStyle w:val="CharDivNo"/>
        </w:rPr>
        <w:lastRenderedPageBreak/>
        <w:t>Division 2.4</w:t>
      </w:r>
      <w:r>
        <w:tab/>
      </w:r>
      <w:r w:rsidRPr="00224E14">
        <w:rPr>
          <w:rStyle w:val="CharDivText"/>
        </w:rPr>
        <w:t>Exclusion from gambling</w:t>
      </w:r>
      <w:bookmarkEnd w:id="25"/>
    </w:p>
    <w:p w14:paraId="50BF4EB8" w14:textId="77777777" w:rsidR="00D847F1" w:rsidRDefault="00D847F1">
      <w:pPr>
        <w:pStyle w:val="AH5Sec"/>
      </w:pPr>
      <w:bookmarkStart w:id="26" w:name="_Toc72505938"/>
      <w:r w:rsidRPr="00224E14">
        <w:rPr>
          <w:rStyle w:val="CharSectNo"/>
        </w:rPr>
        <w:t>13</w:t>
      </w:r>
      <w:r>
        <w:tab/>
        <w:t>Application of div 2.4</w:t>
      </w:r>
      <w:bookmarkEnd w:id="26"/>
    </w:p>
    <w:p w14:paraId="563BC4DB" w14:textId="77777777" w:rsidR="00D847F1" w:rsidRDefault="00D847F1">
      <w:pPr>
        <w:pStyle w:val="Amain"/>
      </w:pPr>
      <w:r>
        <w:tab/>
        <w:t>(1)</w:t>
      </w:r>
      <w:r>
        <w:tab/>
        <w:t>This division does not apply to someone</w:t>
      </w:r>
      <w:r w:rsidRPr="00F1531F">
        <w:t xml:space="preserve"> </w:t>
      </w:r>
      <w:r>
        <w:t xml:space="preserve">mentioned in section 5, definition of </w:t>
      </w:r>
      <w:r>
        <w:rPr>
          <w:rStyle w:val="charBoldItals"/>
        </w:rPr>
        <w:t>licensee</w:t>
      </w:r>
      <w:r>
        <w:t>, paragraph (f).</w:t>
      </w:r>
    </w:p>
    <w:p w14:paraId="4DFBE17F" w14:textId="2A02B5FD" w:rsidR="00D847F1" w:rsidRDefault="00D847F1">
      <w:pPr>
        <w:pStyle w:val="Amain"/>
      </w:pPr>
      <w:r>
        <w:tab/>
        <w:t>(2)</w:t>
      </w:r>
      <w:r>
        <w:tab/>
        <w:t xml:space="preserve">Also, this division, other than section 15 (1) (Exclusion of people at risk or excluded under deed), section 21 (Accounts of certain excluded people), and section 22 (Promotional material not to be sent to certain excluded people), does not apply to a licensed provider under the </w:t>
      </w:r>
      <w:hyperlink r:id="rId44" w:tooltip="A1998-24" w:history="1">
        <w:r w:rsidR="00DF21AF" w:rsidRPr="00DF21AF">
          <w:rPr>
            <w:rStyle w:val="charCitHyperlinkItal"/>
          </w:rPr>
          <w:t>Interactive Gambling Act 1998</w:t>
        </w:r>
      </w:hyperlink>
      <w:r>
        <w:t>.</w:t>
      </w:r>
    </w:p>
    <w:p w14:paraId="53069A1B" w14:textId="450C7829" w:rsidR="00D847F1" w:rsidRDefault="00D847F1">
      <w:pPr>
        <w:pStyle w:val="aNote"/>
      </w:pPr>
      <w:r>
        <w:rPr>
          <w:rStyle w:val="charItals"/>
        </w:rPr>
        <w:t>Note</w:t>
      </w:r>
      <w:r>
        <w:rPr>
          <w:rStyle w:val="charItals"/>
        </w:rPr>
        <w:tab/>
      </w:r>
      <w:r>
        <w:t xml:space="preserve">The </w:t>
      </w:r>
      <w:hyperlink r:id="rId45" w:tooltip="A1998-24" w:history="1">
        <w:r w:rsidR="00DF21AF" w:rsidRPr="00DF21AF">
          <w:rPr>
            <w:rStyle w:val="charCitHyperlinkItal"/>
          </w:rPr>
          <w:t>Interactive Gambling Act 1998</w:t>
        </w:r>
      </w:hyperlink>
      <w:r>
        <w:t xml:space="preserve"> contains provisions about excluded or disqualified people.</w:t>
      </w:r>
    </w:p>
    <w:p w14:paraId="3F52D6E6" w14:textId="77777777" w:rsidR="00D847F1" w:rsidRDefault="00D847F1">
      <w:pPr>
        <w:pStyle w:val="AH5Sec"/>
      </w:pPr>
      <w:bookmarkStart w:id="27" w:name="_Toc72505939"/>
      <w:r w:rsidRPr="00224E14">
        <w:rPr>
          <w:rStyle w:val="CharSectNo"/>
        </w:rPr>
        <w:t>14</w:t>
      </w:r>
      <w:r>
        <w:tab/>
        <w:t>Deeds of exclusion</w:t>
      </w:r>
      <w:bookmarkEnd w:id="27"/>
      <w:r>
        <w:t xml:space="preserve"> </w:t>
      </w:r>
    </w:p>
    <w:p w14:paraId="680B0E45" w14:textId="77777777" w:rsidR="00D847F1" w:rsidRDefault="00D847F1">
      <w:pPr>
        <w:pStyle w:val="Amain"/>
      </w:pPr>
      <w:r>
        <w:tab/>
        <w:t>(1)</w:t>
      </w:r>
      <w:r>
        <w:tab/>
        <w:t>A licensee commits an offence if the licensee contravenes the code of practice, section 1.13 (Deeds of exclusion).</w:t>
      </w:r>
    </w:p>
    <w:p w14:paraId="0B2F494F" w14:textId="77777777" w:rsidR="00D847F1" w:rsidRDefault="00D847F1">
      <w:pPr>
        <w:pStyle w:val="Penalty"/>
        <w:keepNext/>
      </w:pPr>
      <w:r>
        <w:t>Maximum penalty:  10 penalty units.</w:t>
      </w:r>
    </w:p>
    <w:p w14:paraId="301BFFD1" w14:textId="77777777" w:rsidR="00D847F1" w:rsidRDefault="00D847F1">
      <w:pPr>
        <w:pStyle w:val="Amain"/>
        <w:keepNext/>
      </w:pPr>
      <w:r>
        <w:tab/>
        <w:t>(2)</w:t>
      </w:r>
      <w:r>
        <w:tab/>
        <w:t>An offence against this section is an offence of strict liability.</w:t>
      </w:r>
    </w:p>
    <w:p w14:paraId="3D31BD88"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3840E49F" w14:textId="77777777" w:rsidR="00D847F1" w:rsidRDefault="00D847F1">
      <w:pPr>
        <w:pStyle w:val="AH5Sec"/>
      </w:pPr>
      <w:bookmarkStart w:id="28" w:name="_Toc72505940"/>
      <w:r w:rsidRPr="00224E14">
        <w:rPr>
          <w:rStyle w:val="CharSectNo"/>
        </w:rPr>
        <w:t>15</w:t>
      </w:r>
      <w:r>
        <w:tab/>
        <w:t>Exclusion of people at risk or excluded under deed</w:t>
      </w:r>
      <w:bookmarkEnd w:id="28"/>
    </w:p>
    <w:p w14:paraId="2C8F75EA" w14:textId="77777777" w:rsidR="00D847F1" w:rsidRDefault="00D847F1">
      <w:pPr>
        <w:pStyle w:val="Amain"/>
      </w:pPr>
      <w:r>
        <w:tab/>
        <w:t>(1)</w:t>
      </w:r>
      <w:r>
        <w:tab/>
        <w:t>The licensee of a gambling facility commits an offence if the licensee contravenes the code of practice, section 1.14.</w:t>
      </w:r>
    </w:p>
    <w:p w14:paraId="16AB56CB" w14:textId="77777777" w:rsidR="00D847F1" w:rsidRDefault="00D847F1">
      <w:pPr>
        <w:pStyle w:val="Penalty"/>
        <w:keepNext/>
      </w:pPr>
      <w:r>
        <w:t xml:space="preserve">Maximum penalty:  </w:t>
      </w:r>
      <w:r w:rsidR="00B776B3">
        <w:t>10 pen</w:t>
      </w:r>
      <w:r>
        <w:t>alty units.</w:t>
      </w:r>
    </w:p>
    <w:p w14:paraId="462D79D8" w14:textId="77777777" w:rsidR="00D847F1" w:rsidRDefault="00D847F1">
      <w:pPr>
        <w:pStyle w:val="Amain"/>
      </w:pPr>
      <w:r>
        <w:tab/>
        <w:t>(2)</w:t>
      </w:r>
      <w:r>
        <w:tab/>
        <w:t>The licensee of a gambling facility must not use more force, or subject someone to greater indignity, than is necessary and reasonable to exclude the person from gambling at the facility.</w:t>
      </w:r>
    </w:p>
    <w:p w14:paraId="59A833FA" w14:textId="77777777" w:rsidR="00D847F1" w:rsidRDefault="00D847F1">
      <w:pPr>
        <w:pStyle w:val="Amain"/>
        <w:keepNext/>
      </w:pPr>
      <w:r>
        <w:lastRenderedPageBreak/>
        <w:tab/>
        <w:t>(3)</w:t>
      </w:r>
      <w:r>
        <w:tab/>
        <w:t>An offence against this section is an offence of strict liability.</w:t>
      </w:r>
    </w:p>
    <w:p w14:paraId="24DED5DD"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13BF432C" w14:textId="77777777" w:rsidR="00D847F1" w:rsidRDefault="00D847F1">
      <w:pPr>
        <w:pStyle w:val="AH5Sec"/>
      </w:pPr>
      <w:bookmarkStart w:id="29" w:name="_Toc72505941"/>
      <w:r w:rsidRPr="00224E14">
        <w:rPr>
          <w:rStyle w:val="CharSectNo"/>
        </w:rPr>
        <w:t>16</w:t>
      </w:r>
      <w:r>
        <w:tab/>
        <w:t>Commission’s review of exclusion decision</w:t>
      </w:r>
      <w:bookmarkEnd w:id="29"/>
    </w:p>
    <w:p w14:paraId="2B80B831" w14:textId="77777777" w:rsidR="00D847F1" w:rsidRDefault="00D847F1">
      <w:pPr>
        <w:pStyle w:val="Amain"/>
      </w:pPr>
      <w:r>
        <w:tab/>
        <w:t>(1)</w:t>
      </w:r>
      <w:r>
        <w:tab/>
        <w:t>A person aggrieved by a licensee’s decision under the code of practice, section 1.14 (1) (Exclusion of people at risk or excluded under deed) may apply, in writing, to the commission for review of the decision.</w:t>
      </w:r>
    </w:p>
    <w:p w14:paraId="0426F50A" w14:textId="77777777" w:rsidR="00D847F1" w:rsidRDefault="00D847F1">
      <w:pPr>
        <w:pStyle w:val="Amain"/>
      </w:pPr>
      <w:r>
        <w:tab/>
        <w:t>(2)</w:t>
      </w:r>
      <w:r>
        <w:tab/>
        <w:t>To review the decision, the commission must—</w:t>
      </w:r>
    </w:p>
    <w:p w14:paraId="65932DD0" w14:textId="77777777" w:rsidR="00D847F1" w:rsidRDefault="00D847F1">
      <w:pPr>
        <w:pStyle w:val="Apara"/>
      </w:pPr>
      <w:r>
        <w:tab/>
        <w:t>(a)</w:t>
      </w:r>
      <w:r>
        <w:tab/>
        <w:t>give the licensee a written notice telling the licensee that the licensee may, within 2 weeks beginning the day after the day the licensee receives the notice, give a written response to the commission about the matters in the notice; and</w:t>
      </w:r>
    </w:p>
    <w:p w14:paraId="5A5172B5" w14:textId="77777777" w:rsidR="00D847F1" w:rsidRDefault="00D847F1">
      <w:pPr>
        <w:pStyle w:val="Apara"/>
      </w:pPr>
      <w:r>
        <w:tab/>
        <w:t>(b)</w:t>
      </w:r>
      <w:r>
        <w:tab/>
        <w:t>have regard to any response given by the licensee to the commission within the 2 weeks.</w:t>
      </w:r>
    </w:p>
    <w:p w14:paraId="01AA640C" w14:textId="77777777" w:rsidR="00D847F1" w:rsidRDefault="00D847F1">
      <w:pPr>
        <w:pStyle w:val="Amain"/>
      </w:pPr>
      <w:r>
        <w:tab/>
        <w:t>(3)</w:t>
      </w:r>
      <w:r>
        <w:tab/>
        <w:t xml:space="preserve">The commission must, by written notice, confirm, revoke or amend the licensee’s decision, having regard to the matters mentioned in the code of practice, section 1.15 (Matters to which licensee to have regard when deciding whether to exclude). </w:t>
      </w:r>
    </w:p>
    <w:p w14:paraId="00CCCF1E" w14:textId="77777777" w:rsidR="00D96AB6" w:rsidRDefault="00D96AB6" w:rsidP="00D96AB6">
      <w:pPr>
        <w:pStyle w:val="Amain"/>
      </w:pPr>
      <w:r>
        <w:tab/>
        <w:t>(4)</w:t>
      </w:r>
      <w:r>
        <w:tab/>
        <w:t>The notice under subsection (3) must be in the form of a reviewable decision notice.</w:t>
      </w:r>
    </w:p>
    <w:p w14:paraId="4C327290" w14:textId="0A6AA127" w:rsidR="00D96AB6" w:rsidRDefault="00D96AB6" w:rsidP="00D96AB6">
      <w:pPr>
        <w:pStyle w:val="aNote"/>
      </w:pPr>
      <w:r w:rsidRPr="00F1531F">
        <w:rPr>
          <w:rStyle w:val="charItals"/>
        </w:rPr>
        <w:t>Note 1</w:t>
      </w:r>
      <w:r w:rsidRPr="00F1531F">
        <w:rPr>
          <w:rStyle w:val="charItals"/>
        </w:rPr>
        <w:tab/>
      </w:r>
      <w:r>
        <w:t xml:space="preserve">The commission must also take reasonable steps to give a reviewable decision notice to any other person whose interests are affected by the decision (see </w:t>
      </w:r>
      <w:hyperlink r:id="rId46" w:tooltip="A2008-35" w:history="1">
        <w:r w:rsidR="00DF21AF" w:rsidRPr="00DF21AF">
          <w:rPr>
            <w:rStyle w:val="charCitHyperlinkItal"/>
          </w:rPr>
          <w:t>ACT Civil and Administrative Tribunal Act 2008</w:t>
        </w:r>
      </w:hyperlink>
      <w:r>
        <w:t>, s 67A).</w:t>
      </w:r>
    </w:p>
    <w:p w14:paraId="4661E5C8" w14:textId="37B509FE" w:rsidR="00D96AB6" w:rsidRDefault="00D96AB6" w:rsidP="00D96AB6">
      <w:pPr>
        <w:pStyle w:val="aNote"/>
      </w:pPr>
      <w:r w:rsidRPr="00F1531F">
        <w:rPr>
          <w:rStyle w:val="charItals"/>
        </w:rPr>
        <w:t>Note 2</w:t>
      </w:r>
      <w:r w:rsidRPr="00F1531F">
        <w:rPr>
          <w:rStyle w:val="charItals"/>
        </w:rPr>
        <w:tab/>
      </w:r>
      <w:r>
        <w:t xml:space="preserve">The requirements for reviewable decision notices are prescribed under the </w:t>
      </w:r>
      <w:hyperlink r:id="rId47" w:tooltip="A2008-35" w:history="1">
        <w:r w:rsidR="00DF21AF" w:rsidRPr="00DF21AF">
          <w:rPr>
            <w:rStyle w:val="charCitHyperlinkItal"/>
          </w:rPr>
          <w:t>ACT Civil and Administrative Tribunal Act 2008</w:t>
        </w:r>
      </w:hyperlink>
      <w:r>
        <w:t>.</w:t>
      </w:r>
    </w:p>
    <w:p w14:paraId="34B910D5" w14:textId="77777777" w:rsidR="00D96AB6" w:rsidRDefault="00D96AB6" w:rsidP="00D96AB6">
      <w:pPr>
        <w:pStyle w:val="AH5Sec"/>
      </w:pPr>
      <w:bookmarkStart w:id="30" w:name="_Toc72505942"/>
      <w:r w:rsidRPr="00224E14">
        <w:rPr>
          <w:rStyle w:val="CharSectNo"/>
        </w:rPr>
        <w:lastRenderedPageBreak/>
        <w:t>17</w:t>
      </w:r>
      <w:r>
        <w:tab/>
        <w:t>Review by ACAT of commission’s decision under s 16</w:t>
      </w:r>
      <w:bookmarkEnd w:id="30"/>
    </w:p>
    <w:p w14:paraId="3AC799CA" w14:textId="77777777" w:rsidR="00D96AB6" w:rsidRDefault="00D96AB6" w:rsidP="00D96AB6">
      <w:pPr>
        <w:pStyle w:val="Amainreturn"/>
        <w:keepNext/>
      </w:pPr>
      <w:r>
        <w:t>A person whose interests are affected by a decision by the commission to confirm, revoke or amend the licensee’s decision may apply to the ACAT for review of the decision.</w:t>
      </w:r>
    </w:p>
    <w:p w14:paraId="1663AF21" w14:textId="374D3149" w:rsidR="00D96AB6" w:rsidRDefault="00D96AB6" w:rsidP="00D96AB6">
      <w:pPr>
        <w:pStyle w:val="aNote"/>
      </w:pPr>
      <w:r w:rsidRPr="00F1531F">
        <w:rPr>
          <w:rStyle w:val="charItals"/>
        </w:rPr>
        <w:t>Note</w:t>
      </w:r>
      <w:r w:rsidRPr="00F1531F">
        <w:rPr>
          <w:rStyle w:val="charItals"/>
        </w:rPr>
        <w:tab/>
      </w:r>
      <w:r>
        <w:t xml:space="preserve">If a form is approved under the </w:t>
      </w:r>
      <w:hyperlink r:id="rId48" w:tooltip="A2008-35" w:history="1">
        <w:r w:rsidR="00DF21AF" w:rsidRPr="00DF21AF">
          <w:rPr>
            <w:rStyle w:val="charCitHyperlinkItal"/>
          </w:rPr>
          <w:t>ACT Civil and Administrative Tribunal Act 2008</w:t>
        </w:r>
      </w:hyperlink>
      <w:r w:rsidRPr="00F1531F">
        <w:rPr>
          <w:rStyle w:val="charItals"/>
        </w:rPr>
        <w:t xml:space="preserve"> </w:t>
      </w:r>
      <w:r>
        <w:t>for the application, the form must be used.</w:t>
      </w:r>
    </w:p>
    <w:p w14:paraId="0942492D" w14:textId="77777777" w:rsidR="00D847F1" w:rsidRDefault="00D847F1">
      <w:pPr>
        <w:pStyle w:val="AH5Sec"/>
      </w:pPr>
      <w:bookmarkStart w:id="31" w:name="_Toc72505943"/>
      <w:r w:rsidRPr="00224E14">
        <w:rPr>
          <w:rStyle w:val="CharSectNo"/>
        </w:rPr>
        <w:t>18</w:t>
      </w:r>
      <w:r>
        <w:tab/>
        <w:t>Compliance with decision to revoke or amend</w:t>
      </w:r>
      <w:bookmarkEnd w:id="31"/>
    </w:p>
    <w:p w14:paraId="4EFE0210" w14:textId="77777777" w:rsidR="00D847F1" w:rsidRDefault="00D847F1">
      <w:pPr>
        <w:pStyle w:val="Amain"/>
      </w:pPr>
      <w:r>
        <w:tab/>
        <w:t>(1)</w:t>
      </w:r>
      <w:r>
        <w:tab/>
        <w:t>If the commission revokes or amends a licensee’s decision to exclude a person from gambling, the commission may direct the licensee to give effect to the commission’s decision.</w:t>
      </w:r>
    </w:p>
    <w:p w14:paraId="01A1FAEE" w14:textId="77777777" w:rsidR="00D847F1" w:rsidRDefault="00D847F1">
      <w:pPr>
        <w:pStyle w:val="Amain"/>
      </w:pPr>
      <w:r>
        <w:tab/>
        <w:t>(2)</w:t>
      </w:r>
      <w:r>
        <w:tab/>
        <w:t>The licensee commits an offence if the licensee fails to comply with the direction.</w:t>
      </w:r>
    </w:p>
    <w:p w14:paraId="3E242B24" w14:textId="77777777" w:rsidR="00D847F1" w:rsidRDefault="00D847F1">
      <w:pPr>
        <w:pStyle w:val="Penalty"/>
        <w:keepNext/>
      </w:pPr>
      <w:r>
        <w:t xml:space="preserve">Maximum penalty:  </w:t>
      </w:r>
      <w:r w:rsidR="00B776B3">
        <w:t>10 pen</w:t>
      </w:r>
      <w:r>
        <w:t>alty units.</w:t>
      </w:r>
    </w:p>
    <w:p w14:paraId="0C97E424" w14:textId="77777777" w:rsidR="00D847F1" w:rsidRDefault="00D847F1">
      <w:pPr>
        <w:pStyle w:val="Amain"/>
        <w:keepNext/>
      </w:pPr>
      <w:r>
        <w:tab/>
        <w:t>(3)</w:t>
      </w:r>
      <w:r>
        <w:tab/>
        <w:t>An offence against this section is an offence of strict liability.</w:t>
      </w:r>
    </w:p>
    <w:p w14:paraId="3A17F2C6"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43C96A86" w14:textId="77777777" w:rsidR="00D847F1" w:rsidRDefault="00D847F1">
      <w:pPr>
        <w:pStyle w:val="AH5Sec"/>
      </w:pPr>
      <w:bookmarkStart w:id="32" w:name="_Toc72505944"/>
      <w:r w:rsidRPr="00224E14">
        <w:rPr>
          <w:rStyle w:val="CharSectNo"/>
        </w:rPr>
        <w:t>19</w:t>
      </w:r>
      <w:r>
        <w:tab/>
        <w:t>Exclusion procedures</w:t>
      </w:r>
      <w:bookmarkEnd w:id="32"/>
    </w:p>
    <w:p w14:paraId="2108734B" w14:textId="77777777" w:rsidR="00D847F1" w:rsidRDefault="00D847F1">
      <w:pPr>
        <w:pStyle w:val="Amain"/>
        <w:keepNext/>
      </w:pPr>
      <w:r>
        <w:tab/>
        <w:t>(1)</w:t>
      </w:r>
      <w:r>
        <w:tab/>
        <w:t>The licensee of a gambling facility commits an offence if the licensee contravenes the code of practice, section 1.17 (1) (which is about preparing procedures to deal with exclusions).</w:t>
      </w:r>
    </w:p>
    <w:p w14:paraId="5C3BCB34" w14:textId="77777777" w:rsidR="00D847F1" w:rsidRDefault="00D847F1">
      <w:pPr>
        <w:pStyle w:val="Penalty"/>
        <w:keepNext/>
      </w:pPr>
      <w:r>
        <w:t xml:space="preserve">Maximum penalty:  </w:t>
      </w:r>
      <w:r w:rsidR="00B776B3">
        <w:t>10 pen</w:t>
      </w:r>
      <w:r>
        <w:t>alty units.</w:t>
      </w:r>
    </w:p>
    <w:p w14:paraId="7CEF6440" w14:textId="77777777" w:rsidR="00D847F1" w:rsidRDefault="00D847F1">
      <w:pPr>
        <w:pStyle w:val="Amain"/>
      </w:pPr>
      <w:r>
        <w:tab/>
        <w:t>(2)</w:t>
      </w:r>
      <w:r>
        <w:tab/>
        <w:t>The commission may give written directions under the code of practice, section 1.17—</w:t>
      </w:r>
    </w:p>
    <w:p w14:paraId="06E5EDB4" w14:textId="77777777" w:rsidR="00D847F1" w:rsidRDefault="00D847F1">
      <w:pPr>
        <w:pStyle w:val="Apara"/>
      </w:pPr>
      <w:r>
        <w:tab/>
        <w:t>(a)</w:t>
      </w:r>
      <w:r>
        <w:tab/>
        <w:t>to the licensee of a gambling facility about the kind of procedures for the facility for dealing with people to be excluded from gambling at the facility; and</w:t>
      </w:r>
    </w:p>
    <w:p w14:paraId="3DDCCF02" w14:textId="77777777" w:rsidR="00D847F1" w:rsidRDefault="00D847F1">
      <w:pPr>
        <w:pStyle w:val="Apara"/>
      </w:pPr>
      <w:r>
        <w:lastRenderedPageBreak/>
        <w:tab/>
        <w:t>(b)</w:t>
      </w:r>
      <w:r>
        <w:tab/>
        <w:t>to the licensee, a staff member and anyone else involved in the exclusion of a person from the facility under this regulation, about the written procedures to ensure compliance with the procedures.</w:t>
      </w:r>
    </w:p>
    <w:p w14:paraId="5AFE578B" w14:textId="77777777" w:rsidR="00D847F1" w:rsidRDefault="00D847F1">
      <w:pPr>
        <w:pStyle w:val="Amain"/>
        <w:keepNext/>
      </w:pPr>
      <w:r>
        <w:tab/>
        <w:t>(3)</w:t>
      </w:r>
      <w:r>
        <w:tab/>
        <w:t>A person commits an offence if the person fails to comply with a direction of the commission given under the code of practice, section 1.17.</w:t>
      </w:r>
    </w:p>
    <w:p w14:paraId="6A7144D6" w14:textId="77777777" w:rsidR="00D847F1" w:rsidRDefault="00D847F1">
      <w:pPr>
        <w:pStyle w:val="Penalty"/>
        <w:keepNext/>
      </w:pPr>
      <w:r>
        <w:t xml:space="preserve">Maximum penalty:  </w:t>
      </w:r>
      <w:r w:rsidR="00B776B3">
        <w:t>10 pen</w:t>
      </w:r>
      <w:r>
        <w:t>alty units.</w:t>
      </w:r>
    </w:p>
    <w:p w14:paraId="166AC1AD" w14:textId="77777777" w:rsidR="00D847F1" w:rsidRDefault="00D847F1">
      <w:pPr>
        <w:pStyle w:val="Amain"/>
        <w:keepNext/>
      </w:pPr>
      <w:r>
        <w:tab/>
        <w:t>(4)</w:t>
      </w:r>
      <w:r>
        <w:tab/>
        <w:t>An offence against this section is an offence of strict liability.</w:t>
      </w:r>
    </w:p>
    <w:p w14:paraId="1894CDF6" w14:textId="77777777" w:rsidR="00D847F1" w:rsidRDefault="00D847F1">
      <w:pPr>
        <w:pStyle w:val="aNote"/>
      </w:pPr>
      <w:r>
        <w:rPr>
          <w:rStyle w:val="charItals"/>
        </w:rPr>
        <w:t>Note</w:t>
      </w:r>
      <w:r>
        <w:tab/>
        <w:t>Reasonable excuse is available as a defence to a prosecution under this section, see s 26.</w:t>
      </w:r>
    </w:p>
    <w:p w14:paraId="1FAE0E1E" w14:textId="77777777" w:rsidR="00FA1B52" w:rsidRPr="00A35BB6" w:rsidRDefault="00FA1B52" w:rsidP="00FA1B52">
      <w:pPr>
        <w:pStyle w:val="AH5Sec"/>
      </w:pPr>
      <w:bookmarkStart w:id="33" w:name="_Toc72505945"/>
      <w:r w:rsidRPr="00224E14">
        <w:rPr>
          <w:rStyle w:val="CharSectNo"/>
        </w:rPr>
        <w:t>20</w:t>
      </w:r>
      <w:r w:rsidRPr="00A35BB6">
        <w:tab/>
        <w:t>Exclusion register</w:t>
      </w:r>
      <w:bookmarkEnd w:id="33"/>
    </w:p>
    <w:p w14:paraId="73604DC4" w14:textId="77777777" w:rsidR="00FA1B52" w:rsidRPr="00A35BB6" w:rsidRDefault="00FA1B52" w:rsidP="00FA1B52">
      <w:pPr>
        <w:pStyle w:val="Amain"/>
        <w:rPr>
          <w:lang w:eastAsia="en-AU"/>
        </w:rPr>
      </w:pPr>
      <w:r w:rsidRPr="00A35BB6">
        <w:tab/>
        <w:t>(1)</w:t>
      </w:r>
      <w:r w:rsidRPr="00A35BB6">
        <w:tab/>
        <w:t xml:space="preserve">The commission must establish a register (an </w:t>
      </w:r>
      <w:r w:rsidRPr="00A35BB6">
        <w:rPr>
          <w:rStyle w:val="charBoldItals"/>
        </w:rPr>
        <w:t>exclusion register</w:t>
      </w:r>
      <w:r w:rsidRPr="00A35BB6">
        <w:t xml:space="preserve">) of people who are excluded from gambling at a gambling facility under </w:t>
      </w:r>
      <w:r w:rsidRPr="00A35BB6">
        <w:rPr>
          <w:szCs w:val="24"/>
          <w:lang w:eastAsia="en-AU"/>
        </w:rPr>
        <w:t>the code of practice, division 1.2.3 (Exclusion from gambling generally).</w:t>
      </w:r>
    </w:p>
    <w:p w14:paraId="5094533C" w14:textId="77777777" w:rsidR="00FA1B52" w:rsidRPr="00A35BB6" w:rsidRDefault="00FA1B52" w:rsidP="00FA1B52">
      <w:pPr>
        <w:pStyle w:val="aNote"/>
        <w:rPr>
          <w:lang w:eastAsia="en-AU"/>
        </w:rPr>
      </w:pPr>
      <w:r w:rsidRPr="00A35BB6">
        <w:rPr>
          <w:rStyle w:val="charItals"/>
        </w:rPr>
        <w:t>Note</w:t>
      </w:r>
      <w:r w:rsidRPr="00A35BB6">
        <w:rPr>
          <w:rStyle w:val="charItals"/>
        </w:rPr>
        <w:tab/>
      </w:r>
      <w:r w:rsidRPr="00A35BB6">
        <w:rPr>
          <w:lang w:eastAsia="en-AU"/>
        </w:rPr>
        <w:t>A licensee must exclude a person from gambling at a gambling facility if a deed or notice of exclusion applies to the person (see sch 1, s 1.13 and s 1.14).</w:t>
      </w:r>
    </w:p>
    <w:p w14:paraId="654A0886" w14:textId="77777777" w:rsidR="00FA1B52" w:rsidRPr="00A35BB6" w:rsidRDefault="00FA1B52" w:rsidP="00FA1B52">
      <w:pPr>
        <w:pStyle w:val="Amain"/>
        <w:rPr>
          <w:lang w:eastAsia="en-AU"/>
        </w:rPr>
      </w:pPr>
      <w:r w:rsidRPr="00A35BB6">
        <w:rPr>
          <w:lang w:eastAsia="en-AU"/>
        </w:rPr>
        <w:tab/>
        <w:t>(2)</w:t>
      </w:r>
      <w:r w:rsidRPr="00A35BB6">
        <w:rPr>
          <w:lang w:eastAsia="en-AU"/>
        </w:rPr>
        <w:tab/>
        <w:t>The exclusion register may be kept electronically.</w:t>
      </w:r>
    </w:p>
    <w:p w14:paraId="6435F3D0" w14:textId="77777777" w:rsidR="00FA1B52" w:rsidRPr="00A35BB6" w:rsidRDefault="00FA1B52" w:rsidP="00FA1B52">
      <w:pPr>
        <w:pStyle w:val="Amain"/>
      </w:pPr>
      <w:r w:rsidRPr="00A35BB6">
        <w:tab/>
        <w:t>(3)</w:t>
      </w:r>
      <w:r w:rsidRPr="00A35BB6">
        <w:tab/>
        <w:t>The exclusion register must include the following for each person excluded from gambling at a gambling facility:</w:t>
      </w:r>
    </w:p>
    <w:p w14:paraId="04D76B6D" w14:textId="77777777" w:rsidR="00FA1B52" w:rsidRPr="00A35BB6" w:rsidRDefault="00FA1B52" w:rsidP="00FA1B52">
      <w:pPr>
        <w:pStyle w:val="Apara"/>
      </w:pPr>
      <w:r w:rsidRPr="00A35BB6">
        <w:tab/>
        <w:t>(a)</w:t>
      </w:r>
      <w:r w:rsidRPr="00A35BB6">
        <w:tab/>
        <w:t>sufficient particulars to identify the person;</w:t>
      </w:r>
    </w:p>
    <w:p w14:paraId="5740E78C" w14:textId="77777777" w:rsidR="00FA1B52" w:rsidRPr="00A35BB6" w:rsidRDefault="00FA1B52" w:rsidP="00FA1B52">
      <w:pPr>
        <w:pStyle w:val="aExamHdgpar"/>
      </w:pPr>
      <w:r w:rsidRPr="00A35BB6">
        <w:t>Examples</w:t>
      </w:r>
    </w:p>
    <w:p w14:paraId="6FFFD37A" w14:textId="77777777" w:rsidR="00FA1B52" w:rsidRPr="00A35BB6" w:rsidRDefault="00FA1B52" w:rsidP="00FA1B52">
      <w:pPr>
        <w:pStyle w:val="aExamINumpar"/>
        <w:keepNext/>
      </w:pPr>
      <w:r w:rsidRPr="00A35BB6">
        <w:t>1</w:t>
      </w:r>
      <w:r w:rsidRPr="00A35BB6">
        <w:tab/>
        <w:t>the person’s name and address</w:t>
      </w:r>
    </w:p>
    <w:p w14:paraId="4460E58F" w14:textId="77777777" w:rsidR="00FA1B52" w:rsidRPr="00A35BB6" w:rsidRDefault="00FA1B52" w:rsidP="00FA1B52">
      <w:pPr>
        <w:pStyle w:val="aExamINumpar"/>
      </w:pPr>
      <w:r w:rsidRPr="00A35BB6">
        <w:t>2</w:t>
      </w:r>
      <w:r w:rsidRPr="00A35BB6">
        <w:tab/>
        <w:t>an image of the person’s face or a description of the person</w:t>
      </w:r>
    </w:p>
    <w:p w14:paraId="54536AB3" w14:textId="77777777" w:rsidR="00FA1B52" w:rsidRPr="00A35BB6" w:rsidRDefault="00FA1B52" w:rsidP="00FA1B52">
      <w:pPr>
        <w:pStyle w:val="Apara"/>
      </w:pPr>
      <w:r w:rsidRPr="00A35BB6">
        <w:tab/>
        <w:t>(b)</w:t>
      </w:r>
      <w:r w:rsidRPr="00A35BB6">
        <w:tab/>
        <w:t>each gambling facility from which the person is excluded;</w:t>
      </w:r>
    </w:p>
    <w:p w14:paraId="1F31475F" w14:textId="77777777" w:rsidR="00FA1B52" w:rsidRPr="00A35BB6" w:rsidRDefault="00FA1B52" w:rsidP="00FA1B52">
      <w:pPr>
        <w:pStyle w:val="Apara"/>
      </w:pPr>
      <w:r w:rsidRPr="00A35BB6">
        <w:tab/>
        <w:t>(c)</w:t>
      </w:r>
      <w:r w:rsidRPr="00A35BB6">
        <w:tab/>
        <w:t>the period of the exclusion from each gambling facility from which the person is excluded;</w:t>
      </w:r>
    </w:p>
    <w:p w14:paraId="408BC208" w14:textId="77777777" w:rsidR="00FA1B52" w:rsidRPr="00A35BB6" w:rsidRDefault="00FA1B52" w:rsidP="00FA1B52">
      <w:pPr>
        <w:pStyle w:val="Apara"/>
      </w:pPr>
      <w:r w:rsidRPr="00A35BB6">
        <w:lastRenderedPageBreak/>
        <w:tab/>
        <w:t>(d)</w:t>
      </w:r>
      <w:r w:rsidRPr="00A35BB6">
        <w:tab/>
        <w:t>for any deed or notice of exclusion applying to the person—</w:t>
      </w:r>
    </w:p>
    <w:p w14:paraId="4C9F816D" w14:textId="77777777" w:rsidR="00FA1B52" w:rsidRPr="00A35BB6" w:rsidRDefault="00FA1B52" w:rsidP="00FA1B52">
      <w:pPr>
        <w:pStyle w:val="Asubpara"/>
      </w:pPr>
      <w:r w:rsidRPr="00A35BB6">
        <w:tab/>
        <w:t>(i)</w:t>
      </w:r>
      <w:r w:rsidRPr="00A35BB6">
        <w:tab/>
        <w:t>a copy of the deed or notice; and</w:t>
      </w:r>
    </w:p>
    <w:p w14:paraId="1E35083E" w14:textId="77777777" w:rsidR="00FA1B52" w:rsidRPr="00A35BB6" w:rsidRDefault="00FA1B52" w:rsidP="00FA1B52">
      <w:pPr>
        <w:pStyle w:val="Asubpara"/>
      </w:pPr>
      <w:r w:rsidRPr="00A35BB6">
        <w:tab/>
        <w:t>(ii)</w:t>
      </w:r>
      <w:r w:rsidRPr="00A35BB6">
        <w:tab/>
        <w:t>if a deed or notice of exclusion applied to the person in the 7 years before the day the current deed or notice of exclusion was entered into or given—a copy of the previous deed or notice.</w:t>
      </w:r>
    </w:p>
    <w:p w14:paraId="7389FD99" w14:textId="77777777" w:rsidR="00FA1B52" w:rsidRPr="00A35BB6" w:rsidRDefault="00FA1B52" w:rsidP="00FA1B52">
      <w:pPr>
        <w:pStyle w:val="Amain"/>
      </w:pPr>
      <w:r w:rsidRPr="00A35BB6">
        <w:tab/>
        <w:t>(4)</w:t>
      </w:r>
      <w:r w:rsidRPr="00A35BB6">
        <w:tab/>
        <w:t>The commission or an approved person may—</w:t>
      </w:r>
    </w:p>
    <w:p w14:paraId="0FD2D6F0" w14:textId="77777777" w:rsidR="00FA1B52" w:rsidRPr="00A35BB6" w:rsidRDefault="00FA1B52" w:rsidP="00FA1B52">
      <w:pPr>
        <w:pStyle w:val="Apara"/>
      </w:pPr>
      <w:r w:rsidRPr="00A35BB6">
        <w:tab/>
        <w:t>(a)</w:t>
      </w:r>
      <w:r w:rsidRPr="00A35BB6">
        <w:tab/>
        <w:t>access the exclusion register; and</w:t>
      </w:r>
    </w:p>
    <w:p w14:paraId="268C6E82" w14:textId="77777777" w:rsidR="00FA1B52" w:rsidRPr="00A35BB6" w:rsidRDefault="00FA1B52" w:rsidP="00FA1B52">
      <w:pPr>
        <w:pStyle w:val="Apara"/>
      </w:pPr>
      <w:r w:rsidRPr="00A35BB6">
        <w:tab/>
        <w:t>(b)</w:t>
      </w:r>
      <w:r w:rsidRPr="00A35BB6">
        <w:tab/>
        <w:t>add a person’s name to the exclusion register; and</w:t>
      </w:r>
    </w:p>
    <w:p w14:paraId="74784957" w14:textId="77777777" w:rsidR="00FA1B52" w:rsidRPr="00A35BB6" w:rsidRDefault="00FA1B52" w:rsidP="00FA1B52">
      <w:pPr>
        <w:pStyle w:val="Apara"/>
      </w:pPr>
      <w:r w:rsidRPr="00A35BB6">
        <w:tab/>
        <w:t>(c)</w:t>
      </w:r>
      <w:r w:rsidRPr="00A35BB6">
        <w:tab/>
        <w:t>amend particulars of a person registered in the exclusion register.</w:t>
      </w:r>
    </w:p>
    <w:p w14:paraId="45A27FD2" w14:textId="77777777" w:rsidR="00FA1B52" w:rsidRPr="00A35BB6" w:rsidRDefault="00FA1B52" w:rsidP="00FA1B52">
      <w:pPr>
        <w:pStyle w:val="Amain"/>
      </w:pPr>
      <w:r w:rsidRPr="00A35BB6">
        <w:tab/>
        <w:t>(5)</w:t>
      </w:r>
      <w:r w:rsidRPr="00A35BB6">
        <w:tab/>
        <w:t xml:space="preserve">The commission may also— </w:t>
      </w:r>
    </w:p>
    <w:p w14:paraId="060E86D1" w14:textId="77777777" w:rsidR="00FA1B52" w:rsidRPr="00A35BB6" w:rsidRDefault="00FA1B52" w:rsidP="00FA1B52">
      <w:pPr>
        <w:pStyle w:val="Apara"/>
      </w:pPr>
      <w:r w:rsidRPr="00A35BB6">
        <w:tab/>
        <w:t>(a)</w:t>
      </w:r>
      <w:r w:rsidRPr="00A35BB6">
        <w:tab/>
        <w:t>correct the exclusion register; and</w:t>
      </w:r>
    </w:p>
    <w:p w14:paraId="7656A623" w14:textId="77777777" w:rsidR="00FA1B52" w:rsidRPr="00A35BB6" w:rsidRDefault="00FA1B52" w:rsidP="00FA1B52">
      <w:pPr>
        <w:pStyle w:val="Apara"/>
      </w:pPr>
      <w:r w:rsidRPr="00A35BB6">
        <w:tab/>
        <w:t>(b)</w:t>
      </w:r>
      <w:r w:rsidRPr="00A35BB6">
        <w:tab/>
        <w:t>delete a person’s name from the exclusion register.</w:t>
      </w:r>
    </w:p>
    <w:p w14:paraId="75307EFA" w14:textId="77777777" w:rsidR="00FA1B52" w:rsidRPr="00A35BB6" w:rsidRDefault="00FA1B52" w:rsidP="00FA1B52">
      <w:pPr>
        <w:pStyle w:val="Amain"/>
      </w:pPr>
      <w:r w:rsidRPr="00A35BB6">
        <w:tab/>
        <w:t>(6)</w:t>
      </w:r>
      <w:r w:rsidRPr="00A35BB6">
        <w:tab/>
        <w:t>In this section:</w:t>
      </w:r>
    </w:p>
    <w:p w14:paraId="60843D2C" w14:textId="77777777" w:rsidR="00FA1B52" w:rsidRPr="00A35BB6" w:rsidRDefault="00FA1B52" w:rsidP="00FA1B52">
      <w:pPr>
        <w:pStyle w:val="aDef"/>
      </w:pPr>
      <w:r w:rsidRPr="00A35BB6">
        <w:rPr>
          <w:rStyle w:val="charBoldItals"/>
        </w:rPr>
        <w:t xml:space="preserve">approved person </w:t>
      </w:r>
      <w:r w:rsidRPr="00A35BB6">
        <w:t>means—</w:t>
      </w:r>
    </w:p>
    <w:p w14:paraId="4C2BA0AB" w14:textId="77777777" w:rsidR="00FA1B52" w:rsidRPr="00A35BB6" w:rsidRDefault="00FA1B52" w:rsidP="00FA1B52">
      <w:pPr>
        <w:pStyle w:val="aDefpara"/>
      </w:pPr>
      <w:r w:rsidRPr="00A35BB6">
        <w:tab/>
        <w:t>(a)</w:t>
      </w:r>
      <w:r w:rsidRPr="00A35BB6">
        <w:tab/>
        <w:t>a licensee of a gambling facility; or</w:t>
      </w:r>
    </w:p>
    <w:p w14:paraId="40BF983D" w14:textId="77777777" w:rsidR="00FA1B52" w:rsidRPr="00A35BB6" w:rsidRDefault="00FA1B52" w:rsidP="00FA1B52">
      <w:pPr>
        <w:pStyle w:val="aDefpara"/>
      </w:pPr>
      <w:r w:rsidRPr="00A35BB6">
        <w:tab/>
        <w:t>(b)</w:t>
      </w:r>
      <w:r w:rsidRPr="00A35BB6">
        <w:tab/>
        <w:t>someone else approved by the commission.</w:t>
      </w:r>
    </w:p>
    <w:p w14:paraId="11402704" w14:textId="77777777" w:rsidR="00FA1B52" w:rsidRPr="00A35BB6" w:rsidRDefault="00FA1B52" w:rsidP="001D0CF9">
      <w:pPr>
        <w:pStyle w:val="AH5Sec"/>
      </w:pPr>
      <w:bookmarkStart w:id="34" w:name="_Toc72505946"/>
      <w:r w:rsidRPr="00224E14">
        <w:rPr>
          <w:rStyle w:val="CharSectNo"/>
        </w:rPr>
        <w:t>20A</w:t>
      </w:r>
      <w:r w:rsidRPr="00A35BB6">
        <w:tab/>
        <w:t>Exclusion register—offences</w:t>
      </w:r>
      <w:bookmarkEnd w:id="34"/>
    </w:p>
    <w:p w14:paraId="65258989" w14:textId="77777777" w:rsidR="00FA1B52" w:rsidRPr="00A35BB6" w:rsidRDefault="00FA1B52" w:rsidP="00F966FF">
      <w:pPr>
        <w:pStyle w:val="Amain"/>
        <w:keepNext/>
      </w:pPr>
      <w:r w:rsidRPr="00A35BB6">
        <w:tab/>
        <w:t>(1)</w:t>
      </w:r>
      <w:r w:rsidRPr="00A35BB6">
        <w:tab/>
        <w:t>A licensee of a gambling facility commits an offence if—</w:t>
      </w:r>
    </w:p>
    <w:p w14:paraId="6C1A38BD" w14:textId="77777777" w:rsidR="00FA1B52" w:rsidRPr="00A35BB6" w:rsidRDefault="00FA1B52" w:rsidP="00FA1B52">
      <w:pPr>
        <w:pStyle w:val="Apara"/>
      </w:pPr>
      <w:r w:rsidRPr="00A35BB6">
        <w:tab/>
        <w:t>(a)</w:t>
      </w:r>
      <w:r w:rsidRPr="00A35BB6">
        <w:tab/>
        <w:t>the licensee fails to comply with the code of practice, section 1.13 (6) (Deeds of exclusion) or section 1.14 (2) (b) or (c) (Exclusion of people at risk or excluded under deed); or</w:t>
      </w:r>
    </w:p>
    <w:p w14:paraId="44FFA10C" w14:textId="77777777" w:rsidR="00FA1B52" w:rsidRPr="00A35BB6" w:rsidRDefault="00FA1B52" w:rsidP="003E3DF8">
      <w:pPr>
        <w:pStyle w:val="Apara"/>
        <w:keepNext/>
      </w:pPr>
      <w:r w:rsidRPr="00A35BB6">
        <w:lastRenderedPageBreak/>
        <w:tab/>
        <w:t>(b)</w:t>
      </w:r>
      <w:r w:rsidRPr="00A35BB6">
        <w:tab/>
        <w:t>the licensee fails to look at the exclusion register within 3 consecutive trading days after the receipt of a written notification from the commission or an approved person of—</w:t>
      </w:r>
    </w:p>
    <w:p w14:paraId="1DD222E7" w14:textId="77777777" w:rsidR="00FA1B52" w:rsidRPr="00A35BB6" w:rsidRDefault="00FA1B52" w:rsidP="00FA1B52">
      <w:pPr>
        <w:pStyle w:val="Asubpara"/>
      </w:pPr>
      <w:r w:rsidRPr="00A35BB6">
        <w:tab/>
        <w:t>(i)</w:t>
      </w:r>
      <w:r w:rsidRPr="00A35BB6">
        <w:tab/>
        <w:t>the inclusion of the matters mentioned in section</w:t>
      </w:r>
      <w:r w:rsidR="001739A9">
        <w:t> </w:t>
      </w:r>
      <w:r w:rsidRPr="00A35BB6">
        <w:t>20</w:t>
      </w:r>
      <w:r w:rsidR="00AC5ABF">
        <w:t> </w:t>
      </w:r>
      <w:r w:rsidRPr="00A35BB6">
        <w:t>(3) on the exclusion register; or</w:t>
      </w:r>
    </w:p>
    <w:p w14:paraId="2191ADB8" w14:textId="77777777" w:rsidR="00FA1B52" w:rsidRPr="00A35BB6" w:rsidRDefault="00FA1B52" w:rsidP="00FA1B52">
      <w:pPr>
        <w:pStyle w:val="Asubpara"/>
      </w:pPr>
      <w:r w:rsidRPr="00A35BB6">
        <w:tab/>
        <w:t>(ii)</w:t>
      </w:r>
      <w:r w:rsidRPr="00A35BB6">
        <w:tab/>
        <w:t>a change to the exclusion register made under section 20 (4) (b) or (c) or section 20 (5).</w:t>
      </w:r>
    </w:p>
    <w:p w14:paraId="6CC22F5A" w14:textId="77777777" w:rsidR="00FA1B52" w:rsidRPr="00A35BB6" w:rsidRDefault="00FA1B52" w:rsidP="00FA1B52">
      <w:pPr>
        <w:pStyle w:val="Penalty"/>
      </w:pPr>
      <w:r w:rsidRPr="00A35BB6">
        <w:t>Maximum penalty: 10 penalty units.</w:t>
      </w:r>
    </w:p>
    <w:p w14:paraId="709F82C8" w14:textId="77777777" w:rsidR="00FA1B52" w:rsidRPr="00A35BB6" w:rsidRDefault="00FA1B52" w:rsidP="00FA1B52">
      <w:pPr>
        <w:pStyle w:val="Amain"/>
      </w:pPr>
      <w:r w:rsidRPr="00A35BB6">
        <w:tab/>
        <w:t>(2)</w:t>
      </w:r>
      <w:r w:rsidRPr="00A35BB6">
        <w:tab/>
        <w:t>A person commits an offence if—</w:t>
      </w:r>
    </w:p>
    <w:p w14:paraId="326932DC" w14:textId="77777777" w:rsidR="00FA1B52" w:rsidRPr="00A35BB6" w:rsidRDefault="00FA1B52" w:rsidP="00FA1B52">
      <w:pPr>
        <w:pStyle w:val="Apara"/>
      </w:pPr>
      <w:r w:rsidRPr="00A35BB6">
        <w:tab/>
        <w:t>(a)</w:t>
      </w:r>
      <w:r w:rsidRPr="00A35BB6">
        <w:tab/>
        <w:t>the person—</w:t>
      </w:r>
    </w:p>
    <w:p w14:paraId="08D0F3AC" w14:textId="77777777" w:rsidR="00FA1B52" w:rsidRPr="00A35BB6" w:rsidRDefault="00FA1B52" w:rsidP="00FA1B52">
      <w:pPr>
        <w:pStyle w:val="Asubpara"/>
      </w:pPr>
      <w:r w:rsidRPr="00A35BB6">
        <w:tab/>
        <w:t>(i)</w:t>
      </w:r>
      <w:r w:rsidRPr="00A35BB6">
        <w:tab/>
        <w:t>accesses the exclusion register; or</w:t>
      </w:r>
    </w:p>
    <w:p w14:paraId="5320C77A" w14:textId="77777777" w:rsidR="00FA1B52" w:rsidRPr="00A35BB6" w:rsidRDefault="00FA1B52" w:rsidP="00FA1B52">
      <w:pPr>
        <w:pStyle w:val="Asubpara"/>
      </w:pPr>
      <w:r w:rsidRPr="00A35BB6">
        <w:tab/>
        <w:t>(ii)</w:t>
      </w:r>
      <w:r w:rsidRPr="00A35BB6">
        <w:tab/>
        <w:t>adds to, or deletes from, the exclusion register a person’s name; or</w:t>
      </w:r>
    </w:p>
    <w:p w14:paraId="2B9183CA" w14:textId="77777777" w:rsidR="00FA1B52" w:rsidRPr="00A35BB6" w:rsidRDefault="00FA1B52" w:rsidP="00FA1B52">
      <w:pPr>
        <w:pStyle w:val="Asubpara"/>
      </w:pPr>
      <w:r w:rsidRPr="00A35BB6">
        <w:tab/>
        <w:t>(iii)</w:t>
      </w:r>
      <w:r w:rsidRPr="00A35BB6">
        <w:tab/>
        <w:t>amends a person’s particulars on the exclusion register; and</w:t>
      </w:r>
    </w:p>
    <w:p w14:paraId="0879A884" w14:textId="77777777" w:rsidR="00FA1B52" w:rsidRPr="00A35BB6" w:rsidRDefault="00FA1B52" w:rsidP="00FA1B52">
      <w:pPr>
        <w:pStyle w:val="Apara"/>
      </w:pPr>
      <w:r w:rsidRPr="00A35BB6">
        <w:tab/>
        <w:t>(b)</w:t>
      </w:r>
      <w:r w:rsidRPr="00A35BB6">
        <w:tab/>
        <w:t>the person is not authorised under section 20 (4) or (5) to do so.</w:t>
      </w:r>
    </w:p>
    <w:p w14:paraId="3E42720C" w14:textId="77777777" w:rsidR="00FA1B52" w:rsidRPr="00A35BB6" w:rsidRDefault="00FA1B52" w:rsidP="00FA1B52">
      <w:pPr>
        <w:pStyle w:val="Penalty"/>
      </w:pPr>
      <w:r w:rsidRPr="00A35BB6">
        <w:t>Maximum penalty: 10 penalty units.</w:t>
      </w:r>
    </w:p>
    <w:p w14:paraId="161E02A4" w14:textId="77777777" w:rsidR="00FA1B52" w:rsidRPr="00A35BB6" w:rsidRDefault="00FA1B52" w:rsidP="00FA1B52">
      <w:pPr>
        <w:pStyle w:val="Amain"/>
      </w:pPr>
      <w:r w:rsidRPr="00A35BB6">
        <w:tab/>
        <w:t>(3)</w:t>
      </w:r>
      <w:r w:rsidRPr="00A35BB6">
        <w:tab/>
        <w:t>Strict liability applies to subsection (2) (b).</w:t>
      </w:r>
    </w:p>
    <w:p w14:paraId="1857FD9C" w14:textId="77777777" w:rsidR="00FA1B52" w:rsidRPr="00A35BB6" w:rsidRDefault="00FA1B52" w:rsidP="00FA1B52">
      <w:pPr>
        <w:pStyle w:val="Amain"/>
      </w:pPr>
      <w:r w:rsidRPr="00A35BB6">
        <w:tab/>
        <w:t>(4)</w:t>
      </w:r>
      <w:r w:rsidRPr="00A35BB6">
        <w:tab/>
        <w:t>In this section:</w:t>
      </w:r>
    </w:p>
    <w:p w14:paraId="02A90DB6" w14:textId="77777777" w:rsidR="00FA1B52" w:rsidRPr="00A35BB6" w:rsidRDefault="00FA1B52" w:rsidP="00FA1B52">
      <w:pPr>
        <w:pStyle w:val="aDef"/>
      </w:pPr>
      <w:r w:rsidRPr="00A35BB6">
        <w:rPr>
          <w:rStyle w:val="charBoldItals"/>
        </w:rPr>
        <w:t>approved person</w:t>
      </w:r>
      <w:r w:rsidRPr="00A35BB6">
        <w:t>—see section 20 (6) (Exclusion register).</w:t>
      </w:r>
    </w:p>
    <w:p w14:paraId="2A7FAFE6" w14:textId="77777777" w:rsidR="00D847F1" w:rsidRDefault="00D847F1">
      <w:pPr>
        <w:pStyle w:val="AH5Sec"/>
      </w:pPr>
      <w:bookmarkStart w:id="35" w:name="_Toc72505947"/>
      <w:r w:rsidRPr="00224E14">
        <w:rPr>
          <w:rStyle w:val="CharSectNo"/>
        </w:rPr>
        <w:lastRenderedPageBreak/>
        <w:t>21</w:t>
      </w:r>
      <w:r>
        <w:tab/>
        <w:t>Accounts of certain excluded people</w:t>
      </w:r>
      <w:bookmarkEnd w:id="35"/>
    </w:p>
    <w:p w14:paraId="7F8BC78C" w14:textId="77777777" w:rsidR="00D847F1" w:rsidRDefault="00D847F1" w:rsidP="003E3DF8">
      <w:pPr>
        <w:pStyle w:val="Amain"/>
        <w:keepNext/>
        <w:keepLines/>
      </w:pPr>
      <w:r>
        <w:tab/>
        <w:t>(1)</w:t>
      </w:r>
      <w:r>
        <w:tab/>
        <w:t>A licensee commits an offence if the licensee contravenes the code of practice, section 1.19 (which is about not allowing others to use excluded people’s accounts).</w:t>
      </w:r>
    </w:p>
    <w:p w14:paraId="30733128" w14:textId="77777777" w:rsidR="00D847F1" w:rsidRDefault="00D847F1" w:rsidP="003E3DF8">
      <w:pPr>
        <w:pStyle w:val="Penalty"/>
        <w:keepNext/>
        <w:keepLines/>
      </w:pPr>
      <w:r>
        <w:t>Maximum penalty:  10 penalty units.</w:t>
      </w:r>
    </w:p>
    <w:p w14:paraId="4E31A991" w14:textId="77777777" w:rsidR="00D847F1" w:rsidRDefault="00D847F1">
      <w:pPr>
        <w:pStyle w:val="Amain"/>
        <w:keepNext/>
      </w:pPr>
      <w:r>
        <w:tab/>
        <w:t>(2)</w:t>
      </w:r>
      <w:r>
        <w:tab/>
        <w:t>An offence against this section is an offence of strict liability.</w:t>
      </w:r>
    </w:p>
    <w:p w14:paraId="6242F7F1"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3E2EB157" w14:textId="77777777" w:rsidR="00D847F1" w:rsidRDefault="00D847F1">
      <w:pPr>
        <w:pStyle w:val="AH5Sec"/>
      </w:pPr>
      <w:bookmarkStart w:id="36" w:name="_Toc72505948"/>
      <w:r w:rsidRPr="00224E14">
        <w:rPr>
          <w:rStyle w:val="CharSectNo"/>
        </w:rPr>
        <w:t>22</w:t>
      </w:r>
      <w:r>
        <w:tab/>
        <w:t>Promotional material not to be sent to certain excluded people</w:t>
      </w:r>
      <w:bookmarkEnd w:id="36"/>
    </w:p>
    <w:p w14:paraId="205639D0" w14:textId="77777777" w:rsidR="00D847F1" w:rsidRDefault="00D847F1">
      <w:pPr>
        <w:pStyle w:val="Amain"/>
      </w:pPr>
      <w:r>
        <w:tab/>
        <w:t>(1)</w:t>
      </w:r>
      <w:r>
        <w:tab/>
        <w:t>A licensee commits an offence if the licensee contravenes the code of practice, section 1.20.</w:t>
      </w:r>
    </w:p>
    <w:p w14:paraId="26F4A6EC" w14:textId="77777777" w:rsidR="00D847F1" w:rsidRDefault="00D847F1">
      <w:pPr>
        <w:pStyle w:val="Penalty"/>
        <w:keepNext/>
      </w:pPr>
      <w:r>
        <w:t>Maximum penalty:  10 penalty units.</w:t>
      </w:r>
    </w:p>
    <w:p w14:paraId="12B474B8" w14:textId="77777777" w:rsidR="00D847F1" w:rsidRDefault="00D847F1">
      <w:pPr>
        <w:pStyle w:val="Amain"/>
        <w:keepNext/>
      </w:pPr>
      <w:r>
        <w:tab/>
        <w:t>(2)</w:t>
      </w:r>
      <w:r>
        <w:tab/>
        <w:t>An offence against this section is an offence of strict liability.</w:t>
      </w:r>
    </w:p>
    <w:p w14:paraId="2FEE672C"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67F8E2E4" w14:textId="77777777" w:rsidR="00D847F1" w:rsidRPr="00224E14" w:rsidRDefault="00D847F1">
      <w:pPr>
        <w:pStyle w:val="AH3Div"/>
      </w:pPr>
      <w:bookmarkStart w:id="37" w:name="_Toc72505949"/>
      <w:r w:rsidRPr="00224E14">
        <w:rPr>
          <w:rStyle w:val="CharDivNo"/>
        </w:rPr>
        <w:t>Division 2.5</w:t>
      </w:r>
      <w:r>
        <w:tab/>
      </w:r>
      <w:r w:rsidRPr="00224E14">
        <w:rPr>
          <w:rStyle w:val="CharDivText"/>
        </w:rPr>
        <w:t>Financial controls and gambling environment</w:t>
      </w:r>
      <w:bookmarkEnd w:id="37"/>
    </w:p>
    <w:p w14:paraId="522531D9" w14:textId="77777777" w:rsidR="00D847F1" w:rsidRDefault="00D847F1">
      <w:pPr>
        <w:pStyle w:val="AH5Sec"/>
      </w:pPr>
      <w:bookmarkStart w:id="38" w:name="_Toc72505950"/>
      <w:r w:rsidRPr="00224E14">
        <w:rPr>
          <w:rStyle w:val="CharSectNo"/>
        </w:rPr>
        <w:t>23</w:t>
      </w:r>
      <w:r>
        <w:tab/>
        <w:t>Other cash payment limits</w:t>
      </w:r>
      <w:bookmarkEnd w:id="38"/>
    </w:p>
    <w:p w14:paraId="77F636AF" w14:textId="77777777" w:rsidR="00D847F1" w:rsidRDefault="00D847F1">
      <w:pPr>
        <w:pStyle w:val="Amain"/>
      </w:pPr>
      <w:r>
        <w:tab/>
        <w:t>(1)</w:t>
      </w:r>
      <w:r>
        <w:tab/>
        <w:t>A licensee, other than a casino licensee, commits an offence if the licensee contravenes the code of practice, section 1.23.</w:t>
      </w:r>
    </w:p>
    <w:p w14:paraId="3B9CC425" w14:textId="77777777" w:rsidR="00D847F1" w:rsidRDefault="00D847F1">
      <w:pPr>
        <w:pStyle w:val="Penalty"/>
        <w:keepNext/>
      </w:pPr>
      <w:r>
        <w:t>Maximum penalty:  10 penalty units.</w:t>
      </w:r>
    </w:p>
    <w:p w14:paraId="081DA0ED" w14:textId="77777777" w:rsidR="00D847F1" w:rsidRDefault="00D847F1">
      <w:pPr>
        <w:pStyle w:val="Amain"/>
        <w:keepNext/>
      </w:pPr>
      <w:r>
        <w:tab/>
        <w:t>(2)</w:t>
      </w:r>
      <w:r>
        <w:tab/>
        <w:t>An offence against this section is an offence of strict liability.</w:t>
      </w:r>
    </w:p>
    <w:p w14:paraId="73B363A2"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44023F41" w14:textId="77777777" w:rsidR="00D847F1" w:rsidRDefault="00D847F1">
      <w:pPr>
        <w:pStyle w:val="AH5Sec"/>
      </w:pPr>
      <w:bookmarkStart w:id="39" w:name="_Toc72505951"/>
      <w:r w:rsidRPr="00224E14">
        <w:rPr>
          <w:rStyle w:val="CharSectNo"/>
        </w:rPr>
        <w:lastRenderedPageBreak/>
        <w:t>24</w:t>
      </w:r>
      <w:r>
        <w:tab/>
        <w:t>Directions about information, clocks and lighting</w:t>
      </w:r>
      <w:bookmarkEnd w:id="39"/>
    </w:p>
    <w:p w14:paraId="25416EC4" w14:textId="77777777" w:rsidR="00D847F1" w:rsidRDefault="00D847F1">
      <w:pPr>
        <w:pStyle w:val="Amain"/>
        <w:keepNext/>
      </w:pPr>
      <w:r>
        <w:tab/>
        <w:t>(1)</w:t>
      </w:r>
      <w:r>
        <w:tab/>
        <w:t>The licensee commits an offence if the licensee contravenes the code of practice, section 1.27 (2) (which is about compliance with the commission’s directions).</w:t>
      </w:r>
    </w:p>
    <w:p w14:paraId="5A4319FC" w14:textId="77777777" w:rsidR="00D847F1" w:rsidRDefault="00D847F1">
      <w:pPr>
        <w:pStyle w:val="Penalty"/>
        <w:keepNext/>
      </w:pPr>
      <w:r>
        <w:t xml:space="preserve">Maximum penalty:  </w:t>
      </w:r>
      <w:r w:rsidR="00B776B3">
        <w:t>10 pen</w:t>
      </w:r>
      <w:r>
        <w:t>alty units.</w:t>
      </w:r>
    </w:p>
    <w:p w14:paraId="5B48CF02" w14:textId="77777777" w:rsidR="00D847F1" w:rsidRDefault="00D847F1">
      <w:pPr>
        <w:pStyle w:val="Amain"/>
        <w:keepNext/>
      </w:pPr>
      <w:r>
        <w:tab/>
        <w:t>(2)</w:t>
      </w:r>
      <w:r>
        <w:tab/>
        <w:t>An offence against this section is an offence of strict liability.</w:t>
      </w:r>
    </w:p>
    <w:p w14:paraId="133A603D"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418AB5D6" w14:textId="77777777" w:rsidR="00D847F1" w:rsidRPr="00224E14" w:rsidRDefault="00D847F1">
      <w:pPr>
        <w:pStyle w:val="AH3Div"/>
      </w:pPr>
      <w:bookmarkStart w:id="40" w:name="_Toc72505952"/>
      <w:r w:rsidRPr="00224E14">
        <w:rPr>
          <w:rStyle w:val="CharDivNo"/>
        </w:rPr>
        <w:t>Division 2.6</w:t>
      </w:r>
      <w:r>
        <w:tab/>
      </w:r>
      <w:r w:rsidRPr="00224E14">
        <w:rPr>
          <w:rStyle w:val="CharDivText"/>
        </w:rPr>
        <w:t>Advertising, promotions and inducements</w:t>
      </w:r>
      <w:bookmarkEnd w:id="40"/>
    </w:p>
    <w:p w14:paraId="016EBCFF" w14:textId="77777777" w:rsidR="00D847F1" w:rsidRDefault="00D847F1">
      <w:pPr>
        <w:pStyle w:val="AH5Sec"/>
      </w:pPr>
      <w:bookmarkStart w:id="41" w:name="_Toc72505953"/>
      <w:r w:rsidRPr="00224E14">
        <w:rPr>
          <w:rStyle w:val="CharSectNo"/>
        </w:rPr>
        <w:t>25</w:t>
      </w:r>
      <w:r>
        <w:tab/>
        <w:t>Directions about advertising, promotions and inducements</w:t>
      </w:r>
      <w:bookmarkEnd w:id="41"/>
    </w:p>
    <w:p w14:paraId="1055257B" w14:textId="77777777" w:rsidR="00D847F1" w:rsidRDefault="00D847F1">
      <w:pPr>
        <w:pStyle w:val="Amain"/>
        <w:keepNext/>
      </w:pPr>
      <w:r>
        <w:tab/>
        <w:t>(1)</w:t>
      </w:r>
      <w:r>
        <w:tab/>
        <w:t>The licensee commits an offence if the licensee contravenes the code of practice, section 1.31 (2) (which is about compliance with the commission’s directions).</w:t>
      </w:r>
    </w:p>
    <w:p w14:paraId="2D8BA4EC" w14:textId="77777777" w:rsidR="00D847F1" w:rsidRDefault="00D847F1">
      <w:pPr>
        <w:pStyle w:val="Penalty"/>
        <w:keepNext/>
      </w:pPr>
      <w:r>
        <w:t xml:space="preserve">Maximum penalty:  </w:t>
      </w:r>
      <w:r w:rsidR="00B776B3">
        <w:t>10 pen</w:t>
      </w:r>
      <w:r>
        <w:t>alty units.</w:t>
      </w:r>
    </w:p>
    <w:p w14:paraId="6142AA6A" w14:textId="77777777" w:rsidR="00D847F1" w:rsidRDefault="00D847F1">
      <w:pPr>
        <w:pStyle w:val="Amain"/>
        <w:keepNext/>
      </w:pPr>
      <w:r>
        <w:tab/>
        <w:t>(2)</w:t>
      </w:r>
      <w:r>
        <w:tab/>
        <w:t>An offence against this section is an offence of strict liability.</w:t>
      </w:r>
    </w:p>
    <w:p w14:paraId="5590A14D"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2888E1A3" w14:textId="77777777" w:rsidR="00D847F1" w:rsidRDefault="00D847F1">
      <w:pPr>
        <w:pStyle w:val="PageBreak"/>
      </w:pPr>
      <w:r>
        <w:br w:type="page"/>
      </w:r>
    </w:p>
    <w:p w14:paraId="2644FBD0" w14:textId="77777777" w:rsidR="00D847F1" w:rsidRPr="00224E14" w:rsidRDefault="00D847F1">
      <w:pPr>
        <w:pStyle w:val="AH2Part"/>
      </w:pPr>
      <w:bookmarkStart w:id="42" w:name="_Toc72505954"/>
      <w:r w:rsidRPr="00224E14">
        <w:rPr>
          <w:rStyle w:val="CharPartNo"/>
        </w:rPr>
        <w:lastRenderedPageBreak/>
        <w:t>Part 3</w:t>
      </w:r>
      <w:r>
        <w:tab/>
      </w:r>
      <w:r w:rsidRPr="00224E14">
        <w:rPr>
          <w:rStyle w:val="CharPartText"/>
        </w:rPr>
        <w:t>Miscellaneous</w:t>
      </w:r>
      <w:bookmarkEnd w:id="42"/>
    </w:p>
    <w:p w14:paraId="3F7D2CFC" w14:textId="77777777" w:rsidR="00D847F1" w:rsidRDefault="00D847F1">
      <w:pPr>
        <w:pStyle w:val="Placeholder"/>
      </w:pPr>
      <w:r>
        <w:rPr>
          <w:rStyle w:val="CharDivNo"/>
        </w:rPr>
        <w:t xml:space="preserve">  </w:t>
      </w:r>
      <w:r>
        <w:rPr>
          <w:rStyle w:val="CharDivText"/>
        </w:rPr>
        <w:t xml:space="preserve">  </w:t>
      </w:r>
    </w:p>
    <w:p w14:paraId="403391E5" w14:textId="77777777" w:rsidR="00D847F1" w:rsidRDefault="00D847F1">
      <w:pPr>
        <w:pStyle w:val="AH5Sec"/>
      </w:pPr>
      <w:bookmarkStart w:id="43" w:name="_Toc72505955"/>
      <w:r w:rsidRPr="00224E14">
        <w:rPr>
          <w:rStyle w:val="CharSectNo"/>
        </w:rPr>
        <w:t>26</w:t>
      </w:r>
      <w:r>
        <w:tab/>
        <w:t>Reasonable excuse available as defence</w:t>
      </w:r>
      <w:bookmarkEnd w:id="43"/>
    </w:p>
    <w:p w14:paraId="1570C992" w14:textId="77777777" w:rsidR="00D847F1" w:rsidRDefault="00D847F1">
      <w:pPr>
        <w:pStyle w:val="Amainreturn"/>
      </w:pPr>
      <w:r>
        <w:t>The defence of reasonable excuse is available for each offence against this regulation that is an offence of strict liability.</w:t>
      </w:r>
    </w:p>
    <w:p w14:paraId="16CA74A1" w14:textId="77777777" w:rsidR="0007725C" w:rsidRDefault="0007725C">
      <w:pPr>
        <w:pStyle w:val="02Text"/>
        <w:sectPr w:rsidR="0007725C">
          <w:headerReference w:type="even" r:id="rId49"/>
          <w:headerReference w:type="default" r:id="rId50"/>
          <w:footerReference w:type="even" r:id="rId51"/>
          <w:footerReference w:type="default" r:id="rId52"/>
          <w:footerReference w:type="first" r:id="rId53"/>
          <w:pgSz w:w="11907" w:h="16839" w:code="9"/>
          <w:pgMar w:top="3880" w:right="1900" w:bottom="3100" w:left="2300" w:header="2280" w:footer="1760" w:gutter="0"/>
          <w:pgNumType w:start="1"/>
          <w:cols w:space="720"/>
          <w:titlePg/>
          <w:docGrid w:linePitch="254"/>
        </w:sectPr>
      </w:pPr>
    </w:p>
    <w:p w14:paraId="2DCE3E42" w14:textId="77777777" w:rsidR="00D847F1" w:rsidRDefault="00D847F1">
      <w:pPr>
        <w:pStyle w:val="PageBreak"/>
      </w:pPr>
      <w:r>
        <w:br w:type="page"/>
      </w:r>
    </w:p>
    <w:p w14:paraId="5C373C9F" w14:textId="77777777" w:rsidR="00D847F1" w:rsidRPr="00224E14" w:rsidRDefault="00D847F1">
      <w:pPr>
        <w:pStyle w:val="Sched-heading"/>
      </w:pPr>
      <w:bookmarkStart w:id="44" w:name="_Toc72505956"/>
      <w:r w:rsidRPr="00224E14">
        <w:rPr>
          <w:rStyle w:val="CharChapNo"/>
        </w:rPr>
        <w:lastRenderedPageBreak/>
        <w:t>Schedule 1</w:t>
      </w:r>
      <w:r>
        <w:tab/>
      </w:r>
      <w:r w:rsidRPr="00224E14">
        <w:rPr>
          <w:rStyle w:val="CharChapText"/>
        </w:rPr>
        <w:t>Code of practice</w:t>
      </w:r>
      <w:bookmarkEnd w:id="44"/>
    </w:p>
    <w:p w14:paraId="4E1D8703" w14:textId="77777777" w:rsidR="00D847F1" w:rsidRDefault="00D847F1">
      <w:pPr>
        <w:pStyle w:val="ref"/>
      </w:pPr>
      <w:r>
        <w:t>(see s 6)</w:t>
      </w:r>
    </w:p>
    <w:p w14:paraId="5DD16377" w14:textId="77777777" w:rsidR="00D847F1" w:rsidRPr="00224E14" w:rsidRDefault="00D847F1">
      <w:pPr>
        <w:pStyle w:val="Sched-Part"/>
      </w:pPr>
      <w:bookmarkStart w:id="45" w:name="_Toc72505957"/>
      <w:r w:rsidRPr="00224E14">
        <w:rPr>
          <w:rStyle w:val="CharPartNo"/>
        </w:rPr>
        <w:t>Part 1.1</w:t>
      </w:r>
      <w:r>
        <w:tab/>
      </w:r>
      <w:r w:rsidRPr="00224E14">
        <w:rPr>
          <w:rStyle w:val="CharPartText"/>
        </w:rPr>
        <w:t>Key concepts</w:t>
      </w:r>
      <w:bookmarkEnd w:id="45"/>
    </w:p>
    <w:p w14:paraId="44E1C337" w14:textId="77777777" w:rsidR="00D847F1" w:rsidRPr="00F1531F" w:rsidRDefault="00D847F1">
      <w:pPr>
        <w:pStyle w:val="Schclauseheading"/>
        <w:rPr>
          <w:rStyle w:val="charItals"/>
        </w:rPr>
      </w:pPr>
      <w:bookmarkStart w:id="46" w:name="_Toc72505958"/>
      <w:r w:rsidRPr="00224E14">
        <w:rPr>
          <w:rStyle w:val="CharSectNo"/>
        </w:rPr>
        <w:t>1.1</w:t>
      </w:r>
      <w:r>
        <w:tab/>
        <w:t xml:space="preserve">Meaning of </w:t>
      </w:r>
      <w:r w:rsidRPr="00F1531F">
        <w:rPr>
          <w:rStyle w:val="charItals"/>
        </w:rPr>
        <w:t>licensee</w:t>
      </w:r>
      <w:bookmarkEnd w:id="46"/>
    </w:p>
    <w:p w14:paraId="240AFFE8" w14:textId="77777777" w:rsidR="00D847F1" w:rsidRDefault="00D442DD" w:rsidP="00D442DD">
      <w:pPr>
        <w:pStyle w:val="SchAmain"/>
      </w:pPr>
      <w:r>
        <w:tab/>
        <w:t>(1)</w:t>
      </w:r>
      <w:r>
        <w:tab/>
      </w:r>
      <w:r w:rsidR="00D847F1">
        <w:t>In this code of practice:</w:t>
      </w:r>
    </w:p>
    <w:p w14:paraId="55082279" w14:textId="77777777" w:rsidR="00D847F1" w:rsidRDefault="00D847F1">
      <w:pPr>
        <w:pStyle w:val="aDef"/>
        <w:keepNext/>
      </w:pPr>
      <w:r>
        <w:rPr>
          <w:rStyle w:val="charBoldItals"/>
        </w:rPr>
        <w:t>licensee</w:t>
      </w:r>
      <w:r>
        <w:t xml:space="preserve"> means—</w:t>
      </w:r>
    </w:p>
    <w:p w14:paraId="341F68D4" w14:textId="77777777" w:rsidR="00D847F1" w:rsidRDefault="00D847F1">
      <w:pPr>
        <w:pStyle w:val="aDefpara"/>
      </w:pPr>
      <w:r>
        <w:tab/>
        <w:t>(a)</w:t>
      </w:r>
      <w:r>
        <w:tab/>
        <w:t>a gaming machine licensee; or</w:t>
      </w:r>
    </w:p>
    <w:p w14:paraId="340563EF" w14:textId="77777777" w:rsidR="00D847F1" w:rsidRDefault="00D847F1">
      <w:pPr>
        <w:pStyle w:val="aNotepar"/>
      </w:pPr>
      <w:r>
        <w:rPr>
          <w:rStyle w:val="charItals"/>
        </w:rPr>
        <w:t>Note</w:t>
      </w:r>
      <w:r>
        <w:rPr>
          <w:rStyle w:val="charItals"/>
        </w:rPr>
        <w:tab/>
      </w:r>
      <w:r>
        <w:rPr>
          <w:rStyle w:val="charBoldItals"/>
        </w:rPr>
        <w:t>Gaming machine licensee</w:t>
      </w:r>
      <w:r>
        <w:t xml:space="preserve"> is defined in the dictionary.</w:t>
      </w:r>
    </w:p>
    <w:p w14:paraId="4DD79646" w14:textId="77777777" w:rsidR="00D847F1" w:rsidRDefault="00D847F1">
      <w:pPr>
        <w:pStyle w:val="aDefpara"/>
      </w:pPr>
      <w:r>
        <w:tab/>
        <w:t>(b)</w:t>
      </w:r>
      <w:r>
        <w:tab/>
        <w:t>a casino licensee; or</w:t>
      </w:r>
    </w:p>
    <w:p w14:paraId="62ACDC16" w14:textId="27689975" w:rsidR="00D847F1" w:rsidRDefault="00D847F1">
      <w:pPr>
        <w:pStyle w:val="aNotepar"/>
      </w:pPr>
      <w:r>
        <w:rPr>
          <w:rStyle w:val="charItals"/>
        </w:rPr>
        <w:t>Note</w:t>
      </w:r>
      <w:r>
        <w:rPr>
          <w:rStyle w:val="charBoldItals"/>
        </w:rPr>
        <w:tab/>
        <w:t>Casino licensee</w:t>
      </w:r>
      <w:r>
        <w:t xml:space="preserve"> is defined in the </w:t>
      </w:r>
      <w:hyperlink r:id="rId54" w:tooltip="A2006-2" w:history="1">
        <w:r w:rsidR="00DF21AF" w:rsidRPr="00DF21AF">
          <w:rPr>
            <w:rStyle w:val="charCitHyperlinkItal"/>
          </w:rPr>
          <w:t>Casino Control Act 2006</w:t>
        </w:r>
      </w:hyperlink>
      <w:r>
        <w:t>, dictionary.</w:t>
      </w:r>
    </w:p>
    <w:p w14:paraId="1C841DF9" w14:textId="72D3F278" w:rsidR="00D847F1" w:rsidRDefault="00D847F1">
      <w:pPr>
        <w:pStyle w:val="aDefpara"/>
      </w:pPr>
      <w:r>
        <w:tab/>
        <w:t>(c)</w:t>
      </w:r>
      <w:r>
        <w:tab/>
        <w:t xml:space="preserve">a licensed provider under the </w:t>
      </w:r>
      <w:hyperlink r:id="rId55" w:tooltip="A1998-24" w:history="1">
        <w:r w:rsidR="00DF21AF" w:rsidRPr="00DF21AF">
          <w:rPr>
            <w:rStyle w:val="charCitHyperlinkItal"/>
          </w:rPr>
          <w:t>Interactive Gambling Act 1998</w:t>
        </w:r>
      </w:hyperlink>
      <w:r>
        <w:t>; or</w:t>
      </w:r>
    </w:p>
    <w:p w14:paraId="137E951A" w14:textId="4809E50C" w:rsidR="00D847F1" w:rsidRDefault="00D847F1">
      <w:pPr>
        <w:pStyle w:val="aDefpara"/>
      </w:pPr>
      <w:r>
        <w:tab/>
        <w:t>(d)</w:t>
      </w:r>
      <w:r>
        <w:tab/>
        <w:t xml:space="preserve">the holder of a race bookmaking licence, a race bookmaker’s agent licence, a sports bookmaking licence or a sports bookmaker’s agent licence under the </w:t>
      </w:r>
      <w:hyperlink r:id="rId56" w:tooltip="A2001-49" w:history="1">
        <w:r w:rsidR="00DF21AF" w:rsidRPr="00DF21AF">
          <w:rPr>
            <w:rStyle w:val="charCitHyperlinkItal"/>
          </w:rPr>
          <w:t>Race and Sports Bookmaking Act 2001</w:t>
        </w:r>
      </w:hyperlink>
      <w:r>
        <w:t>; or</w:t>
      </w:r>
    </w:p>
    <w:p w14:paraId="7A2AD065" w14:textId="3EA4D626" w:rsidR="00EA1BC2" w:rsidRPr="003A70CF" w:rsidRDefault="00EA1BC2" w:rsidP="00EA1BC2">
      <w:pPr>
        <w:pStyle w:val="Apara"/>
      </w:pPr>
      <w:r w:rsidRPr="003A70CF">
        <w:tab/>
        <w:t>(e)</w:t>
      </w:r>
      <w:r w:rsidRPr="003A70CF">
        <w:tab/>
        <w:t xml:space="preserve">a licensee of a totalisator under the </w:t>
      </w:r>
      <w:hyperlink r:id="rId57" w:tooltip="A2014-4" w:history="1">
        <w:r w:rsidR="00CF5E33">
          <w:rPr>
            <w:rStyle w:val="charCitHyperlinkItal"/>
          </w:rPr>
          <w:t>Totalisator Act 2014</w:t>
        </w:r>
      </w:hyperlink>
      <w:r w:rsidRPr="003A70CF">
        <w:t>; or</w:t>
      </w:r>
    </w:p>
    <w:p w14:paraId="5789BD9B" w14:textId="3E556073" w:rsidR="00D847F1" w:rsidRDefault="00D847F1">
      <w:pPr>
        <w:pStyle w:val="aDefpara"/>
      </w:pPr>
      <w:r>
        <w:tab/>
        <w:t>(f)</w:t>
      </w:r>
      <w:r>
        <w:tab/>
        <w:t xml:space="preserve">anyone authorised to conduct a lottery, scheme or competition under the </w:t>
      </w:r>
      <w:hyperlink r:id="rId58" w:tooltip="A1964-13" w:history="1">
        <w:r w:rsidR="00DF21AF" w:rsidRPr="00DF21AF">
          <w:rPr>
            <w:rStyle w:val="charCitHyperlinkItal"/>
          </w:rPr>
          <w:t>Lotteries Act 1964</w:t>
        </w:r>
      </w:hyperlink>
      <w:r>
        <w:t xml:space="preserve"> or the </w:t>
      </w:r>
      <w:hyperlink r:id="rId59" w:tooltip="A1964-15" w:history="1">
        <w:r w:rsidR="00DF21AF" w:rsidRPr="00DF21AF">
          <w:rPr>
            <w:rStyle w:val="charCitHyperlinkItal"/>
          </w:rPr>
          <w:t>Pool Betting Act 1964</w:t>
        </w:r>
      </w:hyperlink>
      <w:r>
        <w:t>, other than—</w:t>
      </w:r>
    </w:p>
    <w:p w14:paraId="5A3BDA85" w14:textId="77777777" w:rsidR="00D847F1" w:rsidRDefault="00D847F1">
      <w:pPr>
        <w:pStyle w:val="Asubpara"/>
      </w:pPr>
      <w:r>
        <w:tab/>
        <w:t>(i)</w:t>
      </w:r>
      <w:r>
        <w:tab/>
        <w:t>a calcutta sweepstake; or</w:t>
      </w:r>
    </w:p>
    <w:p w14:paraId="453AF9C8" w14:textId="77777777" w:rsidR="00D847F1" w:rsidRDefault="00D847F1" w:rsidP="004031BA">
      <w:pPr>
        <w:pStyle w:val="Asubpara"/>
        <w:keepLines/>
      </w:pPr>
      <w:r>
        <w:tab/>
        <w:t>(ii)</w:t>
      </w:r>
      <w:r>
        <w:tab/>
        <w:t>a trade promotion, other than a trade promotion that involves gambling, in which participants are given free entry to a contest that promotes a trade or business and involves an element of chance in the allocation of the prize; or</w:t>
      </w:r>
    </w:p>
    <w:p w14:paraId="028D42DB" w14:textId="77777777" w:rsidR="00D847F1" w:rsidRDefault="00D847F1">
      <w:pPr>
        <w:pStyle w:val="Asubpara"/>
      </w:pPr>
      <w:r>
        <w:lastRenderedPageBreak/>
        <w:tab/>
        <w:t>(iii)</w:t>
      </w:r>
      <w:r>
        <w:tab/>
        <w:t>a raffle; or</w:t>
      </w:r>
    </w:p>
    <w:p w14:paraId="004A6CD5" w14:textId="77777777" w:rsidR="00D847F1" w:rsidRDefault="00D847F1">
      <w:pPr>
        <w:pStyle w:val="Asubpara"/>
      </w:pPr>
      <w:r>
        <w:tab/>
        <w:t>(iv)</w:t>
      </w:r>
      <w:r>
        <w:tab/>
        <w:t>a progressive lottery or silver circle involving a number of draws on different days, including tipping competitions, in which regular or different prizes are drawn; or</w:t>
      </w:r>
    </w:p>
    <w:p w14:paraId="423DCD5F" w14:textId="77777777" w:rsidR="00D847F1" w:rsidRDefault="00D847F1">
      <w:pPr>
        <w:pStyle w:val="Asubpara"/>
      </w:pPr>
      <w:r>
        <w:tab/>
        <w:t>(v)</w:t>
      </w:r>
      <w:r>
        <w:tab/>
        <w:t>an exempt lottery.</w:t>
      </w:r>
    </w:p>
    <w:p w14:paraId="57FC8381" w14:textId="77777777" w:rsidR="00D442DD" w:rsidRPr="00793319" w:rsidRDefault="00D442DD" w:rsidP="00D442DD">
      <w:pPr>
        <w:pStyle w:val="Amain"/>
      </w:pPr>
      <w:r w:rsidRPr="00793319">
        <w:tab/>
        <w:t>(2)</w:t>
      </w:r>
      <w:r w:rsidRPr="00793319">
        <w:tab/>
        <w:t>In this section:</w:t>
      </w:r>
    </w:p>
    <w:p w14:paraId="0D4DDF2E" w14:textId="77777777" w:rsidR="00D442DD" w:rsidRPr="00793319" w:rsidRDefault="00D442DD" w:rsidP="00D442DD">
      <w:pPr>
        <w:pStyle w:val="aDef"/>
        <w:keepNext/>
      </w:pPr>
      <w:r w:rsidRPr="00793319">
        <w:rPr>
          <w:rStyle w:val="charBoldItals"/>
        </w:rPr>
        <w:t>exempt lottery</w:t>
      </w:r>
      <w:r w:rsidRPr="00793319">
        <w:t xml:space="preserve">—see </w:t>
      </w:r>
      <w:r w:rsidRPr="00793319">
        <w:rPr>
          <w:lang w:eastAsia="en-AU"/>
        </w:rPr>
        <w:t>section 5 (2).</w:t>
      </w:r>
    </w:p>
    <w:p w14:paraId="7F77B017" w14:textId="77777777" w:rsidR="00D847F1" w:rsidRPr="00F1531F" w:rsidRDefault="00D847F1">
      <w:pPr>
        <w:pStyle w:val="Schclauseheading"/>
        <w:rPr>
          <w:rStyle w:val="charItals"/>
        </w:rPr>
      </w:pPr>
      <w:bookmarkStart w:id="47" w:name="_Toc72505959"/>
      <w:r w:rsidRPr="00224E14">
        <w:rPr>
          <w:rStyle w:val="CharSectNo"/>
        </w:rPr>
        <w:t>1.2</w:t>
      </w:r>
      <w:r>
        <w:tab/>
        <w:t xml:space="preserve">Meaning of </w:t>
      </w:r>
      <w:r w:rsidRPr="00F1531F">
        <w:rPr>
          <w:rStyle w:val="charItals"/>
        </w:rPr>
        <w:t>gambling problem</w:t>
      </w:r>
      <w:bookmarkEnd w:id="47"/>
    </w:p>
    <w:p w14:paraId="2DAB4E07" w14:textId="77777777" w:rsidR="000C073E" w:rsidRPr="00A35BB6" w:rsidRDefault="000C073E" w:rsidP="000C073E">
      <w:pPr>
        <w:pStyle w:val="Amain"/>
      </w:pPr>
      <w:r w:rsidRPr="00A35BB6">
        <w:tab/>
        <w:t>(1)</w:t>
      </w:r>
      <w:r w:rsidRPr="00A35BB6">
        <w:tab/>
        <w:t xml:space="preserve">For this code of practice, a person has a </w:t>
      </w:r>
      <w:r w:rsidRPr="00A35BB6">
        <w:rPr>
          <w:rStyle w:val="charBoldItals"/>
        </w:rPr>
        <w:t>gambling problem</w:t>
      </w:r>
      <w:r w:rsidRPr="00A35BB6">
        <w:t xml:space="preserve"> if the person has difficulty limiting the amount of money or time spent on gambling and this leads to adverse consequences for the person or another person.</w:t>
      </w:r>
    </w:p>
    <w:p w14:paraId="1FDD3D22" w14:textId="77777777" w:rsidR="00D847F1" w:rsidRDefault="00D847F1">
      <w:pPr>
        <w:pStyle w:val="Amain"/>
        <w:keepNext/>
      </w:pPr>
      <w:r>
        <w:tab/>
        <w:t>(2)</w:t>
      </w:r>
      <w:r>
        <w:tab/>
        <w:t xml:space="preserve">Also, a person is taken to have a </w:t>
      </w:r>
      <w:r>
        <w:rPr>
          <w:rStyle w:val="charBoldItals"/>
        </w:rPr>
        <w:t>gambling problem</w:t>
      </w:r>
      <w:r>
        <w:t xml:space="preserve">, if the person engages in any of the following behaviour: </w:t>
      </w:r>
    </w:p>
    <w:p w14:paraId="057F0BFC" w14:textId="77777777" w:rsidR="00D847F1" w:rsidRDefault="00D847F1" w:rsidP="004031BA">
      <w:pPr>
        <w:pStyle w:val="Apara"/>
        <w:keepNext/>
      </w:pPr>
      <w:r>
        <w:tab/>
        <w:t>(a)</w:t>
      </w:r>
      <w:r>
        <w:tab/>
        <w:t>seeking credit for gambling unless authorised under a gaming law;</w:t>
      </w:r>
    </w:p>
    <w:p w14:paraId="75FB72B9" w14:textId="77777777" w:rsidR="00D847F1" w:rsidRDefault="00D847F1">
      <w:pPr>
        <w:pStyle w:val="Apara"/>
      </w:pPr>
      <w:r>
        <w:tab/>
        <w:t>(b)</w:t>
      </w:r>
      <w:r>
        <w:tab/>
        <w:t>seeking to borrow or scavenge for money to gamble;</w:t>
      </w:r>
    </w:p>
    <w:p w14:paraId="4A6D1B8B" w14:textId="77777777" w:rsidR="00D847F1" w:rsidRDefault="00D847F1">
      <w:pPr>
        <w:pStyle w:val="Apara"/>
      </w:pPr>
      <w:r>
        <w:tab/>
        <w:t>(c)</w:t>
      </w:r>
      <w:r>
        <w:tab/>
        <w:t>seeking assistance or advice about controlling the person’s gambling;</w:t>
      </w:r>
    </w:p>
    <w:p w14:paraId="56C6728B" w14:textId="77777777" w:rsidR="00D847F1" w:rsidRDefault="00D847F1">
      <w:pPr>
        <w:pStyle w:val="Apara"/>
      </w:pPr>
      <w:r>
        <w:tab/>
        <w:t>(d)</w:t>
      </w:r>
      <w:r>
        <w:tab/>
        <w:t>admitting to borrowing or stealing money to gamble.</w:t>
      </w:r>
    </w:p>
    <w:p w14:paraId="1625308A" w14:textId="77777777" w:rsidR="00D847F1" w:rsidRDefault="00D847F1">
      <w:pPr>
        <w:pStyle w:val="PageBreak"/>
      </w:pPr>
      <w:r>
        <w:br w:type="page"/>
      </w:r>
    </w:p>
    <w:p w14:paraId="2BC3E325" w14:textId="77777777" w:rsidR="00D847F1" w:rsidRPr="00224E14" w:rsidRDefault="00D847F1">
      <w:pPr>
        <w:pStyle w:val="Sched-Part"/>
      </w:pPr>
      <w:bookmarkStart w:id="48" w:name="_Toc72505960"/>
      <w:r w:rsidRPr="00224E14">
        <w:rPr>
          <w:rStyle w:val="CharPartNo"/>
        </w:rPr>
        <w:lastRenderedPageBreak/>
        <w:t>Part 1.2</w:t>
      </w:r>
      <w:r>
        <w:tab/>
      </w:r>
      <w:r w:rsidRPr="00224E14">
        <w:rPr>
          <w:rStyle w:val="CharPartText"/>
        </w:rPr>
        <w:t>Conduct of gambling</w:t>
      </w:r>
      <w:bookmarkEnd w:id="48"/>
    </w:p>
    <w:p w14:paraId="14EDC116" w14:textId="77777777" w:rsidR="00D847F1" w:rsidRPr="00224E14" w:rsidRDefault="00D847F1">
      <w:pPr>
        <w:pStyle w:val="Sched-Form"/>
      </w:pPr>
      <w:bookmarkStart w:id="49" w:name="_Toc72505961"/>
      <w:r w:rsidRPr="00224E14">
        <w:rPr>
          <w:rStyle w:val="CharDivNo"/>
        </w:rPr>
        <w:t>Division 1.2.1</w:t>
      </w:r>
      <w:r>
        <w:tab/>
      </w:r>
      <w:r w:rsidRPr="00224E14">
        <w:rPr>
          <w:rStyle w:val="CharDivText"/>
        </w:rPr>
        <w:t>General</w:t>
      </w:r>
      <w:bookmarkEnd w:id="49"/>
      <w:r w:rsidRPr="00224E14">
        <w:rPr>
          <w:rStyle w:val="CharDivText"/>
        </w:rPr>
        <w:t xml:space="preserve"> </w:t>
      </w:r>
    </w:p>
    <w:p w14:paraId="001516C7" w14:textId="77777777" w:rsidR="00D847F1" w:rsidRDefault="00D847F1">
      <w:pPr>
        <w:pStyle w:val="Schclauseheading"/>
      </w:pPr>
      <w:bookmarkStart w:id="50" w:name="_Toc72505962"/>
      <w:r w:rsidRPr="00224E14">
        <w:rPr>
          <w:rStyle w:val="CharSectNo"/>
        </w:rPr>
        <w:t>1.3</w:t>
      </w:r>
      <w:r>
        <w:tab/>
        <w:t>Licensees obligations generally</w:t>
      </w:r>
      <w:bookmarkEnd w:id="50"/>
    </w:p>
    <w:p w14:paraId="44178318" w14:textId="77777777" w:rsidR="00D847F1" w:rsidRDefault="00D847F1">
      <w:pPr>
        <w:pStyle w:val="Amain"/>
      </w:pPr>
      <w:r>
        <w:tab/>
        <w:t>(1)</w:t>
      </w:r>
      <w:r>
        <w:tab/>
        <w:t>A licensee of a gambling facility must conduct the facility honestly, responsibly and in accordance with this code of practice.</w:t>
      </w:r>
    </w:p>
    <w:p w14:paraId="550D0F67" w14:textId="77777777" w:rsidR="00D847F1" w:rsidRDefault="00D847F1">
      <w:pPr>
        <w:pStyle w:val="Amain"/>
      </w:pPr>
      <w:r>
        <w:tab/>
        <w:t>(2)</w:t>
      </w:r>
      <w:r>
        <w:tab/>
        <w:t xml:space="preserve">A licensee of a gambling facility must not give or make available to patrons information about gambling or gambling facilities that is false or misleading. </w:t>
      </w:r>
    </w:p>
    <w:p w14:paraId="7114C82B" w14:textId="77777777" w:rsidR="00D847F1" w:rsidRDefault="00D847F1">
      <w:pPr>
        <w:pStyle w:val="Amain"/>
      </w:pPr>
      <w:r>
        <w:tab/>
        <w:t>(3)</w:t>
      </w:r>
      <w:r>
        <w:tab/>
        <w:t>A casino licensee or gaming machine licensee must not allow a person (the</w:t>
      </w:r>
      <w:r>
        <w:rPr>
          <w:rStyle w:val="charBoldItals"/>
        </w:rPr>
        <w:t xml:space="preserve"> gambler</w:t>
      </w:r>
      <w:r>
        <w:t>) to use the licensee’s facility for gambling if the gambler—</w:t>
      </w:r>
    </w:p>
    <w:p w14:paraId="45500D16" w14:textId="77777777" w:rsidR="00D847F1" w:rsidRDefault="00D847F1">
      <w:pPr>
        <w:pStyle w:val="Apara"/>
      </w:pPr>
      <w:r>
        <w:tab/>
        <w:t>(a)</w:t>
      </w:r>
      <w:r>
        <w:tab/>
        <w:t>appears not to fully understand the nature or consequences of gambling generally, or a particular gambling activity, and the potential for financial loss; or</w:t>
      </w:r>
    </w:p>
    <w:p w14:paraId="2B12DB63" w14:textId="77777777" w:rsidR="00D847F1" w:rsidRDefault="00D847F1">
      <w:pPr>
        <w:pStyle w:val="Apara"/>
      </w:pPr>
      <w:r>
        <w:tab/>
        <w:t>(b)</w:t>
      </w:r>
      <w:r>
        <w:tab/>
        <w:t>appears to be intoxicated or under the influence of a drug to an extent that the gambler could not reasonably be expected to exercise rational judgment while gambling.</w:t>
      </w:r>
    </w:p>
    <w:p w14:paraId="0D772901" w14:textId="77777777" w:rsidR="00D847F1" w:rsidRDefault="00D847F1">
      <w:pPr>
        <w:pStyle w:val="Schclauseheading"/>
      </w:pPr>
      <w:bookmarkStart w:id="51" w:name="_Toc72505963"/>
      <w:r w:rsidRPr="00224E14">
        <w:rPr>
          <w:rStyle w:val="CharSectNo"/>
        </w:rPr>
        <w:t>1.4</w:t>
      </w:r>
      <w:r>
        <w:tab/>
        <w:t>Staff care and training</w:t>
      </w:r>
      <w:bookmarkEnd w:id="51"/>
    </w:p>
    <w:p w14:paraId="2F6CBC25" w14:textId="77777777" w:rsidR="00D847F1" w:rsidRDefault="00D847F1">
      <w:pPr>
        <w:pStyle w:val="Amain"/>
      </w:pPr>
      <w:r>
        <w:tab/>
        <w:t>(1)</w:t>
      </w:r>
      <w:r>
        <w:tab/>
        <w:t>The licensee of a gambling facility must ensure that—</w:t>
      </w:r>
    </w:p>
    <w:p w14:paraId="797A946E" w14:textId="77777777" w:rsidR="00D847F1" w:rsidRDefault="00D847F1">
      <w:pPr>
        <w:pStyle w:val="Apara"/>
      </w:pPr>
      <w:r>
        <w:tab/>
        <w:t>(a)</w:t>
      </w:r>
      <w:r>
        <w:tab/>
        <w:t>each staff member who is directly involved in providing gambling services to patrons and each person who supervises the staff members—</w:t>
      </w:r>
    </w:p>
    <w:p w14:paraId="6E9D3A9E" w14:textId="77777777" w:rsidR="00D847F1" w:rsidRDefault="00D847F1">
      <w:pPr>
        <w:pStyle w:val="Asubpara"/>
      </w:pPr>
      <w:r>
        <w:tab/>
        <w:t>(i)</w:t>
      </w:r>
      <w:r>
        <w:tab/>
        <w:t>has successfully completed an approved traini</w:t>
      </w:r>
      <w:r w:rsidR="000C073E">
        <w:t>ng program within the previous 3</w:t>
      </w:r>
      <w:r>
        <w:t xml:space="preserve"> years; and</w:t>
      </w:r>
    </w:p>
    <w:p w14:paraId="20DEA694" w14:textId="77777777" w:rsidR="00D847F1" w:rsidRDefault="00D847F1">
      <w:pPr>
        <w:pStyle w:val="Asubpara"/>
      </w:pPr>
      <w:r>
        <w:tab/>
        <w:t>(ii)</w:t>
      </w:r>
      <w:r>
        <w:tab/>
        <w:t>does not take part, or allow anyone else to take part on their behalf, in a gambling activity at the facility except as part of the member’s duty; and</w:t>
      </w:r>
    </w:p>
    <w:p w14:paraId="18A933E4" w14:textId="77777777" w:rsidR="00D847F1" w:rsidRDefault="00D847F1">
      <w:pPr>
        <w:pStyle w:val="Apara"/>
      </w:pPr>
      <w:r>
        <w:lastRenderedPageBreak/>
        <w:tab/>
        <w:t>(b)</w:t>
      </w:r>
      <w:r>
        <w:tab/>
        <w:t>each staff member is aware of his or her obligations under this code of practice.</w:t>
      </w:r>
    </w:p>
    <w:p w14:paraId="2E38672E" w14:textId="6C61E4C1" w:rsidR="00D847F1" w:rsidRDefault="00D847F1">
      <w:pPr>
        <w:pStyle w:val="Amain"/>
      </w:pPr>
      <w:r>
        <w:tab/>
        <w:t>(2)</w:t>
      </w:r>
      <w:r>
        <w:tab/>
        <w:t xml:space="preserve">However, </w:t>
      </w:r>
      <w:r w:rsidR="006D7675" w:rsidRPr="003A70CF">
        <w:t xml:space="preserve">a licensee of a totalisator under the </w:t>
      </w:r>
      <w:hyperlink r:id="rId60" w:tooltip="A2014-4" w:history="1">
        <w:r w:rsidR="006D7675">
          <w:rPr>
            <w:rStyle w:val="charCitHyperlinkItal"/>
          </w:rPr>
          <w:t>Totalisator Act 2014</w:t>
        </w:r>
      </w:hyperlink>
      <w:r>
        <w:t xml:space="preserve"> and someone mentioned in section 1.1, definition of </w:t>
      </w:r>
      <w:r>
        <w:rPr>
          <w:rStyle w:val="charBoldItals"/>
        </w:rPr>
        <w:t>licensee</w:t>
      </w:r>
      <w:r>
        <w:t>, paragraph (f), need only ensure that the person in charge of each gambling facility—</w:t>
      </w:r>
    </w:p>
    <w:p w14:paraId="44DB0FC6" w14:textId="77777777" w:rsidR="00D847F1" w:rsidRDefault="00D847F1">
      <w:pPr>
        <w:pStyle w:val="Apara"/>
      </w:pPr>
      <w:r>
        <w:tab/>
        <w:t>(a)</w:t>
      </w:r>
      <w:r>
        <w:tab/>
        <w:t xml:space="preserve">has successfully completed an approved training program within the previous </w:t>
      </w:r>
      <w:r w:rsidR="000C073E">
        <w:t>3</w:t>
      </w:r>
      <w:r>
        <w:t xml:space="preserve"> years; and</w:t>
      </w:r>
    </w:p>
    <w:p w14:paraId="22F90462" w14:textId="77777777" w:rsidR="00D847F1" w:rsidRDefault="00D847F1">
      <w:pPr>
        <w:pStyle w:val="Apara"/>
      </w:pPr>
      <w:r>
        <w:tab/>
        <w:t>(b)</w:t>
      </w:r>
      <w:r>
        <w:tab/>
        <w:t>does not take part, or allow anyone else to take part on their behalf, in a gambling activity at the facility except as part of the person’s duty; and</w:t>
      </w:r>
    </w:p>
    <w:p w14:paraId="4629FB31" w14:textId="77777777" w:rsidR="00D847F1" w:rsidRDefault="00D847F1">
      <w:pPr>
        <w:pStyle w:val="Apara"/>
      </w:pPr>
      <w:r>
        <w:tab/>
        <w:t>(c)</w:t>
      </w:r>
      <w:r>
        <w:tab/>
        <w:t>is made aware of his or her obligations under this code of practice.</w:t>
      </w:r>
    </w:p>
    <w:p w14:paraId="53966D9A" w14:textId="77777777" w:rsidR="00D847F1" w:rsidRDefault="00D847F1">
      <w:pPr>
        <w:pStyle w:val="Amain"/>
      </w:pPr>
      <w:r>
        <w:tab/>
        <w:t>(3)</w:t>
      </w:r>
      <w:r>
        <w:tab/>
        <w:t>The person in charge mentioned in subsection (2) must take all reasonable steps to ensure that—</w:t>
      </w:r>
    </w:p>
    <w:p w14:paraId="4CF78EE0" w14:textId="77777777" w:rsidR="00D847F1" w:rsidRDefault="00D847F1">
      <w:pPr>
        <w:pStyle w:val="Apara"/>
      </w:pPr>
      <w:r>
        <w:tab/>
        <w:t>(a)</w:t>
      </w:r>
      <w:r>
        <w:tab/>
        <w:t>each staff member who is directly involved in providing gambling services to patrons and each person who supervises the staff members—</w:t>
      </w:r>
    </w:p>
    <w:p w14:paraId="503110B9" w14:textId="77777777" w:rsidR="00D847F1" w:rsidRDefault="00D847F1">
      <w:pPr>
        <w:pStyle w:val="Asubpara"/>
      </w:pPr>
      <w:r>
        <w:tab/>
        <w:t>(i)</w:t>
      </w:r>
      <w:r>
        <w:tab/>
        <w:t xml:space="preserve">has successfully completed an approved training program within the previous </w:t>
      </w:r>
      <w:r w:rsidR="000C073E">
        <w:t>3</w:t>
      </w:r>
      <w:r>
        <w:t xml:space="preserve"> years; and</w:t>
      </w:r>
    </w:p>
    <w:p w14:paraId="055B71E3" w14:textId="77777777" w:rsidR="00D847F1" w:rsidRDefault="00D847F1">
      <w:pPr>
        <w:pStyle w:val="Asubpara"/>
      </w:pPr>
      <w:r>
        <w:tab/>
        <w:t>(ii)</w:t>
      </w:r>
      <w:r>
        <w:tab/>
        <w:t>does not take part, or allow anyone else to take part on their behalf, in a gambling activity at the facility except as part of the member’s duty; and</w:t>
      </w:r>
    </w:p>
    <w:p w14:paraId="202CBB6D" w14:textId="77777777" w:rsidR="00D847F1" w:rsidRDefault="00D847F1">
      <w:pPr>
        <w:pStyle w:val="Apara"/>
      </w:pPr>
      <w:r>
        <w:tab/>
        <w:t>(b)</w:t>
      </w:r>
      <w:r>
        <w:tab/>
        <w:t>each staff member is made aware of his or her obligations under this code of practice; and</w:t>
      </w:r>
    </w:p>
    <w:p w14:paraId="6F1F13A5" w14:textId="77777777" w:rsidR="00D847F1" w:rsidRDefault="00D847F1">
      <w:pPr>
        <w:pStyle w:val="Apara"/>
      </w:pPr>
      <w:r>
        <w:tab/>
        <w:t>(c)</w:t>
      </w:r>
      <w:r>
        <w:tab/>
        <w:t>if the person will be absent from the facility for longer than 1 week—the licensee is told who will be in charge of the facility during the person’s absence.</w:t>
      </w:r>
    </w:p>
    <w:p w14:paraId="164192FC" w14:textId="77777777" w:rsidR="00D847F1" w:rsidRDefault="00D847F1" w:rsidP="00B62D69">
      <w:pPr>
        <w:pStyle w:val="Amain"/>
        <w:keepNext/>
      </w:pPr>
      <w:r>
        <w:lastRenderedPageBreak/>
        <w:tab/>
        <w:t>(4)</w:t>
      </w:r>
      <w:r>
        <w:tab/>
        <w:t xml:space="preserve">For subsection (1) (a) (ii), (2) (b) and (3) (a) (ii), </w:t>
      </w:r>
      <w:r>
        <w:rPr>
          <w:rStyle w:val="charBoldItals"/>
        </w:rPr>
        <w:t>staff member</w:t>
      </w:r>
      <w:r w:rsidRPr="00F1531F">
        <w:rPr>
          <w:rStyle w:val="charItals"/>
        </w:rPr>
        <w:t>,</w:t>
      </w:r>
      <w:r w:rsidRPr="00F1531F">
        <w:t xml:space="preserve"> </w:t>
      </w:r>
      <w:r>
        <w:t>of a gambling facility, includes—</w:t>
      </w:r>
    </w:p>
    <w:p w14:paraId="6CB092B4" w14:textId="77777777" w:rsidR="00D847F1" w:rsidRDefault="00D847F1">
      <w:pPr>
        <w:pStyle w:val="Apara"/>
      </w:pPr>
      <w:r>
        <w:tab/>
        <w:t>(a)</w:t>
      </w:r>
      <w:r>
        <w:tab/>
        <w:t>a person who is a full-time, part-time or casual staff member of the facility; and</w:t>
      </w:r>
    </w:p>
    <w:p w14:paraId="4CF8F655" w14:textId="77777777" w:rsidR="00D847F1" w:rsidRDefault="00D847F1">
      <w:pPr>
        <w:pStyle w:val="Apara"/>
      </w:pPr>
      <w:r>
        <w:tab/>
        <w:t>(b)</w:t>
      </w:r>
      <w:r>
        <w:tab/>
        <w:t>anyone who has worked in the facility in any other capacity within the previous 7 days.</w:t>
      </w:r>
    </w:p>
    <w:p w14:paraId="060EE6EF" w14:textId="77777777" w:rsidR="00D847F1" w:rsidRDefault="00D847F1">
      <w:pPr>
        <w:pStyle w:val="aExamHdgpar"/>
      </w:pPr>
      <w:r>
        <w:t>Example</w:t>
      </w:r>
      <w:r w:rsidR="00E02D37">
        <w:t>s—par</w:t>
      </w:r>
      <w:r>
        <w:t xml:space="preserve"> (b)</w:t>
      </w:r>
    </w:p>
    <w:p w14:paraId="04BE2051" w14:textId="77777777" w:rsidR="00D847F1" w:rsidRDefault="00D847F1">
      <w:pPr>
        <w:pStyle w:val="AExamIPara"/>
      </w:pPr>
      <w:r>
        <w:tab/>
        <w:t>1</w:t>
      </w:r>
      <w:r>
        <w:tab/>
        <w:t>an approved technician</w:t>
      </w:r>
    </w:p>
    <w:p w14:paraId="0CEA6D77" w14:textId="77777777" w:rsidR="00D847F1" w:rsidRDefault="00D847F1">
      <w:pPr>
        <w:pStyle w:val="AExamIPara"/>
        <w:keepNext/>
      </w:pPr>
      <w:r>
        <w:tab/>
        <w:t>2</w:t>
      </w:r>
      <w:r>
        <w:tab/>
        <w:t>a person who provides housie services under contract to the patrons of the licensee</w:t>
      </w:r>
    </w:p>
    <w:p w14:paraId="18761DE3" w14:textId="77777777" w:rsidR="00D847F1" w:rsidRDefault="00D847F1">
      <w:pPr>
        <w:pStyle w:val="Schclauseheading"/>
      </w:pPr>
      <w:bookmarkStart w:id="52" w:name="_Toc72505964"/>
      <w:r w:rsidRPr="00224E14">
        <w:rPr>
          <w:rStyle w:val="CharSectNo"/>
        </w:rPr>
        <w:t>1.5</w:t>
      </w:r>
      <w:r>
        <w:tab/>
        <w:t>Exemptions in relation to approved training courses</w:t>
      </w:r>
      <w:bookmarkEnd w:id="52"/>
    </w:p>
    <w:p w14:paraId="06655506" w14:textId="77777777" w:rsidR="00D847F1" w:rsidRDefault="00D847F1">
      <w:pPr>
        <w:pStyle w:val="Amainreturn"/>
      </w:pPr>
      <w:r>
        <w:t>The commission may, in writing, given to the licensee of a gambling facility, exempt the licensee or person in charge of the facility from the requirement to comply with section 1.4 (1) (a) (i), (2) (a) or (3) (a) (i) during a stated time, or in stated circumstances.</w:t>
      </w:r>
    </w:p>
    <w:p w14:paraId="787B8C8F" w14:textId="77777777" w:rsidR="00D847F1" w:rsidRPr="00224E14" w:rsidRDefault="00D847F1">
      <w:pPr>
        <w:pStyle w:val="Sched-Form"/>
      </w:pPr>
      <w:bookmarkStart w:id="53" w:name="_Toc72505965"/>
      <w:r w:rsidRPr="00224E14">
        <w:rPr>
          <w:rStyle w:val="CharDivNo"/>
        </w:rPr>
        <w:t>Division 1.2.2</w:t>
      </w:r>
      <w:r>
        <w:tab/>
      </w:r>
      <w:r w:rsidRPr="00224E14">
        <w:rPr>
          <w:rStyle w:val="CharDivText"/>
        </w:rPr>
        <w:t>Problem gambling</w:t>
      </w:r>
      <w:bookmarkEnd w:id="53"/>
    </w:p>
    <w:p w14:paraId="36CC51CC" w14:textId="77777777" w:rsidR="000C073E" w:rsidRPr="00A35BB6" w:rsidRDefault="000C073E" w:rsidP="001D0CF9">
      <w:pPr>
        <w:pStyle w:val="Schclauseheading"/>
      </w:pPr>
      <w:bookmarkStart w:id="54" w:name="_Toc72505966"/>
      <w:r w:rsidRPr="00224E14">
        <w:rPr>
          <w:rStyle w:val="CharSectNo"/>
        </w:rPr>
        <w:t>1.6</w:t>
      </w:r>
      <w:r w:rsidRPr="00A35BB6">
        <w:tab/>
        <w:t>Problem gambling incident register</w:t>
      </w:r>
      <w:bookmarkEnd w:id="54"/>
    </w:p>
    <w:p w14:paraId="576ABEB9" w14:textId="77777777" w:rsidR="000C073E" w:rsidRPr="00A35BB6" w:rsidRDefault="000C073E" w:rsidP="000C073E">
      <w:pPr>
        <w:pStyle w:val="Amain"/>
      </w:pPr>
      <w:r w:rsidRPr="00A35BB6">
        <w:tab/>
        <w:t>(1)</w:t>
      </w:r>
      <w:r w:rsidRPr="00A35BB6">
        <w:tab/>
        <w:t xml:space="preserve">The commission must establish a register (a </w:t>
      </w:r>
      <w:r w:rsidRPr="00A35BB6">
        <w:rPr>
          <w:rStyle w:val="charBoldItals"/>
        </w:rPr>
        <w:t>problem gambling incident register</w:t>
      </w:r>
      <w:r w:rsidRPr="00A35BB6">
        <w:t>) of problem gambling incidents.</w:t>
      </w:r>
    </w:p>
    <w:p w14:paraId="3523A137" w14:textId="77777777" w:rsidR="000C073E" w:rsidRPr="00A35BB6" w:rsidRDefault="000C073E" w:rsidP="000C073E">
      <w:pPr>
        <w:pStyle w:val="Amain"/>
        <w:rPr>
          <w:lang w:eastAsia="en-AU"/>
        </w:rPr>
      </w:pPr>
      <w:r w:rsidRPr="00A35BB6">
        <w:rPr>
          <w:lang w:eastAsia="en-AU"/>
        </w:rPr>
        <w:tab/>
        <w:t>(2)</w:t>
      </w:r>
      <w:r w:rsidRPr="00A35BB6">
        <w:rPr>
          <w:lang w:eastAsia="en-AU"/>
        </w:rPr>
        <w:tab/>
        <w:t>The register may be kept electronically.</w:t>
      </w:r>
    </w:p>
    <w:p w14:paraId="32EC84F0" w14:textId="77777777" w:rsidR="000C073E" w:rsidRPr="00A35BB6" w:rsidRDefault="000C073E" w:rsidP="001D0CF9">
      <w:pPr>
        <w:pStyle w:val="Schclauseheading"/>
      </w:pPr>
      <w:bookmarkStart w:id="55" w:name="_Toc72505967"/>
      <w:r w:rsidRPr="00224E14">
        <w:rPr>
          <w:rStyle w:val="CharSectNo"/>
        </w:rPr>
        <w:t>1.6A</w:t>
      </w:r>
      <w:r w:rsidRPr="00A35BB6">
        <w:tab/>
        <w:t>Recording problem gambling incidents</w:t>
      </w:r>
      <w:bookmarkEnd w:id="55"/>
    </w:p>
    <w:p w14:paraId="36B4A961" w14:textId="77777777" w:rsidR="000C073E" w:rsidRPr="00A35BB6" w:rsidRDefault="000C073E" w:rsidP="00F966FF">
      <w:pPr>
        <w:pStyle w:val="Amain"/>
        <w:keepNext/>
      </w:pPr>
      <w:r w:rsidRPr="00A35BB6">
        <w:tab/>
        <w:t>(1)</w:t>
      </w:r>
      <w:r w:rsidRPr="00A35BB6">
        <w:tab/>
        <w:t xml:space="preserve">A licensee of a gambling facility must keep a record of the following incidents (a </w:t>
      </w:r>
      <w:r w:rsidRPr="00A35BB6">
        <w:rPr>
          <w:rStyle w:val="charBoldItals"/>
        </w:rPr>
        <w:t>problem gambling incident</w:t>
      </w:r>
      <w:r w:rsidRPr="00A35BB6">
        <w:t>):</w:t>
      </w:r>
    </w:p>
    <w:p w14:paraId="4BD2BEF0" w14:textId="77777777" w:rsidR="000C073E" w:rsidRPr="00A35BB6" w:rsidRDefault="000C073E" w:rsidP="000C073E">
      <w:pPr>
        <w:pStyle w:val="Apara"/>
      </w:pPr>
      <w:r w:rsidRPr="00A35BB6">
        <w:tab/>
        <w:t>(a)</w:t>
      </w:r>
      <w:r w:rsidRPr="00A35BB6">
        <w:tab/>
        <w:t>anyone who shows signs of having a gambling problem when—</w:t>
      </w:r>
    </w:p>
    <w:p w14:paraId="6EF3C8B6" w14:textId="77777777" w:rsidR="000C073E" w:rsidRPr="00A35BB6" w:rsidRDefault="000C073E" w:rsidP="000C073E">
      <w:pPr>
        <w:pStyle w:val="Asubpara"/>
      </w:pPr>
      <w:r w:rsidRPr="00A35BB6">
        <w:tab/>
        <w:t>(i)</w:t>
      </w:r>
      <w:r w:rsidRPr="00A35BB6">
        <w:tab/>
        <w:t>in the gambling facility; or</w:t>
      </w:r>
    </w:p>
    <w:p w14:paraId="1967F1EB" w14:textId="77777777" w:rsidR="000C073E" w:rsidRPr="00A35BB6" w:rsidRDefault="000C073E" w:rsidP="000C073E">
      <w:pPr>
        <w:pStyle w:val="Asubpara"/>
      </w:pPr>
      <w:r w:rsidRPr="00A35BB6">
        <w:tab/>
        <w:t>(ii)</w:t>
      </w:r>
      <w:r w:rsidRPr="00A35BB6">
        <w:tab/>
        <w:t xml:space="preserve">dealing with the licensee; </w:t>
      </w:r>
    </w:p>
    <w:p w14:paraId="43B88B54" w14:textId="77777777" w:rsidR="000C073E" w:rsidRPr="00A35BB6" w:rsidRDefault="000C073E" w:rsidP="00B36027">
      <w:pPr>
        <w:pStyle w:val="Apara"/>
        <w:keepNext/>
      </w:pPr>
      <w:r w:rsidRPr="00A35BB6">
        <w:lastRenderedPageBreak/>
        <w:tab/>
        <w:t>(b)</w:t>
      </w:r>
      <w:r w:rsidRPr="00A35BB6">
        <w:tab/>
        <w:t>any action taken by the licensee in relation to the person.</w:t>
      </w:r>
    </w:p>
    <w:p w14:paraId="19C5EFE2" w14:textId="77777777" w:rsidR="000C073E" w:rsidRPr="00A35BB6" w:rsidRDefault="000C073E" w:rsidP="000C073E">
      <w:pPr>
        <w:pStyle w:val="aExamHdgss"/>
      </w:pPr>
      <w:r w:rsidRPr="00A35BB6">
        <w:t>Examples—signs that person has gambling problem</w:t>
      </w:r>
    </w:p>
    <w:p w14:paraId="599066D3" w14:textId="77777777" w:rsidR="000C073E" w:rsidRPr="00A35BB6" w:rsidRDefault="000C073E" w:rsidP="000C073E">
      <w:pPr>
        <w:pStyle w:val="aExamINumss"/>
      </w:pPr>
      <w:r w:rsidRPr="00A35BB6">
        <w:t>1</w:t>
      </w:r>
      <w:r w:rsidRPr="00A35BB6">
        <w:tab/>
        <w:t>admitting being unable to stop gambling or to gamble within the person’s means</w:t>
      </w:r>
    </w:p>
    <w:p w14:paraId="13C58F90" w14:textId="77777777" w:rsidR="000C073E" w:rsidRPr="00A35BB6" w:rsidRDefault="000C073E" w:rsidP="000C073E">
      <w:pPr>
        <w:pStyle w:val="aExamINumss"/>
      </w:pPr>
      <w:r w:rsidRPr="00A35BB6">
        <w:t>2</w:t>
      </w:r>
      <w:r w:rsidRPr="00A35BB6">
        <w:tab/>
        <w:t>expressing concern about the amount of time or money the person spends on gambling</w:t>
      </w:r>
    </w:p>
    <w:p w14:paraId="1D2131CD" w14:textId="77777777" w:rsidR="000C073E" w:rsidRPr="00A35BB6" w:rsidRDefault="000C073E" w:rsidP="000C073E">
      <w:pPr>
        <w:pStyle w:val="aExamINumss"/>
      </w:pPr>
      <w:r w:rsidRPr="00A35BB6">
        <w:t>3</w:t>
      </w:r>
      <w:r w:rsidRPr="00A35BB6">
        <w:tab/>
        <w:t>acknowledging the person spends on gambling money needed for day-to-day living expenses, including for dependents</w:t>
      </w:r>
    </w:p>
    <w:p w14:paraId="1D803894" w14:textId="77777777" w:rsidR="000C073E" w:rsidRPr="00A35BB6" w:rsidRDefault="000C073E" w:rsidP="000C073E">
      <w:pPr>
        <w:pStyle w:val="aExamINumss"/>
      </w:pPr>
      <w:r w:rsidRPr="00A35BB6">
        <w:t>4</w:t>
      </w:r>
      <w:r w:rsidRPr="00A35BB6">
        <w:tab/>
        <w:t>having a disagreement with a family member or friend about the person’s gambling behaviour</w:t>
      </w:r>
    </w:p>
    <w:p w14:paraId="5B073498" w14:textId="77777777" w:rsidR="000C073E" w:rsidRPr="00A35BB6" w:rsidRDefault="000C073E" w:rsidP="000C073E">
      <w:pPr>
        <w:pStyle w:val="aExamINumss"/>
      </w:pPr>
      <w:r w:rsidRPr="00A35BB6">
        <w:t>5</w:t>
      </w:r>
      <w:r w:rsidRPr="00A35BB6">
        <w:tab/>
        <w:t>making multiple ATM cash withdrawals in the gambling facility</w:t>
      </w:r>
    </w:p>
    <w:p w14:paraId="3E799937" w14:textId="77777777" w:rsidR="000C073E" w:rsidRPr="00A35BB6" w:rsidRDefault="000C073E" w:rsidP="000C073E">
      <w:pPr>
        <w:pStyle w:val="aExamHdgss"/>
      </w:pPr>
      <w:r w:rsidRPr="00A35BB6">
        <w:t>Example—par (a) (ii)</w:t>
      </w:r>
    </w:p>
    <w:p w14:paraId="59F79F55" w14:textId="77777777" w:rsidR="000C073E" w:rsidRPr="00A35BB6" w:rsidRDefault="000C073E" w:rsidP="000C073E">
      <w:pPr>
        <w:pStyle w:val="aExamss"/>
        <w:keepNext/>
      </w:pPr>
      <w:r w:rsidRPr="00A35BB6">
        <w:t>contacting staff in the gambling facility by phone or email</w:t>
      </w:r>
    </w:p>
    <w:p w14:paraId="0BA85D3E" w14:textId="77777777" w:rsidR="000C073E" w:rsidRPr="00A35BB6" w:rsidRDefault="000C073E" w:rsidP="000C073E">
      <w:pPr>
        <w:pStyle w:val="Amain"/>
      </w:pPr>
      <w:r w:rsidRPr="00A35BB6">
        <w:tab/>
        <w:t>(2)</w:t>
      </w:r>
      <w:r w:rsidRPr="00A35BB6">
        <w:tab/>
        <w:t>The record—</w:t>
      </w:r>
    </w:p>
    <w:p w14:paraId="550DD370" w14:textId="77777777" w:rsidR="000C073E" w:rsidRPr="00A35BB6" w:rsidRDefault="000C073E" w:rsidP="000C073E">
      <w:pPr>
        <w:pStyle w:val="Apara"/>
      </w:pPr>
      <w:r w:rsidRPr="00A35BB6">
        <w:tab/>
        <w:t>(a)</w:t>
      </w:r>
      <w:r w:rsidRPr="00A35BB6">
        <w:tab/>
        <w:t>for a prescribed licensee—must be kept on the problem gambling incident register; or</w:t>
      </w:r>
    </w:p>
    <w:p w14:paraId="0E754735" w14:textId="77777777" w:rsidR="000C073E" w:rsidRPr="00A35BB6" w:rsidRDefault="000C073E" w:rsidP="000C073E">
      <w:pPr>
        <w:pStyle w:val="Apara"/>
      </w:pPr>
      <w:r w:rsidRPr="00A35BB6">
        <w:tab/>
        <w:t>(b)</w:t>
      </w:r>
      <w:r w:rsidRPr="00A35BB6">
        <w:tab/>
        <w:t>for any other licensee—must be in writing.</w:t>
      </w:r>
    </w:p>
    <w:p w14:paraId="443975B9" w14:textId="77777777" w:rsidR="000C073E" w:rsidRPr="00A35BB6" w:rsidRDefault="000C073E" w:rsidP="000C073E">
      <w:pPr>
        <w:pStyle w:val="aNote"/>
      </w:pPr>
      <w:r w:rsidRPr="00A35BB6">
        <w:rPr>
          <w:rStyle w:val="charItals"/>
        </w:rPr>
        <w:t>Note</w:t>
      </w:r>
      <w:r w:rsidRPr="00A35BB6">
        <w:rPr>
          <w:rStyle w:val="charItals"/>
        </w:rPr>
        <w:tab/>
      </w:r>
      <w:r w:rsidRPr="00A35BB6">
        <w:t>A licensee commits an offence if the licensee fails to make a record available for inspection when asked by the commission (see s 10).</w:t>
      </w:r>
    </w:p>
    <w:p w14:paraId="6B662042" w14:textId="77777777" w:rsidR="000C073E" w:rsidRPr="00A35BB6" w:rsidRDefault="000C073E" w:rsidP="00F966FF">
      <w:pPr>
        <w:pStyle w:val="Amain"/>
        <w:keepNext/>
      </w:pPr>
      <w:r w:rsidRPr="00A35BB6">
        <w:tab/>
        <w:t>(3)</w:t>
      </w:r>
      <w:r w:rsidRPr="00A35BB6">
        <w:tab/>
        <w:t>The record must include the following particulars:</w:t>
      </w:r>
    </w:p>
    <w:p w14:paraId="47F06CF3" w14:textId="77777777" w:rsidR="000C073E" w:rsidRPr="00A35BB6" w:rsidRDefault="000C073E" w:rsidP="000C073E">
      <w:pPr>
        <w:pStyle w:val="Apara"/>
      </w:pPr>
      <w:r w:rsidRPr="00A35BB6">
        <w:tab/>
        <w:t>(a)</w:t>
      </w:r>
      <w:r w:rsidRPr="00A35BB6">
        <w:tab/>
        <w:t>the date and nature of the problem gambling incident;</w:t>
      </w:r>
    </w:p>
    <w:p w14:paraId="6D90928C" w14:textId="77777777" w:rsidR="000C073E" w:rsidRPr="00A35BB6" w:rsidRDefault="000C073E" w:rsidP="000C073E">
      <w:pPr>
        <w:pStyle w:val="Apara"/>
      </w:pPr>
      <w:r w:rsidRPr="00A35BB6">
        <w:tab/>
        <w:t>(b)</w:t>
      </w:r>
      <w:r w:rsidRPr="00A35BB6">
        <w:tab/>
        <w:t xml:space="preserve">the name and address (if known), or description, of the person involved in the incident; </w:t>
      </w:r>
    </w:p>
    <w:p w14:paraId="5E52F0C1" w14:textId="77777777" w:rsidR="000C073E" w:rsidRPr="00A35BB6" w:rsidRDefault="000C073E" w:rsidP="003E3DF8">
      <w:pPr>
        <w:pStyle w:val="Apara"/>
        <w:keepNext/>
      </w:pPr>
      <w:r w:rsidRPr="00A35BB6">
        <w:lastRenderedPageBreak/>
        <w:tab/>
        <w:t>(c)</w:t>
      </w:r>
      <w:r w:rsidRPr="00A35BB6">
        <w:tab/>
        <w:t>if any action was taken by the licensee in relation to the person—the following details:</w:t>
      </w:r>
    </w:p>
    <w:p w14:paraId="2EEB0B88" w14:textId="77777777" w:rsidR="000C073E" w:rsidRPr="00A35BB6" w:rsidRDefault="000C073E" w:rsidP="003E3DF8">
      <w:pPr>
        <w:pStyle w:val="Asubpara"/>
        <w:keepNext/>
      </w:pPr>
      <w:r w:rsidRPr="00A35BB6">
        <w:tab/>
        <w:t>(i)</w:t>
      </w:r>
      <w:r w:rsidRPr="00A35BB6">
        <w:tab/>
        <w:t>the action taken;</w:t>
      </w:r>
    </w:p>
    <w:p w14:paraId="0A263E12" w14:textId="77777777" w:rsidR="000C073E" w:rsidRPr="00A35BB6" w:rsidRDefault="000C073E" w:rsidP="003E3DF8">
      <w:pPr>
        <w:pStyle w:val="Asubpara"/>
        <w:keepNext/>
      </w:pPr>
      <w:r w:rsidRPr="00A35BB6">
        <w:tab/>
        <w:t>(ii)</w:t>
      </w:r>
      <w:r w:rsidRPr="00A35BB6">
        <w:tab/>
        <w:t>the names of the individuals who took the action;</w:t>
      </w:r>
    </w:p>
    <w:p w14:paraId="7827EDF6" w14:textId="77777777" w:rsidR="000C073E" w:rsidRPr="00A35BB6" w:rsidRDefault="000C073E" w:rsidP="003E3DF8">
      <w:pPr>
        <w:pStyle w:val="Asubpara"/>
        <w:keepNext/>
      </w:pPr>
      <w:r w:rsidRPr="00A35BB6">
        <w:tab/>
        <w:t>(iii)</w:t>
      </w:r>
      <w:r w:rsidRPr="00A35BB6">
        <w:tab/>
        <w:t>any related action taken by someone else of which the licensee is aware.</w:t>
      </w:r>
    </w:p>
    <w:p w14:paraId="2EE0E3C4" w14:textId="77777777" w:rsidR="000C073E" w:rsidRPr="00A35BB6" w:rsidRDefault="000C073E" w:rsidP="000C073E">
      <w:pPr>
        <w:pStyle w:val="aExamHdgsubpar"/>
      </w:pPr>
      <w:r w:rsidRPr="00A35BB6">
        <w:t>Examples—subpar (iii)</w:t>
      </w:r>
    </w:p>
    <w:p w14:paraId="048E912D" w14:textId="77777777" w:rsidR="000C073E" w:rsidRPr="00A35BB6" w:rsidRDefault="000C073E" w:rsidP="000C073E">
      <w:pPr>
        <w:pStyle w:val="aExamsubpar"/>
        <w:ind w:left="2552" w:hanging="412"/>
      </w:pPr>
      <w:r w:rsidRPr="00A35BB6">
        <w:t>1</w:t>
      </w:r>
      <w:r w:rsidRPr="00A35BB6">
        <w:tab/>
        <w:t>police arrest and charge the person for an offence relating to the problem gambling incident</w:t>
      </w:r>
    </w:p>
    <w:p w14:paraId="6C641CF3" w14:textId="77777777" w:rsidR="000C073E" w:rsidRPr="00A35BB6" w:rsidRDefault="000C073E" w:rsidP="000C073E">
      <w:pPr>
        <w:pStyle w:val="aExamsubpar"/>
        <w:ind w:left="2552" w:hanging="412"/>
      </w:pPr>
      <w:r w:rsidRPr="00A35BB6">
        <w:t>2</w:t>
      </w:r>
      <w:r w:rsidRPr="00A35BB6">
        <w:tab/>
        <w:t>the person has been excluded from gambling at another gambling facility</w:t>
      </w:r>
    </w:p>
    <w:p w14:paraId="57B7798E" w14:textId="77777777" w:rsidR="000C073E" w:rsidRPr="00A35BB6" w:rsidRDefault="000C073E" w:rsidP="000C073E">
      <w:pPr>
        <w:pStyle w:val="Amain"/>
      </w:pPr>
      <w:r w:rsidRPr="00A35BB6">
        <w:tab/>
        <w:t>(4)</w:t>
      </w:r>
      <w:r w:rsidRPr="00A35BB6">
        <w:tab/>
        <w:t>A licensee must, within 3 consecutive trading days after becoming aware of a problem gambling incident—</w:t>
      </w:r>
    </w:p>
    <w:p w14:paraId="34BF305A" w14:textId="77777777" w:rsidR="000C073E" w:rsidRPr="00A35BB6" w:rsidRDefault="000C073E" w:rsidP="000C073E">
      <w:pPr>
        <w:pStyle w:val="Apara"/>
      </w:pPr>
      <w:r w:rsidRPr="00A35BB6">
        <w:tab/>
        <w:t>(a)</w:t>
      </w:r>
      <w:r w:rsidRPr="00A35BB6">
        <w:tab/>
        <w:t>for a prescribed licensee—record the incident in the problem gambling incident register; or</w:t>
      </w:r>
    </w:p>
    <w:p w14:paraId="25AEB886" w14:textId="77777777" w:rsidR="000C073E" w:rsidRPr="00A35BB6" w:rsidRDefault="000C073E" w:rsidP="000C073E">
      <w:pPr>
        <w:pStyle w:val="Apara"/>
      </w:pPr>
      <w:r w:rsidRPr="00A35BB6">
        <w:tab/>
        <w:t>(b)</w:t>
      </w:r>
      <w:r w:rsidRPr="00A35BB6">
        <w:tab/>
        <w:t>for any other licensee—make a written record of the incident.</w:t>
      </w:r>
    </w:p>
    <w:p w14:paraId="3AE9BFA0" w14:textId="77777777" w:rsidR="000C073E" w:rsidRPr="00A35BB6" w:rsidRDefault="000C073E" w:rsidP="000C073E">
      <w:pPr>
        <w:pStyle w:val="Amain"/>
      </w:pPr>
      <w:r w:rsidRPr="00A35BB6">
        <w:tab/>
        <w:t>(5)</w:t>
      </w:r>
      <w:r w:rsidRPr="00A35BB6">
        <w:tab/>
        <w:t>In this section:</w:t>
      </w:r>
    </w:p>
    <w:p w14:paraId="346939E3" w14:textId="77777777" w:rsidR="000C073E" w:rsidRPr="00A35BB6" w:rsidRDefault="000C073E" w:rsidP="000C073E">
      <w:pPr>
        <w:pStyle w:val="aDef"/>
      </w:pPr>
      <w:r w:rsidRPr="00A35BB6">
        <w:rPr>
          <w:rStyle w:val="charBoldItals"/>
        </w:rPr>
        <w:t>prescribed licensee</w:t>
      </w:r>
      <w:r w:rsidRPr="00A35BB6">
        <w:t xml:space="preserve"> means—</w:t>
      </w:r>
    </w:p>
    <w:p w14:paraId="43DE8E5C" w14:textId="77777777" w:rsidR="000C073E" w:rsidRPr="00A35BB6" w:rsidRDefault="000C073E" w:rsidP="000C073E">
      <w:pPr>
        <w:pStyle w:val="aDefpara"/>
      </w:pPr>
      <w:r w:rsidRPr="00A35BB6">
        <w:tab/>
        <w:t>(a)</w:t>
      </w:r>
      <w:r w:rsidRPr="00A35BB6">
        <w:tab/>
        <w:t>a gaming machine licensee; and</w:t>
      </w:r>
    </w:p>
    <w:p w14:paraId="4C08318B" w14:textId="77777777" w:rsidR="000C073E" w:rsidRPr="00A35BB6" w:rsidRDefault="000C073E" w:rsidP="000C073E">
      <w:pPr>
        <w:pStyle w:val="aDefpara"/>
      </w:pPr>
      <w:r w:rsidRPr="00A35BB6">
        <w:tab/>
        <w:t>(b)</w:t>
      </w:r>
      <w:r w:rsidRPr="00A35BB6">
        <w:tab/>
        <w:t>a casino licensee; and</w:t>
      </w:r>
    </w:p>
    <w:p w14:paraId="71617E54" w14:textId="77777777" w:rsidR="000C073E" w:rsidRPr="00A35BB6" w:rsidRDefault="000C073E" w:rsidP="000C073E">
      <w:pPr>
        <w:pStyle w:val="aDefpara"/>
      </w:pPr>
      <w:r w:rsidRPr="00A35BB6">
        <w:tab/>
        <w:t>(c)</w:t>
      </w:r>
      <w:r w:rsidRPr="00A35BB6">
        <w:tab/>
        <w:t>a totalisator licensee.</w:t>
      </w:r>
    </w:p>
    <w:p w14:paraId="44385EBE" w14:textId="77777777" w:rsidR="000C073E" w:rsidRPr="00A35BB6" w:rsidRDefault="000C073E" w:rsidP="000C073E">
      <w:pPr>
        <w:pStyle w:val="aDef"/>
      </w:pPr>
      <w:r w:rsidRPr="00A35BB6">
        <w:rPr>
          <w:rStyle w:val="charBoldItals"/>
        </w:rPr>
        <w:t>problem gambling incident register</w:t>
      </w:r>
      <w:r w:rsidRPr="00A35BB6">
        <w:t xml:space="preserve">—see section 1.6. </w:t>
      </w:r>
    </w:p>
    <w:p w14:paraId="41976D2D" w14:textId="77777777" w:rsidR="00D847F1" w:rsidRDefault="00D847F1">
      <w:pPr>
        <w:pStyle w:val="Schclauseheading"/>
      </w:pPr>
      <w:bookmarkStart w:id="56" w:name="_Toc72505968"/>
      <w:r w:rsidRPr="00224E14">
        <w:rPr>
          <w:rStyle w:val="CharSectNo"/>
        </w:rPr>
        <w:t>1.7</w:t>
      </w:r>
      <w:r>
        <w:tab/>
        <w:t>Gambling beyond means</w:t>
      </w:r>
      <w:bookmarkEnd w:id="56"/>
    </w:p>
    <w:p w14:paraId="69441C21" w14:textId="77777777" w:rsidR="00D847F1" w:rsidRDefault="00D847F1">
      <w:pPr>
        <w:pStyle w:val="Amainreturn"/>
      </w:pPr>
      <w:r>
        <w:t>A licensee of a gambling facility must not encourage a person to gamble beyond the person’s means.</w:t>
      </w:r>
    </w:p>
    <w:p w14:paraId="74F81472" w14:textId="77777777" w:rsidR="00D847F1" w:rsidRDefault="00D847F1">
      <w:pPr>
        <w:pStyle w:val="Schclauseheading"/>
      </w:pPr>
      <w:bookmarkStart w:id="57" w:name="_Toc72505969"/>
      <w:r w:rsidRPr="00224E14">
        <w:rPr>
          <w:rStyle w:val="CharSectNo"/>
        </w:rPr>
        <w:lastRenderedPageBreak/>
        <w:t>1.8</w:t>
      </w:r>
      <w:r>
        <w:tab/>
        <w:t>Help in relation to gambling problems</w:t>
      </w:r>
      <w:bookmarkEnd w:id="57"/>
      <w:r>
        <w:t xml:space="preserve"> </w:t>
      </w:r>
    </w:p>
    <w:p w14:paraId="6C356048" w14:textId="77777777" w:rsidR="00D847F1" w:rsidRDefault="00D847F1">
      <w:pPr>
        <w:pStyle w:val="Amainreturn"/>
      </w:pPr>
      <w:r>
        <w:t>If the licensee of a gambling facility is asked by a person in the facility about problem gambling, the licensee must take reasonable steps to give the person advice or information about counselling and advisory services available from support agencies.</w:t>
      </w:r>
    </w:p>
    <w:p w14:paraId="56BBA88F" w14:textId="77777777" w:rsidR="00D847F1" w:rsidRDefault="00D847F1">
      <w:pPr>
        <w:pStyle w:val="Schclauseheading"/>
      </w:pPr>
      <w:bookmarkStart w:id="58" w:name="_Toc72505970"/>
      <w:r w:rsidRPr="00224E14">
        <w:rPr>
          <w:rStyle w:val="CharSectNo"/>
        </w:rPr>
        <w:t>1.9</w:t>
      </w:r>
      <w:r>
        <w:tab/>
        <w:t>Gambling contact officers</w:t>
      </w:r>
      <w:bookmarkEnd w:id="58"/>
    </w:p>
    <w:p w14:paraId="783E6045" w14:textId="77777777" w:rsidR="00D847F1" w:rsidRDefault="00D847F1">
      <w:pPr>
        <w:pStyle w:val="Amain"/>
      </w:pPr>
      <w:r>
        <w:tab/>
        <w:t>(1)</w:t>
      </w:r>
      <w:r>
        <w:tab/>
        <w:t>A licensee of a gambling facility must not conduct gambling at the facility unless at least 1 gambling contact officer has been appointed for the facility.</w:t>
      </w:r>
    </w:p>
    <w:p w14:paraId="0C002D9B" w14:textId="77777777" w:rsidR="00D847F1" w:rsidRDefault="00D847F1">
      <w:pPr>
        <w:pStyle w:val="Amain"/>
      </w:pPr>
      <w:r>
        <w:tab/>
        <w:t>(2)</w:t>
      </w:r>
      <w:r>
        <w:tab/>
        <w:t>A gambling contact officer for the facility may be the licensee or a person appointed by the licensee.</w:t>
      </w:r>
    </w:p>
    <w:p w14:paraId="7DE25491" w14:textId="77777777" w:rsidR="000569CA" w:rsidRPr="00A35BB6" w:rsidRDefault="000569CA" w:rsidP="000569CA">
      <w:pPr>
        <w:pStyle w:val="Amain"/>
      </w:pPr>
      <w:r w:rsidRPr="00A35BB6">
        <w:tab/>
        <w:t>(3)</w:t>
      </w:r>
      <w:r w:rsidRPr="00A35BB6">
        <w:tab/>
        <w:t>A person is eligible to be appointed as a gambling contact officer by the licensee only if the person has successfully completed an approved training program within the previous 3 years.</w:t>
      </w:r>
    </w:p>
    <w:p w14:paraId="6ED346E5" w14:textId="77777777" w:rsidR="000569CA" w:rsidRPr="00A35BB6" w:rsidRDefault="000569CA" w:rsidP="000569CA">
      <w:pPr>
        <w:pStyle w:val="aNote"/>
      </w:pPr>
      <w:r w:rsidRPr="00A35BB6">
        <w:rPr>
          <w:rStyle w:val="charItals"/>
        </w:rPr>
        <w:t>Note</w:t>
      </w:r>
      <w:r w:rsidRPr="00A35BB6">
        <w:rPr>
          <w:rStyle w:val="charItals"/>
        </w:rPr>
        <w:tab/>
      </w:r>
      <w:r w:rsidRPr="00A35BB6">
        <w:rPr>
          <w:rStyle w:val="charBoldItals"/>
        </w:rPr>
        <w:t>Approved training program</w:t>
      </w:r>
      <w:r w:rsidRPr="00A35BB6">
        <w:t>—see the dictionary.</w:t>
      </w:r>
    </w:p>
    <w:p w14:paraId="3A53A1B9" w14:textId="77777777" w:rsidR="000569CA" w:rsidRPr="00A35BB6" w:rsidRDefault="000569CA" w:rsidP="000569CA">
      <w:pPr>
        <w:pStyle w:val="Amain"/>
      </w:pPr>
      <w:r w:rsidRPr="00A35BB6">
        <w:tab/>
        <w:t>(4)</w:t>
      </w:r>
      <w:r w:rsidRPr="00A35BB6">
        <w:tab/>
        <w:t>To remain eligible for appointment, a gambling contact officer must successfully complete an approved GCO training session in each year of the officer’s appointment.</w:t>
      </w:r>
    </w:p>
    <w:p w14:paraId="35700AA7" w14:textId="77777777" w:rsidR="000569CA" w:rsidRPr="00A35BB6" w:rsidRDefault="000569CA" w:rsidP="000569CA">
      <w:pPr>
        <w:pStyle w:val="Amain"/>
      </w:pPr>
      <w:r w:rsidRPr="00A35BB6">
        <w:tab/>
        <w:t>(5)</w:t>
      </w:r>
      <w:r w:rsidRPr="00A35BB6">
        <w:tab/>
        <w:t>The commission may exempt a gambling contact officer, in writing, from complying with subsection (3) or (4).</w:t>
      </w:r>
    </w:p>
    <w:p w14:paraId="26557758" w14:textId="77777777" w:rsidR="000569CA" w:rsidRPr="00A35BB6" w:rsidRDefault="000569CA" w:rsidP="000569CA">
      <w:pPr>
        <w:pStyle w:val="Amain"/>
      </w:pPr>
      <w:r w:rsidRPr="00A35BB6">
        <w:tab/>
        <w:t>(6)</w:t>
      </w:r>
      <w:r w:rsidRPr="00A35BB6">
        <w:tab/>
        <w:t>An exemption may be conditional.</w:t>
      </w:r>
    </w:p>
    <w:p w14:paraId="37D03A2B" w14:textId="77777777" w:rsidR="000569CA" w:rsidRPr="00A35BB6" w:rsidRDefault="000569CA" w:rsidP="003E3DF8">
      <w:pPr>
        <w:pStyle w:val="Amain"/>
        <w:keepNext/>
      </w:pPr>
      <w:r w:rsidRPr="00A35BB6">
        <w:lastRenderedPageBreak/>
        <w:tab/>
        <w:t>(7)</w:t>
      </w:r>
      <w:r w:rsidRPr="00A35BB6">
        <w:tab/>
        <w:t>In this section:</w:t>
      </w:r>
    </w:p>
    <w:p w14:paraId="4A545D3C" w14:textId="77777777" w:rsidR="000569CA" w:rsidRPr="00A35BB6" w:rsidRDefault="000569CA" w:rsidP="003E3DF8">
      <w:pPr>
        <w:pStyle w:val="aDef"/>
        <w:keepNext/>
      </w:pPr>
      <w:r w:rsidRPr="00A35BB6">
        <w:rPr>
          <w:rStyle w:val="charBoldItals"/>
        </w:rPr>
        <w:t>approved GCO training session</w:t>
      </w:r>
      <w:r w:rsidRPr="00A35BB6">
        <w:t xml:space="preserve"> means a training session approved by the commission for gambling contact officers about problem or responsible gambling.</w:t>
      </w:r>
    </w:p>
    <w:p w14:paraId="2189A9EE" w14:textId="77777777" w:rsidR="000569CA" w:rsidRPr="00A35BB6" w:rsidRDefault="000569CA" w:rsidP="003E3DF8">
      <w:pPr>
        <w:pStyle w:val="aExamHdgss"/>
      </w:pPr>
      <w:r w:rsidRPr="00A35BB6">
        <w:t>Examples—training sessions</w:t>
      </w:r>
    </w:p>
    <w:p w14:paraId="3948CEDA" w14:textId="77777777" w:rsidR="000569CA" w:rsidRPr="00A35BB6" w:rsidRDefault="000569CA" w:rsidP="003E3DF8">
      <w:pPr>
        <w:pStyle w:val="aExamBulletss"/>
        <w:keepNext/>
        <w:tabs>
          <w:tab w:val="left" w:pos="1500"/>
        </w:tabs>
      </w:pPr>
      <w:r w:rsidRPr="00A35BB6">
        <w:rPr>
          <w:rFonts w:ascii="Symbol" w:hAnsi="Symbol"/>
        </w:rPr>
        <w:t></w:t>
      </w:r>
      <w:r w:rsidRPr="00A35BB6">
        <w:rPr>
          <w:rFonts w:ascii="Symbol" w:hAnsi="Symbol"/>
        </w:rPr>
        <w:tab/>
      </w:r>
      <w:r w:rsidRPr="00A35BB6">
        <w:t>conferences</w:t>
      </w:r>
    </w:p>
    <w:p w14:paraId="39344E4C" w14:textId="77777777" w:rsidR="000569CA" w:rsidRPr="00A35BB6" w:rsidRDefault="000569CA" w:rsidP="003E3DF8">
      <w:pPr>
        <w:pStyle w:val="aExamBulletss"/>
        <w:keepNext/>
        <w:tabs>
          <w:tab w:val="left" w:pos="1500"/>
        </w:tabs>
      </w:pPr>
      <w:r w:rsidRPr="00A35BB6">
        <w:rPr>
          <w:rFonts w:ascii="Symbol" w:hAnsi="Symbol"/>
        </w:rPr>
        <w:t></w:t>
      </w:r>
      <w:r w:rsidRPr="00A35BB6">
        <w:rPr>
          <w:rFonts w:ascii="Symbol" w:hAnsi="Symbol"/>
        </w:rPr>
        <w:tab/>
      </w:r>
      <w:r w:rsidRPr="00A35BB6">
        <w:t>seminars</w:t>
      </w:r>
    </w:p>
    <w:p w14:paraId="26AC8FEE" w14:textId="77777777" w:rsidR="000569CA" w:rsidRPr="00A35BB6" w:rsidRDefault="000569CA" w:rsidP="00A62CD5">
      <w:pPr>
        <w:pStyle w:val="aExamBulletss"/>
        <w:keepNext/>
        <w:tabs>
          <w:tab w:val="left" w:pos="1500"/>
        </w:tabs>
      </w:pPr>
      <w:r w:rsidRPr="00A35BB6">
        <w:rPr>
          <w:rFonts w:ascii="Symbol" w:hAnsi="Symbol"/>
        </w:rPr>
        <w:t></w:t>
      </w:r>
      <w:r w:rsidRPr="00A35BB6">
        <w:rPr>
          <w:rFonts w:ascii="Symbol" w:hAnsi="Symbol"/>
        </w:rPr>
        <w:tab/>
      </w:r>
      <w:r w:rsidRPr="00A35BB6">
        <w:t>online courses</w:t>
      </w:r>
    </w:p>
    <w:p w14:paraId="451A5A87" w14:textId="77777777" w:rsidR="000569CA" w:rsidRPr="00A35BB6" w:rsidRDefault="000569CA" w:rsidP="00A62CD5">
      <w:pPr>
        <w:pStyle w:val="aExamBulletss"/>
        <w:tabs>
          <w:tab w:val="left" w:pos="1500"/>
        </w:tabs>
      </w:pPr>
      <w:r w:rsidRPr="00A35BB6">
        <w:rPr>
          <w:rFonts w:ascii="Symbol" w:hAnsi="Symbol"/>
        </w:rPr>
        <w:t></w:t>
      </w:r>
      <w:r w:rsidRPr="00A35BB6">
        <w:rPr>
          <w:rFonts w:ascii="Symbol" w:hAnsi="Symbol"/>
        </w:rPr>
        <w:tab/>
      </w:r>
      <w:r w:rsidRPr="00A35BB6">
        <w:t>lectures</w:t>
      </w:r>
    </w:p>
    <w:p w14:paraId="1F0FC84F" w14:textId="77777777" w:rsidR="00D847F1" w:rsidRDefault="00D847F1">
      <w:pPr>
        <w:pStyle w:val="Schclauseheading"/>
      </w:pPr>
      <w:bookmarkStart w:id="59" w:name="_Toc72505971"/>
      <w:r w:rsidRPr="00224E14">
        <w:rPr>
          <w:rStyle w:val="CharSectNo"/>
        </w:rPr>
        <w:t>1.10</w:t>
      </w:r>
      <w:r>
        <w:tab/>
        <w:t>Gambling contact officers functions</w:t>
      </w:r>
      <w:bookmarkEnd w:id="59"/>
    </w:p>
    <w:p w14:paraId="3B843B51" w14:textId="77777777" w:rsidR="00D847F1" w:rsidRDefault="00D847F1">
      <w:pPr>
        <w:pStyle w:val="Amain"/>
        <w:keepNext/>
      </w:pPr>
      <w:r>
        <w:tab/>
        <w:t>(1)</w:t>
      </w:r>
      <w:r>
        <w:tab/>
        <w:t>A gambling contact officer for a gambling facility has the following functions (as well as the functions under section 1.11):</w:t>
      </w:r>
    </w:p>
    <w:p w14:paraId="5AE46A3E" w14:textId="77777777" w:rsidR="00D847F1" w:rsidRDefault="00D847F1">
      <w:pPr>
        <w:pStyle w:val="Apara"/>
      </w:pPr>
      <w:r>
        <w:tab/>
        <w:t>(a)</w:t>
      </w:r>
      <w:r>
        <w:tab/>
        <w:t>to give the people about whom a report under section 1.11 is made help to obtain information and counselling about problem gambling;</w:t>
      </w:r>
    </w:p>
    <w:p w14:paraId="07CCA1DF" w14:textId="77777777" w:rsidR="00D847F1" w:rsidRDefault="00D847F1">
      <w:pPr>
        <w:pStyle w:val="Apara"/>
      </w:pPr>
      <w:r>
        <w:tab/>
        <w:t>(b)</w:t>
      </w:r>
      <w:r>
        <w:tab/>
        <w:t>if a complaint is made to the officer about problem gambling at the facility—</w:t>
      </w:r>
    </w:p>
    <w:p w14:paraId="506A9737" w14:textId="77777777" w:rsidR="00D847F1" w:rsidRDefault="00D847F1">
      <w:pPr>
        <w:pStyle w:val="Asubpara"/>
      </w:pPr>
      <w:r>
        <w:tab/>
        <w:t>(i)</w:t>
      </w:r>
      <w:r>
        <w:tab/>
        <w:t>to record details of the complaint and any action taken; and</w:t>
      </w:r>
    </w:p>
    <w:p w14:paraId="24380375" w14:textId="77777777" w:rsidR="00D847F1" w:rsidRDefault="00D847F1">
      <w:pPr>
        <w:pStyle w:val="Asubpara"/>
      </w:pPr>
      <w:r>
        <w:tab/>
        <w:t>(ii)</w:t>
      </w:r>
      <w:r>
        <w:tab/>
        <w:t>to tell the complainant about any action taken or that action was not taken and the reasons why; and</w:t>
      </w:r>
    </w:p>
    <w:p w14:paraId="13E95741" w14:textId="77777777" w:rsidR="00D847F1" w:rsidRDefault="00D847F1">
      <w:pPr>
        <w:pStyle w:val="Asubpara"/>
      </w:pPr>
      <w:r>
        <w:tab/>
        <w:t>(iii)</w:t>
      </w:r>
      <w:r>
        <w:tab/>
        <w:t xml:space="preserve">to tell the complainant that a complaint can be made to the commission; </w:t>
      </w:r>
    </w:p>
    <w:p w14:paraId="79C5117B" w14:textId="77777777" w:rsidR="00D847F1" w:rsidRDefault="00D847F1">
      <w:pPr>
        <w:pStyle w:val="Apara"/>
      </w:pPr>
      <w:r>
        <w:tab/>
        <w:t>(c)</w:t>
      </w:r>
      <w:r>
        <w:tab/>
        <w:t xml:space="preserve">to report to the licensee about any complaints made to the officer about problem gambling at the facility; </w:t>
      </w:r>
    </w:p>
    <w:p w14:paraId="183C96B8" w14:textId="77777777" w:rsidR="00D847F1" w:rsidRDefault="0063631C">
      <w:pPr>
        <w:pStyle w:val="Apara"/>
      </w:pPr>
      <w:r>
        <w:tab/>
        <w:t>(d</w:t>
      </w:r>
      <w:r w:rsidR="00D847F1">
        <w:t>)</w:t>
      </w:r>
      <w:r w:rsidR="00D847F1">
        <w:tab/>
        <w:t>to ensure, as far as possible, that there is no unauthorised or inappropriate disclosure of personal information obtained or kept under this code of practice.</w:t>
      </w:r>
    </w:p>
    <w:p w14:paraId="676ECE35" w14:textId="77777777" w:rsidR="00D847F1" w:rsidRDefault="00D847F1">
      <w:pPr>
        <w:pStyle w:val="Amain"/>
        <w:keepNext/>
      </w:pPr>
      <w:r>
        <w:lastRenderedPageBreak/>
        <w:tab/>
        <w:t>(2)</w:t>
      </w:r>
      <w:r>
        <w:tab/>
        <w:t>A gambling contact officer has any other function given to the gambling contact officer under this code of practice.</w:t>
      </w:r>
    </w:p>
    <w:p w14:paraId="20E9BE64" w14:textId="77777777" w:rsidR="00D847F1" w:rsidRDefault="00D847F1">
      <w:pPr>
        <w:pStyle w:val="aNote"/>
      </w:pPr>
      <w:r>
        <w:rPr>
          <w:rStyle w:val="charItals"/>
        </w:rPr>
        <w:t>Note 1</w:t>
      </w:r>
      <w:r>
        <w:rPr>
          <w:rStyle w:val="charItals"/>
        </w:rPr>
        <w:tab/>
      </w:r>
      <w:r>
        <w:t xml:space="preserve">The commission can investigate complaints about noncompliance with a gaming law (see Act, s 31).  </w:t>
      </w:r>
    </w:p>
    <w:p w14:paraId="4239D4D3" w14:textId="77777777" w:rsidR="00D847F1" w:rsidRDefault="00D847F1">
      <w:pPr>
        <w:pStyle w:val="aNote"/>
      </w:pPr>
      <w:r>
        <w:rPr>
          <w:rStyle w:val="charItals"/>
        </w:rPr>
        <w:t>Note 2</w:t>
      </w:r>
      <w:r>
        <w:rPr>
          <w:rStyle w:val="charItals"/>
        </w:rPr>
        <w:tab/>
      </w:r>
      <w:r>
        <w:t>A complaint to the commission could include a complaint about a gambling contact officer.</w:t>
      </w:r>
    </w:p>
    <w:p w14:paraId="3FA67BF8" w14:textId="77777777" w:rsidR="00D847F1" w:rsidRDefault="00D847F1">
      <w:pPr>
        <w:pStyle w:val="Schclauseheading"/>
      </w:pPr>
      <w:bookmarkStart w:id="60" w:name="_Toc72505972"/>
      <w:r w:rsidRPr="00224E14">
        <w:rPr>
          <w:rStyle w:val="CharSectNo"/>
        </w:rPr>
        <w:t>1.11</w:t>
      </w:r>
      <w:r>
        <w:tab/>
        <w:t>Dealing with people with gambling problem</w:t>
      </w:r>
      <w:bookmarkEnd w:id="60"/>
    </w:p>
    <w:p w14:paraId="70EEA059" w14:textId="77777777" w:rsidR="00D847F1" w:rsidRDefault="00D847F1">
      <w:pPr>
        <w:pStyle w:val="Amain"/>
      </w:pPr>
      <w:r>
        <w:tab/>
        <w:t>(1)</w:t>
      </w:r>
      <w:r>
        <w:tab/>
        <w:t>The licensee of a gambling facility must ensure the gambling contact officer for the facility is told about—</w:t>
      </w:r>
    </w:p>
    <w:p w14:paraId="0D8A6C93" w14:textId="77777777" w:rsidR="00D847F1" w:rsidRDefault="00D847F1">
      <w:pPr>
        <w:pStyle w:val="Apara"/>
      </w:pPr>
      <w:r>
        <w:tab/>
        <w:t>(a)</w:t>
      </w:r>
      <w:r>
        <w:tab/>
        <w:t>any person in the facility whom the licensee or a staff member has reasonable grounds for believing has a gambling problem; and</w:t>
      </w:r>
    </w:p>
    <w:p w14:paraId="1273E8CB" w14:textId="77777777" w:rsidR="00D847F1" w:rsidRDefault="00D847F1">
      <w:pPr>
        <w:pStyle w:val="Apara"/>
      </w:pPr>
      <w:r>
        <w:tab/>
        <w:t>(b)</w:t>
      </w:r>
      <w:r>
        <w:tab/>
        <w:t>the details of the person’s behaviour that led to the belief.</w:t>
      </w:r>
    </w:p>
    <w:p w14:paraId="03B67FBA" w14:textId="77777777" w:rsidR="00D847F1" w:rsidRDefault="00D847F1">
      <w:pPr>
        <w:pStyle w:val="Amain"/>
      </w:pPr>
      <w:r>
        <w:tab/>
        <w:t>(2)</w:t>
      </w:r>
      <w:r>
        <w:tab/>
        <w:t>The gambling contact officer must keep a register of—</w:t>
      </w:r>
    </w:p>
    <w:p w14:paraId="0B4EBD18" w14:textId="77777777" w:rsidR="00D847F1" w:rsidRDefault="00D847F1">
      <w:pPr>
        <w:pStyle w:val="Apara"/>
      </w:pPr>
      <w:r>
        <w:tab/>
        <w:t>(a)</w:t>
      </w:r>
      <w:r>
        <w:tab/>
        <w:t>the name or a description of each person about whom the officer has been told under subsection (1); and</w:t>
      </w:r>
    </w:p>
    <w:p w14:paraId="66B8EFDF" w14:textId="77777777" w:rsidR="00D847F1" w:rsidRDefault="00D847F1">
      <w:pPr>
        <w:pStyle w:val="Apara"/>
      </w:pPr>
      <w:r>
        <w:tab/>
        <w:t>(b)</w:t>
      </w:r>
      <w:r>
        <w:tab/>
        <w:t>details given to the officer under that subsection; and</w:t>
      </w:r>
    </w:p>
    <w:p w14:paraId="5FD73A04" w14:textId="77777777" w:rsidR="00D847F1" w:rsidRDefault="00D847F1">
      <w:pPr>
        <w:pStyle w:val="Apara"/>
      </w:pPr>
      <w:r>
        <w:tab/>
        <w:t>(c)</w:t>
      </w:r>
      <w:r>
        <w:tab/>
        <w:t>the name or a description of each person (other than someone mentioned in subsection (1) (a)) whom the officer has reasonable grounds for believing has a gambling problem; and</w:t>
      </w:r>
    </w:p>
    <w:p w14:paraId="5ED99CE5" w14:textId="77777777" w:rsidR="00D847F1" w:rsidRDefault="00D847F1">
      <w:pPr>
        <w:pStyle w:val="Apara"/>
      </w:pPr>
      <w:r>
        <w:tab/>
        <w:t>(d)</w:t>
      </w:r>
      <w:r>
        <w:tab/>
        <w:t>details of the person’s behaviour that led to the gambling contact officer’s belief.</w:t>
      </w:r>
    </w:p>
    <w:p w14:paraId="5D64D72E" w14:textId="77777777" w:rsidR="00D847F1" w:rsidRDefault="00D847F1" w:rsidP="00C4267C">
      <w:pPr>
        <w:pStyle w:val="Amain"/>
        <w:keepNext/>
      </w:pPr>
      <w:r>
        <w:tab/>
        <w:t>(3)</w:t>
      </w:r>
      <w:r>
        <w:tab/>
        <w:t>The gambling contact officer must take reasonable steps, in relation to a person mentioned in subsection (2) (a) and (c), to—</w:t>
      </w:r>
    </w:p>
    <w:p w14:paraId="009FDF53" w14:textId="77777777" w:rsidR="00D847F1" w:rsidRDefault="00D847F1">
      <w:pPr>
        <w:pStyle w:val="Apara"/>
      </w:pPr>
      <w:r>
        <w:tab/>
        <w:t>(a)</w:t>
      </w:r>
      <w:r>
        <w:tab/>
        <w:t>discuss the possible gambling problem with the person as soon as possible; and</w:t>
      </w:r>
    </w:p>
    <w:p w14:paraId="10471DF1" w14:textId="77777777" w:rsidR="00D847F1" w:rsidRDefault="00D847F1" w:rsidP="008C0F0D">
      <w:pPr>
        <w:pStyle w:val="Apara"/>
        <w:keepNext/>
      </w:pPr>
      <w:r>
        <w:lastRenderedPageBreak/>
        <w:tab/>
        <w:t>(b)</w:t>
      </w:r>
      <w:r>
        <w:tab/>
        <w:t>give the person advice or information about—</w:t>
      </w:r>
    </w:p>
    <w:p w14:paraId="13544F2B" w14:textId="77777777" w:rsidR="00D847F1" w:rsidRDefault="00D847F1">
      <w:pPr>
        <w:pStyle w:val="Asubpara"/>
      </w:pPr>
      <w:r>
        <w:tab/>
        <w:t>(i)</w:t>
      </w:r>
      <w:r>
        <w:tab/>
        <w:t>counselling and advisory services available from support agencies; and</w:t>
      </w:r>
    </w:p>
    <w:p w14:paraId="246DCE78" w14:textId="77777777" w:rsidR="00D847F1" w:rsidRDefault="00D847F1">
      <w:pPr>
        <w:pStyle w:val="Asubpara"/>
      </w:pPr>
      <w:r>
        <w:tab/>
        <w:t>(ii)</w:t>
      </w:r>
      <w:r>
        <w:tab/>
        <w:t xml:space="preserve">any other appropriate action that may be taken by the person, including the opportunity to sign a deed </w:t>
      </w:r>
      <w:r w:rsidR="00336029">
        <w:t xml:space="preserve">of exclusion </w:t>
      </w:r>
      <w:r>
        <w:t>to ensure the person’s exclusion from gambling at the facility.</w:t>
      </w:r>
    </w:p>
    <w:p w14:paraId="2396A960" w14:textId="77777777" w:rsidR="00D847F1" w:rsidRPr="00224E14" w:rsidRDefault="00D847F1">
      <w:pPr>
        <w:pStyle w:val="Sched-Form"/>
      </w:pPr>
      <w:bookmarkStart w:id="61" w:name="_Toc72505973"/>
      <w:r w:rsidRPr="00224E14">
        <w:rPr>
          <w:rStyle w:val="CharDivNo"/>
        </w:rPr>
        <w:t>Division 1.2.3</w:t>
      </w:r>
      <w:r>
        <w:tab/>
      </w:r>
      <w:r w:rsidRPr="00224E14">
        <w:rPr>
          <w:rStyle w:val="CharDivText"/>
        </w:rPr>
        <w:t>Exclusion from gambling generally</w:t>
      </w:r>
      <w:bookmarkEnd w:id="61"/>
    </w:p>
    <w:p w14:paraId="65EC868D" w14:textId="77777777" w:rsidR="00D847F1" w:rsidRDefault="00D847F1">
      <w:pPr>
        <w:pStyle w:val="Schclauseheading"/>
      </w:pPr>
      <w:bookmarkStart w:id="62" w:name="_Toc72505974"/>
      <w:r w:rsidRPr="00224E14">
        <w:rPr>
          <w:rStyle w:val="CharSectNo"/>
        </w:rPr>
        <w:t>1.12</w:t>
      </w:r>
      <w:r>
        <w:tab/>
        <w:t>Application of div 1.2.3</w:t>
      </w:r>
      <w:bookmarkEnd w:id="62"/>
    </w:p>
    <w:p w14:paraId="3DF2BA09" w14:textId="77777777" w:rsidR="00D847F1" w:rsidRDefault="00D847F1">
      <w:pPr>
        <w:pStyle w:val="Amain"/>
      </w:pPr>
      <w:r>
        <w:tab/>
        <w:t>(1)</w:t>
      </w:r>
      <w:r>
        <w:tab/>
        <w:t>This division does not apply to someone</w:t>
      </w:r>
      <w:r w:rsidRPr="00F1531F">
        <w:t xml:space="preserve"> </w:t>
      </w:r>
      <w:r>
        <w:t xml:space="preserve">mentioned in section 1.1, definition of </w:t>
      </w:r>
      <w:r>
        <w:rPr>
          <w:rStyle w:val="charBoldItals"/>
        </w:rPr>
        <w:t>licensee</w:t>
      </w:r>
      <w:r>
        <w:t>, paragraph (f).</w:t>
      </w:r>
    </w:p>
    <w:p w14:paraId="23D7AF28" w14:textId="0291BD2C" w:rsidR="00D847F1" w:rsidRDefault="00D847F1">
      <w:pPr>
        <w:pStyle w:val="Amain"/>
      </w:pPr>
      <w:r>
        <w:tab/>
        <w:t>(2)</w:t>
      </w:r>
      <w:r>
        <w:tab/>
        <w:t xml:space="preserve">Also, this division, other than section 1.14 (1) (Exclusion of people at risk or excluded under deed), section 1.19 (Accounts of certain excluded people), and section 1.20 (Promotional material not to be given to certain excluded people), does not apply to a licensed provider under the </w:t>
      </w:r>
      <w:hyperlink r:id="rId61" w:tooltip="A1998-24" w:history="1">
        <w:r w:rsidR="00DF21AF" w:rsidRPr="00DF21AF">
          <w:rPr>
            <w:rStyle w:val="charCitHyperlinkItal"/>
          </w:rPr>
          <w:t>Interactive Gambling Act 1998</w:t>
        </w:r>
      </w:hyperlink>
      <w:r>
        <w:t>.</w:t>
      </w:r>
    </w:p>
    <w:p w14:paraId="24675ABD" w14:textId="2C12FA9B" w:rsidR="00D847F1" w:rsidRDefault="00D847F1">
      <w:pPr>
        <w:pStyle w:val="aNote"/>
      </w:pPr>
      <w:r>
        <w:rPr>
          <w:rStyle w:val="charItals"/>
        </w:rPr>
        <w:t>Note</w:t>
      </w:r>
      <w:r>
        <w:rPr>
          <w:rStyle w:val="charItals"/>
        </w:rPr>
        <w:tab/>
      </w:r>
      <w:r>
        <w:t xml:space="preserve">The </w:t>
      </w:r>
      <w:hyperlink r:id="rId62" w:tooltip="A1998-24" w:history="1">
        <w:r w:rsidR="00DF21AF" w:rsidRPr="00DF21AF">
          <w:rPr>
            <w:rStyle w:val="charCitHyperlinkItal"/>
          </w:rPr>
          <w:t>Interactive Gambling Act 1998</w:t>
        </w:r>
      </w:hyperlink>
      <w:r>
        <w:t xml:space="preserve"> contains provisions about excluded or disqualified people.</w:t>
      </w:r>
    </w:p>
    <w:p w14:paraId="2C10C9E5" w14:textId="77777777" w:rsidR="00336029" w:rsidRPr="00A35BB6" w:rsidRDefault="00336029" w:rsidP="00336029">
      <w:pPr>
        <w:pStyle w:val="Schclauseheading"/>
      </w:pPr>
      <w:bookmarkStart w:id="63" w:name="_Toc72505975"/>
      <w:r w:rsidRPr="00224E14">
        <w:rPr>
          <w:rStyle w:val="CharSectNo"/>
        </w:rPr>
        <w:t>1.13</w:t>
      </w:r>
      <w:r w:rsidRPr="00A35BB6">
        <w:tab/>
        <w:t>Deeds of exclusion</w:t>
      </w:r>
      <w:bookmarkEnd w:id="63"/>
    </w:p>
    <w:p w14:paraId="1B1E29BD" w14:textId="77777777" w:rsidR="00336029" w:rsidRPr="00A35BB6" w:rsidRDefault="00336029" w:rsidP="00C4267C">
      <w:pPr>
        <w:pStyle w:val="SchAmain"/>
        <w:keepNext/>
      </w:pPr>
      <w:r w:rsidRPr="00A35BB6">
        <w:tab/>
        <w:t>(1)</w:t>
      </w:r>
      <w:r w:rsidRPr="00A35BB6">
        <w:tab/>
        <w:t xml:space="preserve">A person claiming to have a gambling problem (the </w:t>
      </w:r>
      <w:r w:rsidRPr="00A35BB6">
        <w:rPr>
          <w:rStyle w:val="charBoldItals"/>
        </w:rPr>
        <w:t>gambler</w:t>
      </w:r>
      <w:r w:rsidRPr="00A35BB6">
        <w:t xml:space="preserve">) may sign a deed (a </w:t>
      </w:r>
      <w:r w:rsidRPr="00A35BB6">
        <w:rPr>
          <w:rStyle w:val="charBoldItals"/>
        </w:rPr>
        <w:t>deed of exclusion</w:t>
      </w:r>
      <w:r w:rsidRPr="00A35BB6">
        <w:t>) under which the person can be excluded from gambling at the gambling facility or facilities stated in the deed.</w:t>
      </w:r>
    </w:p>
    <w:p w14:paraId="6F33FF70" w14:textId="6F24D9EF" w:rsidR="00336029" w:rsidRPr="00A35BB6" w:rsidRDefault="00336029" w:rsidP="00336029">
      <w:pPr>
        <w:pStyle w:val="aNote"/>
      </w:pPr>
      <w:r w:rsidRPr="00A35BB6">
        <w:rPr>
          <w:rStyle w:val="charItals"/>
        </w:rPr>
        <w:t>Note</w:t>
      </w:r>
      <w:r w:rsidRPr="00A35BB6">
        <w:tab/>
        <w:t xml:space="preserve">If a form is approved under the </w:t>
      </w:r>
      <w:hyperlink r:id="rId63" w:tooltip="A1999-46" w:history="1">
        <w:r w:rsidRPr="00A35BB6">
          <w:rPr>
            <w:rStyle w:val="charCitHyperlinkAbbrev"/>
          </w:rPr>
          <w:t>Act</w:t>
        </w:r>
      </w:hyperlink>
      <w:r w:rsidRPr="00A35BB6">
        <w:t>, s 53D for this provision, the form must be used.</w:t>
      </w:r>
    </w:p>
    <w:p w14:paraId="38DB6C57" w14:textId="77777777" w:rsidR="00336029" w:rsidRPr="00A35BB6" w:rsidRDefault="00336029" w:rsidP="00336029">
      <w:pPr>
        <w:pStyle w:val="SchAmain"/>
        <w:rPr>
          <w:lang w:eastAsia="en-AU"/>
        </w:rPr>
      </w:pPr>
      <w:r w:rsidRPr="00A35BB6">
        <w:rPr>
          <w:lang w:eastAsia="en-AU"/>
        </w:rPr>
        <w:tab/>
        <w:t>(2)</w:t>
      </w:r>
      <w:r w:rsidRPr="00A35BB6">
        <w:rPr>
          <w:lang w:eastAsia="en-AU"/>
        </w:rPr>
        <w:tab/>
        <w:t>The deed must state—</w:t>
      </w:r>
    </w:p>
    <w:p w14:paraId="54D81ACC" w14:textId="77777777" w:rsidR="00336029" w:rsidRPr="00A35BB6" w:rsidRDefault="00336029" w:rsidP="00336029">
      <w:pPr>
        <w:pStyle w:val="SchApara"/>
        <w:rPr>
          <w:lang w:eastAsia="en-AU"/>
        </w:rPr>
      </w:pPr>
      <w:r w:rsidRPr="00A35BB6">
        <w:rPr>
          <w:lang w:eastAsia="en-AU"/>
        </w:rPr>
        <w:tab/>
        <w:t>(a)</w:t>
      </w:r>
      <w:r w:rsidRPr="00A35BB6">
        <w:rPr>
          <w:lang w:eastAsia="en-AU"/>
        </w:rPr>
        <w:tab/>
        <w:t xml:space="preserve">the name of each gambling facility (the </w:t>
      </w:r>
      <w:r w:rsidRPr="00A35BB6">
        <w:rPr>
          <w:rStyle w:val="charBoldItals"/>
        </w:rPr>
        <w:t>nominated facility</w:t>
      </w:r>
      <w:r w:rsidRPr="00A35BB6">
        <w:rPr>
          <w:lang w:eastAsia="en-AU"/>
        </w:rPr>
        <w:t xml:space="preserve">) from which the gambler wishes to be excluded from gambling; and </w:t>
      </w:r>
    </w:p>
    <w:p w14:paraId="0188F21C" w14:textId="77777777" w:rsidR="00336029" w:rsidRPr="00A35BB6" w:rsidRDefault="00336029" w:rsidP="00336029">
      <w:pPr>
        <w:pStyle w:val="SchApara"/>
        <w:rPr>
          <w:lang w:eastAsia="en-AU"/>
        </w:rPr>
      </w:pPr>
      <w:r w:rsidRPr="00A35BB6">
        <w:rPr>
          <w:lang w:eastAsia="en-AU"/>
        </w:rPr>
        <w:lastRenderedPageBreak/>
        <w:tab/>
        <w:t>(b)</w:t>
      </w:r>
      <w:r w:rsidRPr="00A35BB6">
        <w:rPr>
          <w:lang w:eastAsia="en-AU"/>
        </w:rPr>
        <w:tab/>
        <w:t xml:space="preserve">the period for which the gambler is to be excluded from the nominated facility (the </w:t>
      </w:r>
      <w:r w:rsidRPr="00A35BB6">
        <w:rPr>
          <w:rStyle w:val="charBoldItals"/>
        </w:rPr>
        <w:t>exclusion period</w:t>
      </w:r>
      <w:r w:rsidRPr="00A35BB6">
        <w:rPr>
          <w:lang w:eastAsia="en-AU"/>
        </w:rPr>
        <w:t>); and</w:t>
      </w:r>
    </w:p>
    <w:p w14:paraId="7DBCC228" w14:textId="77777777" w:rsidR="00336029" w:rsidRPr="00A35BB6" w:rsidRDefault="00336029" w:rsidP="00336029">
      <w:pPr>
        <w:pStyle w:val="SchApara"/>
        <w:rPr>
          <w:lang w:eastAsia="en-AU"/>
        </w:rPr>
      </w:pPr>
      <w:r w:rsidRPr="00A35BB6">
        <w:rPr>
          <w:lang w:eastAsia="en-AU"/>
        </w:rPr>
        <w:tab/>
        <w:t>(c)</w:t>
      </w:r>
      <w:r w:rsidRPr="00A35BB6">
        <w:rPr>
          <w:lang w:eastAsia="en-AU"/>
        </w:rPr>
        <w:tab/>
        <w:t>that in the exclusion period the licensee of the nominated facility may—</w:t>
      </w:r>
    </w:p>
    <w:p w14:paraId="4D717C42" w14:textId="77777777" w:rsidR="00336029" w:rsidRPr="00A35BB6" w:rsidRDefault="00336029" w:rsidP="00336029">
      <w:pPr>
        <w:pStyle w:val="Asubpara"/>
        <w:rPr>
          <w:lang w:eastAsia="en-AU"/>
        </w:rPr>
      </w:pPr>
      <w:r w:rsidRPr="00A35BB6">
        <w:rPr>
          <w:lang w:eastAsia="en-AU"/>
        </w:rPr>
        <w:tab/>
        <w:t>(i)</w:t>
      </w:r>
      <w:r w:rsidRPr="00A35BB6">
        <w:rPr>
          <w:lang w:eastAsia="en-AU"/>
        </w:rPr>
        <w:tab/>
        <w:t>remove the gambler from, or prevent the gambler from entering, the gaming area or gambling facility; or</w:t>
      </w:r>
    </w:p>
    <w:p w14:paraId="15B8BB6F" w14:textId="77777777" w:rsidR="00336029" w:rsidRPr="00A35BB6" w:rsidRDefault="00336029" w:rsidP="00336029">
      <w:pPr>
        <w:pStyle w:val="Asubpara"/>
      </w:pPr>
      <w:r w:rsidRPr="00A35BB6">
        <w:tab/>
        <w:t>(ii)</w:t>
      </w:r>
      <w:r w:rsidRPr="00A35BB6">
        <w:tab/>
        <w:t>otherwise exclude the gambler from participating in gambling activities at the facility.</w:t>
      </w:r>
    </w:p>
    <w:p w14:paraId="6AFB416D" w14:textId="77777777" w:rsidR="00336029" w:rsidRPr="00A35BB6" w:rsidRDefault="00336029" w:rsidP="00336029">
      <w:pPr>
        <w:pStyle w:val="aExamHdgsubpar"/>
      </w:pPr>
      <w:r w:rsidRPr="00A35BB6">
        <w:t>Example—subpar (ii)</w:t>
      </w:r>
    </w:p>
    <w:p w14:paraId="4409E3F7" w14:textId="77777777" w:rsidR="00336029" w:rsidRPr="00A35BB6" w:rsidRDefault="00336029" w:rsidP="00336029">
      <w:pPr>
        <w:pStyle w:val="aExamsubpar"/>
      </w:pPr>
      <w:r w:rsidRPr="00A35BB6">
        <w:t>The XYZ Sports Club has a gaming area, bistro area and other facilities for use by its members. Kenny has entered into a deed of exclusion under which he agrees to be excluded from gambling at the gambling facility. The licensee of the gambling facility allows Kenny to enter the facility to use the bistro but does not allow Kenny to enter the gaming area.</w:t>
      </w:r>
    </w:p>
    <w:p w14:paraId="4A7B4DD3" w14:textId="77777777" w:rsidR="00336029" w:rsidRPr="00A35BB6" w:rsidRDefault="00336029" w:rsidP="00336029">
      <w:pPr>
        <w:pStyle w:val="SchAmain"/>
      </w:pPr>
      <w:r w:rsidRPr="00A35BB6">
        <w:tab/>
        <w:t>(3)</w:t>
      </w:r>
      <w:r w:rsidRPr="00A35BB6">
        <w:tab/>
        <w:t>For subsection (2) (b), the exclusion period must be at least 6 months, but not longer than 3 years.</w:t>
      </w:r>
    </w:p>
    <w:p w14:paraId="77658259" w14:textId="77777777" w:rsidR="00336029" w:rsidRPr="00A35BB6" w:rsidRDefault="00336029" w:rsidP="00336029">
      <w:pPr>
        <w:pStyle w:val="SchAmain"/>
      </w:pPr>
      <w:r w:rsidRPr="00A35BB6">
        <w:tab/>
        <w:t>(4)</w:t>
      </w:r>
      <w:r w:rsidRPr="00A35BB6">
        <w:tab/>
        <w:t>If the gambler wants the deed to apply to the gambler, then the gambler must give the signed deed to 1 of the following (the </w:t>
      </w:r>
      <w:r w:rsidRPr="00A35BB6">
        <w:rPr>
          <w:rStyle w:val="charBoldItals"/>
        </w:rPr>
        <w:t>receiver</w:t>
      </w:r>
      <w:r w:rsidRPr="00A35BB6">
        <w:t>):</w:t>
      </w:r>
    </w:p>
    <w:p w14:paraId="0C46835A" w14:textId="77777777" w:rsidR="00336029" w:rsidRPr="00A35BB6" w:rsidRDefault="00336029" w:rsidP="00336029">
      <w:pPr>
        <w:pStyle w:val="SchApara"/>
      </w:pPr>
      <w:r w:rsidRPr="00A35BB6">
        <w:tab/>
        <w:t>(a)</w:t>
      </w:r>
      <w:r w:rsidRPr="00A35BB6">
        <w:tab/>
        <w:t>the licensee of a facility stated in the deed;</w:t>
      </w:r>
    </w:p>
    <w:p w14:paraId="0829C048" w14:textId="77777777" w:rsidR="00336029" w:rsidRPr="00A35BB6" w:rsidRDefault="00336029" w:rsidP="00336029">
      <w:pPr>
        <w:pStyle w:val="SchApara"/>
      </w:pPr>
      <w:r w:rsidRPr="00A35BB6">
        <w:tab/>
        <w:t>(b)</w:t>
      </w:r>
      <w:r w:rsidRPr="00A35BB6">
        <w:tab/>
        <w:t>the commission;</w:t>
      </w:r>
    </w:p>
    <w:p w14:paraId="44C2408E" w14:textId="77777777" w:rsidR="00336029" w:rsidRPr="00A35BB6" w:rsidRDefault="00336029" w:rsidP="00336029">
      <w:pPr>
        <w:pStyle w:val="SchApara"/>
      </w:pPr>
      <w:r w:rsidRPr="00A35BB6">
        <w:tab/>
        <w:t>(c)</w:t>
      </w:r>
      <w:r w:rsidRPr="00A35BB6">
        <w:tab/>
        <w:t>someone else approved by the commission.</w:t>
      </w:r>
    </w:p>
    <w:p w14:paraId="6B335C7A" w14:textId="77777777" w:rsidR="00336029" w:rsidRPr="00A35BB6" w:rsidRDefault="00336029" w:rsidP="00336029">
      <w:pPr>
        <w:pStyle w:val="SchAmain"/>
      </w:pPr>
      <w:r w:rsidRPr="00A35BB6">
        <w:tab/>
        <w:t>(5)</w:t>
      </w:r>
      <w:r w:rsidRPr="00A35BB6">
        <w:tab/>
        <w:t>If the receiver is given a signed deed under subsection (4), the receiver must—</w:t>
      </w:r>
    </w:p>
    <w:p w14:paraId="2C6FACCE" w14:textId="77777777" w:rsidR="00336029" w:rsidRPr="00A35BB6" w:rsidRDefault="00336029" w:rsidP="00336029">
      <w:pPr>
        <w:pStyle w:val="SchApara"/>
      </w:pPr>
      <w:r w:rsidRPr="00A35BB6">
        <w:tab/>
        <w:t>(a)</w:t>
      </w:r>
      <w:r w:rsidRPr="00A35BB6">
        <w:tab/>
        <w:t>immediately sign the deed; or</w:t>
      </w:r>
    </w:p>
    <w:p w14:paraId="534537AC" w14:textId="77777777" w:rsidR="00336029" w:rsidRPr="00A35BB6" w:rsidRDefault="00336029" w:rsidP="003E3DF8">
      <w:pPr>
        <w:pStyle w:val="SchApara"/>
        <w:keepNext/>
      </w:pPr>
      <w:r w:rsidRPr="00A35BB6">
        <w:tab/>
        <w:t>(b)</w:t>
      </w:r>
      <w:r w:rsidRPr="00A35BB6">
        <w:tab/>
        <w:t>if the deed is incomplete—</w:t>
      </w:r>
    </w:p>
    <w:p w14:paraId="21759D59" w14:textId="77777777" w:rsidR="00336029" w:rsidRPr="00A35BB6" w:rsidRDefault="00336029" w:rsidP="00336029">
      <w:pPr>
        <w:pStyle w:val="SchAsubpara"/>
        <w:rPr>
          <w:lang w:eastAsia="en-AU"/>
        </w:rPr>
      </w:pPr>
      <w:r w:rsidRPr="00A35BB6">
        <w:tab/>
        <w:t>(i)</w:t>
      </w:r>
      <w:r w:rsidRPr="00A35BB6">
        <w:tab/>
      </w:r>
      <w:r w:rsidRPr="00A35BB6">
        <w:rPr>
          <w:lang w:eastAsia="en-AU"/>
        </w:rPr>
        <w:t>ask the gambler, not more than 1 day after receiving the signed deed, to do whatever is necessary to complete the deed; and</w:t>
      </w:r>
    </w:p>
    <w:p w14:paraId="38222D55" w14:textId="77777777" w:rsidR="00336029" w:rsidRPr="00A35BB6" w:rsidRDefault="00336029" w:rsidP="00336029">
      <w:pPr>
        <w:pStyle w:val="SchAsubpara"/>
        <w:rPr>
          <w:lang w:eastAsia="en-AU"/>
        </w:rPr>
      </w:pPr>
      <w:r w:rsidRPr="00A35BB6">
        <w:rPr>
          <w:lang w:eastAsia="en-AU"/>
        </w:rPr>
        <w:lastRenderedPageBreak/>
        <w:tab/>
        <w:t>(ii)</w:t>
      </w:r>
      <w:r w:rsidRPr="00A35BB6">
        <w:rPr>
          <w:lang w:eastAsia="en-AU"/>
        </w:rPr>
        <w:tab/>
        <w:t>sign the deed immediately after the gambler completes the deed.</w:t>
      </w:r>
    </w:p>
    <w:p w14:paraId="1231F318" w14:textId="77777777" w:rsidR="00336029" w:rsidRPr="00A35BB6" w:rsidRDefault="00336029" w:rsidP="00336029">
      <w:pPr>
        <w:pStyle w:val="SchAmain"/>
      </w:pPr>
      <w:r w:rsidRPr="00A35BB6">
        <w:tab/>
        <w:t>(6)</w:t>
      </w:r>
      <w:r w:rsidRPr="00A35BB6">
        <w:tab/>
        <w:t xml:space="preserve">The receiver must, not more than 3 consecutive trading days </w:t>
      </w:r>
      <w:r w:rsidRPr="00A35BB6">
        <w:rPr>
          <w:lang w:eastAsia="en-AU"/>
        </w:rPr>
        <w:t xml:space="preserve">after </w:t>
      </w:r>
      <w:r w:rsidRPr="00A35BB6">
        <w:rPr>
          <w:szCs w:val="24"/>
          <w:lang w:eastAsia="en-AU"/>
        </w:rPr>
        <w:t>receiving the completed signed deed</w:t>
      </w:r>
      <w:r w:rsidRPr="00A35BB6">
        <w:t>—</w:t>
      </w:r>
    </w:p>
    <w:p w14:paraId="214791B3" w14:textId="77777777" w:rsidR="00336029" w:rsidRPr="00A35BB6" w:rsidRDefault="00336029" w:rsidP="00336029">
      <w:pPr>
        <w:pStyle w:val="SchApara"/>
      </w:pPr>
      <w:r w:rsidRPr="00A35BB6">
        <w:tab/>
        <w:t>(a)</w:t>
      </w:r>
      <w:r w:rsidRPr="00A35BB6">
        <w:tab/>
        <w:t>give a copy of the signed deed to the gambler; and</w:t>
      </w:r>
    </w:p>
    <w:p w14:paraId="51AD396C" w14:textId="77777777" w:rsidR="00336029" w:rsidRPr="00A35BB6" w:rsidRDefault="00336029" w:rsidP="00336029">
      <w:pPr>
        <w:pStyle w:val="SchApara"/>
      </w:pPr>
      <w:r w:rsidRPr="00A35BB6">
        <w:tab/>
        <w:t>(b)</w:t>
      </w:r>
      <w:r w:rsidRPr="00A35BB6">
        <w:tab/>
        <w:t>include the matters mentioned in section 20 (3) (Exclusion register) on the exclusion register; and</w:t>
      </w:r>
    </w:p>
    <w:p w14:paraId="7D80C351" w14:textId="77777777" w:rsidR="00336029" w:rsidRPr="00A35BB6" w:rsidRDefault="00336029" w:rsidP="00336029">
      <w:pPr>
        <w:pStyle w:val="SchApara"/>
      </w:pPr>
      <w:r w:rsidRPr="00A35BB6">
        <w:tab/>
        <w:t>(c)</w:t>
      </w:r>
      <w:r w:rsidRPr="00A35BB6">
        <w:tab/>
        <w:t>tell each of the following that the matters mentioned in section 20 (3) have been included on the exclusion register:</w:t>
      </w:r>
    </w:p>
    <w:p w14:paraId="4FD1E785" w14:textId="77777777" w:rsidR="00336029" w:rsidRPr="00A35BB6" w:rsidRDefault="00336029" w:rsidP="00336029">
      <w:pPr>
        <w:pStyle w:val="SchAsubpara"/>
      </w:pPr>
      <w:r w:rsidRPr="00A35BB6">
        <w:tab/>
        <w:t>(i)</w:t>
      </w:r>
      <w:r w:rsidRPr="00A35BB6">
        <w:tab/>
        <w:t>the licensee of each facility mentioned in the deed;</w:t>
      </w:r>
    </w:p>
    <w:p w14:paraId="42ABC523" w14:textId="77777777" w:rsidR="00336029" w:rsidRPr="00A35BB6" w:rsidRDefault="00336029" w:rsidP="00336029">
      <w:pPr>
        <w:pStyle w:val="SchAsubpara"/>
      </w:pPr>
      <w:r w:rsidRPr="00A35BB6">
        <w:tab/>
        <w:t>(ii)</w:t>
      </w:r>
      <w:r w:rsidRPr="00A35BB6">
        <w:tab/>
        <w:t>if the receiver is not the commission—the commission.</w:t>
      </w:r>
    </w:p>
    <w:p w14:paraId="52B6B82A" w14:textId="77777777" w:rsidR="00336029" w:rsidRPr="00A35BB6" w:rsidRDefault="00336029" w:rsidP="00336029">
      <w:pPr>
        <w:pStyle w:val="Schclauseheading"/>
      </w:pPr>
      <w:bookmarkStart w:id="64" w:name="_Toc72505976"/>
      <w:r w:rsidRPr="00224E14">
        <w:rPr>
          <w:rStyle w:val="CharSectNo"/>
        </w:rPr>
        <w:t>1.13A</w:t>
      </w:r>
      <w:r w:rsidRPr="00A35BB6">
        <w:tab/>
        <w:t>Deeds of exclusion—revocation</w:t>
      </w:r>
      <w:bookmarkEnd w:id="64"/>
    </w:p>
    <w:p w14:paraId="46C4050A" w14:textId="77777777" w:rsidR="00336029" w:rsidRPr="00A35BB6" w:rsidRDefault="00336029" w:rsidP="00336029">
      <w:pPr>
        <w:pStyle w:val="SchAmain"/>
      </w:pPr>
      <w:r w:rsidRPr="00A35BB6">
        <w:tab/>
        <w:t>(1)</w:t>
      </w:r>
      <w:r w:rsidRPr="00A35BB6">
        <w:tab/>
        <w:t>This section applies if a person has signed a deed of exclusion under section 1.13.</w:t>
      </w:r>
    </w:p>
    <w:p w14:paraId="69022C0B" w14:textId="77777777" w:rsidR="00336029" w:rsidRPr="00A35BB6" w:rsidRDefault="00336029" w:rsidP="00336029">
      <w:pPr>
        <w:pStyle w:val="SchAmain"/>
      </w:pPr>
      <w:r w:rsidRPr="00A35BB6">
        <w:tab/>
        <w:t>(2)</w:t>
      </w:r>
      <w:r w:rsidRPr="00A35BB6">
        <w:tab/>
        <w:t>The person may revoke the person’s deed of exclusion before the end of the exclusion period.</w:t>
      </w:r>
    </w:p>
    <w:p w14:paraId="136092EB" w14:textId="73C99D8F" w:rsidR="00336029" w:rsidRPr="00A35BB6" w:rsidRDefault="00336029" w:rsidP="00336029">
      <w:pPr>
        <w:pStyle w:val="aNote"/>
      </w:pPr>
      <w:r w:rsidRPr="00A35BB6">
        <w:rPr>
          <w:rStyle w:val="charItals"/>
        </w:rPr>
        <w:t>Note</w:t>
      </w:r>
      <w:r w:rsidRPr="00A35BB6">
        <w:rPr>
          <w:rStyle w:val="charItals"/>
        </w:rPr>
        <w:tab/>
      </w:r>
      <w:r w:rsidRPr="00A35BB6">
        <w:rPr>
          <w:lang w:eastAsia="en-AU"/>
        </w:rPr>
        <w:t xml:space="preserve">If a form is approved under the </w:t>
      </w:r>
      <w:hyperlink r:id="rId64" w:tooltip="A1999-46" w:history="1">
        <w:r w:rsidRPr="00A35BB6">
          <w:rPr>
            <w:rStyle w:val="charCitHyperlinkAbbrev"/>
          </w:rPr>
          <w:t>Act</w:t>
        </w:r>
      </w:hyperlink>
      <w:r w:rsidRPr="00A35BB6">
        <w:rPr>
          <w:lang w:eastAsia="en-AU"/>
        </w:rPr>
        <w:t>, s 53D for this provision, the form must be used.</w:t>
      </w:r>
    </w:p>
    <w:p w14:paraId="7AF0EA94" w14:textId="77777777" w:rsidR="00336029" w:rsidRPr="00A35BB6" w:rsidRDefault="00336029" w:rsidP="00336029">
      <w:pPr>
        <w:pStyle w:val="SchAmain"/>
      </w:pPr>
      <w:r w:rsidRPr="00A35BB6">
        <w:tab/>
        <w:t>(3)</w:t>
      </w:r>
      <w:r w:rsidRPr="00A35BB6">
        <w:tab/>
        <w:t>The exclusion period ends on the first business day 7 days after the day the commission receives written notice from the person of the revocation, unless the person withdraws the revocation before that day.</w:t>
      </w:r>
    </w:p>
    <w:p w14:paraId="07642C3A" w14:textId="77777777" w:rsidR="00336029" w:rsidRPr="00A35BB6" w:rsidRDefault="00336029" w:rsidP="003E3DF8">
      <w:pPr>
        <w:pStyle w:val="SchAmain"/>
        <w:keepNext/>
      </w:pPr>
      <w:r w:rsidRPr="00A35BB6">
        <w:tab/>
        <w:t>(4)</w:t>
      </w:r>
      <w:r w:rsidRPr="00A35BB6">
        <w:tab/>
        <w:t>In this section:</w:t>
      </w:r>
    </w:p>
    <w:p w14:paraId="2901554F" w14:textId="77777777" w:rsidR="00336029" w:rsidRPr="00A35BB6" w:rsidRDefault="00336029" w:rsidP="00336029">
      <w:pPr>
        <w:pStyle w:val="aDef"/>
      </w:pPr>
      <w:r w:rsidRPr="00A35BB6">
        <w:rPr>
          <w:rStyle w:val="charBoldItals"/>
        </w:rPr>
        <w:t>exclusion period</w:t>
      </w:r>
      <w:r w:rsidRPr="00A35BB6">
        <w:t>—see section 1.13 (2) (b).</w:t>
      </w:r>
    </w:p>
    <w:p w14:paraId="33327FEE" w14:textId="77777777" w:rsidR="00D847F1" w:rsidRDefault="00D847F1">
      <w:pPr>
        <w:pStyle w:val="Schclauseheading"/>
      </w:pPr>
      <w:bookmarkStart w:id="65" w:name="_Toc72505977"/>
      <w:r w:rsidRPr="00224E14">
        <w:rPr>
          <w:rStyle w:val="CharSectNo"/>
        </w:rPr>
        <w:lastRenderedPageBreak/>
        <w:t>1.14</w:t>
      </w:r>
      <w:r>
        <w:tab/>
        <w:t>Exclusion of people at risk or excluded under deed</w:t>
      </w:r>
      <w:bookmarkEnd w:id="65"/>
    </w:p>
    <w:p w14:paraId="3362AB33" w14:textId="77777777" w:rsidR="00D847F1" w:rsidRDefault="00D847F1">
      <w:pPr>
        <w:pStyle w:val="Amain"/>
      </w:pPr>
      <w:r>
        <w:tab/>
        <w:t>(1)</w:t>
      </w:r>
      <w:r>
        <w:tab/>
        <w:t>The licensee of a gambling facility must exclude a person from gambling at the facility if the licensee has reasonable grounds for believing that—</w:t>
      </w:r>
    </w:p>
    <w:p w14:paraId="6B4E7FEB" w14:textId="77777777" w:rsidR="00D847F1" w:rsidRDefault="00D847F1">
      <w:pPr>
        <w:pStyle w:val="Apara"/>
      </w:pPr>
      <w:r>
        <w:tab/>
        <w:t>(a)</w:t>
      </w:r>
      <w:r>
        <w:tab/>
        <w:t>the welfare of the person, or any of the person’s dependants, is seriously at risk because of the person’s gambling problem; or</w:t>
      </w:r>
    </w:p>
    <w:p w14:paraId="3D8E43A5" w14:textId="77777777" w:rsidR="00D847F1" w:rsidRDefault="00D847F1">
      <w:pPr>
        <w:pStyle w:val="Apara"/>
        <w:keepNext/>
      </w:pPr>
      <w:r>
        <w:tab/>
        <w:t>(b)</w:t>
      </w:r>
      <w:r>
        <w:tab/>
        <w:t>the person is someone to whom a deed applies.</w:t>
      </w:r>
    </w:p>
    <w:p w14:paraId="15C5F2BA" w14:textId="77777777" w:rsidR="001A5E2C" w:rsidRPr="00A35BB6" w:rsidRDefault="001A5E2C" w:rsidP="001A5E2C">
      <w:pPr>
        <w:pStyle w:val="SchAmain"/>
      </w:pPr>
      <w:r w:rsidRPr="00A35BB6">
        <w:tab/>
        <w:t>(2)</w:t>
      </w:r>
      <w:r w:rsidRPr="00A35BB6">
        <w:tab/>
        <w:t>If a person is excluded under subsection (1) (a) the licensee must—</w:t>
      </w:r>
    </w:p>
    <w:p w14:paraId="65FD7E9E" w14:textId="77777777" w:rsidR="001A5E2C" w:rsidRPr="00A35BB6" w:rsidRDefault="001A5E2C" w:rsidP="001A5E2C">
      <w:pPr>
        <w:pStyle w:val="SchApara"/>
      </w:pPr>
      <w:r w:rsidRPr="00A35BB6">
        <w:tab/>
        <w:t>(a)</w:t>
      </w:r>
      <w:r w:rsidRPr="00A35BB6">
        <w:tab/>
        <w:t xml:space="preserve">give the person a notice (a </w:t>
      </w:r>
      <w:r w:rsidRPr="00A35BB6">
        <w:rPr>
          <w:rStyle w:val="charBoldItals"/>
        </w:rPr>
        <w:t>notice of exclusion</w:t>
      </w:r>
      <w:r w:rsidRPr="00A35BB6">
        <w:t>) stating—</w:t>
      </w:r>
    </w:p>
    <w:p w14:paraId="48EF6451" w14:textId="77777777" w:rsidR="001A5E2C" w:rsidRPr="00A35BB6" w:rsidRDefault="001A5E2C" w:rsidP="001A5E2C">
      <w:pPr>
        <w:pStyle w:val="SchAsubpara"/>
      </w:pPr>
      <w:r w:rsidRPr="00A35BB6">
        <w:tab/>
        <w:t>(i)</w:t>
      </w:r>
      <w:r w:rsidRPr="00A35BB6">
        <w:tab/>
        <w:t>sufficient particulars to identify the person; and</w:t>
      </w:r>
    </w:p>
    <w:p w14:paraId="22E84700" w14:textId="77777777" w:rsidR="001A5E2C" w:rsidRPr="00A35BB6" w:rsidRDefault="001A5E2C" w:rsidP="001A5E2C">
      <w:pPr>
        <w:pStyle w:val="SchAsubpara"/>
      </w:pPr>
      <w:r w:rsidRPr="00A35BB6">
        <w:tab/>
        <w:t>(ii)</w:t>
      </w:r>
      <w:r w:rsidRPr="00A35BB6">
        <w:tab/>
        <w:t>each gambling facility from which the person is excluded from gambling; and</w:t>
      </w:r>
    </w:p>
    <w:p w14:paraId="43F8A118" w14:textId="77777777" w:rsidR="001A5E2C" w:rsidRPr="00A35BB6" w:rsidRDefault="001A5E2C" w:rsidP="001A5E2C">
      <w:pPr>
        <w:pStyle w:val="SchAsubpara"/>
      </w:pPr>
      <w:r w:rsidRPr="00A35BB6">
        <w:tab/>
        <w:t>(iii)</w:t>
      </w:r>
      <w:r w:rsidRPr="00A35BB6">
        <w:tab/>
        <w:t>the period of the exclusion from each gambling facility from which the person is excluded from gambling; and</w:t>
      </w:r>
    </w:p>
    <w:p w14:paraId="3448E43F" w14:textId="77777777" w:rsidR="001A5E2C" w:rsidRPr="00A35BB6" w:rsidRDefault="001A5E2C" w:rsidP="001A5E2C">
      <w:pPr>
        <w:pStyle w:val="SchAsubpara"/>
      </w:pPr>
      <w:r w:rsidRPr="00A35BB6">
        <w:tab/>
        <w:t>(iv)</w:t>
      </w:r>
      <w:r w:rsidRPr="00A35BB6">
        <w:tab/>
        <w:t>the reasons for the exclusion; and</w:t>
      </w:r>
    </w:p>
    <w:p w14:paraId="6B690626" w14:textId="18AE5AFB" w:rsidR="001A5E2C" w:rsidRPr="00A35BB6" w:rsidRDefault="001A5E2C" w:rsidP="001A5E2C">
      <w:pPr>
        <w:pStyle w:val="aNotepar"/>
      </w:pPr>
      <w:r w:rsidRPr="00A35BB6">
        <w:rPr>
          <w:rStyle w:val="charItals"/>
        </w:rPr>
        <w:t>Note</w:t>
      </w:r>
      <w:r w:rsidRPr="00A35BB6">
        <w:rPr>
          <w:rStyle w:val="charItals"/>
        </w:rPr>
        <w:tab/>
      </w:r>
      <w:r w:rsidRPr="00A35BB6">
        <w:t xml:space="preserve">If a form is approved under the </w:t>
      </w:r>
      <w:hyperlink r:id="rId65" w:tooltip="A1999-46" w:history="1">
        <w:r w:rsidRPr="00A35BB6">
          <w:rPr>
            <w:rStyle w:val="charCitHyperlinkAbbrev"/>
          </w:rPr>
          <w:t>Act</w:t>
        </w:r>
      </w:hyperlink>
      <w:r w:rsidRPr="00A35BB6">
        <w:t>, s 53D for this provision, the form must be used.</w:t>
      </w:r>
    </w:p>
    <w:p w14:paraId="371DC1A9" w14:textId="77777777" w:rsidR="001A5E2C" w:rsidRPr="00A35BB6" w:rsidRDefault="001A5E2C" w:rsidP="001A5E2C">
      <w:pPr>
        <w:pStyle w:val="SchApara"/>
      </w:pPr>
      <w:r w:rsidRPr="00A35BB6">
        <w:tab/>
        <w:t>(b)</w:t>
      </w:r>
      <w:r w:rsidRPr="00A35BB6">
        <w:tab/>
        <w:t>include the matters mentioned in section 20 (3) (Exclusion register) on the exclusion register; and</w:t>
      </w:r>
    </w:p>
    <w:p w14:paraId="0B9B52EE" w14:textId="77777777" w:rsidR="001A5E2C" w:rsidRPr="00A35BB6" w:rsidRDefault="001A5E2C" w:rsidP="001A5E2C">
      <w:pPr>
        <w:pStyle w:val="SchApara"/>
      </w:pPr>
      <w:r w:rsidRPr="00A35BB6">
        <w:tab/>
        <w:t>(c)</w:t>
      </w:r>
      <w:r w:rsidRPr="00A35BB6">
        <w:tab/>
        <w:t>tell each of the following that the matters mentioned in section 20 (3) have been included on the exclusion register:</w:t>
      </w:r>
    </w:p>
    <w:p w14:paraId="60C92277" w14:textId="77777777" w:rsidR="001A5E2C" w:rsidRPr="00A35BB6" w:rsidRDefault="001A5E2C" w:rsidP="001A5E2C">
      <w:pPr>
        <w:pStyle w:val="SchAsubpara"/>
      </w:pPr>
      <w:r w:rsidRPr="00A35BB6">
        <w:tab/>
        <w:t>(i)</w:t>
      </w:r>
      <w:r w:rsidRPr="00A35BB6">
        <w:tab/>
        <w:t>the licensee of each facility mentioned in the deed;</w:t>
      </w:r>
    </w:p>
    <w:p w14:paraId="1F3C1D4D" w14:textId="77777777" w:rsidR="001A5E2C" w:rsidRPr="00A35BB6" w:rsidRDefault="001A5E2C" w:rsidP="001A5E2C">
      <w:pPr>
        <w:pStyle w:val="SchAsubpara"/>
      </w:pPr>
      <w:r w:rsidRPr="00A35BB6">
        <w:tab/>
        <w:t>(ii)</w:t>
      </w:r>
      <w:r w:rsidRPr="00A35BB6">
        <w:tab/>
        <w:t>the commission.</w:t>
      </w:r>
    </w:p>
    <w:p w14:paraId="603CE64B" w14:textId="77777777" w:rsidR="00D847F1" w:rsidRDefault="00D847F1">
      <w:pPr>
        <w:pStyle w:val="Schclauseheading"/>
      </w:pPr>
      <w:bookmarkStart w:id="66" w:name="_Toc72505978"/>
      <w:r w:rsidRPr="00224E14">
        <w:rPr>
          <w:rStyle w:val="CharSectNo"/>
        </w:rPr>
        <w:lastRenderedPageBreak/>
        <w:t>1.15</w:t>
      </w:r>
      <w:r>
        <w:tab/>
        <w:t>Matters to which licensee to have regard when deciding whether to exclude</w:t>
      </w:r>
      <w:bookmarkEnd w:id="66"/>
      <w:r>
        <w:t xml:space="preserve"> </w:t>
      </w:r>
    </w:p>
    <w:p w14:paraId="1B5BA47D" w14:textId="77777777" w:rsidR="00D847F1" w:rsidRDefault="00D847F1" w:rsidP="00EC7582">
      <w:pPr>
        <w:pStyle w:val="Amain"/>
        <w:keepNext/>
      </w:pPr>
      <w:r>
        <w:tab/>
        <w:t>(1)</w:t>
      </w:r>
      <w:r>
        <w:tab/>
        <w:t>A decision by a licensee to exclude a person under section 1.14 (1) (a) must be reasonable in the circumstances.</w:t>
      </w:r>
    </w:p>
    <w:p w14:paraId="25C20FB3" w14:textId="77777777" w:rsidR="00D847F1" w:rsidRDefault="00D847F1">
      <w:pPr>
        <w:pStyle w:val="Amain"/>
      </w:pPr>
      <w:r>
        <w:tab/>
        <w:t>(2)</w:t>
      </w:r>
      <w:r>
        <w:tab/>
        <w:t>In making the decision, the licensee must have regard to whether the exclusion—</w:t>
      </w:r>
    </w:p>
    <w:p w14:paraId="20E11A06" w14:textId="77777777" w:rsidR="00D847F1" w:rsidRDefault="00D847F1">
      <w:pPr>
        <w:pStyle w:val="Apara"/>
      </w:pPr>
      <w:r>
        <w:tab/>
        <w:t>(a)</w:t>
      </w:r>
      <w:r>
        <w:tab/>
        <w:t>is necessary to protect the welfare of the person, or any of the person’s dependants, from risk in relation to the person’s gambling problem; and</w:t>
      </w:r>
    </w:p>
    <w:p w14:paraId="76B02368" w14:textId="77777777" w:rsidR="00D847F1" w:rsidRDefault="00D847F1">
      <w:pPr>
        <w:pStyle w:val="Apara"/>
      </w:pPr>
      <w:r>
        <w:tab/>
        <w:t>(b)</w:t>
      </w:r>
      <w:r>
        <w:tab/>
        <w:t>is in the public interest, particularly having regard to the social and economic costs of problem gambling.</w:t>
      </w:r>
    </w:p>
    <w:p w14:paraId="5E4B34B5" w14:textId="77777777" w:rsidR="00D847F1" w:rsidRDefault="00D847F1">
      <w:pPr>
        <w:pStyle w:val="Schclauseheading"/>
      </w:pPr>
      <w:bookmarkStart w:id="67" w:name="_Toc72505979"/>
      <w:r w:rsidRPr="00224E14">
        <w:rPr>
          <w:rStyle w:val="CharSectNo"/>
        </w:rPr>
        <w:t>1.16</w:t>
      </w:r>
      <w:r>
        <w:tab/>
        <w:t>Commission’s review of exclusion decisions</w:t>
      </w:r>
      <w:bookmarkEnd w:id="67"/>
    </w:p>
    <w:p w14:paraId="0631DB33" w14:textId="77777777" w:rsidR="00D847F1" w:rsidRDefault="00D847F1">
      <w:pPr>
        <w:pStyle w:val="Amainreturn"/>
        <w:keepNext/>
      </w:pPr>
      <w:r>
        <w:t>A person aggrieved by a licensee’s decision under section 1.14 (Exclusion of people at risk or excluded under deed) may apply, in writing, to the commission for a review of the decision.</w:t>
      </w:r>
    </w:p>
    <w:p w14:paraId="41B2E607" w14:textId="77777777" w:rsidR="00D847F1" w:rsidRDefault="00D847F1">
      <w:pPr>
        <w:pStyle w:val="aNote"/>
      </w:pPr>
      <w:r>
        <w:rPr>
          <w:rStyle w:val="charItals"/>
        </w:rPr>
        <w:t>Note</w:t>
      </w:r>
      <w:r>
        <w:rPr>
          <w:rStyle w:val="charItals"/>
        </w:rPr>
        <w:tab/>
      </w:r>
      <w:r>
        <w:t xml:space="preserve">Application may be made to the </w:t>
      </w:r>
      <w:r w:rsidR="00D96AB6">
        <w:t>ACAT</w:t>
      </w:r>
      <w:r>
        <w:t xml:space="preserve"> for review of a decision by the commission under this regulation to confirm, revoke or amend the licensee’s decision.</w:t>
      </w:r>
    </w:p>
    <w:p w14:paraId="072F84B8" w14:textId="77777777" w:rsidR="00D847F1" w:rsidRDefault="00D847F1">
      <w:pPr>
        <w:pStyle w:val="Schclauseheading"/>
      </w:pPr>
      <w:bookmarkStart w:id="68" w:name="_Toc72505980"/>
      <w:r w:rsidRPr="00224E14">
        <w:rPr>
          <w:rStyle w:val="CharSectNo"/>
        </w:rPr>
        <w:t>1.17</w:t>
      </w:r>
      <w:r>
        <w:tab/>
        <w:t>Exclusion procedures</w:t>
      </w:r>
      <w:bookmarkEnd w:id="68"/>
    </w:p>
    <w:p w14:paraId="45034915" w14:textId="77777777" w:rsidR="00D847F1" w:rsidRDefault="00D847F1">
      <w:pPr>
        <w:pStyle w:val="Amain"/>
      </w:pPr>
      <w:r>
        <w:tab/>
        <w:t>(1)</w:t>
      </w:r>
      <w:r>
        <w:tab/>
        <w:t>The licensee of a gambling facility must prepare written procedures dealing with how people are to be excluded from gambling at the facility.</w:t>
      </w:r>
    </w:p>
    <w:p w14:paraId="2A1773FC" w14:textId="77777777" w:rsidR="00D847F1" w:rsidRDefault="00D847F1">
      <w:pPr>
        <w:pStyle w:val="Amain"/>
      </w:pPr>
      <w:r>
        <w:tab/>
        <w:t>(2)</w:t>
      </w:r>
      <w:r>
        <w:tab/>
        <w:t>A person must comply with any written direction in relation to procedures given to the person by the commission under this section.</w:t>
      </w:r>
    </w:p>
    <w:p w14:paraId="60C95DB7" w14:textId="77777777" w:rsidR="00D847F1" w:rsidRDefault="0063631C">
      <w:pPr>
        <w:pStyle w:val="Amain"/>
      </w:pPr>
      <w:r>
        <w:tab/>
        <w:t>(3</w:t>
      </w:r>
      <w:r w:rsidR="00D847F1">
        <w:t>)</w:t>
      </w:r>
      <w:r w:rsidR="00D847F1">
        <w:tab/>
        <w:t>The procedures must be written as clearly and simply as possible to promote understanding by people using them.</w:t>
      </w:r>
    </w:p>
    <w:p w14:paraId="281D2726" w14:textId="77777777" w:rsidR="00D847F1" w:rsidRDefault="0063631C">
      <w:pPr>
        <w:pStyle w:val="Amain"/>
      </w:pPr>
      <w:r>
        <w:tab/>
        <w:t>(4</w:t>
      </w:r>
      <w:r w:rsidR="00D847F1">
        <w:t>)</w:t>
      </w:r>
      <w:r w:rsidR="00D847F1">
        <w:tab/>
        <w:t>The licensee of a gambling facility must ensure that staff members whose functions include the exclusion of a person under this code of practice are competent to exercise the function.</w:t>
      </w:r>
    </w:p>
    <w:p w14:paraId="0173A557" w14:textId="77777777" w:rsidR="00EC7582" w:rsidRPr="00A35BB6" w:rsidRDefault="00EC7582" w:rsidP="00EC7582">
      <w:pPr>
        <w:pStyle w:val="AH5Sec"/>
      </w:pPr>
      <w:bookmarkStart w:id="69" w:name="_Toc72505981"/>
      <w:r w:rsidRPr="00224E14">
        <w:rPr>
          <w:rStyle w:val="CharSectNo"/>
        </w:rPr>
        <w:lastRenderedPageBreak/>
        <w:t>1.18</w:t>
      </w:r>
      <w:r w:rsidRPr="00A35BB6">
        <w:tab/>
        <w:t>Licensee must keep deeds and notices of exclusion</w:t>
      </w:r>
      <w:bookmarkEnd w:id="69"/>
    </w:p>
    <w:p w14:paraId="4C9AA77D" w14:textId="77777777" w:rsidR="00EC7582" w:rsidRPr="00A35BB6" w:rsidRDefault="00EC7582" w:rsidP="00EC7582">
      <w:pPr>
        <w:pStyle w:val="SchAmain"/>
      </w:pPr>
      <w:r w:rsidRPr="00A35BB6">
        <w:tab/>
        <w:t>(1)</w:t>
      </w:r>
      <w:r w:rsidRPr="00A35BB6">
        <w:tab/>
        <w:t>A licensee of a gambling facility must keep—</w:t>
      </w:r>
    </w:p>
    <w:p w14:paraId="641838AE" w14:textId="77777777" w:rsidR="00EC7582" w:rsidRPr="00A35BB6" w:rsidRDefault="00EC7582" w:rsidP="00EC7582">
      <w:pPr>
        <w:pStyle w:val="SchApara"/>
      </w:pPr>
      <w:r w:rsidRPr="00A35BB6">
        <w:tab/>
        <w:t>(a)</w:t>
      </w:r>
      <w:r w:rsidRPr="00A35BB6">
        <w:tab/>
        <w:t>the original of each deed of exclusion received by the licensee for 7 years from the day the deed is received; and</w:t>
      </w:r>
    </w:p>
    <w:p w14:paraId="10436173" w14:textId="77777777" w:rsidR="00EC7582" w:rsidRPr="00A35BB6" w:rsidRDefault="00EC7582" w:rsidP="00EC7582">
      <w:pPr>
        <w:pStyle w:val="SchApara"/>
      </w:pPr>
      <w:r w:rsidRPr="00A35BB6">
        <w:tab/>
        <w:t>(b)</w:t>
      </w:r>
      <w:r w:rsidRPr="00A35BB6">
        <w:tab/>
        <w:t>a copy of each notice of exclusion given by the licensee for 7 years from the day the notice is given.</w:t>
      </w:r>
    </w:p>
    <w:p w14:paraId="03FE4462" w14:textId="77777777" w:rsidR="00EC7582" w:rsidRPr="00A35BB6" w:rsidRDefault="00EC7582" w:rsidP="00EC7582">
      <w:pPr>
        <w:pStyle w:val="SchAmain"/>
      </w:pPr>
      <w:r w:rsidRPr="00A35BB6">
        <w:tab/>
        <w:t>(2)</w:t>
      </w:r>
      <w:r w:rsidRPr="00A35BB6">
        <w:tab/>
        <w:t>The licensee must, if requested by the commission—</w:t>
      </w:r>
    </w:p>
    <w:p w14:paraId="4C9221A4" w14:textId="77777777" w:rsidR="00EC7582" w:rsidRPr="00A35BB6" w:rsidRDefault="00EC7582" w:rsidP="00EC7582">
      <w:pPr>
        <w:pStyle w:val="SchApara"/>
      </w:pPr>
      <w:r w:rsidRPr="00A35BB6">
        <w:tab/>
        <w:t>(a)</w:t>
      </w:r>
      <w:r w:rsidRPr="00A35BB6">
        <w:tab/>
        <w:t>allow the commission to inspect the deeds and notices; or</w:t>
      </w:r>
    </w:p>
    <w:p w14:paraId="1D2179B4" w14:textId="77777777" w:rsidR="00EC7582" w:rsidRPr="00A35BB6" w:rsidRDefault="00EC7582" w:rsidP="00EC7582">
      <w:pPr>
        <w:pStyle w:val="SchApara"/>
      </w:pPr>
      <w:r w:rsidRPr="00A35BB6">
        <w:tab/>
        <w:t>(b)</w:t>
      </w:r>
      <w:r w:rsidRPr="00A35BB6">
        <w:tab/>
        <w:t>give the commission a copy of a deed or notice.</w:t>
      </w:r>
    </w:p>
    <w:p w14:paraId="2846C22A" w14:textId="77777777" w:rsidR="00D847F1" w:rsidRDefault="00D847F1">
      <w:pPr>
        <w:pStyle w:val="Schclauseheading"/>
      </w:pPr>
      <w:bookmarkStart w:id="70" w:name="_Toc72505982"/>
      <w:r w:rsidRPr="00224E14">
        <w:rPr>
          <w:rStyle w:val="CharSectNo"/>
        </w:rPr>
        <w:t>1.19</w:t>
      </w:r>
      <w:r>
        <w:tab/>
        <w:t>Accounts of excluded people</w:t>
      </w:r>
      <w:bookmarkEnd w:id="70"/>
    </w:p>
    <w:p w14:paraId="3D937B95" w14:textId="77777777" w:rsidR="00D847F1" w:rsidRDefault="00D847F1">
      <w:pPr>
        <w:pStyle w:val="Amainreturn"/>
      </w:pPr>
      <w:r>
        <w:t>If a person who holds an account with a licensee is excluded by the licensee under this division, the licensee must not allow someone else to use the person’s account.</w:t>
      </w:r>
    </w:p>
    <w:p w14:paraId="5DF8D10E" w14:textId="77777777" w:rsidR="00D847F1" w:rsidRDefault="00D847F1" w:rsidP="003E3DF8">
      <w:pPr>
        <w:pStyle w:val="Schclauseheading"/>
      </w:pPr>
      <w:bookmarkStart w:id="71" w:name="_Toc72505983"/>
      <w:r w:rsidRPr="00224E14">
        <w:rPr>
          <w:rStyle w:val="CharSectNo"/>
        </w:rPr>
        <w:t>1.20</w:t>
      </w:r>
      <w:r>
        <w:tab/>
        <w:t>Promotional material not to be given to certain excluded people</w:t>
      </w:r>
      <w:bookmarkEnd w:id="71"/>
    </w:p>
    <w:p w14:paraId="2D78DC54" w14:textId="77777777" w:rsidR="00D847F1" w:rsidRDefault="00D847F1" w:rsidP="003E3DF8">
      <w:pPr>
        <w:pStyle w:val="Amain"/>
        <w:keepNext/>
      </w:pPr>
      <w:r>
        <w:tab/>
        <w:t>(1)</w:t>
      </w:r>
      <w:r>
        <w:tab/>
        <w:t>The licensee of a gambling facility must not give any information or promotional material about gambling at the facility directly to a person excluded by the licensee under this division.</w:t>
      </w:r>
    </w:p>
    <w:p w14:paraId="10A95EFB" w14:textId="77777777" w:rsidR="00D847F1" w:rsidRDefault="00D847F1">
      <w:pPr>
        <w:pStyle w:val="aExamHdgss"/>
      </w:pPr>
      <w:r>
        <w:t>Examples</w:t>
      </w:r>
    </w:p>
    <w:p w14:paraId="4CAD7C34" w14:textId="77777777" w:rsidR="00D847F1" w:rsidRDefault="00D847F1" w:rsidP="003E3DF8">
      <w:pPr>
        <w:pStyle w:val="aExamINumss"/>
        <w:keepNext/>
        <w:keepLines/>
      </w:pPr>
      <w:r>
        <w:t>1</w:t>
      </w:r>
      <w:r>
        <w:tab/>
        <w:t>information or promotional material given by personally addressed mail or email</w:t>
      </w:r>
    </w:p>
    <w:p w14:paraId="3682B97F" w14:textId="77777777" w:rsidR="00D847F1" w:rsidRDefault="00D847F1" w:rsidP="00B36027">
      <w:pPr>
        <w:pStyle w:val="aExamINumss"/>
        <w:keepLines/>
      </w:pPr>
      <w:r>
        <w:t>2</w:t>
      </w:r>
      <w:r>
        <w:tab/>
        <w:t xml:space="preserve">information or promotional material given personally to the person or left with someone to be given personally to the person </w:t>
      </w:r>
    </w:p>
    <w:p w14:paraId="50131879" w14:textId="77777777" w:rsidR="00D847F1" w:rsidRDefault="00D847F1">
      <w:pPr>
        <w:pStyle w:val="Amain"/>
        <w:keepNext/>
      </w:pPr>
      <w:r>
        <w:lastRenderedPageBreak/>
        <w:tab/>
        <w:t>(2)</w:t>
      </w:r>
      <w:r>
        <w:tab/>
        <w:t>For subsection (1), information or promotional material is not given directly to a person only because it is broadcast or made available to the public generally.</w:t>
      </w:r>
    </w:p>
    <w:p w14:paraId="079EC3E9" w14:textId="77777777" w:rsidR="00D847F1" w:rsidRDefault="00D847F1">
      <w:pPr>
        <w:pStyle w:val="aExamHdgss"/>
      </w:pPr>
      <w:r>
        <w:t>Examples</w:t>
      </w:r>
    </w:p>
    <w:p w14:paraId="70CE6EF9" w14:textId="77777777" w:rsidR="00D847F1" w:rsidRDefault="00D847F1">
      <w:pPr>
        <w:pStyle w:val="aExamINumss"/>
        <w:keepNext/>
      </w:pPr>
      <w:r>
        <w:t>1</w:t>
      </w:r>
      <w:r>
        <w:tab/>
        <w:t>information or promotional material given by television or radio broadcasts</w:t>
      </w:r>
    </w:p>
    <w:p w14:paraId="3A84428A" w14:textId="77777777" w:rsidR="00D847F1" w:rsidRDefault="00D847F1">
      <w:pPr>
        <w:pStyle w:val="aExamINumss"/>
      </w:pPr>
      <w:r>
        <w:t>2</w:t>
      </w:r>
      <w:r>
        <w:tab/>
        <w:t>information or promotional material given by websites accessible to anyone</w:t>
      </w:r>
    </w:p>
    <w:p w14:paraId="7EF97A2D" w14:textId="77777777" w:rsidR="00D847F1" w:rsidRDefault="00D847F1">
      <w:pPr>
        <w:pStyle w:val="aExamINumss"/>
      </w:pPr>
      <w:r>
        <w:t>3</w:t>
      </w:r>
      <w:r>
        <w:tab/>
        <w:t>information or promotional material given by letterbox drops that are not personally addressed</w:t>
      </w:r>
    </w:p>
    <w:p w14:paraId="43D10C94" w14:textId="77777777" w:rsidR="00D838C8" w:rsidRPr="00224E14" w:rsidRDefault="00D838C8" w:rsidP="00D838C8">
      <w:pPr>
        <w:pStyle w:val="AH3Div"/>
      </w:pPr>
      <w:bookmarkStart w:id="72" w:name="_Toc72505984"/>
      <w:r w:rsidRPr="00224E14">
        <w:rPr>
          <w:rStyle w:val="CharDivNo"/>
        </w:rPr>
        <w:t>Division 1.2.4</w:t>
      </w:r>
      <w:r w:rsidRPr="001E4518">
        <w:tab/>
      </w:r>
      <w:r w:rsidRPr="00224E14">
        <w:rPr>
          <w:rStyle w:val="CharDivText"/>
        </w:rPr>
        <w:t>Betting accounts—totalisator and sports bookmaking licensees</w:t>
      </w:r>
      <w:bookmarkEnd w:id="72"/>
    </w:p>
    <w:p w14:paraId="45DC69E6" w14:textId="77777777" w:rsidR="00D838C8" w:rsidRPr="001E4518" w:rsidRDefault="00D838C8" w:rsidP="00D838C8">
      <w:pPr>
        <w:pStyle w:val="AH5Sec"/>
      </w:pPr>
      <w:bookmarkStart w:id="73" w:name="_Toc72505985"/>
      <w:r w:rsidRPr="00224E14">
        <w:rPr>
          <w:rStyle w:val="CharSectNo"/>
        </w:rPr>
        <w:t>1.20A</w:t>
      </w:r>
      <w:r w:rsidRPr="001E4518">
        <w:tab/>
        <w:t>Application</w:t>
      </w:r>
      <w:r w:rsidRPr="001E4518">
        <w:rPr>
          <w:color w:val="000000"/>
        </w:rPr>
        <w:t>—div 1.2.4</w:t>
      </w:r>
      <w:bookmarkEnd w:id="73"/>
    </w:p>
    <w:p w14:paraId="33D7781E" w14:textId="77777777" w:rsidR="00D838C8" w:rsidRPr="001E4518" w:rsidRDefault="00D838C8" w:rsidP="00D838C8">
      <w:pPr>
        <w:pStyle w:val="Amainreturn"/>
      </w:pPr>
      <w:r w:rsidRPr="001E4518">
        <w:t>This division applies only to a totalisator licensee or a sports bookmaking licensee.</w:t>
      </w:r>
    </w:p>
    <w:p w14:paraId="6C27EF63" w14:textId="77777777" w:rsidR="00D838C8" w:rsidRPr="001E4518" w:rsidRDefault="00D838C8" w:rsidP="00D838C8">
      <w:pPr>
        <w:pStyle w:val="AH5Sec"/>
      </w:pPr>
      <w:bookmarkStart w:id="74" w:name="_Toc72505986"/>
      <w:r w:rsidRPr="00224E14">
        <w:rPr>
          <w:rStyle w:val="CharSectNo"/>
        </w:rPr>
        <w:t>1.20B</w:t>
      </w:r>
      <w:r w:rsidRPr="001E4518">
        <w:tab/>
        <w:t>Definitions</w:t>
      </w:r>
      <w:r w:rsidRPr="001E4518">
        <w:rPr>
          <w:color w:val="000000"/>
        </w:rPr>
        <w:t>—div 1.2.4</w:t>
      </w:r>
      <w:bookmarkEnd w:id="74"/>
    </w:p>
    <w:p w14:paraId="531796A9" w14:textId="77777777" w:rsidR="00D838C8" w:rsidRPr="001E4518" w:rsidRDefault="00D838C8" w:rsidP="00D838C8">
      <w:pPr>
        <w:pStyle w:val="Amainreturn"/>
      </w:pPr>
      <w:r w:rsidRPr="001E4518">
        <w:t>In this division:</w:t>
      </w:r>
    </w:p>
    <w:p w14:paraId="4AFBA83C" w14:textId="77777777" w:rsidR="00D838C8" w:rsidRPr="001E4518" w:rsidRDefault="00D838C8" w:rsidP="00D838C8">
      <w:pPr>
        <w:pStyle w:val="aDef"/>
      </w:pPr>
      <w:r w:rsidRPr="001E4518">
        <w:rPr>
          <w:rStyle w:val="charBoldItals"/>
        </w:rPr>
        <w:t xml:space="preserve">betting account </w:t>
      </w:r>
      <w:r w:rsidRPr="001E4518">
        <w:t>means an account held by a person with a licensee into which funds are or can be deposited and used by the person to place a bet with the licensee.</w:t>
      </w:r>
    </w:p>
    <w:p w14:paraId="3371F3A5" w14:textId="77777777" w:rsidR="00D838C8" w:rsidRPr="001E4518" w:rsidRDefault="00D838C8" w:rsidP="00D838C8">
      <w:pPr>
        <w:pStyle w:val="aDef"/>
      </w:pPr>
      <w:r w:rsidRPr="001E4518">
        <w:rPr>
          <w:rStyle w:val="charBoldItals"/>
        </w:rPr>
        <w:t>deposit limit</w:t>
      </w:r>
      <w:r w:rsidRPr="001E4518">
        <w:t>, for a person’s betting account, means a limit to the amount that can be deposited into the account during a stated period or periods.</w:t>
      </w:r>
    </w:p>
    <w:p w14:paraId="359CBF5C" w14:textId="77777777" w:rsidR="00D838C8" w:rsidRPr="001E4518" w:rsidRDefault="00D838C8" w:rsidP="00D838C8">
      <w:pPr>
        <w:pStyle w:val="AH5Sec"/>
      </w:pPr>
      <w:bookmarkStart w:id="75" w:name="_Toc72505987"/>
      <w:r w:rsidRPr="00224E14">
        <w:rPr>
          <w:rStyle w:val="CharSectNo"/>
        </w:rPr>
        <w:lastRenderedPageBreak/>
        <w:t>1.20C</w:t>
      </w:r>
      <w:r w:rsidRPr="001E4518">
        <w:tab/>
        <w:t>Information about deposit limits</w:t>
      </w:r>
      <w:bookmarkEnd w:id="75"/>
    </w:p>
    <w:p w14:paraId="5965EBA9" w14:textId="77777777" w:rsidR="00D838C8" w:rsidRPr="001E4518" w:rsidRDefault="00D838C8" w:rsidP="00B36027">
      <w:pPr>
        <w:pStyle w:val="Amain"/>
        <w:keepNext/>
      </w:pPr>
      <w:r w:rsidRPr="001E4518">
        <w:tab/>
        <w:t>(1)</w:t>
      </w:r>
      <w:r w:rsidRPr="001E4518">
        <w:tab/>
        <w:t>A licensee must not open a betting account for a person unless</w:t>
      </w:r>
      <w:r w:rsidRPr="001E4518">
        <w:rPr>
          <w:color w:val="000000"/>
        </w:rPr>
        <w:t>—</w:t>
      </w:r>
    </w:p>
    <w:p w14:paraId="360E97EC" w14:textId="77777777" w:rsidR="00D838C8" w:rsidRPr="001E4518" w:rsidRDefault="00D838C8" w:rsidP="00B36027">
      <w:pPr>
        <w:pStyle w:val="Apara"/>
        <w:keepNext/>
      </w:pPr>
      <w:r w:rsidRPr="001E4518">
        <w:tab/>
        <w:t>(a)</w:t>
      </w:r>
      <w:r w:rsidRPr="001E4518">
        <w:tab/>
        <w:t>the licensee, in accordance with any guidelines made under section 1.20G, has</w:t>
      </w:r>
      <w:r w:rsidRPr="001E4518">
        <w:rPr>
          <w:color w:val="000000"/>
        </w:rPr>
        <w:t>—</w:t>
      </w:r>
    </w:p>
    <w:p w14:paraId="68E7174B" w14:textId="77777777" w:rsidR="00D838C8" w:rsidRPr="001E4518" w:rsidRDefault="00D838C8" w:rsidP="00B36027">
      <w:pPr>
        <w:pStyle w:val="Asubpara"/>
        <w:keepNext/>
      </w:pPr>
      <w:r w:rsidRPr="001E4518">
        <w:tab/>
        <w:t>(i)</w:t>
      </w:r>
      <w:r w:rsidRPr="001E4518">
        <w:tab/>
        <w:t>told the person they can set a deposit limit for the account; and</w:t>
      </w:r>
    </w:p>
    <w:p w14:paraId="04757AEE" w14:textId="77777777" w:rsidR="00D838C8" w:rsidRPr="001E4518" w:rsidRDefault="00D838C8" w:rsidP="00D838C8">
      <w:pPr>
        <w:pStyle w:val="Asubpara"/>
      </w:pPr>
      <w:r w:rsidRPr="001E4518">
        <w:tab/>
        <w:t>(ii)</w:t>
      </w:r>
      <w:r w:rsidRPr="001E4518">
        <w:tab/>
        <w:t>asked the person whether they want to set a deposit limit; and</w:t>
      </w:r>
    </w:p>
    <w:p w14:paraId="29F9B868" w14:textId="77777777" w:rsidR="00D838C8" w:rsidRPr="001E4518" w:rsidRDefault="00D838C8" w:rsidP="00D838C8">
      <w:pPr>
        <w:pStyle w:val="Apara"/>
      </w:pPr>
      <w:r w:rsidRPr="001E4518">
        <w:tab/>
        <w:t>(b)</w:t>
      </w:r>
      <w:r w:rsidRPr="001E4518">
        <w:tab/>
        <w:t>the person has set, or declined to set, a deposit limit for the account.</w:t>
      </w:r>
    </w:p>
    <w:p w14:paraId="6C242D3E" w14:textId="77777777" w:rsidR="00D838C8" w:rsidRPr="001E4518" w:rsidRDefault="00D838C8" w:rsidP="00D838C8">
      <w:pPr>
        <w:pStyle w:val="Amain"/>
      </w:pPr>
      <w:r w:rsidRPr="001E4518">
        <w:tab/>
        <w:t>(2)</w:t>
      </w:r>
      <w:r w:rsidRPr="001E4518">
        <w:tab/>
        <w:t>At least once every 12 months while a person has a betting account with a licensee, the licensee must, in accordance with any guidelines made under section 1.20G</w:t>
      </w:r>
      <w:r w:rsidRPr="001E4518">
        <w:rPr>
          <w:color w:val="000000"/>
        </w:rPr>
        <w:t>—</w:t>
      </w:r>
    </w:p>
    <w:p w14:paraId="42E89DF5" w14:textId="77777777" w:rsidR="00D838C8" w:rsidRPr="001E4518" w:rsidRDefault="00D838C8" w:rsidP="00D838C8">
      <w:pPr>
        <w:pStyle w:val="Apara"/>
      </w:pPr>
      <w:r w:rsidRPr="001E4518">
        <w:tab/>
        <w:t>(a)</w:t>
      </w:r>
      <w:r w:rsidRPr="001E4518">
        <w:tab/>
        <w:t>if the account has no deposit limit</w:t>
      </w:r>
      <w:r w:rsidRPr="001E4518">
        <w:rPr>
          <w:color w:val="000000"/>
        </w:rPr>
        <w:t>—tell</w:t>
      </w:r>
      <w:r w:rsidRPr="001E4518">
        <w:t xml:space="preserve"> the person they can set a deposit limit and ask the person whether they want to set a deposit limit; and</w:t>
      </w:r>
    </w:p>
    <w:p w14:paraId="71009259" w14:textId="77777777" w:rsidR="00D838C8" w:rsidRPr="001E4518" w:rsidRDefault="00D838C8" w:rsidP="00D838C8">
      <w:pPr>
        <w:pStyle w:val="Apara"/>
      </w:pPr>
      <w:r w:rsidRPr="001E4518">
        <w:tab/>
        <w:t>(b)</w:t>
      </w:r>
      <w:r w:rsidRPr="001E4518">
        <w:tab/>
        <w:t>if the account has a deposit limit</w:t>
      </w:r>
      <w:r w:rsidRPr="001E4518">
        <w:rPr>
          <w:color w:val="000000"/>
        </w:rPr>
        <w:t>—</w:t>
      </w:r>
      <w:r w:rsidRPr="001E4518">
        <w:t>ask the person whether they want to change the deposit limit.</w:t>
      </w:r>
    </w:p>
    <w:p w14:paraId="3DFB5213" w14:textId="77777777" w:rsidR="00D838C8" w:rsidRPr="001E4518" w:rsidRDefault="00D838C8" w:rsidP="00D838C8">
      <w:pPr>
        <w:pStyle w:val="Amain"/>
      </w:pPr>
      <w:r w:rsidRPr="001E4518">
        <w:tab/>
        <w:t>(3)</w:t>
      </w:r>
      <w:r w:rsidRPr="001E4518">
        <w:tab/>
        <w:t>Subsection (2) does not apply if the betting account has not been used to make or settle a bet within the previous 12 months.</w:t>
      </w:r>
    </w:p>
    <w:p w14:paraId="6D88728C" w14:textId="77777777" w:rsidR="00D838C8" w:rsidRPr="001E4518" w:rsidRDefault="00D838C8" w:rsidP="00D838C8">
      <w:pPr>
        <w:pStyle w:val="Amain"/>
        <w:rPr>
          <w:color w:val="000000"/>
        </w:rPr>
      </w:pPr>
      <w:r w:rsidRPr="001E4518">
        <w:tab/>
        <w:t>(4)</w:t>
      </w:r>
      <w:r w:rsidRPr="001E4518">
        <w:tab/>
        <w:t>A licensee must publish information promoting deposit limits</w:t>
      </w:r>
      <w:r w:rsidRPr="001E4518">
        <w:rPr>
          <w:color w:val="000000"/>
        </w:rPr>
        <w:t>—</w:t>
      </w:r>
    </w:p>
    <w:p w14:paraId="269F6849" w14:textId="77777777" w:rsidR="00D838C8" w:rsidRPr="001E4518" w:rsidRDefault="00D838C8" w:rsidP="00D838C8">
      <w:pPr>
        <w:pStyle w:val="Apara"/>
      </w:pPr>
      <w:r w:rsidRPr="001E4518">
        <w:tab/>
        <w:t>(a)</w:t>
      </w:r>
      <w:r w:rsidRPr="001E4518">
        <w:tab/>
        <w:t>on the licensee’s website and on each communication channel a person can use to place a bet with the licensee; and</w:t>
      </w:r>
    </w:p>
    <w:p w14:paraId="4C708313" w14:textId="77777777" w:rsidR="00D838C8" w:rsidRPr="001E4518" w:rsidRDefault="00D838C8" w:rsidP="00D838C8">
      <w:pPr>
        <w:pStyle w:val="Apara"/>
      </w:pPr>
      <w:r w:rsidRPr="001E4518">
        <w:tab/>
        <w:t>(b)</w:t>
      </w:r>
      <w:r w:rsidRPr="001E4518">
        <w:tab/>
        <w:t>in accordance with any guidelines made under section 1.20G.</w:t>
      </w:r>
    </w:p>
    <w:p w14:paraId="13613F7B" w14:textId="77777777" w:rsidR="00D838C8" w:rsidRPr="001E4518" w:rsidRDefault="00D838C8" w:rsidP="00D838C8">
      <w:pPr>
        <w:pStyle w:val="AH5Sec"/>
      </w:pPr>
      <w:bookmarkStart w:id="76" w:name="_Toc72505988"/>
      <w:r w:rsidRPr="00224E14">
        <w:rPr>
          <w:rStyle w:val="CharSectNo"/>
        </w:rPr>
        <w:t>1.20D</w:t>
      </w:r>
      <w:r w:rsidRPr="001E4518">
        <w:tab/>
        <w:t>No deposits over deposit limit</w:t>
      </w:r>
      <w:bookmarkEnd w:id="76"/>
    </w:p>
    <w:p w14:paraId="14CD016A" w14:textId="77777777" w:rsidR="00D838C8" w:rsidRPr="001E4518" w:rsidRDefault="00D838C8" w:rsidP="00D838C8">
      <w:pPr>
        <w:pStyle w:val="Amainreturn"/>
      </w:pPr>
      <w:r w:rsidRPr="001E4518">
        <w:t>A licensee must not allow a person to deposit money into a betting account held with the licensee if depositing the amount would result in the deposit limit for the account being exceeded.</w:t>
      </w:r>
    </w:p>
    <w:p w14:paraId="17BC0E09" w14:textId="77777777" w:rsidR="00D838C8" w:rsidRPr="001E4518" w:rsidRDefault="00D838C8" w:rsidP="00D838C8">
      <w:pPr>
        <w:pStyle w:val="aExamHdgss"/>
      </w:pPr>
      <w:r w:rsidRPr="001E4518">
        <w:lastRenderedPageBreak/>
        <w:t>Examples</w:t>
      </w:r>
    </w:p>
    <w:p w14:paraId="24733089" w14:textId="77777777" w:rsidR="00D838C8" w:rsidRPr="001E4518" w:rsidRDefault="00D838C8" w:rsidP="00D838C8">
      <w:pPr>
        <w:pStyle w:val="aExamINumss"/>
      </w:pPr>
      <w:r w:rsidRPr="001E4518">
        <w:t>1</w:t>
      </w:r>
      <w:r w:rsidRPr="001E4518">
        <w:tab/>
        <w:t>Ali has a betting account with XYZ licensee and has set a deposit limit of $100 per week. Ali deposits $100 into the account. Less than a week later, Ali attempts to deposit $10 into the account. XYZ licensee must reject the transaction as it would exceed Ali’s deposit limit of $100 per week.</w:t>
      </w:r>
    </w:p>
    <w:p w14:paraId="7219B343" w14:textId="77777777" w:rsidR="00D838C8" w:rsidRPr="001E4518" w:rsidRDefault="00D838C8" w:rsidP="00D838C8">
      <w:pPr>
        <w:pStyle w:val="aExamINumss"/>
      </w:pPr>
      <w:r w:rsidRPr="001E4518">
        <w:t>2</w:t>
      </w:r>
      <w:r w:rsidRPr="001E4518">
        <w:tab/>
        <w:t>Pat has a betting account with XYZ licensee and has set a deposit limit of $200 per fortnight. Pat deposits $100 into the account. Less than a fortnight later, Pat attempts to deposit $150 into the account. XYZ licensee must reject the transaction as it would exceed Pat’s deposit limit of $200 per fortnight.</w:t>
      </w:r>
    </w:p>
    <w:p w14:paraId="5EFEF3B8" w14:textId="77777777" w:rsidR="00D838C8" w:rsidRPr="001E4518" w:rsidRDefault="00D838C8" w:rsidP="00D838C8">
      <w:pPr>
        <w:pStyle w:val="AH5Sec"/>
      </w:pPr>
      <w:bookmarkStart w:id="77" w:name="_Toc72505989"/>
      <w:r w:rsidRPr="00224E14">
        <w:rPr>
          <w:rStyle w:val="CharSectNo"/>
        </w:rPr>
        <w:t>1.20E</w:t>
      </w:r>
      <w:r w:rsidRPr="001E4518">
        <w:tab/>
        <w:t>Setting and changing deposit limits</w:t>
      </w:r>
      <w:bookmarkEnd w:id="77"/>
    </w:p>
    <w:p w14:paraId="75D8C6B6" w14:textId="77777777" w:rsidR="00D838C8" w:rsidRPr="001E4518" w:rsidRDefault="00D838C8" w:rsidP="00D838C8">
      <w:pPr>
        <w:pStyle w:val="Amain"/>
      </w:pPr>
      <w:r w:rsidRPr="001E4518">
        <w:tab/>
        <w:t>(1)</w:t>
      </w:r>
      <w:r w:rsidRPr="001E4518">
        <w:tab/>
        <w:t>A licensee must ensure that the process for a person to set and change a deposit limit for their betting account held with the licensee—</w:t>
      </w:r>
    </w:p>
    <w:p w14:paraId="184C3166" w14:textId="77777777" w:rsidR="00D838C8" w:rsidRPr="001E4518" w:rsidRDefault="00D838C8" w:rsidP="00D838C8">
      <w:pPr>
        <w:pStyle w:val="Apara"/>
      </w:pPr>
      <w:r w:rsidRPr="001E4518">
        <w:tab/>
        <w:t>(a)</w:t>
      </w:r>
      <w:r w:rsidRPr="001E4518">
        <w:tab/>
        <w:t>is simple and easy for the person to use; and</w:t>
      </w:r>
    </w:p>
    <w:p w14:paraId="3E0FE481" w14:textId="77777777" w:rsidR="00D838C8" w:rsidRPr="001E4518" w:rsidRDefault="00D838C8" w:rsidP="00D838C8">
      <w:pPr>
        <w:pStyle w:val="Apara"/>
      </w:pPr>
      <w:r w:rsidRPr="001E4518">
        <w:tab/>
        <w:t>(b)</w:t>
      </w:r>
      <w:r w:rsidRPr="001E4518">
        <w:tab/>
        <w:t>allows the person to choose the period or periods to which the limit applies, including a period or periods of 1, 7, 14 or 28 days; and</w:t>
      </w:r>
    </w:p>
    <w:p w14:paraId="02BE0986" w14:textId="77777777" w:rsidR="00D838C8" w:rsidRPr="001E4518" w:rsidRDefault="00D838C8" w:rsidP="00D838C8">
      <w:pPr>
        <w:pStyle w:val="Apara"/>
      </w:pPr>
      <w:r w:rsidRPr="001E4518">
        <w:tab/>
        <w:t>(c)</w:t>
      </w:r>
      <w:r w:rsidRPr="001E4518">
        <w:tab/>
        <w:t>complies with any guidelines made under section 1.20G.</w:t>
      </w:r>
    </w:p>
    <w:p w14:paraId="4F80194B" w14:textId="77777777" w:rsidR="00D838C8" w:rsidRPr="001E4518" w:rsidRDefault="00D838C8" w:rsidP="00D838C8">
      <w:pPr>
        <w:pStyle w:val="Amain"/>
      </w:pPr>
      <w:r w:rsidRPr="001E4518">
        <w:tab/>
        <w:t>(2)</w:t>
      </w:r>
      <w:r w:rsidRPr="001E4518">
        <w:tab/>
        <w:t>A licensee must set or lower the deposit limit for a person’s betting account with the licensee immediately when the licensee receives a request from the person to do so.</w:t>
      </w:r>
    </w:p>
    <w:p w14:paraId="00573442" w14:textId="77777777" w:rsidR="00D838C8" w:rsidRPr="001E4518" w:rsidRDefault="00D838C8" w:rsidP="00D838C8">
      <w:pPr>
        <w:pStyle w:val="Amain"/>
      </w:pPr>
      <w:r w:rsidRPr="001E4518">
        <w:tab/>
        <w:t>(3)</w:t>
      </w:r>
      <w:r w:rsidRPr="001E4518">
        <w:tab/>
        <w:t>A licensee must not increase the deposit limit for a person’s betting account with the licensee until at least 7 days after the licensee receives a request to do so.</w:t>
      </w:r>
    </w:p>
    <w:p w14:paraId="2C7C8292" w14:textId="77777777" w:rsidR="00D838C8" w:rsidRPr="001E4518" w:rsidRDefault="00D838C8" w:rsidP="00D838C8">
      <w:pPr>
        <w:pStyle w:val="AH5Sec"/>
      </w:pPr>
      <w:bookmarkStart w:id="78" w:name="_Toc72505990"/>
      <w:r w:rsidRPr="00224E14">
        <w:rPr>
          <w:rStyle w:val="CharSectNo"/>
        </w:rPr>
        <w:t>1.20F</w:t>
      </w:r>
      <w:r w:rsidRPr="001E4518">
        <w:tab/>
        <w:t>Closing betting accounts</w:t>
      </w:r>
      <w:bookmarkEnd w:id="78"/>
    </w:p>
    <w:p w14:paraId="3FA9F687" w14:textId="77777777" w:rsidR="00D838C8" w:rsidRPr="001E4518" w:rsidRDefault="00D838C8" w:rsidP="00D838C8">
      <w:pPr>
        <w:pStyle w:val="Amain"/>
      </w:pPr>
      <w:r w:rsidRPr="001E4518">
        <w:tab/>
        <w:t>(1)</w:t>
      </w:r>
      <w:r w:rsidRPr="001E4518">
        <w:tab/>
        <w:t>A licensee must, in accordance with any guidelines made under section 1.20G, ensure that the process for a person to close their betting account held with the licensee is</w:t>
      </w:r>
      <w:r w:rsidRPr="001E4518">
        <w:rPr>
          <w:color w:val="000000"/>
        </w:rPr>
        <w:t>—</w:t>
      </w:r>
    </w:p>
    <w:p w14:paraId="766378F3" w14:textId="77777777" w:rsidR="00D838C8" w:rsidRPr="001E4518" w:rsidRDefault="00D838C8" w:rsidP="00D838C8">
      <w:pPr>
        <w:pStyle w:val="Apara"/>
      </w:pPr>
      <w:r w:rsidRPr="001E4518">
        <w:tab/>
        <w:t>(a)</w:t>
      </w:r>
      <w:r w:rsidRPr="001E4518">
        <w:tab/>
        <w:t>simple and easy for the person to use; and</w:t>
      </w:r>
    </w:p>
    <w:p w14:paraId="6123EF4C" w14:textId="77777777" w:rsidR="00D838C8" w:rsidRPr="001E4518" w:rsidRDefault="00D838C8" w:rsidP="00D838C8">
      <w:pPr>
        <w:pStyle w:val="Apara"/>
      </w:pPr>
      <w:r w:rsidRPr="001E4518">
        <w:lastRenderedPageBreak/>
        <w:tab/>
        <w:t>(b)</w:t>
      </w:r>
      <w:r w:rsidRPr="001E4518">
        <w:tab/>
        <w:t>prominently and clearly communicated on the licensee’s website and through any communication channel the person can use to place a bet with the licensee.</w:t>
      </w:r>
    </w:p>
    <w:p w14:paraId="3AA01B8A" w14:textId="77777777" w:rsidR="00D838C8" w:rsidRPr="001E4518" w:rsidRDefault="00D838C8" w:rsidP="00D838C8">
      <w:pPr>
        <w:pStyle w:val="Amain"/>
      </w:pPr>
      <w:r w:rsidRPr="001E4518">
        <w:tab/>
        <w:t>(2)</w:t>
      </w:r>
      <w:r w:rsidRPr="001E4518">
        <w:tab/>
        <w:t>A licensee must ensure that a person can ask to close their betting account—</w:t>
      </w:r>
    </w:p>
    <w:p w14:paraId="2B4D4A4F" w14:textId="77777777" w:rsidR="00D838C8" w:rsidRPr="001E4518" w:rsidRDefault="00D838C8" w:rsidP="00D838C8">
      <w:pPr>
        <w:pStyle w:val="Apara"/>
      </w:pPr>
      <w:r w:rsidRPr="001E4518">
        <w:tab/>
        <w:t>(a)</w:t>
      </w:r>
      <w:r w:rsidRPr="001E4518">
        <w:tab/>
        <w:t>by email; and</w:t>
      </w:r>
    </w:p>
    <w:p w14:paraId="4F2895FC" w14:textId="77777777" w:rsidR="00D838C8" w:rsidRPr="001E4518" w:rsidRDefault="00D838C8" w:rsidP="00D838C8">
      <w:pPr>
        <w:pStyle w:val="Apara"/>
      </w:pPr>
      <w:r w:rsidRPr="001E4518">
        <w:tab/>
        <w:t>(b)</w:t>
      </w:r>
      <w:r w:rsidRPr="001E4518">
        <w:tab/>
        <w:t>by telephone; and</w:t>
      </w:r>
    </w:p>
    <w:p w14:paraId="630EC3DB" w14:textId="77777777" w:rsidR="00D838C8" w:rsidRPr="001E4518" w:rsidRDefault="00D838C8" w:rsidP="00D838C8">
      <w:pPr>
        <w:pStyle w:val="Apara"/>
      </w:pPr>
      <w:r w:rsidRPr="001E4518">
        <w:tab/>
        <w:t>(c)</w:t>
      </w:r>
      <w:r w:rsidRPr="001E4518">
        <w:tab/>
        <w:t>by any other communication channel that the person can use to place a bet with the licensee.</w:t>
      </w:r>
    </w:p>
    <w:p w14:paraId="487C8432" w14:textId="77777777" w:rsidR="00D838C8" w:rsidRPr="001E4518" w:rsidRDefault="00D838C8" w:rsidP="00D838C8">
      <w:pPr>
        <w:pStyle w:val="Amain"/>
      </w:pPr>
      <w:r w:rsidRPr="001E4518">
        <w:tab/>
        <w:t>(3)</w:t>
      </w:r>
      <w:r w:rsidRPr="001E4518">
        <w:tab/>
        <w:t>After a licensee has received a request from a person to close their betting account, the licensee</w:t>
      </w:r>
      <w:r w:rsidRPr="001E4518">
        <w:rPr>
          <w:color w:val="000000"/>
        </w:rPr>
        <w:t>—</w:t>
      </w:r>
    </w:p>
    <w:p w14:paraId="6BE8519F" w14:textId="77777777" w:rsidR="00D838C8" w:rsidRPr="001E4518" w:rsidRDefault="00D838C8" w:rsidP="00D838C8">
      <w:pPr>
        <w:pStyle w:val="Apara"/>
      </w:pPr>
      <w:r w:rsidRPr="001E4518">
        <w:tab/>
        <w:t>(a)</w:t>
      </w:r>
      <w:r w:rsidRPr="001E4518">
        <w:tab/>
        <w:t>must not accept a bet using the account; and</w:t>
      </w:r>
    </w:p>
    <w:p w14:paraId="4A902A56" w14:textId="77777777" w:rsidR="00D838C8" w:rsidRPr="001E4518" w:rsidRDefault="00D838C8" w:rsidP="00D838C8">
      <w:pPr>
        <w:pStyle w:val="Apara"/>
      </w:pPr>
      <w:r w:rsidRPr="001E4518">
        <w:tab/>
        <w:t>(b)</w:t>
      </w:r>
      <w:r w:rsidRPr="001E4518">
        <w:tab/>
        <w:t>must close the account as soon as practicable after all bets made using the account have been settled.</w:t>
      </w:r>
    </w:p>
    <w:p w14:paraId="17B4FC89" w14:textId="77777777" w:rsidR="00D838C8" w:rsidRPr="001E4518" w:rsidRDefault="00D838C8" w:rsidP="00D838C8">
      <w:pPr>
        <w:pStyle w:val="Amain"/>
      </w:pPr>
      <w:r w:rsidRPr="001E4518">
        <w:tab/>
        <w:t>(4)</w:t>
      </w:r>
      <w:r w:rsidRPr="001E4518">
        <w:tab/>
        <w:t>If a licensee receives a request from a person to close their betting account, the licensee</w:t>
      </w:r>
      <w:r w:rsidRPr="001E4518">
        <w:rPr>
          <w:color w:val="000000"/>
        </w:rPr>
        <w:t>—</w:t>
      </w:r>
    </w:p>
    <w:p w14:paraId="1548DEB3" w14:textId="77777777" w:rsidR="00D838C8" w:rsidRPr="001E4518" w:rsidRDefault="00D838C8" w:rsidP="00D838C8">
      <w:pPr>
        <w:pStyle w:val="Apara"/>
      </w:pPr>
      <w:r w:rsidRPr="001E4518">
        <w:tab/>
        <w:t>(a)</w:t>
      </w:r>
      <w:r w:rsidRPr="001E4518">
        <w:tab/>
        <w:t>must not encourage or induce the person to cancel the request; but</w:t>
      </w:r>
    </w:p>
    <w:p w14:paraId="27944515" w14:textId="77777777" w:rsidR="00D838C8" w:rsidRPr="001E4518" w:rsidRDefault="00D838C8" w:rsidP="00A62CD5">
      <w:pPr>
        <w:pStyle w:val="Apara"/>
        <w:keepNext/>
      </w:pPr>
      <w:r w:rsidRPr="001E4518">
        <w:tab/>
        <w:t>(b)</w:t>
      </w:r>
      <w:r w:rsidRPr="001E4518">
        <w:tab/>
        <w:t>may explain to the person the effects of closing the account and ask the person whether they want to proceed with closing it.</w:t>
      </w:r>
    </w:p>
    <w:p w14:paraId="7E2AF81D" w14:textId="77777777" w:rsidR="00D838C8" w:rsidRPr="001E4518" w:rsidRDefault="00D838C8" w:rsidP="00D838C8">
      <w:pPr>
        <w:pStyle w:val="aNote"/>
      </w:pPr>
      <w:r w:rsidRPr="001E4518">
        <w:rPr>
          <w:rStyle w:val="charItals"/>
        </w:rPr>
        <w:t>Note</w:t>
      </w:r>
      <w:r w:rsidRPr="001E4518">
        <w:rPr>
          <w:rStyle w:val="charItals"/>
        </w:rPr>
        <w:tab/>
      </w:r>
      <w:r w:rsidRPr="001E4518">
        <w:t>A licensee must not send direct marketing to a person after the person has asked to close their betting account (see s 1.30C (3) (b)).</w:t>
      </w:r>
    </w:p>
    <w:p w14:paraId="517D674C" w14:textId="77777777" w:rsidR="00D838C8" w:rsidRPr="001E4518" w:rsidRDefault="00D838C8" w:rsidP="00D838C8">
      <w:pPr>
        <w:pStyle w:val="AH5Sec"/>
      </w:pPr>
      <w:bookmarkStart w:id="79" w:name="_Toc72505991"/>
      <w:r w:rsidRPr="00224E14">
        <w:rPr>
          <w:rStyle w:val="CharSectNo"/>
        </w:rPr>
        <w:t>1.20G</w:t>
      </w:r>
      <w:r w:rsidRPr="001E4518">
        <w:tab/>
        <w:t>Guidelines about betting accounts</w:t>
      </w:r>
      <w:bookmarkEnd w:id="79"/>
    </w:p>
    <w:p w14:paraId="52F0A4B3" w14:textId="77777777" w:rsidR="00D838C8" w:rsidRPr="001E4518" w:rsidRDefault="00D838C8" w:rsidP="00D838C8">
      <w:pPr>
        <w:pStyle w:val="Amain"/>
      </w:pPr>
      <w:r w:rsidRPr="001E4518">
        <w:tab/>
        <w:t>(1)</w:t>
      </w:r>
      <w:r w:rsidRPr="001E4518">
        <w:tab/>
        <w:t>The Minister may make guidelines about—</w:t>
      </w:r>
    </w:p>
    <w:p w14:paraId="74EB5BEA" w14:textId="77777777" w:rsidR="00D838C8" w:rsidRPr="001E4518" w:rsidRDefault="00D838C8" w:rsidP="00D838C8">
      <w:pPr>
        <w:pStyle w:val="Apara"/>
      </w:pPr>
      <w:r w:rsidRPr="001E4518">
        <w:tab/>
        <w:t>(a)</w:t>
      </w:r>
      <w:r w:rsidRPr="001E4518">
        <w:tab/>
        <w:t>the information a licensee must provide in relation to setting, changing and promoting deposit limits and closing betting accounts; and</w:t>
      </w:r>
    </w:p>
    <w:p w14:paraId="043207A3" w14:textId="77777777" w:rsidR="00D838C8" w:rsidRPr="001E4518" w:rsidRDefault="00D838C8" w:rsidP="00D838C8">
      <w:pPr>
        <w:pStyle w:val="Apara"/>
      </w:pPr>
      <w:r w:rsidRPr="001E4518">
        <w:lastRenderedPageBreak/>
        <w:tab/>
        <w:t>(b)</w:t>
      </w:r>
      <w:r w:rsidRPr="001E4518">
        <w:tab/>
        <w:t>the process for setting and changing deposit limits and closing betting accounts.</w:t>
      </w:r>
    </w:p>
    <w:p w14:paraId="0E5BB3C9" w14:textId="77777777" w:rsidR="00D838C8" w:rsidRPr="001E4518" w:rsidRDefault="00D838C8" w:rsidP="00D838C8">
      <w:pPr>
        <w:pStyle w:val="Amain"/>
      </w:pPr>
      <w:r w:rsidRPr="001E4518">
        <w:tab/>
        <w:t>(2)</w:t>
      </w:r>
      <w:r w:rsidRPr="001E4518">
        <w:tab/>
        <w:t>A guideline made under subsection (1) (a) may include requirements for the following:</w:t>
      </w:r>
    </w:p>
    <w:p w14:paraId="6F0CE901" w14:textId="77777777" w:rsidR="00D838C8" w:rsidRPr="001E4518" w:rsidRDefault="00D838C8" w:rsidP="00D838C8">
      <w:pPr>
        <w:pStyle w:val="Apara"/>
      </w:pPr>
      <w:r w:rsidRPr="001E4518">
        <w:tab/>
        <w:t>(a)</w:t>
      </w:r>
      <w:r w:rsidRPr="001E4518">
        <w:tab/>
        <w:t>the content or form of information to be provided by a licensee;</w:t>
      </w:r>
    </w:p>
    <w:p w14:paraId="5D53B409" w14:textId="77777777" w:rsidR="00D838C8" w:rsidRPr="001E4518" w:rsidRDefault="00D838C8" w:rsidP="00D838C8">
      <w:pPr>
        <w:pStyle w:val="Apara"/>
      </w:pPr>
      <w:r w:rsidRPr="001E4518">
        <w:tab/>
        <w:t>(b)</w:t>
      </w:r>
      <w:r w:rsidRPr="001E4518">
        <w:tab/>
        <w:t>when information must be communicated by a licensee and to whom;</w:t>
      </w:r>
    </w:p>
    <w:p w14:paraId="6F2EB407" w14:textId="77777777" w:rsidR="00D838C8" w:rsidRPr="001E4518" w:rsidRDefault="00D838C8" w:rsidP="00D838C8">
      <w:pPr>
        <w:pStyle w:val="Apara"/>
      </w:pPr>
      <w:r w:rsidRPr="001E4518">
        <w:tab/>
        <w:t>(c)</w:t>
      </w:r>
      <w:r w:rsidRPr="001E4518">
        <w:tab/>
        <w:t>where or how information must be communicated by a licensee.</w:t>
      </w:r>
    </w:p>
    <w:p w14:paraId="6DBD6CEC" w14:textId="77777777" w:rsidR="00D838C8" w:rsidRPr="001E4518" w:rsidRDefault="00D838C8" w:rsidP="00D838C8">
      <w:pPr>
        <w:pStyle w:val="Amain"/>
      </w:pPr>
      <w:r w:rsidRPr="001E4518">
        <w:tab/>
        <w:t>(3)</w:t>
      </w:r>
      <w:r w:rsidRPr="001E4518">
        <w:tab/>
        <w:t>A guideline is a notifiable instrument.</w:t>
      </w:r>
    </w:p>
    <w:p w14:paraId="170887A8" w14:textId="73E5158A" w:rsidR="00D838C8" w:rsidRPr="001E4518" w:rsidRDefault="00D838C8" w:rsidP="00D838C8">
      <w:pPr>
        <w:pStyle w:val="aNote"/>
      </w:pPr>
      <w:r w:rsidRPr="001E4518">
        <w:rPr>
          <w:rStyle w:val="charItals"/>
        </w:rPr>
        <w:t>Note</w:t>
      </w:r>
      <w:r w:rsidRPr="001E4518">
        <w:rPr>
          <w:rStyle w:val="charItals"/>
        </w:rPr>
        <w:tab/>
      </w:r>
      <w:r w:rsidRPr="001E4518">
        <w:t xml:space="preserve">A notifiable instrument must be notified under the </w:t>
      </w:r>
      <w:hyperlink r:id="rId66" w:tooltip="A2001-14" w:history="1">
        <w:r w:rsidRPr="001E4518">
          <w:rPr>
            <w:rStyle w:val="charCitHyperlinkAbbrev"/>
          </w:rPr>
          <w:t>Legislation Act</w:t>
        </w:r>
      </w:hyperlink>
      <w:r w:rsidRPr="001E4518">
        <w:t>.</w:t>
      </w:r>
    </w:p>
    <w:p w14:paraId="3D48FD7E" w14:textId="77777777" w:rsidR="00D838C8" w:rsidRPr="001E4518" w:rsidRDefault="00D838C8" w:rsidP="00D838C8">
      <w:pPr>
        <w:pStyle w:val="AH5Sec"/>
      </w:pPr>
      <w:bookmarkStart w:id="80" w:name="_Toc72505992"/>
      <w:r w:rsidRPr="00224E14">
        <w:rPr>
          <w:rStyle w:val="CharSectNo"/>
        </w:rPr>
        <w:t>1.20H</w:t>
      </w:r>
      <w:r w:rsidRPr="001E4518">
        <w:tab/>
        <w:t>Directions about betting accounts</w:t>
      </w:r>
      <w:bookmarkEnd w:id="80"/>
    </w:p>
    <w:p w14:paraId="34318CDC" w14:textId="77777777" w:rsidR="00D838C8" w:rsidRPr="001E4518" w:rsidRDefault="00D838C8" w:rsidP="00D838C8">
      <w:pPr>
        <w:pStyle w:val="Amain"/>
      </w:pPr>
      <w:r w:rsidRPr="001E4518">
        <w:tab/>
        <w:t>(1)</w:t>
      </w:r>
      <w:r w:rsidRPr="001E4518">
        <w:tab/>
        <w:t>The commission may give a written direction to a licensee to ensure compliance with this division.</w:t>
      </w:r>
    </w:p>
    <w:p w14:paraId="6BF5B5B3" w14:textId="77777777" w:rsidR="00D838C8" w:rsidRDefault="00D838C8" w:rsidP="00D838C8">
      <w:pPr>
        <w:pStyle w:val="Amain"/>
      </w:pPr>
      <w:r w:rsidRPr="001E4518">
        <w:tab/>
        <w:t>(2)</w:t>
      </w:r>
      <w:r w:rsidRPr="001E4518">
        <w:tab/>
        <w:t>If the commission gives a direction to a licensee, the licensee must comply with the direction.</w:t>
      </w:r>
    </w:p>
    <w:p w14:paraId="4C4895CD" w14:textId="77777777" w:rsidR="00D847F1" w:rsidRDefault="00D847F1">
      <w:pPr>
        <w:pStyle w:val="PageBreak"/>
      </w:pPr>
      <w:r>
        <w:br w:type="page"/>
      </w:r>
    </w:p>
    <w:p w14:paraId="17A7CA64" w14:textId="77777777" w:rsidR="00D847F1" w:rsidRPr="00224E14" w:rsidRDefault="00D847F1">
      <w:pPr>
        <w:pStyle w:val="Sched-Part"/>
        <w:spacing w:before="200"/>
      </w:pPr>
      <w:bookmarkStart w:id="81" w:name="_Toc72505993"/>
      <w:r w:rsidRPr="00224E14">
        <w:rPr>
          <w:rStyle w:val="CharPartNo"/>
        </w:rPr>
        <w:lastRenderedPageBreak/>
        <w:t>Part 1.3</w:t>
      </w:r>
      <w:r>
        <w:tab/>
      </w:r>
      <w:r w:rsidRPr="00224E14">
        <w:rPr>
          <w:rStyle w:val="CharPartText"/>
        </w:rPr>
        <w:t>Financial controls and gambling environment</w:t>
      </w:r>
      <w:bookmarkEnd w:id="81"/>
    </w:p>
    <w:p w14:paraId="1B0C2DE8" w14:textId="77777777" w:rsidR="00D847F1" w:rsidRDefault="00D847F1">
      <w:pPr>
        <w:pStyle w:val="Placeholder"/>
      </w:pPr>
      <w:r>
        <w:rPr>
          <w:rStyle w:val="CharDivNo"/>
        </w:rPr>
        <w:t xml:space="preserve">  </w:t>
      </w:r>
      <w:r>
        <w:rPr>
          <w:rStyle w:val="CharDivText"/>
        </w:rPr>
        <w:t xml:space="preserve">  </w:t>
      </w:r>
    </w:p>
    <w:p w14:paraId="3D49CD03" w14:textId="77777777" w:rsidR="00D847F1" w:rsidRDefault="00D847F1">
      <w:pPr>
        <w:pStyle w:val="Schclauseheading"/>
      </w:pPr>
      <w:bookmarkStart w:id="82" w:name="_Toc72505994"/>
      <w:r w:rsidRPr="00224E14">
        <w:rPr>
          <w:rStyle w:val="CharSectNo"/>
        </w:rPr>
        <w:t>1.21</w:t>
      </w:r>
      <w:r>
        <w:tab/>
        <w:t>Cash facilities</w:t>
      </w:r>
      <w:bookmarkEnd w:id="82"/>
    </w:p>
    <w:p w14:paraId="534ABA9D" w14:textId="77777777" w:rsidR="00D847F1" w:rsidRDefault="00D847F1">
      <w:pPr>
        <w:pStyle w:val="Amain"/>
      </w:pPr>
      <w:r>
        <w:tab/>
        <w:t>(1)</w:t>
      </w:r>
      <w:r>
        <w:tab/>
        <w:t>This section applies to a casino licensee.</w:t>
      </w:r>
    </w:p>
    <w:p w14:paraId="74E600A8" w14:textId="77777777" w:rsidR="00D847F1" w:rsidRDefault="00D847F1">
      <w:pPr>
        <w:pStyle w:val="Amain"/>
      </w:pPr>
      <w:r>
        <w:tab/>
        <w:t>(2)</w:t>
      </w:r>
      <w:r>
        <w:tab/>
        <w:t xml:space="preserve">The licensee of a gambling facility to whom this section applies must ensure that a cash facility is not located in a gaming area of the facility. </w:t>
      </w:r>
    </w:p>
    <w:p w14:paraId="36B43540" w14:textId="77777777" w:rsidR="00D847F1" w:rsidRDefault="00D847F1">
      <w:pPr>
        <w:pStyle w:val="Amain"/>
        <w:keepNext/>
      </w:pPr>
      <w:r>
        <w:tab/>
        <w:t>(3)</w:t>
      </w:r>
      <w:r>
        <w:tab/>
        <w:t>In this section:</w:t>
      </w:r>
    </w:p>
    <w:p w14:paraId="3A6BBAC8" w14:textId="77777777" w:rsidR="00D847F1" w:rsidRDefault="00D847F1">
      <w:pPr>
        <w:pStyle w:val="aDef"/>
        <w:keepNext/>
      </w:pPr>
      <w:r>
        <w:rPr>
          <w:rStyle w:val="charBoldItals"/>
        </w:rPr>
        <w:t>cash facility</w:t>
      </w:r>
      <w:r>
        <w:t xml:space="preserve"> means—</w:t>
      </w:r>
    </w:p>
    <w:p w14:paraId="51E95F06" w14:textId="77777777" w:rsidR="00D847F1" w:rsidRDefault="00D847F1">
      <w:pPr>
        <w:pStyle w:val="aDefpara"/>
      </w:pPr>
      <w:r>
        <w:tab/>
        <w:t>(a)</w:t>
      </w:r>
      <w:r>
        <w:tab/>
        <w:t>an automatic teller machine; or</w:t>
      </w:r>
    </w:p>
    <w:p w14:paraId="00EF5741" w14:textId="77777777" w:rsidR="00D847F1" w:rsidRDefault="00D847F1">
      <w:pPr>
        <w:pStyle w:val="aDefpara"/>
      </w:pPr>
      <w:r>
        <w:tab/>
        <w:t>(b)</w:t>
      </w:r>
      <w:r>
        <w:tab/>
        <w:t>an EFTPOS facility.</w:t>
      </w:r>
    </w:p>
    <w:p w14:paraId="78F30591" w14:textId="77777777" w:rsidR="00D847F1" w:rsidRDefault="00D847F1">
      <w:pPr>
        <w:pStyle w:val="Schclauseheading"/>
      </w:pPr>
      <w:bookmarkStart w:id="83" w:name="_Toc72505995"/>
      <w:r w:rsidRPr="00224E14">
        <w:rPr>
          <w:rStyle w:val="CharSectNo"/>
        </w:rPr>
        <w:t>1.22</w:t>
      </w:r>
      <w:r>
        <w:tab/>
        <w:t>Cash payment limits for casino licensees</w:t>
      </w:r>
      <w:bookmarkEnd w:id="83"/>
    </w:p>
    <w:p w14:paraId="1E298B48" w14:textId="77777777" w:rsidR="00D847F1" w:rsidRDefault="00D847F1">
      <w:pPr>
        <w:pStyle w:val="Amain"/>
      </w:pPr>
      <w:r>
        <w:tab/>
        <w:t>(1)</w:t>
      </w:r>
      <w:r>
        <w:tab/>
        <w:t>A casino licensee must not pay to a gambling patron w</w:t>
      </w:r>
      <w:r w:rsidR="007F160B">
        <w:t>innings in cash of more than $25</w:t>
      </w:r>
      <w:r>
        <w:t xml:space="preserve"> 000 in any gaming day.</w:t>
      </w:r>
    </w:p>
    <w:p w14:paraId="3AD1150F" w14:textId="77777777" w:rsidR="00D847F1" w:rsidRDefault="00D847F1" w:rsidP="003E3DF8">
      <w:pPr>
        <w:pStyle w:val="aExamHdgss"/>
        <w:keepNext w:val="0"/>
      </w:pPr>
      <w:r>
        <w:t>Example</w:t>
      </w:r>
    </w:p>
    <w:p w14:paraId="0221BA5E" w14:textId="77777777" w:rsidR="00D847F1" w:rsidRDefault="00D847F1" w:rsidP="003E3DF8">
      <w:pPr>
        <w:pStyle w:val="aExamss"/>
      </w:pPr>
      <w:r>
        <w:t xml:space="preserve">A gambling patron in a casino </w:t>
      </w:r>
      <w:r w:rsidR="00F823D7" w:rsidRPr="00A35BB6">
        <w:t>wins $30 000, and at 10 pm on Wednesday the casino pays the person $25 000</w:t>
      </w:r>
      <w:r>
        <w:t xml:space="preserve"> in cash and the balance of $5 000 by cheque or electronic funds transfer.  The casino must not make any further cash payments to the person until the casino re-opens to the general public at 12 noon on Thursday.</w:t>
      </w:r>
    </w:p>
    <w:p w14:paraId="62F75A6C" w14:textId="77777777" w:rsidR="00D847F1" w:rsidRDefault="00D847F1" w:rsidP="003E3DF8">
      <w:pPr>
        <w:pStyle w:val="Amain"/>
      </w:pPr>
      <w:r>
        <w:tab/>
        <w:t>(2)</w:t>
      </w:r>
      <w:r>
        <w:tab/>
        <w:t>To remove any doubt, subsection (1) does not prevent the payme</w:t>
      </w:r>
      <w:r w:rsidR="00F823D7">
        <w:t>nt of winnings, in excess of $25</w:t>
      </w:r>
      <w:r>
        <w:t xml:space="preserve"> 000, in any other way.</w:t>
      </w:r>
    </w:p>
    <w:p w14:paraId="4654DCDE" w14:textId="77777777" w:rsidR="00D847F1" w:rsidRDefault="00D847F1" w:rsidP="003E3DF8">
      <w:pPr>
        <w:pStyle w:val="Amain"/>
        <w:keepNext/>
      </w:pPr>
      <w:r>
        <w:lastRenderedPageBreak/>
        <w:tab/>
        <w:t>(3)</w:t>
      </w:r>
      <w:r>
        <w:tab/>
        <w:t>Subsection (1) does not apply to the payment of winnings to a person participating in a commission-based player scheme.</w:t>
      </w:r>
    </w:p>
    <w:p w14:paraId="40AA1640" w14:textId="77777777" w:rsidR="00D847F1" w:rsidRDefault="00D847F1" w:rsidP="003E3DF8">
      <w:pPr>
        <w:pStyle w:val="Amain"/>
        <w:keepNext/>
      </w:pPr>
      <w:r>
        <w:tab/>
        <w:t>(4)</w:t>
      </w:r>
      <w:r>
        <w:tab/>
        <w:t>In this section:</w:t>
      </w:r>
    </w:p>
    <w:p w14:paraId="58247AC7" w14:textId="36783E7A" w:rsidR="00D847F1" w:rsidRDefault="00D847F1" w:rsidP="003E3DF8">
      <w:pPr>
        <w:pStyle w:val="aDef"/>
        <w:keepNext/>
      </w:pPr>
      <w:r>
        <w:rPr>
          <w:rStyle w:val="charBoldItals"/>
        </w:rPr>
        <w:t>commission-based player scheme</w:t>
      </w:r>
      <w:r>
        <w:t xml:space="preserve">—see the </w:t>
      </w:r>
      <w:hyperlink r:id="rId67" w:tooltip="A2006-2" w:history="1">
        <w:r w:rsidR="00DF21AF" w:rsidRPr="00DF21AF">
          <w:rPr>
            <w:rStyle w:val="charCitHyperlinkItal"/>
          </w:rPr>
          <w:t>Casino Control Act 2006</w:t>
        </w:r>
      </w:hyperlink>
      <w:r>
        <w:t>, dictionary.</w:t>
      </w:r>
    </w:p>
    <w:p w14:paraId="0A8702DB" w14:textId="77777777" w:rsidR="00D847F1" w:rsidRDefault="00D847F1">
      <w:pPr>
        <w:pStyle w:val="Amainreturn"/>
        <w:keepNext/>
      </w:pPr>
      <w:r>
        <w:rPr>
          <w:rStyle w:val="charBoldItals"/>
        </w:rPr>
        <w:t>gaming day</w:t>
      </w:r>
      <w:r>
        <w:rPr>
          <w:b/>
          <w:bCs/>
        </w:rPr>
        <w:t xml:space="preserve"> </w:t>
      </w:r>
      <w:r>
        <w:t>means—</w:t>
      </w:r>
    </w:p>
    <w:p w14:paraId="788547DF" w14:textId="77777777" w:rsidR="00D847F1" w:rsidRDefault="00D847F1">
      <w:pPr>
        <w:pStyle w:val="Apara"/>
      </w:pPr>
      <w:r>
        <w:tab/>
        <w:t>(a)</w:t>
      </w:r>
      <w:r>
        <w:tab/>
        <w:t>the period from when the casino opens to the public on a day until it next closes; but</w:t>
      </w:r>
    </w:p>
    <w:p w14:paraId="2C233EAF" w14:textId="77777777" w:rsidR="00D847F1" w:rsidRDefault="00D847F1">
      <w:pPr>
        <w:pStyle w:val="Apara"/>
      </w:pPr>
      <w:r>
        <w:tab/>
        <w:t>(b)</w:t>
      </w:r>
      <w:r>
        <w:tab/>
        <w:t>if the casino is open to the public for longer than 24 hours continuously—</w:t>
      </w:r>
    </w:p>
    <w:p w14:paraId="5F287F09" w14:textId="77777777" w:rsidR="00D847F1" w:rsidRDefault="00D847F1">
      <w:pPr>
        <w:pStyle w:val="Asubpara"/>
      </w:pPr>
      <w:r>
        <w:tab/>
        <w:t>(i)</w:t>
      </w:r>
      <w:r>
        <w:tab/>
        <w:t>each 24-hour period for which it is open to the public; and</w:t>
      </w:r>
    </w:p>
    <w:p w14:paraId="2F9E76B4" w14:textId="77777777" w:rsidR="00D847F1" w:rsidRDefault="00D847F1">
      <w:pPr>
        <w:pStyle w:val="Asubpara"/>
      </w:pPr>
      <w:r>
        <w:tab/>
        <w:t>(ii)</w:t>
      </w:r>
      <w:r>
        <w:tab/>
        <w:t>if the last period before it closes is less than 24</w:t>
      </w:r>
      <w:r w:rsidR="00A03D08">
        <w:t> </w:t>
      </w:r>
      <w:r>
        <w:t>hours—that period.</w:t>
      </w:r>
    </w:p>
    <w:p w14:paraId="6D3CA996" w14:textId="77777777" w:rsidR="00D847F1" w:rsidRDefault="00D847F1">
      <w:pPr>
        <w:pStyle w:val="Schclauseheading"/>
      </w:pPr>
      <w:bookmarkStart w:id="84" w:name="_Toc72505996"/>
      <w:r w:rsidRPr="00224E14">
        <w:rPr>
          <w:rStyle w:val="CharSectNo"/>
        </w:rPr>
        <w:t>1.23</w:t>
      </w:r>
      <w:r>
        <w:tab/>
        <w:t>Other cash payment limits</w:t>
      </w:r>
      <w:bookmarkEnd w:id="84"/>
    </w:p>
    <w:p w14:paraId="4B42C34C" w14:textId="77777777" w:rsidR="00D847F1" w:rsidRDefault="00D847F1" w:rsidP="004031BA">
      <w:pPr>
        <w:pStyle w:val="Amain"/>
        <w:keepNext/>
      </w:pPr>
      <w:r>
        <w:tab/>
        <w:t>(1)</w:t>
      </w:r>
      <w:r>
        <w:tab/>
        <w:t>A licensee must not, for a particular event or contingency on which a gambling patron has staked or risked money, pay the patron winnings in cash that are more than the amount worked out under table 1.23.</w:t>
      </w:r>
    </w:p>
    <w:p w14:paraId="5B4B1259" w14:textId="77777777" w:rsidR="00E32685" w:rsidRPr="00A35BB6" w:rsidRDefault="00E32685" w:rsidP="00E32685">
      <w:pPr>
        <w:pStyle w:val="TableHd"/>
      </w:pPr>
      <w:r w:rsidRPr="00A35BB6">
        <w:tab/>
        <w:t>Table 1.23</w:t>
      </w:r>
    </w:p>
    <w:tbl>
      <w:tblPr>
        <w:tblW w:w="5928" w:type="dxa"/>
        <w:tblInd w:w="11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54"/>
        <w:gridCol w:w="2052"/>
        <w:gridCol w:w="2622"/>
      </w:tblGrid>
      <w:tr w:rsidR="00E32685" w:rsidRPr="00A35BB6" w14:paraId="71316DFD" w14:textId="77777777" w:rsidTr="00E32685">
        <w:trPr>
          <w:cantSplit/>
          <w:tblHeader/>
        </w:trPr>
        <w:tc>
          <w:tcPr>
            <w:tcW w:w="1254" w:type="dxa"/>
            <w:tcBorders>
              <w:bottom w:val="single" w:sz="4" w:space="0" w:color="auto"/>
            </w:tcBorders>
          </w:tcPr>
          <w:p w14:paraId="6A0BD511" w14:textId="77777777" w:rsidR="00E32685" w:rsidRPr="00A35BB6" w:rsidRDefault="00E32685" w:rsidP="00E32685">
            <w:pPr>
              <w:pStyle w:val="TableColHd"/>
            </w:pPr>
            <w:r w:rsidRPr="00A35BB6">
              <w:t>column 1</w:t>
            </w:r>
          </w:p>
          <w:p w14:paraId="62F9ED3A" w14:textId="77777777" w:rsidR="00E32685" w:rsidRPr="00A35BB6" w:rsidRDefault="00E32685" w:rsidP="00E32685">
            <w:pPr>
              <w:pStyle w:val="TableColHd"/>
            </w:pPr>
            <w:r w:rsidRPr="00A35BB6">
              <w:t>item</w:t>
            </w:r>
          </w:p>
        </w:tc>
        <w:tc>
          <w:tcPr>
            <w:tcW w:w="2052" w:type="dxa"/>
            <w:tcBorders>
              <w:bottom w:val="single" w:sz="4" w:space="0" w:color="auto"/>
            </w:tcBorders>
          </w:tcPr>
          <w:p w14:paraId="290EB42C" w14:textId="77777777" w:rsidR="00E32685" w:rsidRPr="00A35BB6" w:rsidRDefault="00E32685" w:rsidP="00E32685">
            <w:pPr>
              <w:pStyle w:val="TableColHd"/>
            </w:pPr>
            <w:r w:rsidRPr="00A35BB6">
              <w:t>column 2</w:t>
            </w:r>
          </w:p>
          <w:p w14:paraId="3422B741" w14:textId="77777777" w:rsidR="00E32685" w:rsidRPr="00A35BB6" w:rsidRDefault="00E32685" w:rsidP="00E32685">
            <w:pPr>
              <w:pStyle w:val="TableColHd"/>
            </w:pPr>
            <w:r w:rsidRPr="00A35BB6">
              <w:t>type of licensee</w:t>
            </w:r>
          </w:p>
        </w:tc>
        <w:tc>
          <w:tcPr>
            <w:tcW w:w="2622" w:type="dxa"/>
            <w:tcBorders>
              <w:bottom w:val="single" w:sz="4" w:space="0" w:color="auto"/>
            </w:tcBorders>
          </w:tcPr>
          <w:p w14:paraId="32DD0617" w14:textId="77777777" w:rsidR="00E32685" w:rsidRPr="00A35BB6" w:rsidRDefault="00E32685" w:rsidP="00E32685">
            <w:pPr>
              <w:pStyle w:val="TableColHd"/>
            </w:pPr>
            <w:r w:rsidRPr="00A35BB6">
              <w:t>column 3</w:t>
            </w:r>
          </w:p>
          <w:p w14:paraId="643F7326" w14:textId="77777777" w:rsidR="00E32685" w:rsidRPr="00A35BB6" w:rsidRDefault="00E32685" w:rsidP="00E32685">
            <w:pPr>
              <w:pStyle w:val="TableColHd"/>
            </w:pPr>
            <w:r w:rsidRPr="00A35BB6">
              <w:t>maximum cash payable</w:t>
            </w:r>
          </w:p>
        </w:tc>
      </w:tr>
      <w:tr w:rsidR="00E32685" w:rsidRPr="00A35BB6" w14:paraId="6292A5FA" w14:textId="77777777" w:rsidTr="00E32685">
        <w:trPr>
          <w:cantSplit/>
        </w:trPr>
        <w:tc>
          <w:tcPr>
            <w:tcW w:w="1254" w:type="dxa"/>
            <w:tcBorders>
              <w:top w:val="single" w:sz="4" w:space="0" w:color="auto"/>
            </w:tcBorders>
          </w:tcPr>
          <w:p w14:paraId="1055866A" w14:textId="77777777" w:rsidR="00E32685" w:rsidRPr="00A35BB6" w:rsidRDefault="00E32685" w:rsidP="00E32685">
            <w:pPr>
              <w:pStyle w:val="TableText"/>
              <w:keepNext/>
              <w:rPr>
                <w:sz w:val="20"/>
              </w:rPr>
            </w:pPr>
            <w:r w:rsidRPr="00A35BB6">
              <w:rPr>
                <w:sz w:val="20"/>
              </w:rPr>
              <w:t>1</w:t>
            </w:r>
          </w:p>
        </w:tc>
        <w:tc>
          <w:tcPr>
            <w:tcW w:w="2052" w:type="dxa"/>
            <w:tcBorders>
              <w:top w:val="single" w:sz="4" w:space="0" w:color="auto"/>
            </w:tcBorders>
          </w:tcPr>
          <w:p w14:paraId="3C123B98" w14:textId="77777777" w:rsidR="00E32685" w:rsidRPr="00A35BB6" w:rsidRDefault="00E32685" w:rsidP="00E32685">
            <w:pPr>
              <w:pStyle w:val="TableText"/>
              <w:keepNext/>
              <w:rPr>
                <w:sz w:val="20"/>
              </w:rPr>
            </w:pPr>
            <w:r w:rsidRPr="00A35BB6">
              <w:rPr>
                <w:sz w:val="20"/>
              </w:rPr>
              <w:t>bookmaker</w:t>
            </w:r>
          </w:p>
        </w:tc>
        <w:tc>
          <w:tcPr>
            <w:tcW w:w="2622" w:type="dxa"/>
            <w:tcBorders>
              <w:top w:val="single" w:sz="4" w:space="0" w:color="auto"/>
            </w:tcBorders>
          </w:tcPr>
          <w:p w14:paraId="2284FAB5" w14:textId="77777777" w:rsidR="00E32685" w:rsidRPr="00A35BB6" w:rsidRDefault="00E32685" w:rsidP="00E32685">
            <w:pPr>
              <w:pStyle w:val="TableText"/>
              <w:keepNext/>
              <w:keepLines/>
              <w:rPr>
                <w:sz w:val="20"/>
              </w:rPr>
            </w:pPr>
            <w:r w:rsidRPr="00A35BB6">
              <w:rPr>
                <w:sz w:val="20"/>
              </w:rPr>
              <w:t>$25 000</w:t>
            </w:r>
          </w:p>
        </w:tc>
      </w:tr>
      <w:tr w:rsidR="00E32685" w:rsidRPr="00A35BB6" w14:paraId="29B05A8F" w14:textId="77777777" w:rsidTr="00E32685">
        <w:trPr>
          <w:cantSplit/>
        </w:trPr>
        <w:tc>
          <w:tcPr>
            <w:tcW w:w="1254" w:type="dxa"/>
          </w:tcPr>
          <w:p w14:paraId="2EF658D0" w14:textId="77777777" w:rsidR="00E32685" w:rsidRPr="00A35BB6" w:rsidRDefault="00E32685" w:rsidP="00E32685">
            <w:pPr>
              <w:pStyle w:val="TableText"/>
              <w:keepNext/>
              <w:rPr>
                <w:sz w:val="20"/>
              </w:rPr>
            </w:pPr>
            <w:r w:rsidRPr="00A35BB6">
              <w:rPr>
                <w:sz w:val="20"/>
              </w:rPr>
              <w:t>2</w:t>
            </w:r>
          </w:p>
        </w:tc>
        <w:tc>
          <w:tcPr>
            <w:tcW w:w="2052" w:type="dxa"/>
          </w:tcPr>
          <w:p w14:paraId="3BB9FA1B" w14:textId="77777777" w:rsidR="00E32685" w:rsidRPr="00A35BB6" w:rsidRDefault="00E32685" w:rsidP="00E32685">
            <w:pPr>
              <w:pStyle w:val="TableText"/>
              <w:keepNext/>
              <w:rPr>
                <w:sz w:val="20"/>
              </w:rPr>
            </w:pPr>
            <w:r w:rsidRPr="00A35BB6">
              <w:rPr>
                <w:sz w:val="20"/>
              </w:rPr>
              <w:t xml:space="preserve">totalisator </w:t>
            </w:r>
          </w:p>
        </w:tc>
        <w:tc>
          <w:tcPr>
            <w:tcW w:w="2622" w:type="dxa"/>
          </w:tcPr>
          <w:p w14:paraId="68BCAFC7" w14:textId="77777777" w:rsidR="00E32685" w:rsidRPr="00A35BB6" w:rsidRDefault="00E32685" w:rsidP="00E32685">
            <w:pPr>
              <w:pStyle w:val="TableText"/>
              <w:keepNext/>
              <w:keepLines/>
              <w:rPr>
                <w:sz w:val="20"/>
              </w:rPr>
            </w:pPr>
            <w:r w:rsidRPr="00A35BB6">
              <w:rPr>
                <w:sz w:val="20"/>
              </w:rPr>
              <w:t>$25 000</w:t>
            </w:r>
          </w:p>
        </w:tc>
      </w:tr>
      <w:tr w:rsidR="00E32685" w:rsidRPr="00A35BB6" w14:paraId="31D55061" w14:textId="77777777" w:rsidTr="00E32685">
        <w:trPr>
          <w:cantSplit/>
        </w:trPr>
        <w:tc>
          <w:tcPr>
            <w:tcW w:w="1254" w:type="dxa"/>
          </w:tcPr>
          <w:p w14:paraId="6D8EDDB0" w14:textId="77777777" w:rsidR="00E32685" w:rsidRPr="00A35BB6" w:rsidRDefault="00E32685" w:rsidP="00E32685">
            <w:pPr>
              <w:pStyle w:val="TableText"/>
              <w:keepNext/>
              <w:rPr>
                <w:sz w:val="20"/>
              </w:rPr>
            </w:pPr>
            <w:r w:rsidRPr="00A35BB6">
              <w:rPr>
                <w:sz w:val="20"/>
              </w:rPr>
              <w:t>3</w:t>
            </w:r>
          </w:p>
        </w:tc>
        <w:tc>
          <w:tcPr>
            <w:tcW w:w="2052" w:type="dxa"/>
          </w:tcPr>
          <w:p w14:paraId="1CDB9C8E" w14:textId="77777777" w:rsidR="00E32685" w:rsidRPr="00A35BB6" w:rsidRDefault="00E32685" w:rsidP="00E32685">
            <w:pPr>
              <w:pStyle w:val="TableText"/>
              <w:keepNext/>
              <w:rPr>
                <w:sz w:val="20"/>
              </w:rPr>
            </w:pPr>
            <w:r w:rsidRPr="00A35BB6">
              <w:rPr>
                <w:sz w:val="20"/>
              </w:rPr>
              <w:t>lotteries</w:t>
            </w:r>
          </w:p>
        </w:tc>
        <w:tc>
          <w:tcPr>
            <w:tcW w:w="2622" w:type="dxa"/>
          </w:tcPr>
          <w:p w14:paraId="3011B18E" w14:textId="77777777" w:rsidR="00E32685" w:rsidRPr="00A35BB6" w:rsidRDefault="00E32685" w:rsidP="00E32685">
            <w:pPr>
              <w:pStyle w:val="TableText"/>
              <w:keepNext/>
              <w:keepLines/>
              <w:rPr>
                <w:sz w:val="20"/>
              </w:rPr>
            </w:pPr>
            <w:r w:rsidRPr="00A35BB6">
              <w:rPr>
                <w:sz w:val="20"/>
              </w:rPr>
              <w:t>$5 000</w:t>
            </w:r>
          </w:p>
        </w:tc>
      </w:tr>
      <w:tr w:rsidR="00E32685" w:rsidRPr="00A35BB6" w14:paraId="092FF5B9" w14:textId="77777777" w:rsidTr="00E32685">
        <w:trPr>
          <w:cantSplit/>
        </w:trPr>
        <w:tc>
          <w:tcPr>
            <w:tcW w:w="1254" w:type="dxa"/>
          </w:tcPr>
          <w:p w14:paraId="5F797121" w14:textId="77777777" w:rsidR="00E32685" w:rsidRPr="00A35BB6" w:rsidRDefault="00E32685" w:rsidP="00E32685">
            <w:pPr>
              <w:pStyle w:val="TableText"/>
              <w:rPr>
                <w:sz w:val="20"/>
              </w:rPr>
            </w:pPr>
            <w:r w:rsidRPr="00A35BB6">
              <w:rPr>
                <w:sz w:val="20"/>
              </w:rPr>
              <w:t>4</w:t>
            </w:r>
          </w:p>
        </w:tc>
        <w:tc>
          <w:tcPr>
            <w:tcW w:w="2052" w:type="dxa"/>
          </w:tcPr>
          <w:p w14:paraId="50F5DB4D" w14:textId="77777777" w:rsidR="00E32685" w:rsidRPr="00A35BB6" w:rsidRDefault="00E32685" w:rsidP="00E32685">
            <w:pPr>
              <w:pStyle w:val="TableText"/>
              <w:rPr>
                <w:sz w:val="20"/>
              </w:rPr>
            </w:pPr>
            <w:r w:rsidRPr="00A35BB6">
              <w:rPr>
                <w:sz w:val="20"/>
              </w:rPr>
              <w:t>keno</w:t>
            </w:r>
          </w:p>
        </w:tc>
        <w:tc>
          <w:tcPr>
            <w:tcW w:w="2622" w:type="dxa"/>
          </w:tcPr>
          <w:p w14:paraId="02EAEA6C" w14:textId="77777777" w:rsidR="00E32685" w:rsidRPr="00A35BB6" w:rsidRDefault="00E32685" w:rsidP="00E32685">
            <w:pPr>
              <w:pStyle w:val="TableText"/>
              <w:keepLines/>
              <w:rPr>
                <w:sz w:val="20"/>
              </w:rPr>
            </w:pPr>
            <w:r w:rsidRPr="00A35BB6">
              <w:rPr>
                <w:sz w:val="20"/>
              </w:rPr>
              <w:t>$5 000</w:t>
            </w:r>
          </w:p>
        </w:tc>
      </w:tr>
      <w:tr w:rsidR="00E32685" w:rsidRPr="00A35BB6" w14:paraId="787AC543" w14:textId="77777777" w:rsidTr="00E32685">
        <w:trPr>
          <w:cantSplit/>
        </w:trPr>
        <w:tc>
          <w:tcPr>
            <w:tcW w:w="1254" w:type="dxa"/>
          </w:tcPr>
          <w:p w14:paraId="0FF26E70" w14:textId="77777777" w:rsidR="00E32685" w:rsidRPr="00A35BB6" w:rsidRDefault="00E32685" w:rsidP="00E32685">
            <w:pPr>
              <w:pStyle w:val="TableText"/>
              <w:rPr>
                <w:sz w:val="20"/>
              </w:rPr>
            </w:pPr>
            <w:r w:rsidRPr="00A35BB6">
              <w:rPr>
                <w:sz w:val="20"/>
              </w:rPr>
              <w:t>5</w:t>
            </w:r>
          </w:p>
        </w:tc>
        <w:tc>
          <w:tcPr>
            <w:tcW w:w="2052" w:type="dxa"/>
          </w:tcPr>
          <w:p w14:paraId="628379F2" w14:textId="77777777" w:rsidR="00E32685" w:rsidRPr="00A35BB6" w:rsidRDefault="00E32685" w:rsidP="00E32685">
            <w:pPr>
              <w:pStyle w:val="TableText"/>
              <w:rPr>
                <w:sz w:val="20"/>
              </w:rPr>
            </w:pPr>
            <w:r w:rsidRPr="00A35BB6">
              <w:rPr>
                <w:sz w:val="20"/>
              </w:rPr>
              <w:t>trackside</w:t>
            </w:r>
          </w:p>
        </w:tc>
        <w:tc>
          <w:tcPr>
            <w:tcW w:w="2622" w:type="dxa"/>
          </w:tcPr>
          <w:p w14:paraId="68EA1D81" w14:textId="77777777" w:rsidR="00E32685" w:rsidRPr="00A35BB6" w:rsidRDefault="00E32685" w:rsidP="00E32685">
            <w:pPr>
              <w:pStyle w:val="TableText"/>
              <w:keepLines/>
              <w:rPr>
                <w:sz w:val="20"/>
              </w:rPr>
            </w:pPr>
            <w:r w:rsidRPr="00A35BB6">
              <w:rPr>
                <w:sz w:val="20"/>
              </w:rPr>
              <w:t>$5 000</w:t>
            </w:r>
          </w:p>
        </w:tc>
      </w:tr>
      <w:tr w:rsidR="00E32685" w:rsidRPr="00A35BB6" w14:paraId="2AEC6455" w14:textId="77777777" w:rsidTr="00E32685">
        <w:trPr>
          <w:cantSplit/>
        </w:trPr>
        <w:tc>
          <w:tcPr>
            <w:tcW w:w="1254" w:type="dxa"/>
          </w:tcPr>
          <w:p w14:paraId="18EE8EA8" w14:textId="77777777" w:rsidR="00E32685" w:rsidRPr="00A35BB6" w:rsidRDefault="00E32685" w:rsidP="003E3DF8">
            <w:pPr>
              <w:pStyle w:val="TableText"/>
              <w:keepNext/>
              <w:rPr>
                <w:sz w:val="20"/>
              </w:rPr>
            </w:pPr>
            <w:r w:rsidRPr="00A35BB6">
              <w:rPr>
                <w:sz w:val="20"/>
              </w:rPr>
              <w:lastRenderedPageBreak/>
              <w:t>6</w:t>
            </w:r>
          </w:p>
        </w:tc>
        <w:tc>
          <w:tcPr>
            <w:tcW w:w="2052" w:type="dxa"/>
          </w:tcPr>
          <w:p w14:paraId="12E38B7D" w14:textId="77777777" w:rsidR="00E32685" w:rsidRPr="00A35BB6" w:rsidRDefault="00E32685" w:rsidP="003E3DF8">
            <w:pPr>
              <w:pStyle w:val="TableText"/>
              <w:keepNext/>
              <w:rPr>
                <w:sz w:val="20"/>
              </w:rPr>
            </w:pPr>
            <w:r w:rsidRPr="00A35BB6">
              <w:rPr>
                <w:sz w:val="20"/>
              </w:rPr>
              <w:t>gaming machine</w:t>
            </w:r>
          </w:p>
        </w:tc>
        <w:tc>
          <w:tcPr>
            <w:tcW w:w="2622" w:type="dxa"/>
          </w:tcPr>
          <w:p w14:paraId="3E6B06B0" w14:textId="77777777" w:rsidR="00E32685" w:rsidRPr="00A35BB6" w:rsidRDefault="00E32685" w:rsidP="003E3DF8">
            <w:pPr>
              <w:pStyle w:val="TableText"/>
              <w:keepNext/>
              <w:keepLines/>
              <w:rPr>
                <w:sz w:val="20"/>
              </w:rPr>
            </w:pPr>
            <w:r w:rsidRPr="00A35BB6">
              <w:rPr>
                <w:sz w:val="20"/>
              </w:rPr>
              <w:t>$1 500</w:t>
            </w:r>
          </w:p>
        </w:tc>
      </w:tr>
      <w:tr w:rsidR="00E32685" w:rsidRPr="00A35BB6" w14:paraId="1C8F6631" w14:textId="77777777" w:rsidTr="00E32685">
        <w:trPr>
          <w:cantSplit/>
        </w:trPr>
        <w:tc>
          <w:tcPr>
            <w:tcW w:w="1254" w:type="dxa"/>
          </w:tcPr>
          <w:p w14:paraId="49D1D4EA" w14:textId="77777777" w:rsidR="00E32685" w:rsidRPr="00A35BB6" w:rsidRDefault="00E32685" w:rsidP="003E3DF8">
            <w:pPr>
              <w:pStyle w:val="TableText"/>
              <w:keepNext/>
              <w:rPr>
                <w:sz w:val="20"/>
              </w:rPr>
            </w:pPr>
            <w:r w:rsidRPr="00A35BB6">
              <w:rPr>
                <w:sz w:val="20"/>
              </w:rPr>
              <w:t>7</w:t>
            </w:r>
          </w:p>
        </w:tc>
        <w:tc>
          <w:tcPr>
            <w:tcW w:w="2052" w:type="dxa"/>
          </w:tcPr>
          <w:p w14:paraId="11E1EC27" w14:textId="77777777" w:rsidR="00E32685" w:rsidRPr="00A35BB6" w:rsidRDefault="00E32685" w:rsidP="003E3DF8">
            <w:pPr>
              <w:pStyle w:val="TableText"/>
              <w:keepNext/>
              <w:rPr>
                <w:sz w:val="20"/>
              </w:rPr>
            </w:pPr>
            <w:r w:rsidRPr="00A35BB6">
              <w:rPr>
                <w:sz w:val="20"/>
              </w:rPr>
              <w:t>housie</w:t>
            </w:r>
          </w:p>
        </w:tc>
        <w:tc>
          <w:tcPr>
            <w:tcW w:w="2622" w:type="dxa"/>
          </w:tcPr>
          <w:p w14:paraId="232D5129" w14:textId="77777777" w:rsidR="00E32685" w:rsidRPr="00A35BB6" w:rsidRDefault="00E32685" w:rsidP="003E3DF8">
            <w:pPr>
              <w:pStyle w:val="TableText"/>
              <w:keepNext/>
              <w:keepLines/>
              <w:rPr>
                <w:sz w:val="20"/>
              </w:rPr>
            </w:pPr>
            <w:r w:rsidRPr="00A35BB6">
              <w:rPr>
                <w:sz w:val="20"/>
              </w:rPr>
              <w:t>$1 250</w:t>
            </w:r>
          </w:p>
        </w:tc>
      </w:tr>
    </w:tbl>
    <w:p w14:paraId="4450268A" w14:textId="77777777" w:rsidR="00E32685" w:rsidRPr="00A35BB6" w:rsidRDefault="00E32685" w:rsidP="003E3DF8">
      <w:pPr>
        <w:pStyle w:val="aExamHdgss"/>
      </w:pPr>
      <w:r w:rsidRPr="00A35BB6">
        <w:t>Example</w:t>
      </w:r>
    </w:p>
    <w:p w14:paraId="51E35393" w14:textId="77777777" w:rsidR="00E32685" w:rsidRPr="00A35BB6" w:rsidRDefault="00E32685" w:rsidP="003E3DF8">
      <w:pPr>
        <w:pStyle w:val="aExamss"/>
        <w:keepNext/>
      </w:pPr>
      <w:r w:rsidRPr="00A35BB6">
        <w:t>A gambling patron wins $30 000 on a totalisator on race 3 Flemington Racecourse. The person must not be paid more than $25 000 in cash and must be paid any balance by cheque or electronic funds transfer. However, the person can be paid winnings in cash of not more than $25 000 if the person wins on a subsequent race.</w:t>
      </w:r>
    </w:p>
    <w:p w14:paraId="190A0745" w14:textId="77777777" w:rsidR="00D847F1" w:rsidRDefault="00D847F1">
      <w:pPr>
        <w:pStyle w:val="Amain"/>
      </w:pPr>
      <w:r>
        <w:tab/>
        <w:t>(2)</w:t>
      </w:r>
      <w:r>
        <w:tab/>
        <w:t>To remove any doubt, subsection (1) does not prevent the payment of winnings, in excess of the maximum amount payable in cash, in any other way.</w:t>
      </w:r>
    </w:p>
    <w:p w14:paraId="30C5A5E1" w14:textId="77777777" w:rsidR="00E32685" w:rsidRPr="00A35BB6" w:rsidRDefault="0063631C" w:rsidP="00E32685">
      <w:pPr>
        <w:pStyle w:val="SchAmain"/>
      </w:pPr>
      <w:r>
        <w:tab/>
        <w:t>(3</w:t>
      </w:r>
      <w:r w:rsidR="00E32685" w:rsidRPr="00A35BB6">
        <w:t>)</w:t>
      </w:r>
      <w:r w:rsidR="00E32685" w:rsidRPr="00A35BB6">
        <w:tab/>
        <w:t>A gaming machine licensee must pay a gambling patron winnings from a gaming machine by cheque or electronic funds transfer if—</w:t>
      </w:r>
    </w:p>
    <w:p w14:paraId="29796AFA" w14:textId="77777777" w:rsidR="00E32685" w:rsidRPr="00A35BB6" w:rsidRDefault="00E32685" w:rsidP="00E32685">
      <w:pPr>
        <w:pStyle w:val="SchApara"/>
      </w:pPr>
      <w:r w:rsidRPr="00A35BB6">
        <w:tab/>
        <w:t>(a)</w:t>
      </w:r>
      <w:r w:rsidRPr="00A35BB6">
        <w:tab/>
        <w:t>the winnings are more than $300; and</w:t>
      </w:r>
    </w:p>
    <w:p w14:paraId="3209C22D" w14:textId="77777777" w:rsidR="00E32685" w:rsidRPr="00A35BB6" w:rsidRDefault="00E32685" w:rsidP="00E32685">
      <w:pPr>
        <w:pStyle w:val="SchApara"/>
      </w:pPr>
      <w:r w:rsidRPr="00A35BB6">
        <w:tab/>
        <w:t>(b)</w:t>
      </w:r>
      <w:r w:rsidRPr="00A35BB6">
        <w:tab/>
        <w:t>the patron has requested the winnings be paid by cheque or electronic funds transfer.</w:t>
      </w:r>
    </w:p>
    <w:p w14:paraId="3B6B0B85" w14:textId="77777777" w:rsidR="00E32685" w:rsidRPr="00A35BB6" w:rsidRDefault="00E32685" w:rsidP="00E32685">
      <w:pPr>
        <w:pStyle w:val="Schclauseheading"/>
      </w:pPr>
      <w:bookmarkStart w:id="85" w:name="_Toc72505997"/>
      <w:r w:rsidRPr="00224E14">
        <w:rPr>
          <w:rStyle w:val="CharSectNo"/>
        </w:rPr>
        <w:t>1.23AA</w:t>
      </w:r>
      <w:r w:rsidRPr="00A35BB6">
        <w:tab/>
        <w:t>No winnings for excluded or underage patrons</w:t>
      </w:r>
      <w:bookmarkEnd w:id="85"/>
    </w:p>
    <w:p w14:paraId="14A5B89F" w14:textId="77777777" w:rsidR="00E32685" w:rsidRPr="00A35BB6" w:rsidRDefault="00E32685" w:rsidP="00E32685">
      <w:pPr>
        <w:pStyle w:val="SchAmain"/>
      </w:pPr>
      <w:r w:rsidRPr="00A35BB6">
        <w:tab/>
        <w:t>(1)</w:t>
      </w:r>
      <w:r w:rsidRPr="00A35BB6">
        <w:tab/>
        <w:t>A licensee of a gambling facility must not knowingly pay winnings to a person who—</w:t>
      </w:r>
    </w:p>
    <w:p w14:paraId="34A8744B" w14:textId="77777777" w:rsidR="00E32685" w:rsidRPr="00A35BB6" w:rsidRDefault="00E32685" w:rsidP="00E32685">
      <w:pPr>
        <w:pStyle w:val="SchApara"/>
        <w:rPr>
          <w:lang w:eastAsia="en-AU"/>
        </w:rPr>
      </w:pPr>
      <w:r w:rsidRPr="00A35BB6">
        <w:rPr>
          <w:lang w:eastAsia="en-AU"/>
        </w:rPr>
        <w:tab/>
        <w:t>(a)</w:t>
      </w:r>
      <w:r w:rsidRPr="00A35BB6">
        <w:rPr>
          <w:lang w:eastAsia="en-AU"/>
        </w:rPr>
        <w:tab/>
        <w:t>has been excluded from gambling under section 1.14 (Exclusion of people at risk or excluded under deed); or</w:t>
      </w:r>
    </w:p>
    <w:p w14:paraId="3D82347E" w14:textId="77777777" w:rsidR="00E32685" w:rsidRPr="00A35BB6" w:rsidRDefault="00E32685" w:rsidP="00E32685">
      <w:pPr>
        <w:pStyle w:val="SchApara"/>
      </w:pPr>
      <w:r w:rsidRPr="00A35BB6">
        <w:tab/>
        <w:t>(b)</w:t>
      </w:r>
      <w:r w:rsidRPr="00A35BB6">
        <w:tab/>
        <w:t>is under 18 years old.</w:t>
      </w:r>
    </w:p>
    <w:p w14:paraId="4724980B" w14:textId="77777777" w:rsidR="00E32685" w:rsidRPr="00A35BB6" w:rsidRDefault="00E32685" w:rsidP="00E32685">
      <w:pPr>
        <w:pStyle w:val="Amain"/>
      </w:pPr>
      <w:r w:rsidRPr="00A35BB6">
        <w:tab/>
        <w:t>(2)</w:t>
      </w:r>
      <w:r w:rsidRPr="00A35BB6">
        <w:tab/>
        <w:t>The licensee must keep any winnings of a person mentioned in subsection (1) and distribute them to other patrons of the facility in a way approved in writing by the commission.</w:t>
      </w:r>
    </w:p>
    <w:p w14:paraId="61E9C8C4" w14:textId="77777777" w:rsidR="00D847F1" w:rsidRDefault="00D847F1">
      <w:pPr>
        <w:pStyle w:val="Schclauseheading"/>
      </w:pPr>
      <w:bookmarkStart w:id="86" w:name="_Toc72505998"/>
      <w:r w:rsidRPr="00224E14">
        <w:rPr>
          <w:rStyle w:val="CharSectNo"/>
        </w:rPr>
        <w:lastRenderedPageBreak/>
        <w:t>1.23A</w:t>
      </w:r>
      <w:r>
        <w:tab/>
        <w:t>Non-cash payment of winnings</w:t>
      </w:r>
      <w:bookmarkEnd w:id="86"/>
    </w:p>
    <w:p w14:paraId="60C8012F" w14:textId="77777777" w:rsidR="00D847F1" w:rsidRDefault="00D847F1">
      <w:pPr>
        <w:pStyle w:val="Amain"/>
      </w:pPr>
      <w:r>
        <w:tab/>
        <w:t>(1)</w:t>
      </w:r>
      <w:r>
        <w:tab/>
        <w:t>Winnings to be paid otherwise than in cash must be paid by the licensee as soon as practicable but within 3 days after the day of the winning event or contingency.</w:t>
      </w:r>
    </w:p>
    <w:p w14:paraId="73E25D2F" w14:textId="77777777" w:rsidR="00D847F1" w:rsidRDefault="00D847F1">
      <w:pPr>
        <w:pStyle w:val="Amain"/>
      </w:pPr>
      <w:r>
        <w:tab/>
        <w:t>(2)</w:t>
      </w:r>
      <w:r>
        <w:tab/>
        <w:t xml:space="preserve">This section does not apply to a licensee mentioned in section 1.1, definition of </w:t>
      </w:r>
      <w:r>
        <w:rPr>
          <w:rStyle w:val="charBoldItals"/>
        </w:rPr>
        <w:t>licensee</w:t>
      </w:r>
      <w:r>
        <w:t>, paragraph (f).</w:t>
      </w:r>
    </w:p>
    <w:p w14:paraId="4E1DD09B" w14:textId="77777777" w:rsidR="00D847F1" w:rsidRDefault="00D847F1">
      <w:pPr>
        <w:pStyle w:val="Schclauseheading"/>
      </w:pPr>
      <w:bookmarkStart w:id="87" w:name="_Toc72505999"/>
      <w:r w:rsidRPr="00224E14">
        <w:rPr>
          <w:rStyle w:val="CharSectNo"/>
        </w:rPr>
        <w:t>1.24</w:t>
      </w:r>
      <w:r>
        <w:tab/>
        <w:t>Cheques</w:t>
      </w:r>
      <w:bookmarkEnd w:id="87"/>
    </w:p>
    <w:p w14:paraId="68D89FF3" w14:textId="77777777" w:rsidR="00D847F1" w:rsidRDefault="00D847F1" w:rsidP="008C0F0D">
      <w:pPr>
        <w:pStyle w:val="Amain"/>
        <w:keepNext/>
      </w:pPr>
      <w:r>
        <w:tab/>
        <w:t>(1)</w:t>
      </w:r>
      <w:r>
        <w:tab/>
        <w:t>This section applies to a gaming machine licensee.</w:t>
      </w:r>
    </w:p>
    <w:p w14:paraId="597D1EB8" w14:textId="77777777" w:rsidR="00D847F1" w:rsidRDefault="00D847F1" w:rsidP="008C0F0D">
      <w:pPr>
        <w:pStyle w:val="Amain"/>
        <w:keepNext/>
      </w:pPr>
      <w:r>
        <w:tab/>
        <w:t>(2)</w:t>
      </w:r>
      <w:r>
        <w:tab/>
        <w:t>The licensee of a gambling facility to whom this section applies must not—</w:t>
      </w:r>
    </w:p>
    <w:p w14:paraId="301052D5" w14:textId="77777777" w:rsidR="00D847F1" w:rsidRDefault="00D847F1">
      <w:pPr>
        <w:pStyle w:val="Apara"/>
      </w:pPr>
      <w:r>
        <w:tab/>
        <w:t>(a)</w:t>
      </w:r>
      <w:r>
        <w:tab/>
        <w:t>cash a cheque within a gaming area of the facility; or</w:t>
      </w:r>
    </w:p>
    <w:p w14:paraId="7D4694FC" w14:textId="77777777" w:rsidR="00D847F1" w:rsidRDefault="00D847F1">
      <w:pPr>
        <w:pStyle w:val="Apara"/>
      </w:pPr>
      <w:r>
        <w:tab/>
        <w:t>(b)</w:t>
      </w:r>
      <w:r>
        <w:tab/>
        <w:t>allow a person to buy back or redeem a previously cashed personal cheque.</w:t>
      </w:r>
    </w:p>
    <w:p w14:paraId="17CE7F0F" w14:textId="77777777" w:rsidR="00D847F1" w:rsidRDefault="00D847F1">
      <w:pPr>
        <w:pStyle w:val="Amain"/>
      </w:pPr>
      <w:r>
        <w:tab/>
        <w:t>(3)</w:t>
      </w:r>
      <w:r>
        <w:tab/>
        <w:t>The licensee of a gambling facility to whom this section applies must not—</w:t>
      </w:r>
    </w:p>
    <w:p w14:paraId="67ED317F" w14:textId="77777777" w:rsidR="00D847F1" w:rsidRDefault="00D847F1">
      <w:pPr>
        <w:pStyle w:val="Apara"/>
      </w:pPr>
      <w:r>
        <w:tab/>
        <w:t>(a)</w:t>
      </w:r>
      <w:r>
        <w:tab/>
        <w:t>cash a patron’s personal cheque for more than $250 on any day</w:t>
      </w:r>
      <w:r>
        <w:rPr>
          <w:b/>
        </w:rPr>
        <w:t xml:space="preserve"> </w:t>
      </w:r>
      <w:r>
        <w:t>unless the person has made arrangements with the licensee on a previous day; or</w:t>
      </w:r>
    </w:p>
    <w:p w14:paraId="1190C72E" w14:textId="77777777" w:rsidR="00D847F1" w:rsidRDefault="00D847F1">
      <w:pPr>
        <w:pStyle w:val="Apara"/>
      </w:pPr>
      <w:r>
        <w:tab/>
        <w:t>(b)</w:t>
      </w:r>
      <w:r>
        <w:tab/>
        <w:t>cash a cheque of any other kind for the patron.</w:t>
      </w:r>
    </w:p>
    <w:p w14:paraId="7A35F4B7" w14:textId="77777777" w:rsidR="00D847F1" w:rsidRDefault="00D847F1">
      <w:pPr>
        <w:pStyle w:val="Schclauseheading"/>
      </w:pPr>
      <w:bookmarkStart w:id="88" w:name="_Toc72506000"/>
      <w:r w:rsidRPr="00224E14">
        <w:rPr>
          <w:rStyle w:val="CharSectNo"/>
        </w:rPr>
        <w:t>1.25</w:t>
      </w:r>
      <w:r>
        <w:tab/>
        <w:t>Availability of information</w:t>
      </w:r>
      <w:bookmarkEnd w:id="88"/>
    </w:p>
    <w:p w14:paraId="02FA1BDA" w14:textId="77777777" w:rsidR="00D847F1" w:rsidRDefault="00D847F1">
      <w:pPr>
        <w:pStyle w:val="Amain"/>
      </w:pPr>
      <w:r>
        <w:tab/>
        <w:t>(1)</w:t>
      </w:r>
      <w:r>
        <w:tab/>
        <w:t>The licensee of a gambling facility must display in each gaming area of the facility signs to the effect that people under 18 years old, and intoxicated people, are not allowed to gamble.</w:t>
      </w:r>
    </w:p>
    <w:p w14:paraId="500B27FA" w14:textId="77777777" w:rsidR="00D847F1" w:rsidRDefault="00D847F1">
      <w:pPr>
        <w:pStyle w:val="Amain"/>
      </w:pPr>
      <w:r>
        <w:tab/>
        <w:t>(2)</w:t>
      </w:r>
      <w:r>
        <w:tab/>
        <w:t>Each sign must be prominently displayed and able to be readily read.</w:t>
      </w:r>
    </w:p>
    <w:p w14:paraId="57097AFC" w14:textId="77777777" w:rsidR="00D847F1" w:rsidRDefault="00D847F1" w:rsidP="004031BA">
      <w:pPr>
        <w:pStyle w:val="Amain"/>
        <w:keepNext/>
      </w:pPr>
      <w:r>
        <w:lastRenderedPageBreak/>
        <w:tab/>
        <w:t>(3)</w:t>
      </w:r>
      <w:r>
        <w:tab/>
        <w:t>A licensee of a gambling facility must make available at the facility, in a conspicuous way, information that—</w:t>
      </w:r>
    </w:p>
    <w:p w14:paraId="21C00C3C" w14:textId="77777777" w:rsidR="00D847F1" w:rsidRDefault="00D847F1">
      <w:pPr>
        <w:pStyle w:val="Apara"/>
        <w:keepNext/>
      </w:pPr>
      <w:r>
        <w:tab/>
        <w:t>(a)</w:t>
      </w:r>
      <w:r>
        <w:tab/>
        <w:t>tells people about each of the following:</w:t>
      </w:r>
    </w:p>
    <w:p w14:paraId="5FA228D8" w14:textId="77777777" w:rsidR="00D847F1" w:rsidRDefault="00D847F1">
      <w:pPr>
        <w:pStyle w:val="Asubpara"/>
      </w:pPr>
      <w:r>
        <w:tab/>
        <w:t>(i)</w:t>
      </w:r>
      <w:r>
        <w:tab/>
        <w:t>restrictions (if any) on cashing cheques;</w:t>
      </w:r>
    </w:p>
    <w:p w14:paraId="6B05D882" w14:textId="77777777" w:rsidR="00D847F1" w:rsidRDefault="00D847F1">
      <w:pPr>
        <w:pStyle w:val="Asubpara"/>
      </w:pPr>
      <w:r>
        <w:tab/>
        <w:t>(ii)</w:t>
      </w:r>
      <w:r>
        <w:tab/>
        <w:t>gambling l</w:t>
      </w:r>
      <w:r w:rsidR="00987026">
        <w:t>imits (if any) at the facility;</w:t>
      </w:r>
    </w:p>
    <w:p w14:paraId="5A4FDE99" w14:textId="77777777" w:rsidR="00D847F1" w:rsidRDefault="00D847F1">
      <w:pPr>
        <w:pStyle w:val="Asubpara"/>
      </w:pPr>
      <w:r>
        <w:tab/>
        <w:t>(iii)</w:t>
      </w:r>
      <w:r>
        <w:tab/>
        <w:t>the chan</w:t>
      </w:r>
      <w:r w:rsidR="00987026">
        <w:t>ces of winning major prizes;</w:t>
      </w:r>
    </w:p>
    <w:p w14:paraId="451B78A9" w14:textId="77777777" w:rsidR="00AF348D" w:rsidRPr="00A35BB6" w:rsidRDefault="00AF348D" w:rsidP="00AF348D">
      <w:pPr>
        <w:pStyle w:val="SchAsubpara"/>
        <w:rPr>
          <w:lang w:eastAsia="en-AU"/>
        </w:rPr>
      </w:pPr>
      <w:r w:rsidRPr="00A35BB6">
        <w:rPr>
          <w:lang w:eastAsia="en-AU"/>
        </w:rPr>
        <w:tab/>
        <w:t>(iv)</w:t>
      </w:r>
      <w:r w:rsidRPr="00A35BB6">
        <w:rPr>
          <w:lang w:eastAsia="en-AU"/>
        </w:rPr>
        <w:tab/>
        <w:t>the support services available to gamblers;</w:t>
      </w:r>
    </w:p>
    <w:p w14:paraId="49F0C682" w14:textId="77777777" w:rsidR="00AF348D" w:rsidRPr="00A35BB6" w:rsidRDefault="00AF348D" w:rsidP="00AF348D">
      <w:pPr>
        <w:pStyle w:val="SchAsubpara"/>
        <w:rPr>
          <w:lang w:eastAsia="en-AU"/>
        </w:rPr>
      </w:pPr>
      <w:r w:rsidRPr="00A35BB6">
        <w:rPr>
          <w:lang w:eastAsia="en-AU"/>
        </w:rPr>
        <w:tab/>
        <w:t>(v)</w:t>
      </w:r>
      <w:r w:rsidRPr="00A35BB6">
        <w:rPr>
          <w:lang w:eastAsia="en-AU"/>
        </w:rPr>
        <w:tab/>
        <w:t>the use of a deed of exclusion by a person who has a gambling problem, particularly—</w:t>
      </w:r>
    </w:p>
    <w:p w14:paraId="34FC3E45" w14:textId="77777777" w:rsidR="00AF348D" w:rsidRPr="00A35BB6" w:rsidRDefault="00AF348D" w:rsidP="00AF348D">
      <w:pPr>
        <w:pStyle w:val="SchAsubsubpara"/>
        <w:rPr>
          <w:lang w:eastAsia="en-AU"/>
        </w:rPr>
      </w:pPr>
      <w:r w:rsidRPr="00A35BB6">
        <w:rPr>
          <w:lang w:eastAsia="en-AU"/>
        </w:rPr>
        <w:tab/>
        <w:t>(A)</w:t>
      </w:r>
      <w:r w:rsidRPr="00A35BB6">
        <w:rPr>
          <w:lang w:eastAsia="en-AU"/>
        </w:rPr>
        <w:tab/>
        <w:t>the availability and effect of a deed; and</w:t>
      </w:r>
    </w:p>
    <w:p w14:paraId="4BEDBD20" w14:textId="77777777" w:rsidR="00AF348D" w:rsidRPr="00A35BB6" w:rsidRDefault="00AF348D" w:rsidP="00AF348D">
      <w:pPr>
        <w:pStyle w:val="SchAsubsubpara"/>
        <w:rPr>
          <w:lang w:eastAsia="en-AU"/>
        </w:rPr>
      </w:pPr>
      <w:r w:rsidRPr="00A35BB6">
        <w:rPr>
          <w:lang w:eastAsia="en-AU"/>
        </w:rPr>
        <w:tab/>
        <w:t>(B)</w:t>
      </w:r>
      <w:r w:rsidRPr="00A35BB6">
        <w:rPr>
          <w:lang w:eastAsia="en-AU"/>
        </w:rPr>
        <w:tab/>
        <w:t>the confidentiality of a deed; and</w:t>
      </w:r>
    </w:p>
    <w:p w14:paraId="7A7D4937" w14:textId="77777777" w:rsidR="00AF348D" w:rsidRPr="00A35BB6" w:rsidRDefault="00AF348D" w:rsidP="00AF348D">
      <w:pPr>
        <w:pStyle w:val="SchAsubsubpara"/>
        <w:rPr>
          <w:lang w:eastAsia="en-AU"/>
        </w:rPr>
      </w:pPr>
      <w:r w:rsidRPr="00A35BB6">
        <w:rPr>
          <w:lang w:eastAsia="en-AU"/>
        </w:rPr>
        <w:tab/>
        <w:t>(C)</w:t>
      </w:r>
      <w:r w:rsidRPr="00A35BB6">
        <w:rPr>
          <w:lang w:eastAsia="en-AU"/>
        </w:rPr>
        <w:tab/>
        <w:t>who may be given a copy of a deed;</w:t>
      </w:r>
    </w:p>
    <w:p w14:paraId="336EC5F5" w14:textId="77777777" w:rsidR="00AF348D" w:rsidRPr="00A35BB6" w:rsidRDefault="00AF348D" w:rsidP="00AF348D">
      <w:pPr>
        <w:pStyle w:val="SchAsubpara"/>
        <w:rPr>
          <w:lang w:eastAsia="en-AU"/>
        </w:rPr>
      </w:pPr>
      <w:r w:rsidRPr="00A35BB6">
        <w:rPr>
          <w:lang w:eastAsia="en-AU"/>
        </w:rPr>
        <w:tab/>
        <w:t>(vi)</w:t>
      </w:r>
      <w:r w:rsidRPr="00A35BB6">
        <w:rPr>
          <w:lang w:eastAsia="en-AU"/>
        </w:rPr>
        <w:tab/>
        <w:t>the use of a notice of exclusion by the licensee in relation to a person who has a gambling problem;</w:t>
      </w:r>
    </w:p>
    <w:p w14:paraId="3BAD0EF6" w14:textId="77777777" w:rsidR="00AF348D" w:rsidRPr="00A35BB6" w:rsidRDefault="00AF348D" w:rsidP="00AF348D">
      <w:pPr>
        <w:pStyle w:val="SchAsubpara"/>
        <w:rPr>
          <w:lang w:eastAsia="en-AU"/>
        </w:rPr>
      </w:pPr>
      <w:r w:rsidRPr="00A35BB6">
        <w:rPr>
          <w:lang w:eastAsia="en-AU"/>
        </w:rPr>
        <w:tab/>
        <w:t>(vii)</w:t>
      </w:r>
      <w:r w:rsidRPr="00A35BB6">
        <w:rPr>
          <w:lang w:eastAsia="en-AU"/>
        </w:rPr>
        <w:tab/>
        <w:t>the exclusion register; and</w:t>
      </w:r>
    </w:p>
    <w:p w14:paraId="7923CDBA" w14:textId="77777777" w:rsidR="00D847F1" w:rsidRDefault="00D847F1">
      <w:pPr>
        <w:pStyle w:val="Apara"/>
        <w:keepNext/>
      </w:pPr>
      <w:r>
        <w:tab/>
        <w:t>(b)</w:t>
      </w:r>
      <w:r>
        <w:tab/>
        <w:t>tells people where each of the following can be found at the gambling facility:</w:t>
      </w:r>
    </w:p>
    <w:p w14:paraId="6D985B05" w14:textId="77777777" w:rsidR="00D847F1" w:rsidRDefault="00D847F1">
      <w:pPr>
        <w:pStyle w:val="Asubpara"/>
      </w:pPr>
      <w:r>
        <w:tab/>
        <w:t>(i)</w:t>
      </w:r>
      <w:r>
        <w:tab/>
        <w:t xml:space="preserve">a copy of the rules for each kind of gambling offered by the licensee; </w:t>
      </w:r>
    </w:p>
    <w:p w14:paraId="08E8B1CD" w14:textId="77777777" w:rsidR="00D847F1" w:rsidRDefault="00D847F1">
      <w:pPr>
        <w:pStyle w:val="Asubpara"/>
      </w:pPr>
      <w:r>
        <w:tab/>
        <w:t>(ii)</w:t>
      </w:r>
      <w:r>
        <w:tab/>
        <w:t xml:space="preserve">information about programs for exclusion from gambling; </w:t>
      </w:r>
    </w:p>
    <w:p w14:paraId="61F9B700" w14:textId="77777777" w:rsidR="00D847F1" w:rsidRDefault="00D847F1">
      <w:pPr>
        <w:pStyle w:val="Asubpara"/>
      </w:pPr>
      <w:r>
        <w:tab/>
        <w:t>(iii)</w:t>
      </w:r>
      <w:r>
        <w:tab/>
        <w:t>a gambling contact officer for the facility;</w:t>
      </w:r>
    </w:p>
    <w:p w14:paraId="43EE5750" w14:textId="77777777" w:rsidR="00D847F1" w:rsidRDefault="00D847F1">
      <w:pPr>
        <w:pStyle w:val="Asubpara"/>
      </w:pPr>
      <w:r>
        <w:tab/>
        <w:t>(iv)</w:t>
      </w:r>
      <w:r>
        <w:tab/>
        <w:t xml:space="preserve">a copy of the </w:t>
      </w:r>
      <w:r>
        <w:rPr>
          <w:rStyle w:val="charItals"/>
        </w:rPr>
        <w:t>Gambling and Racing Control (Code of Practice) Regulation 2002</w:t>
      </w:r>
      <w:r>
        <w:t xml:space="preserve"> or this code of practice;</w:t>
      </w:r>
    </w:p>
    <w:p w14:paraId="29986983" w14:textId="77777777" w:rsidR="00D847F1" w:rsidRDefault="00D847F1">
      <w:pPr>
        <w:pStyle w:val="Asubpara"/>
      </w:pPr>
      <w:r>
        <w:tab/>
        <w:t>(v)</w:t>
      </w:r>
      <w:r>
        <w:tab/>
        <w:t>information about counselling services available in the ACT for prob</w:t>
      </w:r>
      <w:r w:rsidR="0063631C">
        <w:t>lem gamblers; and</w:t>
      </w:r>
    </w:p>
    <w:p w14:paraId="57148B13" w14:textId="77777777" w:rsidR="00EC0987" w:rsidRPr="00A35BB6" w:rsidRDefault="00EC0987" w:rsidP="00EC0987">
      <w:pPr>
        <w:pStyle w:val="Apara"/>
      </w:pPr>
      <w:r w:rsidRPr="00A35BB6">
        <w:lastRenderedPageBreak/>
        <w:tab/>
        <w:t>(c)</w:t>
      </w:r>
      <w:r w:rsidRPr="00A35BB6">
        <w:tab/>
        <w:t>for a gaming machine licensee—tells people that winnings from a gaming machine must be paid by cheque or electronic funds transfer if—</w:t>
      </w:r>
    </w:p>
    <w:p w14:paraId="4A28327E" w14:textId="77777777" w:rsidR="00EC0987" w:rsidRPr="00A35BB6" w:rsidRDefault="00EC0987" w:rsidP="00EC0987">
      <w:pPr>
        <w:pStyle w:val="Asubpara"/>
      </w:pPr>
      <w:r w:rsidRPr="00A35BB6">
        <w:tab/>
        <w:t>(i)</w:t>
      </w:r>
      <w:r w:rsidRPr="00A35BB6">
        <w:tab/>
        <w:t>the winnings are more than $300; and</w:t>
      </w:r>
    </w:p>
    <w:p w14:paraId="0325D668" w14:textId="77777777" w:rsidR="00EC0987" w:rsidRPr="00A35BB6" w:rsidRDefault="00EC0987" w:rsidP="00EC0987">
      <w:pPr>
        <w:pStyle w:val="Asubpara"/>
      </w:pPr>
      <w:r w:rsidRPr="00A35BB6">
        <w:tab/>
        <w:t>(ii)</w:t>
      </w:r>
      <w:r w:rsidRPr="00A35BB6">
        <w:tab/>
        <w:t>the patron has requested the winnings be paid by cheque or electronic funds transfer.</w:t>
      </w:r>
    </w:p>
    <w:p w14:paraId="5D9F03F5" w14:textId="77777777" w:rsidR="00D847F1" w:rsidRDefault="00D847F1">
      <w:pPr>
        <w:pStyle w:val="Amain"/>
      </w:pPr>
      <w:r>
        <w:tab/>
        <w:t>(4)</w:t>
      </w:r>
      <w:r>
        <w:tab/>
        <w:t xml:space="preserve">If asked for information about the availability of interpreter services to patrons at a gambling facility, the licensee for the facility must give the information. </w:t>
      </w:r>
    </w:p>
    <w:p w14:paraId="3867C658" w14:textId="77777777" w:rsidR="00D847F1" w:rsidRDefault="00D847F1">
      <w:pPr>
        <w:pStyle w:val="Amain"/>
      </w:pPr>
      <w:r>
        <w:tab/>
        <w:t>(5)</w:t>
      </w:r>
      <w:r>
        <w:tab/>
        <w:t>This section is subject to section 1.27 (Directions about information, clocks and lighting).</w:t>
      </w:r>
    </w:p>
    <w:p w14:paraId="0030DD83" w14:textId="77777777" w:rsidR="00D847F1" w:rsidRDefault="00D847F1">
      <w:pPr>
        <w:pStyle w:val="Schclauseheading"/>
      </w:pPr>
      <w:bookmarkStart w:id="89" w:name="_Toc72506001"/>
      <w:r w:rsidRPr="00224E14">
        <w:rPr>
          <w:rStyle w:val="CharSectNo"/>
        </w:rPr>
        <w:t>1.26</w:t>
      </w:r>
      <w:r>
        <w:tab/>
        <w:t>Clocks and lighting</w:t>
      </w:r>
      <w:bookmarkEnd w:id="89"/>
    </w:p>
    <w:p w14:paraId="6DAE9F43" w14:textId="77777777" w:rsidR="00D847F1" w:rsidRDefault="00D847F1" w:rsidP="004031BA">
      <w:pPr>
        <w:pStyle w:val="Amain"/>
        <w:keepNext/>
      </w:pPr>
      <w:r>
        <w:tab/>
        <w:t>(1)</w:t>
      </w:r>
      <w:r>
        <w:tab/>
        <w:t>This section applies to—</w:t>
      </w:r>
    </w:p>
    <w:p w14:paraId="5F20C1C7" w14:textId="77777777" w:rsidR="00D847F1" w:rsidRDefault="00D847F1" w:rsidP="004031BA">
      <w:pPr>
        <w:pStyle w:val="Apara"/>
        <w:keepNext/>
      </w:pPr>
      <w:r>
        <w:tab/>
        <w:t>(a)</w:t>
      </w:r>
      <w:r>
        <w:tab/>
        <w:t>a casino licensee; and</w:t>
      </w:r>
    </w:p>
    <w:p w14:paraId="06B6E1DD" w14:textId="77777777" w:rsidR="00D847F1" w:rsidRDefault="00D847F1" w:rsidP="004031BA">
      <w:pPr>
        <w:pStyle w:val="Apara"/>
        <w:keepNext/>
      </w:pPr>
      <w:r>
        <w:tab/>
        <w:t>(b)</w:t>
      </w:r>
      <w:r>
        <w:tab/>
        <w:t>a gaming machine licensee.</w:t>
      </w:r>
    </w:p>
    <w:p w14:paraId="31038459" w14:textId="77777777" w:rsidR="00D847F1" w:rsidRDefault="00D847F1">
      <w:pPr>
        <w:pStyle w:val="Amain"/>
      </w:pPr>
      <w:r>
        <w:tab/>
        <w:t>(2)</w:t>
      </w:r>
      <w:r>
        <w:tab/>
        <w:t>The licensee of a gambling facility must prominently display the correct time in the facility.</w:t>
      </w:r>
    </w:p>
    <w:p w14:paraId="6EF9127C" w14:textId="77777777" w:rsidR="00D847F1" w:rsidRDefault="00D847F1">
      <w:pPr>
        <w:pStyle w:val="Amain"/>
      </w:pPr>
      <w:r>
        <w:tab/>
        <w:t>(3)</w:t>
      </w:r>
      <w:r>
        <w:tab/>
        <w:t>The licensee of a gambling facility must ensure that lighting in the facility is adequate to allow clocks and signs required to be displayed under this code of practice to be clearly visible to people in the facility.</w:t>
      </w:r>
    </w:p>
    <w:p w14:paraId="64471C2D" w14:textId="77777777" w:rsidR="00D847F1" w:rsidRDefault="00D847F1">
      <w:pPr>
        <w:pStyle w:val="Amain"/>
      </w:pPr>
      <w:r>
        <w:tab/>
        <w:t>(4)</w:t>
      </w:r>
      <w:r>
        <w:tab/>
        <w:t>This section is subject to section 1.27.</w:t>
      </w:r>
    </w:p>
    <w:p w14:paraId="1710D160" w14:textId="77777777" w:rsidR="00D847F1" w:rsidRDefault="00D847F1" w:rsidP="003E3DF8">
      <w:pPr>
        <w:pStyle w:val="Schclauseheading"/>
      </w:pPr>
      <w:bookmarkStart w:id="90" w:name="_Toc72506002"/>
      <w:r w:rsidRPr="00224E14">
        <w:rPr>
          <w:rStyle w:val="CharSectNo"/>
        </w:rPr>
        <w:lastRenderedPageBreak/>
        <w:t>1.27</w:t>
      </w:r>
      <w:r>
        <w:tab/>
        <w:t>Directions about information, clocks and lighting</w:t>
      </w:r>
      <w:bookmarkEnd w:id="90"/>
    </w:p>
    <w:p w14:paraId="7B3D2058" w14:textId="77777777" w:rsidR="00D847F1" w:rsidRDefault="00D847F1" w:rsidP="003E3DF8">
      <w:pPr>
        <w:pStyle w:val="Amain"/>
        <w:keepNext/>
      </w:pPr>
      <w:r>
        <w:tab/>
        <w:t>(1)</w:t>
      </w:r>
      <w:r>
        <w:tab/>
        <w:t>The commission may give written directions to the licensee of a gambling facility to ensure compliance with section 1.25 (Availability of information) or section 1.26.</w:t>
      </w:r>
    </w:p>
    <w:p w14:paraId="730ED351" w14:textId="77777777" w:rsidR="00D847F1" w:rsidRDefault="00D847F1">
      <w:pPr>
        <w:pStyle w:val="Amain"/>
      </w:pPr>
      <w:r>
        <w:tab/>
        <w:t>(2)</w:t>
      </w:r>
      <w:r>
        <w:tab/>
        <w:t>If the commission gives a direction to the licensee, the licensee must comply with the direction.</w:t>
      </w:r>
    </w:p>
    <w:p w14:paraId="1ACDB44D" w14:textId="77777777" w:rsidR="00EC0987" w:rsidRPr="00A35BB6" w:rsidRDefault="00EC0987" w:rsidP="00EC0987">
      <w:pPr>
        <w:pStyle w:val="Schclauseheading"/>
      </w:pPr>
      <w:bookmarkStart w:id="91" w:name="_Toc72506003"/>
      <w:r w:rsidRPr="00224E14">
        <w:rPr>
          <w:rStyle w:val="CharSectNo"/>
        </w:rPr>
        <w:t>1.27A</w:t>
      </w:r>
      <w:r w:rsidRPr="00A35BB6">
        <w:tab/>
        <w:t>Alcohol service prohibited while gambling</w:t>
      </w:r>
      <w:bookmarkEnd w:id="91"/>
    </w:p>
    <w:p w14:paraId="608ABAC6" w14:textId="77777777" w:rsidR="00EC0987" w:rsidRPr="00A35BB6" w:rsidRDefault="00EC0987" w:rsidP="00EC0987">
      <w:pPr>
        <w:pStyle w:val="Amainreturn"/>
        <w:keepNext/>
      </w:pPr>
      <w:r w:rsidRPr="00A35BB6">
        <w:t>A gaming machine licensee</w:t>
      </w:r>
      <w:r w:rsidRPr="00A35BB6">
        <w:rPr>
          <w:szCs w:val="24"/>
          <w:lang w:eastAsia="en-AU"/>
        </w:rPr>
        <w:t xml:space="preserve"> </w:t>
      </w:r>
      <w:r w:rsidRPr="00A35BB6">
        <w:t>must not serve alcohol to a patron of the facility while the patron is—</w:t>
      </w:r>
    </w:p>
    <w:p w14:paraId="452C1EBD" w14:textId="77777777" w:rsidR="00EC0987" w:rsidRPr="00A35BB6" w:rsidRDefault="00EC0987" w:rsidP="00EC0987">
      <w:pPr>
        <w:pStyle w:val="SchApara"/>
        <w:rPr>
          <w:lang w:eastAsia="en-AU"/>
        </w:rPr>
      </w:pPr>
      <w:r w:rsidRPr="00A35BB6">
        <w:tab/>
        <w:t>(a)</w:t>
      </w:r>
      <w:r w:rsidRPr="00A35BB6">
        <w:tab/>
      </w:r>
      <w:r w:rsidRPr="00A35BB6">
        <w:rPr>
          <w:szCs w:val="24"/>
          <w:lang w:eastAsia="en-AU"/>
        </w:rPr>
        <w:t>playing a gaming machine; or</w:t>
      </w:r>
    </w:p>
    <w:p w14:paraId="48A40636" w14:textId="77777777" w:rsidR="00EC0987" w:rsidRPr="00A35BB6" w:rsidRDefault="00EC0987" w:rsidP="00EC0987">
      <w:pPr>
        <w:pStyle w:val="SchApara"/>
      </w:pPr>
      <w:r w:rsidRPr="00A35BB6">
        <w:tab/>
        <w:t>(b)</w:t>
      </w:r>
      <w:r w:rsidRPr="00A35BB6">
        <w:tab/>
        <w:t>sitting at or standing by a gaming machine.</w:t>
      </w:r>
    </w:p>
    <w:p w14:paraId="578F1F61" w14:textId="77777777" w:rsidR="00E02D37" w:rsidRPr="00AE589E" w:rsidRDefault="00E02D37" w:rsidP="00E02D37">
      <w:pPr>
        <w:pStyle w:val="Schclauseheading"/>
      </w:pPr>
      <w:bookmarkStart w:id="92" w:name="_Toc72506004"/>
      <w:r w:rsidRPr="00224E14">
        <w:rPr>
          <w:rStyle w:val="CharSectNo"/>
        </w:rPr>
        <w:t>1.27B</w:t>
      </w:r>
      <w:r w:rsidRPr="00AE589E">
        <w:tab/>
        <w:t>Operating times of gaming machines</w:t>
      </w:r>
      <w:bookmarkEnd w:id="92"/>
    </w:p>
    <w:p w14:paraId="28B3BD4F" w14:textId="77777777" w:rsidR="00E02D37" w:rsidRPr="00AE589E" w:rsidRDefault="00E02D37" w:rsidP="00E02D37">
      <w:pPr>
        <w:pStyle w:val="Amainreturn"/>
      </w:pPr>
      <w:r w:rsidRPr="00AE589E">
        <w:t>A gaming machine licensee must not operate a gaming machine between 4 am and 9 am.</w:t>
      </w:r>
    </w:p>
    <w:p w14:paraId="127236D9" w14:textId="77777777" w:rsidR="00D847F1" w:rsidRDefault="00D847F1">
      <w:pPr>
        <w:pStyle w:val="PageBreak"/>
      </w:pPr>
      <w:r>
        <w:br w:type="page"/>
      </w:r>
    </w:p>
    <w:p w14:paraId="42AEF0AF" w14:textId="77777777" w:rsidR="00D847F1" w:rsidRPr="00224E14" w:rsidRDefault="00D847F1">
      <w:pPr>
        <w:pStyle w:val="Sched-Part"/>
      </w:pPr>
      <w:bookmarkStart w:id="93" w:name="_Toc72506005"/>
      <w:r w:rsidRPr="00224E14">
        <w:rPr>
          <w:rStyle w:val="CharPartNo"/>
        </w:rPr>
        <w:lastRenderedPageBreak/>
        <w:t>Part 1.4</w:t>
      </w:r>
      <w:r>
        <w:tab/>
      </w:r>
      <w:r w:rsidRPr="00224E14">
        <w:rPr>
          <w:rStyle w:val="CharPartText"/>
        </w:rPr>
        <w:t>Advertising, promotions and inducements</w:t>
      </w:r>
      <w:bookmarkEnd w:id="93"/>
    </w:p>
    <w:p w14:paraId="4C5438D9" w14:textId="77777777" w:rsidR="00D847F1" w:rsidRDefault="00D847F1">
      <w:pPr>
        <w:pStyle w:val="Schclauseheading"/>
      </w:pPr>
      <w:bookmarkStart w:id="94" w:name="_Toc72506006"/>
      <w:r w:rsidRPr="00224E14">
        <w:rPr>
          <w:rStyle w:val="CharSectNo"/>
        </w:rPr>
        <w:t>1.28</w:t>
      </w:r>
      <w:r>
        <w:tab/>
        <w:t>Advertising</w:t>
      </w:r>
      <w:bookmarkEnd w:id="94"/>
    </w:p>
    <w:p w14:paraId="5615BD6A" w14:textId="77777777" w:rsidR="00D847F1" w:rsidRDefault="00D847F1">
      <w:pPr>
        <w:pStyle w:val="Amain"/>
      </w:pPr>
      <w:r>
        <w:tab/>
        <w:t>(1)</w:t>
      </w:r>
      <w:r>
        <w:tab/>
        <w:t>The licensee of a gambling facility must not publish advertising that—</w:t>
      </w:r>
    </w:p>
    <w:p w14:paraId="1B106A85" w14:textId="77777777" w:rsidR="00D847F1" w:rsidRDefault="00D847F1">
      <w:pPr>
        <w:pStyle w:val="Apara"/>
      </w:pPr>
      <w:r>
        <w:tab/>
        <w:t>(a)</w:t>
      </w:r>
      <w:r>
        <w:tab/>
        <w:t>encourages anyone to contravene a gaming law; or</w:t>
      </w:r>
    </w:p>
    <w:p w14:paraId="5FD33014" w14:textId="77777777" w:rsidR="00D847F1" w:rsidRDefault="00D847F1">
      <w:pPr>
        <w:pStyle w:val="Apara"/>
      </w:pPr>
      <w:r>
        <w:tab/>
        <w:t>(b)</w:t>
      </w:r>
      <w:r>
        <w:tab/>
        <w:t>shows people under 25 years old gambling; or</w:t>
      </w:r>
    </w:p>
    <w:p w14:paraId="43E85F35" w14:textId="77777777" w:rsidR="00D847F1" w:rsidRDefault="00D847F1">
      <w:pPr>
        <w:pStyle w:val="Apara"/>
      </w:pPr>
      <w:r>
        <w:tab/>
        <w:t>(c)</w:t>
      </w:r>
      <w:r>
        <w:tab/>
        <w:t>encourages people under 18 years old to gamble, or targets them; or</w:t>
      </w:r>
    </w:p>
    <w:p w14:paraId="44995C54" w14:textId="77777777" w:rsidR="00D847F1" w:rsidRDefault="00D847F1">
      <w:pPr>
        <w:pStyle w:val="Apara"/>
      </w:pPr>
      <w:r>
        <w:tab/>
        <w:t>(d)</w:t>
      </w:r>
      <w:r>
        <w:tab/>
        <w:t>is false or misleading, particularly about the chances of winning or the expected return to a gambler; or</w:t>
      </w:r>
    </w:p>
    <w:p w14:paraId="4A77E7D2" w14:textId="77777777" w:rsidR="00D847F1" w:rsidRDefault="00D847F1">
      <w:pPr>
        <w:pStyle w:val="Apara"/>
      </w:pPr>
      <w:r>
        <w:tab/>
        <w:t>(e)</w:t>
      </w:r>
      <w:r>
        <w:tab/>
        <w:t>suggests that gambling is a form of financial investment; or</w:t>
      </w:r>
    </w:p>
    <w:p w14:paraId="75052CF1" w14:textId="77777777" w:rsidR="00D847F1" w:rsidRDefault="00D847F1">
      <w:pPr>
        <w:pStyle w:val="Apara"/>
      </w:pPr>
      <w:r>
        <w:tab/>
        <w:t>(f)</w:t>
      </w:r>
      <w:r>
        <w:tab/>
        <w:t>suggests that skill can influence games that are games of chance; or</w:t>
      </w:r>
    </w:p>
    <w:p w14:paraId="629A0898" w14:textId="77777777" w:rsidR="00D847F1" w:rsidRDefault="00D847F1">
      <w:pPr>
        <w:pStyle w:val="Apara"/>
      </w:pPr>
      <w:r>
        <w:tab/>
        <w:t>(g)</w:t>
      </w:r>
      <w:r>
        <w:tab/>
        <w:t>shows or promotes the consumption of alcohol while gambling.</w:t>
      </w:r>
    </w:p>
    <w:p w14:paraId="4A48908D" w14:textId="77777777" w:rsidR="00D847F1" w:rsidRDefault="00D847F1">
      <w:pPr>
        <w:pStyle w:val="Amain"/>
      </w:pPr>
      <w:r>
        <w:tab/>
        <w:t>(2)</w:t>
      </w:r>
      <w:r>
        <w:tab/>
        <w:t>This section is subject to section 1.31 (Directions about advertising, promotions and inducements).</w:t>
      </w:r>
    </w:p>
    <w:p w14:paraId="5CDE4930" w14:textId="77777777" w:rsidR="00D847F1" w:rsidRDefault="00D847F1">
      <w:pPr>
        <w:pStyle w:val="Schclauseheading"/>
      </w:pPr>
      <w:bookmarkStart w:id="95" w:name="_Toc72506007"/>
      <w:r w:rsidRPr="00224E14">
        <w:rPr>
          <w:rStyle w:val="CharSectNo"/>
        </w:rPr>
        <w:t>1.29</w:t>
      </w:r>
      <w:r>
        <w:tab/>
        <w:t>Advertising requirements</w:t>
      </w:r>
      <w:bookmarkEnd w:id="95"/>
    </w:p>
    <w:p w14:paraId="56AA99B7" w14:textId="77777777" w:rsidR="00D847F1" w:rsidRDefault="00D847F1" w:rsidP="004031BA">
      <w:pPr>
        <w:pStyle w:val="Amain"/>
        <w:keepNext/>
      </w:pPr>
      <w:r>
        <w:tab/>
        <w:t>(1)</w:t>
      </w:r>
      <w:r>
        <w:tab/>
        <w:t xml:space="preserve">This section does not apply to someone mentioned in section 1.1, definition of </w:t>
      </w:r>
      <w:r>
        <w:rPr>
          <w:rStyle w:val="charBoldItals"/>
        </w:rPr>
        <w:t>licensee</w:t>
      </w:r>
      <w:r>
        <w:t>, paragraph (f).</w:t>
      </w:r>
    </w:p>
    <w:p w14:paraId="69D7F52B" w14:textId="77777777" w:rsidR="00D847F1" w:rsidRDefault="00D847F1" w:rsidP="004031BA">
      <w:pPr>
        <w:pStyle w:val="Amain"/>
        <w:keepNext/>
      </w:pPr>
      <w:r>
        <w:tab/>
        <w:t>(2)</w:t>
      </w:r>
      <w:r>
        <w:tab/>
        <w:t>The licensee of a gambling facility must not publish gambling advertising in relation to the facility unless it contains, or is published near, the name and telephone number of an approved gambling counselling service in the ACT.</w:t>
      </w:r>
    </w:p>
    <w:p w14:paraId="1CE55DD9" w14:textId="77777777" w:rsidR="00D847F1" w:rsidRDefault="00D847F1">
      <w:pPr>
        <w:pStyle w:val="Amain"/>
      </w:pPr>
      <w:r>
        <w:tab/>
        <w:t>(3)</w:t>
      </w:r>
      <w:r>
        <w:tab/>
        <w:t>This section is subject to section 1.31 (Directions about advertising, promotions and inducements).</w:t>
      </w:r>
    </w:p>
    <w:p w14:paraId="264DFE8A" w14:textId="77777777" w:rsidR="00D847F1" w:rsidRDefault="00D847F1">
      <w:pPr>
        <w:pStyle w:val="Schclauseheading"/>
      </w:pPr>
      <w:bookmarkStart w:id="96" w:name="_Toc72506008"/>
      <w:r w:rsidRPr="00224E14">
        <w:rPr>
          <w:rStyle w:val="CharSectNo"/>
        </w:rPr>
        <w:lastRenderedPageBreak/>
        <w:t>1.30</w:t>
      </w:r>
      <w:r>
        <w:tab/>
        <w:t>Promotions and inducements</w:t>
      </w:r>
      <w:bookmarkEnd w:id="96"/>
    </w:p>
    <w:p w14:paraId="192AAA29" w14:textId="77777777" w:rsidR="00D847F1" w:rsidRDefault="00D847F1">
      <w:pPr>
        <w:pStyle w:val="Amain"/>
      </w:pPr>
      <w:r>
        <w:tab/>
        <w:t>(1)</w:t>
      </w:r>
      <w:r>
        <w:tab/>
        <w:t>The licensee of a gambling facility must not—</w:t>
      </w:r>
    </w:p>
    <w:p w14:paraId="14CE98F3" w14:textId="77777777" w:rsidR="00D847F1" w:rsidRDefault="00D847F1">
      <w:pPr>
        <w:pStyle w:val="Apara"/>
      </w:pPr>
      <w:r>
        <w:tab/>
        <w:t>(a)</w:t>
      </w:r>
      <w:r>
        <w:tab/>
        <w:t>conduct a promotion that requires or encourages people to gamble at the facility for a minimum period of time to qualify for rewards;</w:t>
      </w:r>
    </w:p>
    <w:p w14:paraId="54CE62A4" w14:textId="77777777" w:rsidR="00D847F1" w:rsidRDefault="00D847F1">
      <w:pPr>
        <w:pStyle w:val="Apara"/>
      </w:pPr>
      <w:r>
        <w:tab/>
        <w:t>(b)</w:t>
      </w:r>
      <w:r>
        <w:tab/>
        <w:t>conduct a promotion that requires or encourages people to gamble a minimum amount to qualify for rewards; or</w:t>
      </w:r>
    </w:p>
    <w:p w14:paraId="0CAB088B" w14:textId="77777777" w:rsidR="00D847F1" w:rsidRDefault="00D847F1">
      <w:pPr>
        <w:pStyle w:val="Apara"/>
      </w:pPr>
      <w:r>
        <w:tab/>
        <w:t>(c)</w:t>
      </w:r>
      <w:r>
        <w:tab/>
        <w:t>conduct a promotion for or including gambling at the facility that includes an offer of free or discounted alcohol.</w:t>
      </w:r>
    </w:p>
    <w:p w14:paraId="1873839B" w14:textId="77777777" w:rsidR="00D847F1" w:rsidRDefault="00D847F1">
      <w:pPr>
        <w:pStyle w:val="Amain"/>
      </w:pPr>
      <w:r>
        <w:tab/>
        <w:t>(2)</w:t>
      </w:r>
      <w:r>
        <w:tab/>
        <w:t>Subsection (1) (b) does not apply to—</w:t>
      </w:r>
    </w:p>
    <w:p w14:paraId="228C933F" w14:textId="3E01A52A" w:rsidR="00D847F1" w:rsidRDefault="00D847F1">
      <w:pPr>
        <w:pStyle w:val="Apara"/>
      </w:pPr>
      <w:r>
        <w:tab/>
        <w:t>(a)</w:t>
      </w:r>
      <w:r>
        <w:tab/>
        <w:t xml:space="preserve">the promotion of a commission-based player scheme under the </w:t>
      </w:r>
      <w:hyperlink r:id="rId68" w:tooltip="A2006-2" w:history="1">
        <w:r w:rsidR="00DF21AF" w:rsidRPr="00DF21AF">
          <w:rPr>
            <w:rStyle w:val="charCitHyperlinkItal"/>
          </w:rPr>
          <w:t>Casino Control Act 2006</w:t>
        </w:r>
      </w:hyperlink>
      <w:r>
        <w:t>; or</w:t>
      </w:r>
    </w:p>
    <w:p w14:paraId="05F9ABBC" w14:textId="77777777" w:rsidR="00D847F1" w:rsidRDefault="00D847F1">
      <w:pPr>
        <w:pStyle w:val="Apara"/>
      </w:pPr>
      <w:r>
        <w:tab/>
        <w:t>(b)</w:t>
      </w:r>
      <w:r>
        <w:tab/>
        <w:t>a player reward scheme that is advertised only within the gambling facility or directly to members of the facility; or</w:t>
      </w:r>
    </w:p>
    <w:p w14:paraId="563E0896" w14:textId="77777777" w:rsidR="00D847F1" w:rsidRDefault="0063631C">
      <w:pPr>
        <w:pStyle w:val="Apara"/>
      </w:pPr>
      <w:r>
        <w:tab/>
        <w:t>(c</w:t>
      </w:r>
      <w:r w:rsidR="00D847F1">
        <w:t>)</w:t>
      </w:r>
      <w:r w:rsidR="00D847F1">
        <w:tab/>
        <w:t xml:space="preserve">someone mentioned in section 1.1, definition of </w:t>
      </w:r>
      <w:r w:rsidR="00D847F1">
        <w:rPr>
          <w:rStyle w:val="charBoldItals"/>
        </w:rPr>
        <w:t>licensee</w:t>
      </w:r>
      <w:r w:rsidR="00D847F1">
        <w:t>, paragraph (f); or</w:t>
      </w:r>
    </w:p>
    <w:p w14:paraId="24DC52A9" w14:textId="77777777" w:rsidR="00D847F1" w:rsidRDefault="0063631C">
      <w:pPr>
        <w:pStyle w:val="Apara"/>
        <w:keepNext/>
      </w:pPr>
      <w:r>
        <w:tab/>
        <w:t>(d</w:t>
      </w:r>
      <w:r w:rsidR="00D847F1">
        <w:t>)</w:t>
      </w:r>
      <w:r w:rsidR="00D847F1">
        <w:tab/>
        <w:t>a promotion that requires or encourages the single lowest available bet on a gambling activity unless the bet is combined with, or required to be made in addition to, any other bet.</w:t>
      </w:r>
    </w:p>
    <w:p w14:paraId="335BF403" w14:textId="77777777" w:rsidR="00E02D37" w:rsidRDefault="00E02D37" w:rsidP="00E02D37">
      <w:pPr>
        <w:pStyle w:val="aExamHdgpar"/>
      </w:pPr>
      <w:r>
        <w:t>Examples—par (d)</w:t>
      </w:r>
    </w:p>
    <w:p w14:paraId="69ACF007" w14:textId="77777777" w:rsidR="00D847F1" w:rsidRDefault="00D847F1">
      <w:pPr>
        <w:pStyle w:val="AExamIPara"/>
      </w:pPr>
      <w:r>
        <w:tab/>
        <w:t>1</w:t>
      </w:r>
      <w:r>
        <w:tab/>
        <w:t>The requirement to have a single unit on a boxed trifecta could be used as an entry to a promotion as this is the lowest available bet on this wager.</w:t>
      </w:r>
    </w:p>
    <w:p w14:paraId="2A812DB0" w14:textId="77777777" w:rsidR="00D847F1" w:rsidRDefault="00D847F1">
      <w:pPr>
        <w:pStyle w:val="AExamIPara"/>
      </w:pPr>
      <w:r>
        <w:tab/>
        <w:t>2</w:t>
      </w:r>
      <w:r>
        <w:tab/>
        <w:t>The requirement to have 3 betting tickets for a win cannot be used as an entry requirement into a promotion as this requires the combination of bets.</w:t>
      </w:r>
    </w:p>
    <w:p w14:paraId="38C2770E" w14:textId="77777777" w:rsidR="00D847F1" w:rsidRDefault="00D847F1">
      <w:pPr>
        <w:pStyle w:val="AExamIPara"/>
      </w:pPr>
      <w:r>
        <w:tab/>
        <w:t>3</w:t>
      </w:r>
      <w:r>
        <w:tab/>
        <w:t>The requirement to have a win bet ticket, regardless of the amount of the bet, can be used as an entry into a promotion as it does not require a particular size of bet above the minimum.</w:t>
      </w:r>
    </w:p>
    <w:p w14:paraId="175E1DD1" w14:textId="77777777" w:rsidR="00D847F1" w:rsidRDefault="00E5599F" w:rsidP="003E3DF8">
      <w:pPr>
        <w:pStyle w:val="Amain"/>
        <w:keepNext/>
      </w:pPr>
      <w:r>
        <w:lastRenderedPageBreak/>
        <w:tab/>
        <w:t>(3</w:t>
      </w:r>
      <w:r w:rsidR="00D847F1">
        <w:t>)</w:t>
      </w:r>
      <w:r w:rsidR="00D847F1">
        <w:tab/>
        <w:t>A gaming machine licensee must not—</w:t>
      </w:r>
    </w:p>
    <w:p w14:paraId="10AAAA94" w14:textId="77777777" w:rsidR="00EC0987" w:rsidRPr="00A35BB6" w:rsidRDefault="00EC0987" w:rsidP="00EC0987">
      <w:pPr>
        <w:pStyle w:val="SchApara"/>
      </w:pPr>
      <w:r w:rsidRPr="00A35BB6">
        <w:tab/>
        <w:t>(a)</w:t>
      </w:r>
      <w:r w:rsidRPr="00A35BB6">
        <w:tab/>
        <w:t>conduct a promotion or offer an inducement that encourages people to increase their intensity of betting at the facility; or</w:t>
      </w:r>
    </w:p>
    <w:p w14:paraId="7E5EA676" w14:textId="77777777" w:rsidR="00EC0987" w:rsidRPr="00A35BB6" w:rsidRDefault="00EC0987" w:rsidP="00EC0987">
      <w:pPr>
        <w:pStyle w:val="aExamHdgpar"/>
      </w:pPr>
      <w:r w:rsidRPr="00A35BB6">
        <w:t>Examples—increased intensity of betting</w:t>
      </w:r>
    </w:p>
    <w:p w14:paraId="1024EDA3" w14:textId="77777777" w:rsidR="00EC0987" w:rsidRPr="00A35BB6" w:rsidRDefault="00EC0987" w:rsidP="00EC0987">
      <w:pPr>
        <w:pStyle w:val="aExamINumpar"/>
      </w:pPr>
      <w:r w:rsidRPr="00A35BB6">
        <w:t>1</w:t>
      </w:r>
      <w:r w:rsidRPr="00A35BB6">
        <w:tab/>
        <w:t>increasing the amount of money spent on betting at the facility in a particular period of time</w:t>
      </w:r>
    </w:p>
    <w:p w14:paraId="73BD47ED" w14:textId="77777777" w:rsidR="00EC0987" w:rsidRPr="00A35BB6" w:rsidRDefault="00EC0987" w:rsidP="00EC0987">
      <w:pPr>
        <w:pStyle w:val="aExamINumpar"/>
      </w:pPr>
      <w:r w:rsidRPr="00A35BB6">
        <w:t>2</w:t>
      </w:r>
      <w:r w:rsidRPr="00A35BB6">
        <w:tab/>
        <w:t>increasing the amount of each individual bet made at the facility</w:t>
      </w:r>
    </w:p>
    <w:p w14:paraId="3F7D3467" w14:textId="77777777" w:rsidR="00D847F1" w:rsidRDefault="00D847F1">
      <w:pPr>
        <w:pStyle w:val="Apara"/>
      </w:pPr>
      <w:r>
        <w:tab/>
        <w:t>(b)</w:t>
      </w:r>
      <w:r>
        <w:tab/>
        <w:t>induce people to gamble at the licensee’s facility by offering—</w:t>
      </w:r>
    </w:p>
    <w:p w14:paraId="41501D13" w14:textId="77777777" w:rsidR="00D847F1" w:rsidRDefault="00D847F1">
      <w:pPr>
        <w:pStyle w:val="Asubpara"/>
      </w:pPr>
      <w:r>
        <w:tab/>
        <w:t>(i)</w:t>
      </w:r>
      <w:r>
        <w:tab/>
        <w:t>free or discounted alcohol; or</w:t>
      </w:r>
    </w:p>
    <w:p w14:paraId="39782A95" w14:textId="77777777" w:rsidR="00D847F1" w:rsidRDefault="00D847F1">
      <w:pPr>
        <w:pStyle w:val="Asubpara"/>
      </w:pPr>
      <w:r>
        <w:tab/>
        <w:t>(ii)</w:t>
      </w:r>
      <w:r>
        <w:tab/>
        <w:t>cash, or free or discounted gambling credits, unless the offer of cash or credits is made to all patrons of the facility all of the time as part of the facility’s usual or regular prize schedule.</w:t>
      </w:r>
    </w:p>
    <w:p w14:paraId="5206774F" w14:textId="77777777" w:rsidR="00D847F1" w:rsidRDefault="00E5599F">
      <w:pPr>
        <w:pStyle w:val="Amain"/>
        <w:keepNext/>
      </w:pPr>
      <w:r>
        <w:tab/>
        <w:t>(4</w:t>
      </w:r>
      <w:r w:rsidR="00D847F1">
        <w:t>)</w:t>
      </w:r>
      <w:r w:rsidR="00D847F1">
        <w:tab/>
        <w:t>The licensee of a gambling facility must ensure that promotional material relating to gambling at the facility—</w:t>
      </w:r>
    </w:p>
    <w:p w14:paraId="5D1C0217" w14:textId="77777777" w:rsidR="00D847F1" w:rsidRDefault="00D847F1">
      <w:pPr>
        <w:pStyle w:val="Apara"/>
      </w:pPr>
      <w:r>
        <w:tab/>
        <w:t>(a)</w:t>
      </w:r>
      <w:r>
        <w:tab/>
        <w:t>contains the rules and conditions of the promotion; or</w:t>
      </w:r>
    </w:p>
    <w:p w14:paraId="168917E1" w14:textId="77777777" w:rsidR="00D847F1" w:rsidRDefault="00D847F1">
      <w:pPr>
        <w:pStyle w:val="Apara"/>
      </w:pPr>
      <w:r>
        <w:tab/>
        <w:t>(b)</w:t>
      </w:r>
      <w:r>
        <w:tab/>
        <w:t xml:space="preserve">states where at the facility the rules and conditions of the promotion can be inspected. </w:t>
      </w:r>
    </w:p>
    <w:p w14:paraId="2465DF51" w14:textId="77777777" w:rsidR="00D847F1" w:rsidRDefault="00BA5A94">
      <w:pPr>
        <w:pStyle w:val="Amain"/>
      </w:pPr>
      <w:r>
        <w:tab/>
        <w:t>(5</w:t>
      </w:r>
      <w:r w:rsidR="00D847F1">
        <w:t>)</w:t>
      </w:r>
      <w:r w:rsidR="00D847F1">
        <w:tab/>
        <w:t>The licensee of a gambling facility must make the rules and conditions of the promotion available for inspection at the facility.</w:t>
      </w:r>
    </w:p>
    <w:p w14:paraId="7334F253" w14:textId="77777777" w:rsidR="00991BFF" w:rsidRPr="001E4518" w:rsidRDefault="00991BFF" w:rsidP="00991BFF">
      <w:pPr>
        <w:pStyle w:val="Amain"/>
      </w:pPr>
      <w:r w:rsidRPr="001E4518">
        <w:tab/>
        <w:t>(6)</w:t>
      </w:r>
      <w:r w:rsidRPr="001E4518">
        <w:tab/>
        <w:t>A totalisator licensee or sports bookmaking licensee must not offer an inducement to a person</w:t>
      </w:r>
      <w:r w:rsidRPr="001E4518">
        <w:rPr>
          <w:color w:val="000000"/>
        </w:rPr>
        <w:t>—</w:t>
      </w:r>
    </w:p>
    <w:p w14:paraId="51415A6E" w14:textId="77777777" w:rsidR="00991BFF" w:rsidRPr="001E4518" w:rsidRDefault="00991BFF" w:rsidP="00991BFF">
      <w:pPr>
        <w:pStyle w:val="Apara"/>
      </w:pPr>
      <w:r w:rsidRPr="001E4518">
        <w:tab/>
        <w:t>(a)</w:t>
      </w:r>
      <w:r w:rsidRPr="001E4518">
        <w:tab/>
        <w:t>to open a betting account with the licensee; or</w:t>
      </w:r>
    </w:p>
    <w:p w14:paraId="5337069A" w14:textId="77777777" w:rsidR="00991BFF" w:rsidRPr="001E4518" w:rsidRDefault="00991BFF" w:rsidP="00991BFF">
      <w:pPr>
        <w:pStyle w:val="Apara"/>
      </w:pPr>
      <w:r w:rsidRPr="001E4518">
        <w:tab/>
        <w:t>(b)</w:t>
      </w:r>
      <w:r w:rsidRPr="001E4518">
        <w:tab/>
        <w:t>to refer another person to open a betting account with the licensee.</w:t>
      </w:r>
    </w:p>
    <w:p w14:paraId="01051738" w14:textId="77777777" w:rsidR="00991BFF" w:rsidRPr="001E4518" w:rsidRDefault="00991BFF" w:rsidP="00991BFF">
      <w:pPr>
        <w:pStyle w:val="aExamHdgss"/>
      </w:pPr>
      <w:r w:rsidRPr="001E4518">
        <w:t>Examples—inducements</w:t>
      </w:r>
    </w:p>
    <w:p w14:paraId="3B586795" w14:textId="77777777" w:rsidR="00991BFF" w:rsidRPr="001E4518" w:rsidRDefault="00991BFF" w:rsidP="00991BFF">
      <w:pPr>
        <w:pStyle w:val="aExamINumss"/>
      </w:pPr>
      <w:r w:rsidRPr="001E4518">
        <w:t>1</w:t>
      </w:r>
      <w:r w:rsidRPr="001E4518">
        <w:tab/>
        <w:t>free or discounted gambling credits</w:t>
      </w:r>
    </w:p>
    <w:p w14:paraId="498A875C" w14:textId="77777777" w:rsidR="00991BFF" w:rsidRPr="001E4518" w:rsidRDefault="00991BFF" w:rsidP="00991BFF">
      <w:pPr>
        <w:pStyle w:val="aExamINumss"/>
      </w:pPr>
      <w:r w:rsidRPr="001E4518">
        <w:t>2</w:t>
      </w:r>
      <w:r w:rsidRPr="001E4518">
        <w:tab/>
        <w:t>vouchers or other rewards</w:t>
      </w:r>
    </w:p>
    <w:p w14:paraId="6277BD9F" w14:textId="77777777" w:rsidR="00991BFF" w:rsidRPr="001E4518" w:rsidRDefault="00991BFF" w:rsidP="00991BFF">
      <w:pPr>
        <w:pStyle w:val="Amain"/>
      </w:pPr>
      <w:r w:rsidRPr="001E4518">
        <w:lastRenderedPageBreak/>
        <w:tab/>
        <w:t>(</w:t>
      </w:r>
      <w:r>
        <w:t>7</w:t>
      </w:r>
      <w:r w:rsidRPr="001E4518">
        <w:t>)</w:t>
      </w:r>
      <w:r w:rsidRPr="001E4518">
        <w:tab/>
        <w:t xml:space="preserve">A totalisator licensee or sports bookmaking licensee must not give or offer a person a complimentary or discounted betting credit or token (a </w:t>
      </w:r>
      <w:r w:rsidRPr="001E4518">
        <w:rPr>
          <w:rStyle w:val="charBoldItals"/>
        </w:rPr>
        <w:t>bonus bet</w:t>
      </w:r>
      <w:r w:rsidRPr="001E4518">
        <w:t>) unless any winnings from the bonus bet</w:t>
      </w:r>
      <w:r w:rsidRPr="001E4518">
        <w:rPr>
          <w:color w:val="000000"/>
        </w:rPr>
        <w:t>—</w:t>
      </w:r>
    </w:p>
    <w:p w14:paraId="26B25780" w14:textId="77777777" w:rsidR="00991BFF" w:rsidRPr="001E4518" w:rsidRDefault="00991BFF" w:rsidP="00991BFF">
      <w:pPr>
        <w:pStyle w:val="Apara"/>
      </w:pPr>
      <w:r w:rsidRPr="001E4518">
        <w:tab/>
        <w:t>(a)</w:t>
      </w:r>
      <w:r w:rsidRPr="001E4518">
        <w:tab/>
        <w:t xml:space="preserve">can be withdrawn by the person; and </w:t>
      </w:r>
    </w:p>
    <w:p w14:paraId="22D3A211" w14:textId="77777777" w:rsidR="00991BFF" w:rsidRPr="001E4518" w:rsidRDefault="00991BFF" w:rsidP="00991BFF">
      <w:pPr>
        <w:pStyle w:val="Apara"/>
      </w:pPr>
      <w:r w:rsidRPr="001E4518">
        <w:tab/>
        <w:t>(b)</w:t>
      </w:r>
      <w:r w:rsidRPr="001E4518">
        <w:tab/>
        <w:t>are not subject to a requirement that they be used to place further bets.</w:t>
      </w:r>
    </w:p>
    <w:p w14:paraId="2BFD347A" w14:textId="77777777" w:rsidR="00A139D8" w:rsidRPr="00A35BB6" w:rsidRDefault="00BA5A94" w:rsidP="00A139D8">
      <w:pPr>
        <w:pStyle w:val="SchAmain"/>
      </w:pPr>
      <w:r>
        <w:tab/>
        <w:t>(</w:t>
      </w:r>
      <w:r w:rsidR="00991BFF">
        <w:t>8</w:t>
      </w:r>
      <w:r w:rsidR="00A139D8" w:rsidRPr="00A35BB6">
        <w:t>)</w:t>
      </w:r>
      <w:r w:rsidR="00A139D8" w:rsidRPr="00A35BB6">
        <w:tab/>
        <w:t>If a person wishes to redeem points under a player reward scheme conducted by—</w:t>
      </w:r>
    </w:p>
    <w:p w14:paraId="2BD2FF0B" w14:textId="77777777" w:rsidR="00A139D8" w:rsidRPr="00A35BB6" w:rsidRDefault="00A139D8" w:rsidP="00A139D8">
      <w:pPr>
        <w:pStyle w:val="SchApara"/>
      </w:pPr>
      <w:r w:rsidRPr="00A35BB6">
        <w:tab/>
        <w:t>(a)</w:t>
      </w:r>
      <w:r w:rsidRPr="00A35BB6">
        <w:tab/>
        <w:t>a gaming machine licensee or a casino licensee at a gambling facility and the licensee offers gambling credits, the licensee must offer the person rewards or benefits other than gambling credits for the points; or</w:t>
      </w:r>
    </w:p>
    <w:p w14:paraId="588F10DA" w14:textId="77777777" w:rsidR="00A139D8" w:rsidRPr="00A35BB6" w:rsidRDefault="00A139D8" w:rsidP="00A139D8">
      <w:pPr>
        <w:pStyle w:val="SchApara"/>
      </w:pPr>
      <w:r w:rsidRPr="00A35BB6">
        <w:tab/>
        <w:t>(b)</w:t>
      </w:r>
      <w:r w:rsidRPr="00A35BB6">
        <w:tab/>
        <w:t>a gaming machine licensee at a gambling facility, the licensee must not offer a reward or benefit to the person if the value of the reward or benefit is more than $1000.</w:t>
      </w:r>
    </w:p>
    <w:p w14:paraId="03865C75" w14:textId="77777777" w:rsidR="00A139D8" w:rsidRPr="00A35BB6" w:rsidRDefault="00BA5A94" w:rsidP="00A139D8">
      <w:pPr>
        <w:pStyle w:val="SchAmain"/>
      </w:pPr>
      <w:r>
        <w:tab/>
        <w:t>(</w:t>
      </w:r>
      <w:r w:rsidR="00991BFF">
        <w:t>9</w:t>
      </w:r>
      <w:r w:rsidR="00A139D8" w:rsidRPr="00A35BB6">
        <w:t>)</w:t>
      </w:r>
      <w:r w:rsidR="00A139D8" w:rsidRPr="00A35BB6">
        <w:tab/>
        <w:t>For subsectio</w:t>
      </w:r>
      <w:r w:rsidR="001C5459">
        <w:t>n (</w:t>
      </w:r>
      <w:r w:rsidR="008E539A">
        <w:t>8</w:t>
      </w:r>
      <w:r w:rsidR="00A139D8" w:rsidRPr="00A35BB6">
        <w:t>) (b), if a reward or benefit is made up of 2 or more parts, the value of the reward or benefit is the total value of all the parts.</w:t>
      </w:r>
    </w:p>
    <w:p w14:paraId="54959F23" w14:textId="77777777" w:rsidR="00A139D8" w:rsidRDefault="00BA5A94" w:rsidP="00A139D8">
      <w:pPr>
        <w:pStyle w:val="SchAmain"/>
      </w:pPr>
      <w:r>
        <w:tab/>
        <w:t>(</w:t>
      </w:r>
      <w:r w:rsidR="00991BFF">
        <w:t>10</w:t>
      </w:r>
      <w:r w:rsidR="00A139D8" w:rsidRPr="00A35BB6">
        <w:t>)</w:t>
      </w:r>
      <w:r w:rsidR="00A139D8" w:rsidRPr="00A35BB6">
        <w:tab/>
        <w:t>In this section:</w:t>
      </w:r>
    </w:p>
    <w:p w14:paraId="0B06E91F" w14:textId="77777777" w:rsidR="00D11833" w:rsidRPr="00A35BB6" w:rsidRDefault="00D11833" w:rsidP="00D11833">
      <w:pPr>
        <w:pStyle w:val="aDef"/>
      </w:pPr>
      <w:r w:rsidRPr="001E4518">
        <w:rPr>
          <w:rStyle w:val="charBoldItals"/>
        </w:rPr>
        <w:t>betting account—</w:t>
      </w:r>
      <w:r w:rsidRPr="001E4518">
        <w:t>see section 1.20B.</w:t>
      </w:r>
    </w:p>
    <w:p w14:paraId="2329F0DA" w14:textId="77777777" w:rsidR="00A139D8" w:rsidRPr="00A35BB6" w:rsidRDefault="00A139D8" w:rsidP="00A139D8">
      <w:pPr>
        <w:pStyle w:val="aDef"/>
      </w:pPr>
      <w:r w:rsidRPr="00A35BB6">
        <w:rPr>
          <w:rStyle w:val="charBoldItals"/>
        </w:rPr>
        <w:t>player reward scheme</w:t>
      </w:r>
      <w:r w:rsidRPr="00A35BB6">
        <w:t>, at a gambling facility includes a player loyalty scheme, and means a scheme in which a patron of the facility—</w:t>
      </w:r>
    </w:p>
    <w:p w14:paraId="1B09A394" w14:textId="77777777" w:rsidR="00A139D8" w:rsidRPr="00A35BB6" w:rsidRDefault="00A139D8" w:rsidP="00A139D8">
      <w:pPr>
        <w:pStyle w:val="aDefpara"/>
      </w:pPr>
      <w:r w:rsidRPr="00A35BB6">
        <w:tab/>
        <w:t>(a)</w:t>
      </w:r>
      <w:r w:rsidRPr="00A35BB6">
        <w:tab/>
        <w:t>earns points by participating in an activity at the facility; and</w:t>
      </w:r>
    </w:p>
    <w:p w14:paraId="5BD52A13" w14:textId="77777777" w:rsidR="00A139D8" w:rsidRDefault="00A139D8" w:rsidP="00A139D8">
      <w:pPr>
        <w:pStyle w:val="aDefpara"/>
      </w:pPr>
      <w:r w:rsidRPr="00A35BB6">
        <w:tab/>
        <w:t>(b)</w:t>
      </w:r>
      <w:r w:rsidRPr="00A35BB6">
        <w:tab/>
        <w:t>may redeem the points for a reward or benefit.</w:t>
      </w:r>
    </w:p>
    <w:p w14:paraId="1BBBF56B" w14:textId="77777777" w:rsidR="00D11833" w:rsidRPr="00A35BB6" w:rsidRDefault="00D11833" w:rsidP="00D11833">
      <w:pPr>
        <w:pStyle w:val="aDef"/>
      </w:pPr>
      <w:r w:rsidRPr="001E4518">
        <w:rPr>
          <w:rStyle w:val="charBoldItals"/>
        </w:rPr>
        <w:t>winnings</w:t>
      </w:r>
      <w:r w:rsidRPr="001E4518">
        <w:t>, from a bonus bet by a person, means the amount to be paid or credited to the person if the bet is successful.</w:t>
      </w:r>
    </w:p>
    <w:p w14:paraId="14C2CD89" w14:textId="77777777" w:rsidR="00D847F1" w:rsidRDefault="00BA5A94">
      <w:pPr>
        <w:pStyle w:val="Amain"/>
      </w:pPr>
      <w:r>
        <w:tab/>
        <w:t>(1</w:t>
      </w:r>
      <w:r w:rsidR="00991BFF">
        <w:t>1</w:t>
      </w:r>
      <w:r w:rsidR="00D847F1">
        <w:t>)</w:t>
      </w:r>
      <w:r w:rsidR="00D847F1">
        <w:tab/>
        <w:t>This section is subject to section 1.31.</w:t>
      </w:r>
    </w:p>
    <w:p w14:paraId="1053B513" w14:textId="77777777" w:rsidR="00A139D8" w:rsidRPr="00A35BB6" w:rsidRDefault="00A139D8" w:rsidP="00A139D8">
      <w:pPr>
        <w:pStyle w:val="Schclauseheading"/>
      </w:pPr>
      <w:bookmarkStart w:id="97" w:name="_Toc72506009"/>
      <w:r w:rsidRPr="00224E14">
        <w:rPr>
          <w:rStyle w:val="CharSectNo"/>
        </w:rPr>
        <w:lastRenderedPageBreak/>
        <w:t>1.30A</w:t>
      </w:r>
      <w:r w:rsidRPr="00A35BB6">
        <w:tab/>
        <w:t>Gaming machine promotions—alternative ways to participate</w:t>
      </w:r>
      <w:bookmarkEnd w:id="97"/>
    </w:p>
    <w:p w14:paraId="76564522" w14:textId="77777777" w:rsidR="00A139D8" w:rsidRPr="00A35BB6" w:rsidRDefault="00A139D8" w:rsidP="00A139D8">
      <w:pPr>
        <w:pStyle w:val="SchAmain"/>
      </w:pPr>
      <w:r w:rsidRPr="00A35BB6">
        <w:tab/>
        <w:t>(1)</w:t>
      </w:r>
      <w:r w:rsidRPr="00A35BB6">
        <w:tab/>
        <w:t>This section applies to a promotion conducted at a gambling facility that a patron of the facility may take part in by playing a gaming machine.</w:t>
      </w:r>
    </w:p>
    <w:p w14:paraId="66A72222" w14:textId="77777777" w:rsidR="00A139D8" w:rsidRPr="00A35BB6" w:rsidRDefault="00A139D8" w:rsidP="00A139D8">
      <w:pPr>
        <w:pStyle w:val="SchAmain"/>
      </w:pPr>
      <w:r w:rsidRPr="00A35BB6">
        <w:tab/>
        <w:t>(2)</w:t>
      </w:r>
      <w:r w:rsidRPr="00A35BB6">
        <w:tab/>
        <w:t xml:space="preserve">The licensee of the gambling facility must ensure that there is at least 1 other way a patron of the facility may take part in the promotion. </w:t>
      </w:r>
    </w:p>
    <w:p w14:paraId="34D56B10" w14:textId="77777777" w:rsidR="00A139D8" w:rsidRPr="00A35BB6" w:rsidRDefault="00A139D8" w:rsidP="00A139D8">
      <w:pPr>
        <w:pStyle w:val="aExamHdgss"/>
      </w:pPr>
      <w:r w:rsidRPr="00A35BB6">
        <w:t>Examples</w:t>
      </w:r>
    </w:p>
    <w:p w14:paraId="7A791030" w14:textId="77777777" w:rsidR="00A139D8" w:rsidRPr="00A35BB6" w:rsidRDefault="00A139D8" w:rsidP="00A139D8">
      <w:pPr>
        <w:pStyle w:val="aExamINumss"/>
      </w:pPr>
      <w:r w:rsidRPr="00A35BB6">
        <w:t>1</w:t>
      </w:r>
      <w:r w:rsidRPr="00A35BB6">
        <w:tab/>
        <w:t>entry to the facility</w:t>
      </w:r>
    </w:p>
    <w:p w14:paraId="116EF74E" w14:textId="77777777" w:rsidR="00A139D8" w:rsidRPr="00A35BB6" w:rsidRDefault="00A139D8" w:rsidP="00A139D8">
      <w:pPr>
        <w:pStyle w:val="aExamINumss"/>
        <w:keepNext/>
      </w:pPr>
      <w:r w:rsidRPr="00A35BB6">
        <w:t>2</w:t>
      </w:r>
      <w:r w:rsidRPr="00A35BB6">
        <w:tab/>
        <w:t>buying food or drink at the facility</w:t>
      </w:r>
    </w:p>
    <w:p w14:paraId="6912142B" w14:textId="77777777" w:rsidR="00231D83" w:rsidRPr="001E4518" w:rsidRDefault="00231D83" w:rsidP="007C2DE6">
      <w:pPr>
        <w:pStyle w:val="AH5Sec"/>
        <w:rPr>
          <w:color w:val="000000"/>
        </w:rPr>
      </w:pPr>
      <w:bookmarkStart w:id="98" w:name="_Toc72506010"/>
      <w:r w:rsidRPr="00224E14">
        <w:rPr>
          <w:rStyle w:val="CharSectNo"/>
        </w:rPr>
        <w:t>1.30B</w:t>
      </w:r>
      <w:r w:rsidRPr="001E4518">
        <w:tab/>
        <w:t>Personally addressed promotional material</w:t>
      </w:r>
      <w:r w:rsidRPr="001E4518">
        <w:rPr>
          <w:color w:val="000000"/>
        </w:rPr>
        <w:t>—gaming machine and casino licensees</w:t>
      </w:r>
      <w:bookmarkEnd w:id="98"/>
    </w:p>
    <w:p w14:paraId="759CB598" w14:textId="77777777" w:rsidR="002C47BB" w:rsidRPr="001E4518" w:rsidRDefault="002C47BB" w:rsidP="002C47BB">
      <w:pPr>
        <w:pStyle w:val="Amain"/>
      </w:pPr>
      <w:r w:rsidRPr="001E4518">
        <w:tab/>
        <w:t>(1)</w:t>
      </w:r>
      <w:r w:rsidRPr="001E4518">
        <w:tab/>
        <w:t>This section applies only to a gaming machine licensee or casino licensee.</w:t>
      </w:r>
    </w:p>
    <w:p w14:paraId="17EF91B7" w14:textId="77777777" w:rsidR="00A139D8" w:rsidRPr="00A35BB6" w:rsidRDefault="00A139D8" w:rsidP="00A139D8">
      <w:pPr>
        <w:pStyle w:val="SchAmain"/>
      </w:pPr>
      <w:r w:rsidRPr="00A35BB6">
        <w:tab/>
        <w:t>(2)</w:t>
      </w:r>
      <w:r w:rsidRPr="00A35BB6">
        <w:tab/>
        <w:t>A patron of a gambling facility may, in writing, ask the licensee of the facility to not send the patron promotional material.</w:t>
      </w:r>
    </w:p>
    <w:p w14:paraId="5CB5D8F1" w14:textId="77777777" w:rsidR="00A139D8" w:rsidRPr="00A35BB6" w:rsidRDefault="00A139D8" w:rsidP="00A139D8">
      <w:pPr>
        <w:pStyle w:val="SchAmain"/>
      </w:pPr>
      <w:r w:rsidRPr="00A35BB6">
        <w:tab/>
        <w:t>(3)</w:t>
      </w:r>
      <w:r w:rsidRPr="00A35BB6">
        <w:tab/>
        <w:t>The patron may, in writing, revoke the patron’s request under subsection (2) at any time.</w:t>
      </w:r>
    </w:p>
    <w:p w14:paraId="47508FFC" w14:textId="77777777" w:rsidR="00A139D8" w:rsidRDefault="00A139D8" w:rsidP="00A139D8">
      <w:pPr>
        <w:pStyle w:val="SchAmain"/>
      </w:pPr>
      <w:r w:rsidRPr="00A35BB6">
        <w:tab/>
        <w:t>(4)</w:t>
      </w:r>
      <w:r w:rsidRPr="00A35BB6">
        <w:tab/>
        <w:t>If a patron makes a request under subsection (2), and does not revoke the request under subsection (3), the licensee must not send any promotional material to the patron that is personally-addressed to the patron.</w:t>
      </w:r>
    </w:p>
    <w:p w14:paraId="78B088BD" w14:textId="77777777" w:rsidR="002C47BB" w:rsidRPr="001E4518" w:rsidRDefault="002C47BB" w:rsidP="002C47BB">
      <w:pPr>
        <w:pStyle w:val="AH5Sec"/>
      </w:pPr>
      <w:bookmarkStart w:id="99" w:name="_Toc72506011"/>
      <w:r w:rsidRPr="00224E14">
        <w:rPr>
          <w:rStyle w:val="CharSectNo"/>
        </w:rPr>
        <w:t>1.30C</w:t>
      </w:r>
      <w:r w:rsidRPr="001E4518">
        <w:tab/>
        <w:t>Direct marketing</w:t>
      </w:r>
      <w:r w:rsidRPr="001E4518">
        <w:rPr>
          <w:color w:val="000000"/>
        </w:rPr>
        <w:t>—totalisator and sports bookmaking licensees</w:t>
      </w:r>
      <w:bookmarkEnd w:id="99"/>
    </w:p>
    <w:p w14:paraId="277AC4D4" w14:textId="77777777" w:rsidR="002C47BB" w:rsidRPr="001E4518" w:rsidRDefault="002C47BB" w:rsidP="002C47BB">
      <w:pPr>
        <w:pStyle w:val="Amain"/>
      </w:pPr>
      <w:r w:rsidRPr="001E4518">
        <w:tab/>
        <w:t>(1)</w:t>
      </w:r>
      <w:r w:rsidRPr="001E4518">
        <w:tab/>
        <w:t>This section applies only to a totalisator licensee or sports bookmaking licensee.</w:t>
      </w:r>
    </w:p>
    <w:p w14:paraId="2BDDD0C2" w14:textId="77777777" w:rsidR="002C47BB" w:rsidRPr="001E4518" w:rsidRDefault="002C47BB" w:rsidP="003E3DF8">
      <w:pPr>
        <w:pStyle w:val="Amain"/>
        <w:keepNext/>
        <w:rPr>
          <w:color w:val="000000"/>
        </w:rPr>
      </w:pPr>
      <w:r w:rsidRPr="001E4518">
        <w:lastRenderedPageBreak/>
        <w:tab/>
        <w:t>(2)</w:t>
      </w:r>
      <w:r w:rsidRPr="001E4518">
        <w:tab/>
        <w:t>The licensee</w:t>
      </w:r>
      <w:r w:rsidRPr="001E4518">
        <w:rPr>
          <w:color w:val="000000"/>
        </w:rPr>
        <w:t xml:space="preserve"> must ensure that the licensee’s direct marketing is not sent to a person unless—</w:t>
      </w:r>
    </w:p>
    <w:p w14:paraId="779E70D9" w14:textId="77777777" w:rsidR="002C47BB" w:rsidRPr="001E4518" w:rsidRDefault="002C47BB" w:rsidP="002C47BB">
      <w:pPr>
        <w:pStyle w:val="Apara"/>
      </w:pPr>
      <w:r w:rsidRPr="001E4518">
        <w:tab/>
        <w:t>(a)</w:t>
      </w:r>
      <w:r w:rsidRPr="001E4518">
        <w:tab/>
        <w:t>the person has expressly consented to receive the direct marketing; and</w:t>
      </w:r>
    </w:p>
    <w:p w14:paraId="145C34E3" w14:textId="77777777" w:rsidR="002C47BB" w:rsidRPr="001E4518" w:rsidRDefault="002C47BB" w:rsidP="002C47BB">
      <w:pPr>
        <w:pStyle w:val="Apara"/>
      </w:pPr>
      <w:r w:rsidRPr="001E4518">
        <w:tab/>
        <w:t>(b)</w:t>
      </w:r>
      <w:r w:rsidRPr="001E4518">
        <w:tab/>
        <w:t>the direct marketing complies with any guidelines made under section 1.30D.</w:t>
      </w:r>
    </w:p>
    <w:p w14:paraId="3065AC47" w14:textId="77777777" w:rsidR="002C47BB" w:rsidRPr="001E4518" w:rsidRDefault="002C47BB" w:rsidP="002C47BB">
      <w:pPr>
        <w:pStyle w:val="Amain"/>
      </w:pPr>
      <w:r w:rsidRPr="001E4518">
        <w:rPr>
          <w:color w:val="000000"/>
        </w:rPr>
        <w:tab/>
        <w:t>(3)</w:t>
      </w:r>
      <w:r w:rsidRPr="001E4518">
        <w:rPr>
          <w:color w:val="000000"/>
        </w:rPr>
        <w:tab/>
        <w:t>The licensee must ensure that the licensee’s direct marketing is not sent to a person after 5</w:t>
      </w:r>
      <w:r>
        <w:rPr>
          <w:color w:val="000000"/>
        </w:rPr>
        <w:t xml:space="preserve"> business</w:t>
      </w:r>
      <w:r w:rsidRPr="001E4518">
        <w:rPr>
          <w:color w:val="000000"/>
        </w:rPr>
        <w:t xml:space="preserve"> days from the date </w:t>
      </w:r>
      <w:r w:rsidRPr="001E4518">
        <w:t>a request is received from the person to</w:t>
      </w:r>
      <w:r w:rsidRPr="001E4518">
        <w:rPr>
          <w:color w:val="000000"/>
        </w:rPr>
        <w:t>—</w:t>
      </w:r>
    </w:p>
    <w:p w14:paraId="478EE208" w14:textId="77777777" w:rsidR="002C47BB" w:rsidRPr="001E4518" w:rsidRDefault="002C47BB" w:rsidP="002C47BB">
      <w:pPr>
        <w:pStyle w:val="Apara"/>
      </w:pPr>
      <w:r w:rsidRPr="001E4518">
        <w:tab/>
        <w:t>(a)</w:t>
      </w:r>
      <w:r w:rsidRPr="001E4518">
        <w:tab/>
        <w:t xml:space="preserve">stop getting the direct marketing; or </w:t>
      </w:r>
    </w:p>
    <w:p w14:paraId="4F821643" w14:textId="77777777" w:rsidR="002C47BB" w:rsidRPr="001E4518" w:rsidRDefault="002C47BB" w:rsidP="002C47BB">
      <w:pPr>
        <w:pStyle w:val="Apara"/>
        <w:rPr>
          <w:color w:val="000000"/>
        </w:rPr>
      </w:pPr>
      <w:r w:rsidRPr="001E4518">
        <w:tab/>
        <w:t>(b)</w:t>
      </w:r>
      <w:r w:rsidRPr="001E4518">
        <w:tab/>
        <w:t>close their betting account.</w:t>
      </w:r>
    </w:p>
    <w:p w14:paraId="4C9CDB83" w14:textId="77777777" w:rsidR="002C47BB" w:rsidRPr="001E4518" w:rsidRDefault="002C47BB" w:rsidP="002C47BB">
      <w:pPr>
        <w:pStyle w:val="Amain"/>
      </w:pPr>
      <w:r w:rsidRPr="001E4518">
        <w:rPr>
          <w:color w:val="000000"/>
        </w:rPr>
        <w:tab/>
        <w:t>(4)</w:t>
      </w:r>
      <w:r w:rsidRPr="001E4518">
        <w:rPr>
          <w:color w:val="000000"/>
        </w:rPr>
        <w:tab/>
        <w:t>In this section:</w:t>
      </w:r>
    </w:p>
    <w:p w14:paraId="389DFBE5" w14:textId="77777777" w:rsidR="002C47BB" w:rsidRPr="001E4518" w:rsidRDefault="002C47BB" w:rsidP="002C47BB">
      <w:pPr>
        <w:pStyle w:val="aDef"/>
      </w:pPr>
      <w:r w:rsidRPr="001E4518">
        <w:rPr>
          <w:rStyle w:val="charBoldItals"/>
        </w:rPr>
        <w:t>direct marketing</w:t>
      </w:r>
      <w:r w:rsidRPr="001E4518">
        <w:t xml:space="preserve"> includes any advertising, promotion or offer from a licensee, or from a person on the licensee’s behalf, that is made directly to a person by telephone, SMS, email, internet application, post or other direct means.</w:t>
      </w:r>
    </w:p>
    <w:p w14:paraId="1FD548B9" w14:textId="77777777" w:rsidR="002C47BB" w:rsidRPr="001E4518" w:rsidRDefault="002C47BB" w:rsidP="002C47BB">
      <w:pPr>
        <w:pStyle w:val="AH5Sec"/>
      </w:pPr>
      <w:bookmarkStart w:id="100" w:name="_Toc72506012"/>
      <w:r w:rsidRPr="00224E14">
        <w:rPr>
          <w:rStyle w:val="CharSectNo"/>
        </w:rPr>
        <w:t>1.30D</w:t>
      </w:r>
      <w:r w:rsidRPr="001E4518">
        <w:tab/>
        <w:t xml:space="preserve">Guidelines for direct marketing by </w:t>
      </w:r>
      <w:r w:rsidRPr="001E4518">
        <w:rPr>
          <w:color w:val="000000"/>
        </w:rPr>
        <w:t>totalisator and sports bookmaking licensees</w:t>
      </w:r>
      <w:bookmarkEnd w:id="100"/>
    </w:p>
    <w:p w14:paraId="5453B474" w14:textId="77777777" w:rsidR="002C47BB" w:rsidRPr="001E4518" w:rsidRDefault="002C47BB" w:rsidP="002C47BB">
      <w:pPr>
        <w:pStyle w:val="Amain"/>
      </w:pPr>
      <w:r w:rsidRPr="001E4518">
        <w:tab/>
        <w:t>(1)</w:t>
      </w:r>
      <w:r w:rsidRPr="001E4518">
        <w:tab/>
        <w:t>The Minister may make guidelines about direct marketing by a totalisator licensee or sports bookmaking licensee.</w:t>
      </w:r>
    </w:p>
    <w:p w14:paraId="2A3E986A" w14:textId="77777777" w:rsidR="002C47BB" w:rsidRPr="001E4518" w:rsidRDefault="002C47BB" w:rsidP="002C47BB">
      <w:pPr>
        <w:pStyle w:val="Amain"/>
      </w:pPr>
      <w:r w:rsidRPr="001E4518">
        <w:tab/>
        <w:t>(2)</w:t>
      </w:r>
      <w:r w:rsidRPr="001E4518">
        <w:tab/>
        <w:t>A guideline is a notifiable instrument.</w:t>
      </w:r>
    </w:p>
    <w:p w14:paraId="3E69DEEB" w14:textId="602A03BD" w:rsidR="002C47BB" w:rsidRPr="001E4518" w:rsidRDefault="002C47BB" w:rsidP="002C47BB">
      <w:pPr>
        <w:pStyle w:val="aNote"/>
      </w:pPr>
      <w:r w:rsidRPr="001E4518">
        <w:rPr>
          <w:rStyle w:val="charItals"/>
        </w:rPr>
        <w:t>Note</w:t>
      </w:r>
      <w:r w:rsidRPr="001E4518">
        <w:rPr>
          <w:rStyle w:val="charItals"/>
        </w:rPr>
        <w:tab/>
      </w:r>
      <w:r w:rsidRPr="001E4518">
        <w:t xml:space="preserve">A notifiable instrument must be notified under the </w:t>
      </w:r>
      <w:hyperlink r:id="rId69" w:tooltip="A2001-14" w:history="1">
        <w:r w:rsidRPr="001E4518">
          <w:rPr>
            <w:rStyle w:val="charCitHyperlinkAbbrev"/>
          </w:rPr>
          <w:t>Legislation Act</w:t>
        </w:r>
      </w:hyperlink>
      <w:r w:rsidRPr="001E4518">
        <w:t>.</w:t>
      </w:r>
    </w:p>
    <w:p w14:paraId="7E99B0FD" w14:textId="77777777" w:rsidR="002C47BB" w:rsidRPr="001E4518" w:rsidRDefault="002C47BB" w:rsidP="002C47BB">
      <w:pPr>
        <w:pStyle w:val="Amain"/>
      </w:pPr>
      <w:r w:rsidRPr="001E4518">
        <w:rPr>
          <w:color w:val="000000"/>
        </w:rPr>
        <w:tab/>
        <w:t>(3)</w:t>
      </w:r>
      <w:r w:rsidRPr="001E4518">
        <w:rPr>
          <w:color w:val="000000"/>
        </w:rPr>
        <w:tab/>
        <w:t>In this section:</w:t>
      </w:r>
    </w:p>
    <w:p w14:paraId="6927CF05" w14:textId="77777777" w:rsidR="002C47BB" w:rsidRPr="00A35BB6" w:rsidRDefault="002C47BB" w:rsidP="002C47BB">
      <w:pPr>
        <w:pStyle w:val="aDef"/>
      </w:pPr>
      <w:r w:rsidRPr="001E4518">
        <w:rPr>
          <w:rStyle w:val="charBoldItals"/>
        </w:rPr>
        <w:t>direct marketing</w:t>
      </w:r>
      <w:r w:rsidRPr="001E4518">
        <w:rPr>
          <w:color w:val="000000"/>
        </w:rPr>
        <w:t>—see section 1.30C.</w:t>
      </w:r>
    </w:p>
    <w:p w14:paraId="373DEF6C" w14:textId="77777777" w:rsidR="00D847F1" w:rsidRDefault="00D847F1">
      <w:pPr>
        <w:pStyle w:val="Schclauseheading"/>
      </w:pPr>
      <w:bookmarkStart w:id="101" w:name="_Toc72506013"/>
      <w:r w:rsidRPr="00224E14">
        <w:rPr>
          <w:rStyle w:val="CharSectNo"/>
        </w:rPr>
        <w:lastRenderedPageBreak/>
        <w:t>1.31</w:t>
      </w:r>
      <w:r>
        <w:tab/>
        <w:t>Directions about advertising, promotions and inducements</w:t>
      </w:r>
      <w:bookmarkEnd w:id="101"/>
    </w:p>
    <w:p w14:paraId="5E16DEB2" w14:textId="77777777" w:rsidR="002C47BB" w:rsidRPr="001E4518" w:rsidRDefault="002C47BB" w:rsidP="004A006F">
      <w:pPr>
        <w:pStyle w:val="Amain"/>
      </w:pPr>
      <w:r w:rsidRPr="001E4518">
        <w:tab/>
        <w:t>(1)</w:t>
      </w:r>
      <w:r w:rsidRPr="001E4518">
        <w:tab/>
        <w:t>The commission may give a written direction to a licensee to ensure compliance with this part.</w:t>
      </w:r>
    </w:p>
    <w:p w14:paraId="2E6A320D" w14:textId="77777777" w:rsidR="00CE2FCA" w:rsidRPr="001A6F65" w:rsidRDefault="00D847F1">
      <w:pPr>
        <w:pStyle w:val="Amain"/>
      </w:pPr>
      <w:r>
        <w:tab/>
        <w:t>(2)</w:t>
      </w:r>
      <w:r>
        <w:tab/>
        <w:t>If the commission gives a direction to the licensee, the licensee must comply with the direction.</w:t>
      </w:r>
    </w:p>
    <w:p w14:paraId="3B0ED8F7" w14:textId="77777777" w:rsidR="00CE2FCA" w:rsidRPr="00CE2FCA" w:rsidRDefault="00CE2FCA" w:rsidP="00CE2FCA">
      <w:pPr>
        <w:pStyle w:val="PageBreak"/>
      </w:pPr>
      <w:r w:rsidRPr="00CE2FCA">
        <w:br w:type="page"/>
      </w:r>
    </w:p>
    <w:p w14:paraId="243443FB" w14:textId="77777777" w:rsidR="0007725C" w:rsidRDefault="0007725C">
      <w:pPr>
        <w:pStyle w:val="03Schedule"/>
        <w:sectPr w:rsidR="0007725C">
          <w:headerReference w:type="even" r:id="rId70"/>
          <w:headerReference w:type="default" r:id="rId71"/>
          <w:footerReference w:type="even" r:id="rId72"/>
          <w:footerReference w:type="default" r:id="rId73"/>
          <w:type w:val="continuous"/>
          <w:pgSz w:w="11907" w:h="16839" w:code="9"/>
          <w:pgMar w:top="3880" w:right="1900" w:bottom="3100" w:left="2300" w:header="1920" w:footer="1760" w:gutter="0"/>
          <w:cols w:space="720"/>
        </w:sectPr>
      </w:pPr>
    </w:p>
    <w:p w14:paraId="46349893" w14:textId="77777777" w:rsidR="00D847F1" w:rsidRDefault="00D847F1">
      <w:pPr>
        <w:pStyle w:val="Dict-Heading"/>
      </w:pPr>
      <w:bookmarkStart w:id="102" w:name="_Toc72506014"/>
      <w:r>
        <w:lastRenderedPageBreak/>
        <w:t>Dictionary</w:t>
      </w:r>
      <w:bookmarkEnd w:id="102"/>
    </w:p>
    <w:p w14:paraId="6ACE2753" w14:textId="77777777" w:rsidR="00D847F1" w:rsidRDefault="00D847F1">
      <w:pPr>
        <w:pStyle w:val="ref"/>
        <w:keepNext/>
      </w:pPr>
      <w:r>
        <w:t>(see s 3)</w:t>
      </w:r>
    </w:p>
    <w:p w14:paraId="01C798E3" w14:textId="46DE4E70" w:rsidR="00D847F1" w:rsidRDefault="00D847F1">
      <w:pPr>
        <w:pStyle w:val="aNote"/>
        <w:keepNext/>
      </w:pPr>
      <w:r>
        <w:rPr>
          <w:rStyle w:val="charItals"/>
        </w:rPr>
        <w:t>Note 1</w:t>
      </w:r>
      <w:r>
        <w:tab/>
        <w:t xml:space="preserve">The </w:t>
      </w:r>
      <w:hyperlink r:id="rId74" w:tooltip="A2001-14" w:history="1">
        <w:r w:rsidR="00DF21AF" w:rsidRPr="00DF21AF">
          <w:rPr>
            <w:rStyle w:val="charCitHyperlinkAbbrev"/>
          </w:rPr>
          <w:t>Legislation Act</w:t>
        </w:r>
      </w:hyperlink>
      <w:r w:rsidRPr="00F1531F">
        <w:t xml:space="preserve"> </w:t>
      </w:r>
      <w:r>
        <w:t>contains definitions and other provisions relevant to this regulation.</w:t>
      </w:r>
    </w:p>
    <w:p w14:paraId="6140E825" w14:textId="5974044A" w:rsidR="00D847F1" w:rsidRDefault="00D847F1">
      <w:pPr>
        <w:pStyle w:val="aNote"/>
        <w:keepNext/>
      </w:pPr>
      <w:r>
        <w:rPr>
          <w:rStyle w:val="charItals"/>
        </w:rPr>
        <w:t>Note 2</w:t>
      </w:r>
      <w:r>
        <w:tab/>
        <w:t xml:space="preserve">For example, the </w:t>
      </w:r>
      <w:hyperlink r:id="rId75" w:tooltip="A2001-14" w:history="1">
        <w:r w:rsidR="00DF21AF" w:rsidRPr="00DF21AF">
          <w:rPr>
            <w:rStyle w:val="charCitHyperlinkAbbrev"/>
          </w:rPr>
          <w:t>Legislation Act</w:t>
        </w:r>
      </w:hyperlink>
      <w:r>
        <w:t xml:space="preserve">, dict, pt 1 defines the following terms: </w:t>
      </w:r>
    </w:p>
    <w:p w14:paraId="1216CFAE" w14:textId="77777777" w:rsidR="00D847F1" w:rsidRDefault="00D847F1">
      <w:pPr>
        <w:pStyle w:val="aNoteBulletss"/>
      </w:pPr>
      <w:r>
        <w:rPr>
          <w:rFonts w:ascii="Symbol" w:hAnsi="Symbol"/>
        </w:rPr>
        <w:t></w:t>
      </w:r>
      <w:r>
        <w:rPr>
          <w:rFonts w:ascii="Symbol" w:hAnsi="Symbol"/>
        </w:rPr>
        <w:tab/>
      </w:r>
      <w:r w:rsidR="00D96AB6">
        <w:t>ACAT</w:t>
      </w:r>
    </w:p>
    <w:p w14:paraId="1029F079" w14:textId="77777777" w:rsidR="00D847F1" w:rsidRDefault="00D847F1">
      <w:pPr>
        <w:pStyle w:val="aNoteBulletss"/>
      </w:pPr>
      <w:r>
        <w:rPr>
          <w:rFonts w:ascii="Symbol" w:hAnsi="Symbol"/>
        </w:rPr>
        <w:t></w:t>
      </w:r>
      <w:r>
        <w:rPr>
          <w:rFonts w:ascii="Symbol" w:hAnsi="Symbol"/>
        </w:rPr>
        <w:tab/>
      </w:r>
      <w:r>
        <w:t>amend</w:t>
      </w:r>
    </w:p>
    <w:p w14:paraId="33FB1684" w14:textId="77777777" w:rsidR="00D847F1" w:rsidRDefault="00D847F1">
      <w:pPr>
        <w:pStyle w:val="aNoteBulletss"/>
      </w:pPr>
      <w:r>
        <w:rPr>
          <w:rFonts w:ascii="Symbol" w:hAnsi="Symbol"/>
        </w:rPr>
        <w:t></w:t>
      </w:r>
      <w:r>
        <w:rPr>
          <w:rFonts w:ascii="Symbol" w:hAnsi="Symbol"/>
        </w:rPr>
        <w:tab/>
      </w:r>
      <w:r w:rsidR="00BC249E">
        <w:t>contravene</w:t>
      </w:r>
    </w:p>
    <w:p w14:paraId="429BA783" w14:textId="77777777" w:rsidR="00BC249E" w:rsidRDefault="00BC249E" w:rsidP="00BC249E">
      <w:pPr>
        <w:pStyle w:val="aNoteBulletss"/>
        <w:tabs>
          <w:tab w:val="left" w:pos="2300"/>
        </w:tabs>
      </w:pPr>
      <w:r>
        <w:rPr>
          <w:rFonts w:ascii="Symbol" w:hAnsi="Symbol" w:cs="Symbol"/>
        </w:rPr>
        <w:t></w:t>
      </w:r>
      <w:r>
        <w:rPr>
          <w:rFonts w:ascii="Symbol" w:hAnsi="Symbol" w:cs="Symbol"/>
        </w:rPr>
        <w:tab/>
      </w:r>
      <w:r>
        <w:t>reviewable decision notice.</w:t>
      </w:r>
    </w:p>
    <w:p w14:paraId="68761318" w14:textId="60ACBE12" w:rsidR="00D847F1" w:rsidRDefault="00D847F1">
      <w:pPr>
        <w:pStyle w:val="aNote"/>
        <w:keepNext/>
      </w:pPr>
      <w:r w:rsidRPr="00F1531F">
        <w:rPr>
          <w:rStyle w:val="charItals"/>
        </w:rPr>
        <w:t>Note 3</w:t>
      </w:r>
      <w:r w:rsidRPr="00F1531F">
        <w:rPr>
          <w:rStyle w:val="charItals"/>
        </w:rPr>
        <w:tab/>
      </w:r>
      <w:r>
        <w:t xml:space="preserve">Terms used in this regulation have the same meaning that they have in the </w:t>
      </w:r>
      <w:hyperlink r:id="rId76" w:tooltip="A1999-46" w:history="1">
        <w:r w:rsidR="00DF21AF" w:rsidRPr="00DF21AF">
          <w:rPr>
            <w:rStyle w:val="charCitHyperlinkItal"/>
          </w:rPr>
          <w:t>Gambling and Racing Control Act 1999</w:t>
        </w:r>
      </w:hyperlink>
      <w:r>
        <w:t xml:space="preserve"> (see </w:t>
      </w:r>
      <w:hyperlink r:id="rId77" w:tooltip="A2001-14" w:history="1">
        <w:r w:rsidR="00DF21AF" w:rsidRPr="00DF21AF">
          <w:rPr>
            <w:rStyle w:val="charCitHyperlinkAbbrev"/>
          </w:rPr>
          <w:t>Legislation Act</w:t>
        </w:r>
      </w:hyperlink>
      <w:r>
        <w:t xml:space="preserve">, s 148.)  For example, the following terms are defined in the </w:t>
      </w:r>
      <w:hyperlink r:id="rId78" w:tooltip="A1999-46" w:history="1">
        <w:r w:rsidR="00DF21AF" w:rsidRPr="00DF21AF">
          <w:rPr>
            <w:rStyle w:val="charCitHyperlinkItal"/>
          </w:rPr>
          <w:t>Gambling and Racing Control Act 1999</w:t>
        </w:r>
      </w:hyperlink>
      <w:r>
        <w:t>, s 3:</w:t>
      </w:r>
    </w:p>
    <w:p w14:paraId="14C77D00" w14:textId="77777777" w:rsidR="00D847F1" w:rsidRDefault="00D847F1">
      <w:pPr>
        <w:pStyle w:val="aNoteBulletss"/>
        <w:tabs>
          <w:tab w:val="left" w:pos="2300"/>
        </w:tabs>
      </w:pPr>
      <w:r>
        <w:rPr>
          <w:rFonts w:ascii="Symbol" w:hAnsi="Symbol"/>
        </w:rPr>
        <w:t></w:t>
      </w:r>
      <w:r>
        <w:rPr>
          <w:rFonts w:ascii="Symbol" w:hAnsi="Symbol"/>
        </w:rPr>
        <w:tab/>
      </w:r>
      <w:r>
        <w:t>casino</w:t>
      </w:r>
    </w:p>
    <w:p w14:paraId="44133773" w14:textId="77777777" w:rsidR="00D847F1" w:rsidRDefault="00D847F1">
      <w:pPr>
        <w:pStyle w:val="aNoteBulletss"/>
        <w:tabs>
          <w:tab w:val="left" w:pos="2300"/>
        </w:tabs>
      </w:pPr>
      <w:r>
        <w:rPr>
          <w:rFonts w:ascii="Symbol" w:hAnsi="Symbol"/>
        </w:rPr>
        <w:t></w:t>
      </w:r>
      <w:r>
        <w:rPr>
          <w:rFonts w:ascii="Symbol" w:hAnsi="Symbol"/>
        </w:rPr>
        <w:tab/>
      </w:r>
      <w:r>
        <w:t>commission</w:t>
      </w:r>
    </w:p>
    <w:p w14:paraId="30431770" w14:textId="77777777" w:rsidR="00D847F1" w:rsidRDefault="00D847F1">
      <w:pPr>
        <w:pStyle w:val="aNoteBulletss"/>
        <w:tabs>
          <w:tab w:val="left" w:pos="2300"/>
        </w:tabs>
      </w:pPr>
      <w:r>
        <w:rPr>
          <w:rFonts w:ascii="Symbol" w:hAnsi="Symbol"/>
        </w:rPr>
        <w:t></w:t>
      </w:r>
      <w:r>
        <w:rPr>
          <w:rFonts w:ascii="Symbol" w:hAnsi="Symbol"/>
        </w:rPr>
        <w:tab/>
      </w:r>
      <w:r w:rsidR="00D96AB6">
        <w:t>gaming law</w:t>
      </w:r>
      <w:r w:rsidR="00BC249E">
        <w:t>.</w:t>
      </w:r>
    </w:p>
    <w:p w14:paraId="18E6E34E" w14:textId="77777777" w:rsidR="00D847F1" w:rsidRDefault="00D847F1">
      <w:pPr>
        <w:pStyle w:val="aDef"/>
      </w:pPr>
      <w:r>
        <w:rPr>
          <w:rStyle w:val="charBoldItals"/>
        </w:rPr>
        <w:t>approved</w:t>
      </w:r>
      <w:r>
        <w:t xml:space="preserve"> means approved by the commission.</w:t>
      </w:r>
    </w:p>
    <w:p w14:paraId="6CAAE2FA" w14:textId="77777777" w:rsidR="00D847F1" w:rsidRDefault="00D847F1">
      <w:pPr>
        <w:pStyle w:val="aDef"/>
      </w:pPr>
      <w:r>
        <w:rPr>
          <w:rStyle w:val="charBoldItals"/>
        </w:rPr>
        <w:t>approved training program</w:t>
      </w:r>
      <w:r>
        <w:t xml:space="preserve"> means a training program approved under section 9 (</w:t>
      </w:r>
      <w:r w:rsidR="001670ED" w:rsidRPr="00A35BB6">
        <w:t>Approved training programs</w:t>
      </w:r>
      <w:r>
        <w:t>).</w:t>
      </w:r>
    </w:p>
    <w:p w14:paraId="72D28123" w14:textId="5E049AD8" w:rsidR="00D847F1" w:rsidRDefault="00D847F1">
      <w:pPr>
        <w:pStyle w:val="aDef"/>
      </w:pPr>
      <w:r>
        <w:rPr>
          <w:rStyle w:val="charBoldItals"/>
        </w:rPr>
        <w:t>casino licensee—</w:t>
      </w:r>
      <w:r>
        <w:t xml:space="preserve">see the </w:t>
      </w:r>
      <w:hyperlink r:id="rId79" w:tooltip="A2006-2" w:history="1">
        <w:r w:rsidR="00DF21AF" w:rsidRPr="00DF21AF">
          <w:rPr>
            <w:rStyle w:val="charCitHyperlinkItal"/>
          </w:rPr>
          <w:t>Casino Control Act 2006</w:t>
        </w:r>
      </w:hyperlink>
      <w:r>
        <w:t xml:space="preserve">, dictionary. </w:t>
      </w:r>
    </w:p>
    <w:p w14:paraId="10B10059" w14:textId="77777777" w:rsidR="00D847F1" w:rsidRDefault="00D847F1">
      <w:pPr>
        <w:pStyle w:val="aDef"/>
      </w:pPr>
      <w:r>
        <w:rPr>
          <w:rStyle w:val="charBoldItals"/>
        </w:rPr>
        <w:t>code of practice</w:t>
      </w:r>
      <w:r>
        <w:t xml:space="preserve"> means the code of practice in schedule 1.</w:t>
      </w:r>
    </w:p>
    <w:p w14:paraId="716707B5" w14:textId="77777777" w:rsidR="00B776B3" w:rsidRPr="00A35BB6" w:rsidRDefault="00B776B3" w:rsidP="00B776B3">
      <w:pPr>
        <w:pStyle w:val="aDef"/>
      </w:pPr>
      <w:r w:rsidRPr="00A35BB6">
        <w:rPr>
          <w:rStyle w:val="charBoldItals"/>
        </w:rPr>
        <w:t>deed of exclusion</w:t>
      </w:r>
      <w:r w:rsidRPr="00A35BB6">
        <w:t>—see section 1.13 (Deeds of exclusion).</w:t>
      </w:r>
    </w:p>
    <w:p w14:paraId="189F9F7F" w14:textId="77777777" w:rsidR="00B776B3" w:rsidRPr="00A35BB6" w:rsidRDefault="00B776B3" w:rsidP="00B776B3">
      <w:pPr>
        <w:pStyle w:val="aDef"/>
      </w:pPr>
      <w:r w:rsidRPr="00A35BB6">
        <w:rPr>
          <w:rStyle w:val="charBoldItals"/>
        </w:rPr>
        <w:t>exclusion register</w:t>
      </w:r>
      <w:r w:rsidRPr="00A35BB6">
        <w:t>—see section 20 (Exclusion register).</w:t>
      </w:r>
    </w:p>
    <w:p w14:paraId="3EB67E9D" w14:textId="71B5364B" w:rsidR="00D847F1" w:rsidRDefault="00D847F1">
      <w:pPr>
        <w:pStyle w:val="aDef"/>
      </w:pPr>
      <w:r>
        <w:rPr>
          <w:rStyle w:val="charBoldItals"/>
        </w:rPr>
        <w:t>exempt lottery</w:t>
      </w:r>
      <w:r>
        <w:t xml:space="preserve">—see the </w:t>
      </w:r>
      <w:hyperlink r:id="rId80" w:tooltip="A1964-13" w:history="1">
        <w:r w:rsidR="00DF21AF" w:rsidRPr="00DF21AF">
          <w:rPr>
            <w:rStyle w:val="charCitHyperlinkItal"/>
          </w:rPr>
          <w:t>Lotteries Act 1964</w:t>
        </w:r>
      </w:hyperlink>
      <w:r>
        <w:t>, dictionary.</w:t>
      </w:r>
    </w:p>
    <w:p w14:paraId="7A241EB4" w14:textId="77777777" w:rsidR="00D847F1" w:rsidRDefault="00D847F1">
      <w:pPr>
        <w:pStyle w:val="aDef"/>
      </w:pPr>
      <w:r>
        <w:rPr>
          <w:rStyle w:val="charBoldItals"/>
        </w:rPr>
        <w:t>gambling</w:t>
      </w:r>
      <w:r>
        <w:t xml:space="preserve"> means gaming or betting under a gaming law.</w:t>
      </w:r>
    </w:p>
    <w:p w14:paraId="56BADF24" w14:textId="77777777" w:rsidR="00D847F1" w:rsidRDefault="00D847F1">
      <w:pPr>
        <w:pStyle w:val="aDef"/>
      </w:pPr>
      <w:r>
        <w:rPr>
          <w:rStyle w:val="charBoldItals"/>
        </w:rPr>
        <w:t>gambling contact officer</w:t>
      </w:r>
      <w:r>
        <w:t>, for a gambling facility, means a person whose details are given to the commission under section 11 (Gambling facility to have gambling contact officer).</w:t>
      </w:r>
    </w:p>
    <w:p w14:paraId="5A0F5CBD" w14:textId="77777777" w:rsidR="00D847F1" w:rsidRDefault="00D847F1">
      <w:pPr>
        <w:pStyle w:val="aDef"/>
      </w:pPr>
      <w:r>
        <w:rPr>
          <w:rStyle w:val="charBoldItals"/>
        </w:rPr>
        <w:lastRenderedPageBreak/>
        <w:t>gambling facility</w:t>
      </w:r>
      <w:r>
        <w:t>, of a licensee, means each place used by the licensee to conduct gambling under the licence.</w:t>
      </w:r>
    </w:p>
    <w:p w14:paraId="1A65B7BF" w14:textId="77777777" w:rsidR="00D847F1" w:rsidRDefault="00D847F1">
      <w:pPr>
        <w:pStyle w:val="aDef"/>
      </w:pPr>
      <w:r>
        <w:rPr>
          <w:rStyle w:val="charBoldItals"/>
        </w:rPr>
        <w:t>gambling problem</w:t>
      </w:r>
      <w:r>
        <w:t>—see the code of practice, section 1.2.</w:t>
      </w:r>
    </w:p>
    <w:p w14:paraId="4B46E23E" w14:textId="77777777" w:rsidR="00D847F1" w:rsidRDefault="00D847F1">
      <w:pPr>
        <w:pStyle w:val="aDef"/>
      </w:pPr>
      <w:r>
        <w:rPr>
          <w:rStyle w:val="charBoldItals"/>
        </w:rPr>
        <w:t>gaming area</w:t>
      </w:r>
      <w:r>
        <w:t xml:space="preserve"> means the part of a gaming facility—</w:t>
      </w:r>
    </w:p>
    <w:p w14:paraId="796245C7" w14:textId="77777777" w:rsidR="00D847F1" w:rsidRDefault="00D847F1">
      <w:pPr>
        <w:pStyle w:val="aDefpara"/>
      </w:pPr>
      <w:r>
        <w:tab/>
        <w:t>(a)</w:t>
      </w:r>
      <w:r>
        <w:tab/>
        <w:t>approved under a gaming law for the conduct of gambling; or</w:t>
      </w:r>
    </w:p>
    <w:p w14:paraId="4A1BDAA7" w14:textId="77777777" w:rsidR="00D847F1" w:rsidRDefault="00D847F1">
      <w:pPr>
        <w:pStyle w:val="aDefpara"/>
      </w:pPr>
      <w:r>
        <w:tab/>
        <w:t>(b)</w:t>
      </w:r>
      <w:r>
        <w:tab/>
        <w:t>where gambling takes place.</w:t>
      </w:r>
    </w:p>
    <w:p w14:paraId="29A02025" w14:textId="4FF0D5AE" w:rsidR="00D847F1" w:rsidRDefault="00D847F1">
      <w:pPr>
        <w:pStyle w:val="aDef"/>
      </w:pPr>
      <w:r>
        <w:rPr>
          <w:rStyle w:val="charBoldItals"/>
        </w:rPr>
        <w:t>gaming machine licensee</w:t>
      </w:r>
      <w:r>
        <w:t xml:space="preserve"> means the holder of a licence under the </w:t>
      </w:r>
      <w:hyperlink r:id="rId81" w:tooltip="A2004-34" w:history="1">
        <w:r w:rsidR="00DF21AF" w:rsidRPr="00DF21AF">
          <w:rPr>
            <w:rStyle w:val="charCitHyperlinkItal"/>
          </w:rPr>
          <w:t>Gaming Machine Act 2004</w:t>
        </w:r>
      </w:hyperlink>
      <w:r>
        <w:t>.</w:t>
      </w:r>
    </w:p>
    <w:p w14:paraId="7EFDFF5C" w14:textId="77777777" w:rsidR="00D847F1" w:rsidRDefault="00D847F1">
      <w:pPr>
        <w:pStyle w:val="aDef"/>
      </w:pPr>
      <w:r>
        <w:rPr>
          <w:rStyle w:val="charBoldItals"/>
        </w:rPr>
        <w:t>licensee</w:t>
      </w:r>
      <w:r>
        <w:t>—see section 5.</w:t>
      </w:r>
    </w:p>
    <w:p w14:paraId="713A570B" w14:textId="77777777" w:rsidR="00B776B3" w:rsidRDefault="00B776B3" w:rsidP="00B776B3">
      <w:pPr>
        <w:pStyle w:val="aDef"/>
      </w:pPr>
      <w:r w:rsidRPr="00A35BB6">
        <w:rPr>
          <w:rStyle w:val="charBoldItals"/>
        </w:rPr>
        <w:t>notice of exclusion</w:t>
      </w:r>
      <w:r w:rsidRPr="00A35BB6">
        <w:t xml:space="preserve">—see section 1.14 (2) (a) (Exclusion of people at risk or excluded under deed). </w:t>
      </w:r>
    </w:p>
    <w:p w14:paraId="662A2D1E" w14:textId="6542468E" w:rsidR="002D319E" w:rsidRPr="00A35BB6" w:rsidRDefault="002D319E" w:rsidP="00B776B3">
      <w:pPr>
        <w:pStyle w:val="aDef"/>
      </w:pPr>
      <w:r w:rsidRPr="00A35BB6">
        <w:rPr>
          <w:rStyle w:val="charBoldItals"/>
        </w:rPr>
        <w:t>sports bookmaking licensee</w:t>
      </w:r>
      <w:r w:rsidRPr="00A35BB6">
        <w:t xml:space="preserve"> means the holder of a sports bookmaking licence under the </w:t>
      </w:r>
      <w:hyperlink r:id="rId82" w:tooltip="A2001-49" w:history="1">
        <w:r w:rsidRPr="00A35BB6">
          <w:rPr>
            <w:rStyle w:val="charCitHyperlinkItal"/>
          </w:rPr>
          <w:t>Race and Sports Bookmaking Act 2001</w:t>
        </w:r>
      </w:hyperlink>
    </w:p>
    <w:p w14:paraId="7B11B5EE" w14:textId="77777777" w:rsidR="00D847F1" w:rsidRDefault="00D847F1">
      <w:pPr>
        <w:pStyle w:val="aDef"/>
      </w:pPr>
      <w:r>
        <w:rPr>
          <w:rStyle w:val="charBoldItals"/>
        </w:rPr>
        <w:t>staff member</w:t>
      </w:r>
      <w:r>
        <w:t xml:space="preserve">, for a gambling facility, means a member of the staff of the facility. </w:t>
      </w:r>
    </w:p>
    <w:p w14:paraId="717D6A16" w14:textId="3A99A754" w:rsidR="00B776B3" w:rsidRPr="00A35BB6" w:rsidRDefault="00B776B3" w:rsidP="00B776B3">
      <w:pPr>
        <w:pStyle w:val="aDef"/>
      </w:pPr>
      <w:r w:rsidRPr="00A35BB6">
        <w:rPr>
          <w:rStyle w:val="charBoldItals"/>
        </w:rPr>
        <w:t>totalisator licensee</w:t>
      </w:r>
      <w:r w:rsidRPr="00A35BB6">
        <w:t xml:space="preserve"> means a licensee under the </w:t>
      </w:r>
      <w:hyperlink r:id="rId83" w:tooltip="A2014-4" w:history="1">
        <w:r>
          <w:rPr>
            <w:rStyle w:val="charCitHyperlinkItal"/>
          </w:rPr>
          <w:t>Totalisator Act 2014</w:t>
        </w:r>
      </w:hyperlink>
      <w:r w:rsidRPr="00A35BB6">
        <w:t xml:space="preserve">. </w:t>
      </w:r>
    </w:p>
    <w:p w14:paraId="735BCD4B" w14:textId="77777777" w:rsidR="00B776B3" w:rsidRPr="00A35BB6" w:rsidRDefault="00B776B3" w:rsidP="00B776B3">
      <w:pPr>
        <w:pStyle w:val="aDef"/>
      </w:pPr>
      <w:r w:rsidRPr="00A35BB6">
        <w:rPr>
          <w:rStyle w:val="charBoldItals"/>
        </w:rPr>
        <w:t>trading day</w:t>
      </w:r>
      <w:r w:rsidRPr="00A35BB6">
        <w:t>, for a licensee of a gambling facility, means a day when the licensee is open for business.</w:t>
      </w:r>
    </w:p>
    <w:p w14:paraId="23DFA777" w14:textId="77777777" w:rsidR="00B776B3" w:rsidRPr="00A35BB6" w:rsidRDefault="00B776B3" w:rsidP="00B776B3">
      <w:pPr>
        <w:pStyle w:val="aDef"/>
      </w:pPr>
      <w:r w:rsidRPr="00A35BB6">
        <w:rPr>
          <w:rStyle w:val="charBoldItals"/>
        </w:rPr>
        <w:t>winnings</w:t>
      </w:r>
      <w:r w:rsidRPr="00A35BB6">
        <w:t>, from a gaming machine, includes all accumulated credits on the machine (whether the credits were added by machine play or by a person adding credits to the machine).</w:t>
      </w:r>
    </w:p>
    <w:p w14:paraId="3DD57330" w14:textId="77777777" w:rsidR="0007725C" w:rsidRDefault="0007725C">
      <w:pPr>
        <w:pStyle w:val="04Dictionary"/>
        <w:sectPr w:rsidR="0007725C">
          <w:headerReference w:type="even" r:id="rId84"/>
          <w:headerReference w:type="default" r:id="rId85"/>
          <w:footerReference w:type="even" r:id="rId86"/>
          <w:footerReference w:type="default" r:id="rId87"/>
          <w:type w:val="continuous"/>
          <w:pgSz w:w="11907" w:h="16839" w:code="9"/>
          <w:pgMar w:top="3000" w:right="1900" w:bottom="2500" w:left="2300" w:header="2480" w:footer="2100" w:gutter="0"/>
          <w:cols w:space="720"/>
          <w:docGrid w:linePitch="254"/>
        </w:sectPr>
      </w:pPr>
    </w:p>
    <w:p w14:paraId="61FAD9E7" w14:textId="77777777" w:rsidR="00A10FCD" w:rsidRDefault="00A10FCD">
      <w:pPr>
        <w:pStyle w:val="Endnote1"/>
      </w:pPr>
      <w:bookmarkStart w:id="103" w:name="_Toc72506015"/>
      <w:r>
        <w:lastRenderedPageBreak/>
        <w:t>Endnotes</w:t>
      </w:r>
      <w:bookmarkEnd w:id="103"/>
    </w:p>
    <w:p w14:paraId="6F86652E" w14:textId="77777777" w:rsidR="00A10FCD" w:rsidRPr="00224E14" w:rsidRDefault="00A10FCD">
      <w:pPr>
        <w:pStyle w:val="Endnote20"/>
      </w:pPr>
      <w:bookmarkStart w:id="104" w:name="_Toc72506016"/>
      <w:r w:rsidRPr="00224E14">
        <w:rPr>
          <w:rStyle w:val="charTableNo"/>
        </w:rPr>
        <w:t>1</w:t>
      </w:r>
      <w:r>
        <w:tab/>
      </w:r>
      <w:r w:rsidRPr="00224E14">
        <w:rPr>
          <w:rStyle w:val="charTableText"/>
        </w:rPr>
        <w:t>About the endnotes</w:t>
      </w:r>
      <w:bookmarkEnd w:id="104"/>
    </w:p>
    <w:p w14:paraId="11E495FE" w14:textId="77777777" w:rsidR="00A10FCD" w:rsidRDefault="00A10FCD">
      <w:pPr>
        <w:pStyle w:val="EndNoteTextPub"/>
      </w:pPr>
      <w:r>
        <w:t>Amending and modifying laws are annotated in the legislation history and the amendment history.  Current modifications are not included in the republished law but are set out in the endnotes.</w:t>
      </w:r>
    </w:p>
    <w:p w14:paraId="095AE38E" w14:textId="33B51104" w:rsidR="00A10FCD" w:rsidRDefault="00A10FCD">
      <w:pPr>
        <w:pStyle w:val="EndNoteTextPub"/>
      </w:pPr>
      <w:r>
        <w:t xml:space="preserve">Not all editorial amendments made under the </w:t>
      </w:r>
      <w:hyperlink r:id="rId88" w:tooltip="A2001-14" w:history="1">
        <w:r w:rsidR="008F00E1" w:rsidRPr="008F00E1">
          <w:rPr>
            <w:rStyle w:val="charCitHyperlinkItal"/>
          </w:rPr>
          <w:t>Legislation Act 2001</w:t>
        </w:r>
      </w:hyperlink>
      <w:r>
        <w:t>, part 11.3 are annotated in the amendment history.  Full details of any amendments can be obtained from the Parliamentary Counsel’s Office.</w:t>
      </w:r>
    </w:p>
    <w:p w14:paraId="7ED86D7D" w14:textId="77777777" w:rsidR="00A10FCD" w:rsidRDefault="00A10FCD" w:rsidP="00C349D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FED495F" w14:textId="77777777" w:rsidR="00A10FCD" w:rsidRDefault="00A10FCD">
      <w:pPr>
        <w:pStyle w:val="EndNoteTextPub"/>
      </w:pPr>
      <w:r>
        <w:t xml:space="preserve">If all the provisions of the law have been renumbered, a table of renumbered provisions gives details of previous and current numbering.  </w:t>
      </w:r>
    </w:p>
    <w:p w14:paraId="5D24B02E" w14:textId="77777777" w:rsidR="00A10FCD" w:rsidRDefault="00A10FCD">
      <w:pPr>
        <w:pStyle w:val="EndNoteTextPub"/>
      </w:pPr>
      <w:r>
        <w:t>The endnotes also include a table of earlier republications.</w:t>
      </w:r>
    </w:p>
    <w:p w14:paraId="6387B96A" w14:textId="77777777" w:rsidR="00A10FCD" w:rsidRPr="00224E14" w:rsidRDefault="00A10FCD">
      <w:pPr>
        <w:pStyle w:val="Endnote20"/>
      </w:pPr>
      <w:bookmarkStart w:id="105" w:name="_Toc72506017"/>
      <w:r w:rsidRPr="00224E14">
        <w:rPr>
          <w:rStyle w:val="charTableNo"/>
        </w:rPr>
        <w:t>2</w:t>
      </w:r>
      <w:r>
        <w:tab/>
      </w:r>
      <w:r w:rsidRPr="00224E14">
        <w:rPr>
          <w:rStyle w:val="charTableText"/>
        </w:rPr>
        <w:t>Abbreviation key</w:t>
      </w:r>
      <w:bookmarkEnd w:id="105"/>
    </w:p>
    <w:p w14:paraId="68E0F624" w14:textId="77777777" w:rsidR="00A10FCD" w:rsidRDefault="00A10FCD">
      <w:pPr>
        <w:rPr>
          <w:sz w:val="4"/>
        </w:rPr>
      </w:pPr>
    </w:p>
    <w:tbl>
      <w:tblPr>
        <w:tblW w:w="7372" w:type="dxa"/>
        <w:tblInd w:w="1100" w:type="dxa"/>
        <w:tblLayout w:type="fixed"/>
        <w:tblLook w:val="0000" w:firstRow="0" w:lastRow="0" w:firstColumn="0" w:lastColumn="0" w:noHBand="0" w:noVBand="0"/>
      </w:tblPr>
      <w:tblGrid>
        <w:gridCol w:w="3720"/>
        <w:gridCol w:w="3652"/>
      </w:tblGrid>
      <w:tr w:rsidR="00A10FCD" w14:paraId="0A8E8752" w14:textId="77777777" w:rsidTr="00C349DC">
        <w:tc>
          <w:tcPr>
            <w:tcW w:w="3720" w:type="dxa"/>
          </w:tcPr>
          <w:p w14:paraId="194FACBB" w14:textId="77777777" w:rsidR="00A10FCD" w:rsidRDefault="00A10FCD">
            <w:pPr>
              <w:pStyle w:val="EndnotesAbbrev"/>
            </w:pPr>
            <w:r>
              <w:t>A = Act</w:t>
            </w:r>
          </w:p>
        </w:tc>
        <w:tc>
          <w:tcPr>
            <w:tcW w:w="3652" w:type="dxa"/>
          </w:tcPr>
          <w:p w14:paraId="20A239C2" w14:textId="77777777" w:rsidR="00A10FCD" w:rsidRDefault="00A10FCD" w:rsidP="00C349DC">
            <w:pPr>
              <w:pStyle w:val="EndnotesAbbrev"/>
            </w:pPr>
            <w:r>
              <w:t>NI = Notifiable instrument</w:t>
            </w:r>
          </w:p>
        </w:tc>
      </w:tr>
      <w:tr w:rsidR="00A10FCD" w14:paraId="424FF3D3" w14:textId="77777777" w:rsidTr="00C349DC">
        <w:tc>
          <w:tcPr>
            <w:tcW w:w="3720" w:type="dxa"/>
          </w:tcPr>
          <w:p w14:paraId="18E9FEFA" w14:textId="77777777" w:rsidR="00A10FCD" w:rsidRDefault="00A10FCD" w:rsidP="00C349DC">
            <w:pPr>
              <w:pStyle w:val="EndnotesAbbrev"/>
            </w:pPr>
            <w:r>
              <w:t>AF = Approved form</w:t>
            </w:r>
          </w:p>
        </w:tc>
        <w:tc>
          <w:tcPr>
            <w:tcW w:w="3652" w:type="dxa"/>
          </w:tcPr>
          <w:p w14:paraId="63E77A69" w14:textId="77777777" w:rsidR="00A10FCD" w:rsidRDefault="00A10FCD" w:rsidP="00C349DC">
            <w:pPr>
              <w:pStyle w:val="EndnotesAbbrev"/>
            </w:pPr>
            <w:r>
              <w:t>o = order</w:t>
            </w:r>
          </w:p>
        </w:tc>
      </w:tr>
      <w:tr w:rsidR="00A10FCD" w14:paraId="1CC72390" w14:textId="77777777" w:rsidTr="00C349DC">
        <w:tc>
          <w:tcPr>
            <w:tcW w:w="3720" w:type="dxa"/>
          </w:tcPr>
          <w:p w14:paraId="1049ABCA" w14:textId="77777777" w:rsidR="00A10FCD" w:rsidRDefault="00A10FCD">
            <w:pPr>
              <w:pStyle w:val="EndnotesAbbrev"/>
            </w:pPr>
            <w:r>
              <w:t>am = amended</w:t>
            </w:r>
          </w:p>
        </w:tc>
        <w:tc>
          <w:tcPr>
            <w:tcW w:w="3652" w:type="dxa"/>
          </w:tcPr>
          <w:p w14:paraId="75501874" w14:textId="77777777" w:rsidR="00A10FCD" w:rsidRDefault="00A10FCD" w:rsidP="00C349DC">
            <w:pPr>
              <w:pStyle w:val="EndnotesAbbrev"/>
            </w:pPr>
            <w:r>
              <w:t>om = omitted/repealed</w:t>
            </w:r>
          </w:p>
        </w:tc>
      </w:tr>
      <w:tr w:rsidR="00A10FCD" w14:paraId="3B64DC0B" w14:textId="77777777" w:rsidTr="00C349DC">
        <w:tc>
          <w:tcPr>
            <w:tcW w:w="3720" w:type="dxa"/>
          </w:tcPr>
          <w:p w14:paraId="1EAC03E3" w14:textId="77777777" w:rsidR="00A10FCD" w:rsidRDefault="00A10FCD">
            <w:pPr>
              <w:pStyle w:val="EndnotesAbbrev"/>
            </w:pPr>
            <w:r>
              <w:t>amdt = amendment</w:t>
            </w:r>
          </w:p>
        </w:tc>
        <w:tc>
          <w:tcPr>
            <w:tcW w:w="3652" w:type="dxa"/>
          </w:tcPr>
          <w:p w14:paraId="481DD443" w14:textId="77777777" w:rsidR="00A10FCD" w:rsidRDefault="00A10FCD" w:rsidP="00C349DC">
            <w:pPr>
              <w:pStyle w:val="EndnotesAbbrev"/>
            </w:pPr>
            <w:r>
              <w:t>ord = ordinance</w:t>
            </w:r>
          </w:p>
        </w:tc>
      </w:tr>
      <w:tr w:rsidR="00A10FCD" w14:paraId="4428F3A7" w14:textId="77777777" w:rsidTr="00C349DC">
        <w:tc>
          <w:tcPr>
            <w:tcW w:w="3720" w:type="dxa"/>
          </w:tcPr>
          <w:p w14:paraId="275A5356" w14:textId="77777777" w:rsidR="00A10FCD" w:rsidRDefault="00A10FCD">
            <w:pPr>
              <w:pStyle w:val="EndnotesAbbrev"/>
            </w:pPr>
            <w:r>
              <w:t>AR = Assembly resolution</w:t>
            </w:r>
          </w:p>
        </w:tc>
        <w:tc>
          <w:tcPr>
            <w:tcW w:w="3652" w:type="dxa"/>
          </w:tcPr>
          <w:p w14:paraId="4F3BCCB4" w14:textId="77777777" w:rsidR="00A10FCD" w:rsidRDefault="00A10FCD" w:rsidP="00C349DC">
            <w:pPr>
              <w:pStyle w:val="EndnotesAbbrev"/>
            </w:pPr>
            <w:r>
              <w:t>orig = original</w:t>
            </w:r>
          </w:p>
        </w:tc>
      </w:tr>
      <w:tr w:rsidR="00A10FCD" w14:paraId="5A177BB7" w14:textId="77777777" w:rsidTr="00C349DC">
        <w:tc>
          <w:tcPr>
            <w:tcW w:w="3720" w:type="dxa"/>
          </w:tcPr>
          <w:p w14:paraId="72181479" w14:textId="77777777" w:rsidR="00A10FCD" w:rsidRDefault="00A10FCD">
            <w:pPr>
              <w:pStyle w:val="EndnotesAbbrev"/>
            </w:pPr>
            <w:r>
              <w:t>ch = chapter</w:t>
            </w:r>
          </w:p>
        </w:tc>
        <w:tc>
          <w:tcPr>
            <w:tcW w:w="3652" w:type="dxa"/>
          </w:tcPr>
          <w:p w14:paraId="20D658C0" w14:textId="77777777" w:rsidR="00A10FCD" w:rsidRDefault="00A10FCD" w:rsidP="00C349DC">
            <w:pPr>
              <w:pStyle w:val="EndnotesAbbrev"/>
            </w:pPr>
            <w:r>
              <w:t>par = paragraph/subparagraph</w:t>
            </w:r>
          </w:p>
        </w:tc>
      </w:tr>
      <w:tr w:rsidR="00A10FCD" w14:paraId="41A19E1F" w14:textId="77777777" w:rsidTr="00C349DC">
        <w:tc>
          <w:tcPr>
            <w:tcW w:w="3720" w:type="dxa"/>
          </w:tcPr>
          <w:p w14:paraId="51F1FDA3" w14:textId="77777777" w:rsidR="00A10FCD" w:rsidRDefault="00A10FCD">
            <w:pPr>
              <w:pStyle w:val="EndnotesAbbrev"/>
            </w:pPr>
            <w:r>
              <w:t>CN = Commencement notice</w:t>
            </w:r>
          </w:p>
        </w:tc>
        <w:tc>
          <w:tcPr>
            <w:tcW w:w="3652" w:type="dxa"/>
          </w:tcPr>
          <w:p w14:paraId="4B9C2E1B" w14:textId="77777777" w:rsidR="00A10FCD" w:rsidRDefault="00A10FCD" w:rsidP="00C349DC">
            <w:pPr>
              <w:pStyle w:val="EndnotesAbbrev"/>
            </w:pPr>
            <w:r>
              <w:t>pres = present</w:t>
            </w:r>
          </w:p>
        </w:tc>
      </w:tr>
      <w:tr w:rsidR="00A10FCD" w14:paraId="5E974CAF" w14:textId="77777777" w:rsidTr="00C349DC">
        <w:tc>
          <w:tcPr>
            <w:tcW w:w="3720" w:type="dxa"/>
          </w:tcPr>
          <w:p w14:paraId="703BDCB5" w14:textId="77777777" w:rsidR="00A10FCD" w:rsidRDefault="00A10FCD">
            <w:pPr>
              <w:pStyle w:val="EndnotesAbbrev"/>
            </w:pPr>
            <w:r>
              <w:t>def = definition</w:t>
            </w:r>
          </w:p>
        </w:tc>
        <w:tc>
          <w:tcPr>
            <w:tcW w:w="3652" w:type="dxa"/>
          </w:tcPr>
          <w:p w14:paraId="438EF69A" w14:textId="77777777" w:rsidR="00A10FCD" w:rsidRDefault="00A10FCD" w:rsidP="00C349DC">
            <w:pPr>
              <w:pStyle w:val="EndnotesAbbrev"/>
            </w:pPr>
            <w:r>
              <w:t>prev = previous</w:t>
            </w:r>
          </w:p>
        </w:tc>
      </w:tr>
      <w:tr w:rsidR="00A10FCD" w14:paraId="6C958108" w14:textId="77777777" w:rsidTr="00C349DC">
        <w:tc>
          <w:tcPr>
            <w:tcW w:w="3720" w:type="dxa"/>
          </w:tcPr>
          <w:p w14:paraId="6D65AE23" w14:textId="77777777" w:rsidR="00A10FCD" w:rsidRDefault="00A10FCD">
            <w:pPr>
              <w:pStyle w:val="EndnotesAbbrev"/>
            </w:pPr>
            <w:r>
              <w:t>DI = Disallowable instrument</w:t>
            </w:r>
          </w:p>
        </w:tc>
        <w:tc>
          <w:tcPr>
            <w:tcW w:w="3652" w:type="dxa"/>
          </w:tcPr>
          <w:p w14:paraId="70D66960" w14:textId="77777777" w:rsidR="00A10FCD" w:rsidRDefault="00A10FCD" w:rsidP="00C349DC">
            <w:pPr>
              <w:pStyle w:val="EndnotesAbbrev"/>
            </w:pPr>
            <w:r>
              <w:t>(prev...) = previously</w:t>
            </w:r>
          </w:p>
        </w:tc>
      </w:tr>
      <w:tr w:rsidR="00A10FCD" w14:paraId="18285AB2" w14:textId="77777777" w:rsidTr="00C349DC">
        <w:tc>
          <w:tcPr>
            <w:tcW w:w="3720" w:type="dxa"/>
          </w:tcPr>
          <w:p w14:paraId="3E84052B" w14:textId="77777777" w:rsidR="00A10FCD" w:rsidRDefault="00A10FCD">
            <w:pPr>
              <w:pStyle w:val="EndnotesAbbrev"/>
            </w:pPr>
            <w:r>
              <w:t>dict = dictionary</w:t>
            </w:r>
          </w:p>
        </w:tc>
        <w:tc>
          <w:tcPr>
            <w:tcW w:w="3652" w:type="dxa"/>
          </w:tcPr>
          <w:p w14:paraId="69C726CC" w14:textId="77777777" w:rsidR="00A10FCD" w:rsidRDefault="00A10FCD" w:rsidP="00C349DC">
            <w:pPr>
              <w:pStyle w:val="EndnotesAbbrev"/>
            </w:pPr>
            <w:r>
              <w:t>pt = part</w:t>
            </w:r>
          </w:p>
        </w:tc>
      </w:tr>
      <w:tr w:rsidR="00A10FCD" w14:paraId="04CA1DF6" w14:textId="77777777" w:rsidTr="00C349DC">
        <w:tc>
          <w:tcPr>
            <w:tcW w:w="3720" w:type="dxa"/>
          </w:tcPr>
          <w:p w14:paraId="5F2C186F" w14:textId="77777777" w:rsidR="00A10FCD" w:rsidRDefault="00A10FCD">
            <w:pPr>
              <w:pStyle w:val="EndnotesAbbrev"/>
            </w:pPr>
            <w:r>
              <w:t xml:space="preserve">disallowed = disallowed by the Legislative </w:t>
            </w:r>
          </w:p>
        </w:tc>
        <w:tc>
          <w:tcPr>
            <w:tcW w:w="3652" w:type="dxa"/>
          </w:tcPr>
          <w:p w14:paraId="39B235E3" w14:textId="77777777" w:rsidR="00A10FCD" w:rsidRDefault="00A10FCD" w:rsidP="00C349DC">
            <w:pPr>
              <w:pStyle w:val="EndnotesAbbrev"/>
            </w:pPr>
            <w:r>
              <w:t>r = rule/subrule</w:t>
            </w:r>
          </w:p>
        </w:tc>
      </w:tr>
      <w:tr w:rsidR="00A10FCD" w14:paraId="1081247A" w14:textId="77777777" w:rsidTr="00C349DC">
        <w:tc>
          <w:tcPr>
            <w:tcW w:w="3720" w:type="dxa"/>
          </w:tcPr>
          <w:p w14:paraId="58EC0756" w14:textId="77777777" w:rsidR="00A10FCD" w:rsidRDefault="00A10FCD">
            <w:pPr>
              <w:pStyle w:val="EndnotesAbbrev"/>
              <w:ind w:left="972"/>
            </w:pPr>
            <w:r>
              <w:t>Assembly</w:t>
            </w:r>
          </w:p>
        </w:tc>
        <w:tc>
          <w:tcPr>
            <w:tcW w:w="3652" w:type="dxa"/>
          </w:tcPr>
          <w:p w14:paraId="71E24515" w14:textId="77777777" w:rsidR="00A10FCD" w:rsidRDefault="00A10FCD" w:rsidP="00C349DC">
            <w:pPr>
              <w:pStyle w:val="EndnotesAbbrev"/>
            </w:pPr>
            <w:r>
              <w:t>reloc = relocated</w:t>
            </w:r>
          </w:p>
        </w:tc>
      </w:tr>
      <w:tr w:rsidR="00A10FCD" w14:paraId="7D9CC7DC" w14:textId="77777777" w:rsidTr="00C349DC">
        <w:tc>
          <w:tcPr>
            <w:tcW w:w="3720" w:type="dxa"/>
          </w:tcPr>
          <w:p w14:paraId="45611AE3" w14:textId="77777777" w:rsidR="00A10FCD" w:rsidRDefault="00A10FCD">
            <w:pPr>
              <w:pStyle w:val="EndnotesAbbrev"/>
            </w:pPr>
            <w:r>
              <w:t>div = division</w:t>
            </w:r>
          </w:p>
        </w:tc>
        <w:tc>
          <w:tcPr>
            <w:tcW w:w="3652" w:type="dxa"/>
          </w:tcPr>
          <w:p w14:paraId="395143A4" w14:textId="77777777" w:rsidR="00A10FCD" w:rsidRDefault="00A10FCD" w:rsidP="00C349DC">
            <w:pPr>
              <w:pStyle w:val="EndnotesAbbrev"/>
            </w:pPr>
            <w:r>
              <w:t>renum = renumbered</w:t>
            </w:r>
          </w:p>
        </w:tc>
      </w:tr>
      <w:tr w:rsidR="00A10FCD" w14:paraId="43981305" w14:textId="77777777" w:rsidTr="00C349DC">
        <w:tc>
          <w:tcPr>
            <w:tcW w:w="3720" w:type="dxa"/>
          </w:tcPr>
          <w:p w14:paraId="02AC4899" w14:textId="77777777" w:rsidR="00A10FCD" w:rsidRDefault="00A10FCD">
            <w:pPr>
              <w:pStyle w:val="EndnotesAbbrev"/>
            </w:pPr>
            <w:r>
              <w:t>exp = expires/expired</w:t>
            </w:r>
          </w:p>
        </w:tc>
        <w:tc>
          <w:tcPr>
            <w:tcW w:w="3652" w:type="dxa"/>
          </w:tcPr>
          <w:p w14:paraId="2669CADC" w14:textId="77777777" w:rsidR="00A10FCD" w:rsidRDefault="00A10FCD" w:rsidP="00C349DC">
            <w:pPr>
              <w:pStyle w:val="EndnotesAbbrev"/>
            </w:pPr>
            <w:r>
              <w:t>R[X] = Republication No</w:t>
            </w:r>
          </w:p>
        </w:tc>
      </w:tr>
      <w:tr w:rsidR="00A10FCD" w14:paraId="7B7BAA3B" w14:textId="77777777" w:rsidTr="00C349DC">
        <w:tc>
          <w:tcPr>
            <w:tcW w:w="3720" w:type="dxa"/>
          </w:tcPr>
          <w:p w14:paraId="3C1E8108" w14:textId="77777777" w:rsidR="00A10FCD" w:rsidRDefault="00A10FCD">
            <w:pPr>
              <w:pStyle w:val="EndnotesAbbrev"/>
            </w:pPr>
            <w:r>
              <w:t>Gaz = gazette</w:t>
            </w:r>
          </w:p>
        </w:tc>
        <w:tc>
          <w:tcPr>
            <w:tcW w:w="3652" w:type="dxa"/>
          </w:tcPr>
          <w:p w14:paraId="7948DE0E" w14:textId="77777777" w:rsidR="00A10FCD" w:rsidRDefault="00A10FCD" w:rsidP="00C349DC">
            <w:pPr>
              <w:pStyle w:val="EndnotesAbbrev"/>
            </w:pPr>
            <w:r>
              <w:t>RI = reissue</w:t>
            </w:r>
          </w:p>
        </w:tc>
      </w:tr>
      <w:tr w:rsidR="00A10FCD" w14:paraId="4CD372B8" w14:textId="77777777" w:rsidTr="00C349DC">
        <w:tc>
          <w:tcPr>
            <w:tcW w:w="3720" w:type="dxa"/>
          </w:tcPr>
          <w:p w14:paraId="523E900B" w14:textId="77777777" w:rsidR="00A10FCD" w:rsidRDefault="00A10FCD">
            <w:pPr>
              <w:pStyle w:val="EndnotesAbbrev"/>
            </w:pPr>
            <w:r>
              <w:t>hdg = heading</w:t>
            </w:r>
          </w:p>
        </w:tc>
        <w:tc>
          <w:tcPr>
            <w:tcW w:w="3652" w:type="dxa"/>
          </w:tcPr>
          <w:p w14:paraId="4528E484" w14:textId="77777777" w:rsidR="00A10FCD" w:rsidRDefault="00A10FCD" w:rsidP="00C349DC">
            <w:pPr>
              <w:pStyle w:val="EndnotesAbbrev"/>
            </w:pPr>
            <w:r>
              <w:t>s = section/subsection</w:t>
            </w:r>
          </w:p>
        </w:tc>
      </w:tr>
      <w:tr w:rsidR="00A10FCD" w14:paraId="1D6D4841" w14:textId="77777777" w:rsidTr="00C349DC">
        <w:tc>
          <w:tcPr>
            <w:tcW w:w="3720" w:type="dxa"/>
          </w:tcPr>
          <w:p w14:paraId="66E4E3B8" w14:textId="77777777" w:rsidR="00A10FCD" w:rsidRDefault="00A10FCD">
            <w:pPr>
              <w:pStyle w:val="EndnotesAbbrev"/>
            </w:pPr>
            <w:r>
              <w:t>IA = Interpretation Act 1967</w:t>
            </w:r>
          </w:p>
        </w:tc>
        <w:tc>
          <w:tcPr>
            <w:tcW w:w="3652" w:type="dxa"/>
          </w:tcPr>
          <w:p w14:paraId="7600F2BE" w14:textId="77777777" w:rsidR="00A10FCD" w:rsidRDefault="00A10FCD" w:rsidP="00C349DC">
            <w:pPr>
              <w:pStyle w:val="EndnotesAbbrev"/>
            </w:pPr>
            <w:r>
              <w:t>sch = schedule</w:t>
            </w:r>
          </w:p>
        </w:tc>
      </w:tr>
      <w:tr w:rsidR="00A10FCD" w14:paraId="2A991CA1" w14:textId="77777777" w:rsidTr="00C349DC">
        <w:tc>
          <w:tcPr>
            <w:tcW w:w="3720" w:type="dxa"/>
          </w:tcPr>
          <w:p w14:paraId="0479A861" w14:textId="77777777" w:rsidR="00A10FCD" w:rsidRDefault="00A10FCD">
            <w:pPr>
              <w:pStyle w:val="EndnotesAbbrev"/>
            </w:pPr>
            <w:r>
              <w:t>ins = inserted/added</w:t>
            </w:r>
          </w:p>
        </w:tc>
        <w:tc>
          <w:tcPr>
            <w:tcW w:w="3652" w:type="dxa"/>
          </w:tcPr>
          <w:p w14:paraId="4A3D3EA5" w14:textId="77777777" w:rsidR="00A10FCD" w:rsidRDefault="00A10FCD" w:rsidP="00C349DC">
            <w:pPr>
              <w:pStyle w:val="EndnotesAbbrev"/>
            </w:pPr>
            <w:r>
              <w:t>sdiv = subdivision</w:t>
            </w:r>
          </w:p>
        </w:tc>
      </w:tr>
      <w:tr w:rsidR="00A10FCD" w14:paraId="647AE436" w14:textId="77777777" w:rsidTr="00C349DC">
        <w:tc>
          <w:tcPr>
            <w:tcW w:w="3720" w:type="dxa"/>
          </w:tcPr>
          <w:p w14:paraId="4EEC1A6A" w14:textId="77777777" w:rsidR="00A10FCD" w:rsidRDefault="00A10FCD">
            <w:pPr>
              <w:pStyle w:val="EndnotesAbbrev"/>
            </w:pPr>
            <w:r>
              <w:t>LA = Legislation Act 2001</w:t>
            </w:r>
          </w:p>
        </w:tc>
        <w:tc>
          <w:tcPr>
            <w:tcW w:w="3652" w:type="dxa"/>
          </w:tcPr>
          <w:p w14:paraId="52BE2AC0" w14:textId="77777777" w:rsidR="00A10FCD" w:rsidRDefault="00A10FCD" w:rsidP="00C349DC">
            <w:pPr>
              <w:pStyle w:val="EndnotesAbbrev"/>
            </w:pPr>
            <w:r>
              <w:t>SL = Subordinate law</w:t>
            </w:r>
          </w:p>
        </w:tc>
      </w:tr>
      <w:tr w:rsidR="00A10FCD" w14:paraId="43B592A5" w14:textId="77777777" w:rsidTr="00C349DC">
        <w:tc>
          <w:tcPr>
            <w:tcW w:w="3720" w:type="dxa"/>
          </w:tcPr>
          <w:p w14:paraId="5991CB00" w14:textId="77777777" w:rsidR="00A10FCD" w:rsidRDefault="00A10FCD">
            <w:pPr>
              <w:pStyle w:val="EndnotesAbbrev"/>
            </w:pPr>
            <w:r>
              <w:t>LR = legislation register</w:t>
            </w:r>
          </w:p>
        </w:tc>
        <w:tc>
          <w:tcPr>
            <w:tcW w:w="3652" w:type="dxa"/>
          </w:tcPr>
          <w:p w14:paraId="4925A19B" w14:textId="77777777" w:rsidR="00A10FCD" w:rsidRDefault="00A10FCD" w:rsidP="00C349DC">
            <w:pPr>
              <w:pStyle w:val="EndnotesAbbrev"/>
            </w:pPr>
            <w:r>
              <w:t>sub = substituted</w:t>
            </w:r>
          </w:p>
        </w:tc>
      </w:tr>
      <w:tr w:rsidR="00A10FCD" w14:paraId="2E670566" w14:textId="77777777" w:rsidTr="00C349DC">
        <w:tc>
          <w:tcPr>
            <w:tcW w:w="3720" w:type="dxa"/>
          </w:tcPr>
          <w:p w14:paraId="27C7ADE4" w14:textId="77777777" w:rsidR="00A10FCD" w:rsidRDefault="00A10FCD">
            <w:pPr>
              <w:pStyle w:val="EndnotesAbbrev"/>
            </w:pPr>
            <w:r>
              <w:t>LRA = Legislation (Republication) Act 1996</w:t>
            </w:r>
          </w:p>
        </w:tc>
        <w:tc>
          <w:tcPr>
            <w:tcW w:w="3652" w:type="dxa"/>
          </w:tcPr>
          <w:p w14:paraId="3266D786" w14:textId="77777777" w:rsidR="00A10FCD" w:rsidRDefault="00A10FCD" w:rsidP="00C349DC">
            <w:pPr>
              <w:pStyle w:val="EndnotesAbbrev"/>
            </w:pPr>
            <w:r>
              <w:rPr>
                <w:u w:val="single"/>
              </w:rPr>
              <w:t>underlining</w:t>
            </w:r>
            <w:r>
              <w:t xml:space="preserve"> = whole or part not commenced</w:t>
            </w:r>
          </w:p>
        </w:tc>
      </w:tr>
      <w:tr w:rsidR="00A10FCD" w14:paraId="1CDA180C" w14:textId="77777777" w:rsidTr="00C349DC">
        <w:tc>
          <w:tcPr>
            <w:tcW w:w="3720" w:type="dxa"/>
          </w:tcPr>
          <w:p w14:paraId="4146EC1A" w14:textId="77777777" w:rsidR="00A10FCD" w:rsidRDefault="00A10FCD">
            <w:pPr>
              <w:pStyle w:val="EndnotesAbbrev"/>
            </w:pPr>
            <w:r>
              <w:t>mod = modified/modification</w:t>
            </w:r>
          </w:p>
        </w:tc>
        <w:tc>
          <w:tcPr>
            <w:tcW w:w="3652" w:type="dxa"/>
          </w:tcPr>
          <w:p w14:paraId="58DC7750" w14:textId="77777777" w:rsidR="00A10FCD" w:rsidRDefault="00A10FCD" w:rsidP="00C349DC">
            <w:pPr>
              <w:pStyle w:val="EndnotesAbbrev"/>
              <w:ind w:left="1073"/>
            </w:pPr>
            <w:r>
              <w:t>or to be expired</w:t>
            </w:r>
          </w:p>
        </w:tc>
      </w:tr>
    </w:tbl>
    <w:p w14:paraId="75D951FB" w14:textId="77777777" w:rsidR="00A10FCD" w:rsidRPr="00BB6F39" w:rsidRDefault="00A10FCD" w:rsidP="00C349DC"/>
    <w:p w14:paraId="2D2B1148" w14:textId="77777777" w:rsidR="00D847F1" w:rsidRPr="00224E14" w:rsidRDefault="00D847F1">
      <w:pPr>
        <w:pStyle w:val="Endnote20"/>
      </w:pPr>
      <w:bookmarkStart w:id="106" w:name="_Toc72506018"/>
      <w:r w:rsidRPr="00224E14">
        <w:rPr>
          <w:rStyle w:val="charTableNo"/>
        </w:rPr>
        <w:lastRenderedPageBreak/>
        <w:t>3</w:t>
      </w:r>
      <w:r>
        <w:tab/>
      </w:r>
      <w:r w:rsidRPr="00224E14">
        <w:rPr>
          <w:rStyle w:val="charTableText"/>
        </w:rPr>
        <w:t>Legislation history</w:t>
      </w:r>
      <w:bookmarkEnd w:id="106"/>
    </w:p>
    <w:p w14:paraId="6842BDD0" w14:textId="62292169" w:rsidR="00D847F1" w:rsidRDefault="00D847F1">
      <w:pPr>
        <w:pStyle w:val="EndNoteTextEPS"/>
      </w:pPr>
      <w:r>
        <w:t xml:space="preserve">This regulation was originally the </w:t>
      </w:r>
      <w:hyperlink r:id="rId89" w:tooltip="SL2002-28" w:history="1">
        <w:r w:rsidR="00DF21AF" w:rsidRPr="00DF21AF">
          <w:rPr>
            <w:rStyle w:val="charCitHyperlinkItal"/>
          </w:rPr>
          <w:t>Gambling and Racing Control (Code of Practice) Regulations 2002 (No 1)</w:t>
        </w:r>
      </w:hyperlink>
      <w:r>
        <w:t xml:space="preserve">.  It was renamed under the </w:t>
      </w:r>
      <w:hyperlink r:id="rId90" w:tooltip="A2001-14" w:history="1">
        <w:r w:rsidR="00DF21AF" w:rsidRPr="00DF21AF">
          <w:rPr>
            <w:rStyle w:val="charCitHyperlinkItal"/>
          </w:rPr>
          <w:t>Legislation Act 2001</w:t>
        </w:r>
      </w:hyperlink>
      <w:r>
        <w:t>.</w:t>
      </w:r>
    </w:p>
    <w:p w14:paraId="6378B96A" w14:textId="77777777" w:rsidR="00D847F1" w:rsidRDefault="00D847F1">
      <w:pPr>
        <w:pStyle w:val="NewAct"/>
      </w:pPr>
      <w:r>
        <w:t>Gambling and Racing Control (Code of Practice) Regulation 2002 SL2002-28</w:t>
      </w:r>
    </w:p>
    <w:p w14:paraId="296E0415" w14:textId="77777777" w:rsidR="00D847F1" w:rsidRDefault="00D847F1">
      <w:pPr>
        <w:pStyle w:val="Actdetails"/>
        <w:keepNext/>
      </w:pPr>
      <w:r>
        <w:t>notified LR 16 October 2002</w:t>
      </w:r>
    </w:p>
    <w:p w14:paraId="7C9F54AB" w14:textId="77777777" w:rsidR="00D847F1" w:rsidRDefault="00D847F1">
      <w:pPr>
        <w:pStyle w:val="Actdetails"/>
        <w:keepNext/>
      </w:pPr>
      <w:r>
        <w:t>s 1, s 2 commenced 16 October 2002 (LA s 75 (1))</w:t>
      </w:r>
    </w:p>
    <w:p w14:paraId="0780296C" w14:textId="77777777" w:rsidR="00D847F1" w:rsidRDefault="00D847F1">
      <w:pPr>
        <w:pStyle w:val="Actdetails"/>
        <w:keepNext/>
      </w:pPr>
      <w:r>
        <w:t>s 9, s 11 (3), s 19, sch 1 s 1.4, sch 1 s 1.17, sch 1 s 1.25, sch 1 s 1.26 commenced 1 May 2003 (s 2 (1))</w:t>
      </w:r>
    </w:p>
    <w:p w14:paraId="5AC1CD1B" w14:textId="77777777" w:rsidR="00D847F1" w:rsidRPr="00F1531F" w:rsidRDefault="00D847F1">
      <w:pPr>
        <w:pStyle w:val="Actdetails"/>
        <w:rPr>
          <w:rFonts w:cs="Arial"/>
        </w:rPr>
      </w:pPr>
      <w:r w:rsidRPr="00F1531F">
        <w:rPr>
          <w:rFonts w:cs="Arial"/>
        </w:rPr>
        <w:t>remainder commenced 1 December 2002 (s 2 (2))</w:t>
      </w:r>
    </w:p>
    <w:p w14:paraId="57E6597A" w14:textId="77777777" w:rsidR="00D847F1" w:rsidRDefault="00D847F1">
      <w:pPr>
        <w:pStyle w:val="Asamby"/>
      </w:pPr>
      <w:r>
        <w:t>as amended by</w:t>
      </w:r>
    </w:p>
    <w:p w14:paraId="3B0380E7" w14:textId="5EF3A065" w:rsidR="00D847F1" w:rsidRDefault="00C17B8B">
      <w:pPr>
        <w:pStyle w:val="NewAct"/>
      </w:pPr>
      <w:hyperlink r:id="rId91" w:tooltip="SL2004-31" w:history="1">
        <w:r w:rsidR="00DF21AF" w:rsidRPr="00DF21AF">
          <w:rPr>
            <w:rStyle w:val="charCitHyperlinkAbbrev"/>
          </w:rPr>
          <w:t>Gambling and Racing Control (Code of Practice) Amendment Regulations 2004 (No 1)</w:t>
        </w:r>
      </w:hyperlink>
      <w:r w:rsidR="00D847F1">
        <w:t xml:space="preserve"> SL2004-31</w:t>
      </w:r>
    </w:p>
    <w:p w14:paraId="1074E0C2" w14:textId="77777777" w:rsidR="00D847F1" w:rsidRDefault="00D847F1">
      <w:pPr>
        <w:pStyle w:val="Actdetails"/>
      </w:pPr>
      <w:r>
        <w:t>notified LR 2 August 2004</w:t>
      </w:r>
      <w:r>
        <w:br/>
        <w:t>s 1, s 2 commenced 2 August 2004 (LA s 75 (1))</w:t>
      </w:r>
    </w:p>
    <w:p w14:paraId="6EDF26D9" w14:textId="435D2812" w:rsidR="00D847F1" w:rsidRPr="00F1531F" w:rsidRDefault="00D847F1">
      <w:pPr>
        <w:pStyle w:val="Actdetails"/>
        <w:rPr>
          <w:rFonts w:cs="Arial"/>
        </w:rPr>
      </w:pPr>
      <w:r w:rsidRPr="00F1531F">
        <w:rPr>
          <w:rFonts w:cs="Arial"/>
        </w:rPr>
        <w:t xml:space="preserve">remainder commenced 1 October 2004 (s 2 and </w:t>
      </w:r>
      <w:hyperlink r:id="rId92" w:tooltip="CN2004-15" w:history="1">
        <w:r w:rsidR="00DF21AF" w:rsidRPr="00DF21AF">
          <w:rPr>
            <w:rStyle w:val="charCitHyperlinkAbbrev"/>
          </w:rPr>
          <w:t>CN2004-15</w:t>
        </w:r>
      </w:hyperlink>
      <w:r w:rsidRPr="00F1531F">
        <w:rPr>
          <w:rFonts w:cs="Arial"/>
        </w:rPr>
        <w:t>)</w:t>
      </w:r>
    </w:p>
    <w:p w14:paraId="01E251C4" w14:textId="67D70B29" w:rsidR="00D847F1" w:rsidRDefault="00C17B8B">
      <w:pPr>
        <w:pStyle w:val="NewAct"/>
      </w:pPr>
      <w:hyperlink r:id="rId93" w:tooltip="A2006-2" w:history="1">
        <w:r w:rsidR="00DF21AF" w:rsidRPr="00DF21AF">
          <w:rPr>
            <w:rStyle w:val="charCitHyperlinkAbbrev"/>
          </w:rPr>
          <w:t>Casino Control Act 2006</w:t>
        </w:r>
      </w:hyperlink>
      <w:r w:rsidR="00D847F1">
        <w:t xml:space="preserve"> A2006-2 sch 1 pt 1.2</w:t>
      </w:r>
    </w:p>
    <w:p w14:paraId="6267744A" w14:textId="77777777" w:rsidR="00D847F1" w:rsidRDefault="00D847F1">
      <w:pPr>
        <w:pStyle w:val="Actdetails"/>
      </w:pPr>
      <w:r>
        <w:t>notified LR 22 February 2006</w:t>
      </w:r>
      <w:r>
        <w:br/>
        <w:t>s 1, s 2 commenced 22 February 2006 (LA s 75 (1))</w:t>
      </w:r>
    </w:p>
    <w:p w14:paraId="35E51B8B" w14:textId="3FD40ED1" w:rsidR="00D847F1" w:rsidRPr="00F1531F" w:rsidRDefault="00D847F1">
      <w:pPr>
        <w:pStyle w:val="Actdetails"/>
        <w:rPr>
          <w:rFonts w:cs="Arial"/>
        </w:rPr>
      </w:pPr>
      <w:r w:rsidRPr="00F1531F">
        <w:rPr>
          <w:rFonts w:cs="Arial"/>
        </w:rPr>
        <w:t xml:space="preserve">sch 1 pt 1.2 commenced 1 May 2006 (s 2 and </w:t>
      </w:r>
      <w:hyperlink r:id="rId94" w:tooltip="CN2006-6" w:history="1">
        <w:r w:rsidR="00DF21AF" w:rsidRPr="00DF21AF">
          <w:rPr>
            <w:rStyle w:val="charCitHyperlinkAbbrev"/>
          </w:rPr>
          <w:t>CN2006-6</w:t>
        </w:r>
      </w:hyperlink>
      <w:r w:rsidRPr="00F1531F">
        <w:rPr>
          <w:rFonts w:cs="Arial"/>
        </w:rPr>
        <w:t>)</w:t>
      </w:r>
    </w:p>
    <w:p w14:paraId="315E7A1D" w14:textId="4549497B" w:rsidR="00D847F1" w:rsidRDefault="00C17B8B">
      <w:pPr>
        <w:pStyle w:val="NewAct"/>
      </w:pPr>
      <w:hyperlink r:id="rId95" w:tooltip="A2007-16" w:history="1">
        <w:r w:rsidR="00DF21AF" w:rsidRPr="00DF21AF">
          <w:rPr>
            <w:rStyle w:val="charCitHyperlinkAbbrev"/>
          </w:rPr>
          <w:t>Statute Law Amendment Act 2007 (No 2)</w:t>
        </w:r>
      </w:hyperlink>
      <w:r w:rsidR="00D847F1">
        <w:t xml:space="preserve"> A2007-16 sch 3 pt 3.17</w:t>
      </w:r>
    </w:p>
    <w:p w14:paraId="107F837A" w14:textId="77777777" w:rsidR="00D847F1" w:rsidRDefault="00D847F1">
      <w:pPr>
        <w:pStyle w:val="Actdetails"/>
        <w:keepNext/>
      </w:pPr>
      <w:r>
        <w:t>notified LR 20 June 2007</w:t>
      </w:r>
    </w:p>
    <w:p w14:paraId="06E3AA1A" w14:textId="77777777" w:rsidR="00D847F1" w:rsidRDefault="00D847F1">
      <w:pPr>
        <w:pStyle w:val="Actdetails"/>
        <w:keepNext/>
      </w:pPr>
      <w:r>
        <w:t>s 1, s 2 taken to have commenced 12 April 2007 (LA s 75 (2))</w:t>
      </w:r>
    </w:p>
    <w:p w14:paraId="6701658F" w14:textId="77777777" w:rsidR="00D847F1" w:rsidRDefault="00D847F1">
      <w:pPr>
        <w:pStyle w:val="Actdetails"/>
      </w:pPr>
      <w:r>
        <w:t>sch 3 pt 3.17 commenced 11 July 2007 (s 2 (1))</w:t>
      </w:r>
    </w:p>
    <w:p w14:paraId="3BA20F0B" w14:textId="2794E08E" w:rsidR="00D96AB6" w:rsidRDefault="00C17B8B" w:rsidP="00D96AB6">
      <w:pPr>
        <w:pStyle w:val="NewAct"/>
      </w:pPr>
      <w:hyperlink r:id="rId96" w:tooltip="A2008-37" w:history="1">
        <w:r w:rsidR="00DF21AF" w:rsidRPr="00DF21AF">
          <w:rPr>
            <w:rStyle w:val="charCitHyperlinkAbbrev"/>
          </w:rPr>
          <w:t>ACT Civil and Administrative Tribunal Legislation Amendment Act 2008 (No 2)</w:t>
        </w:r>
      </w:hyperlink>
      <w:r w:rsidR="00D96AB6">
        <w:t xml:space="preserve"> A2008-37 sch 1 pt 1.46</w:t>
      </w:r>
    </w:p>
    <w:p w14:paraId="5327E8A5" w14:textId="77777777" w:rsidR="00D96AB6" w:rsidRDefault="00D96AB6" w:rsidP="0053766D">
      <w:pPr>
        <w:pStyle w:val="Actdetails"/>
        <w:keepNext/>
      </w:pPr>
      <w:r>
        <w:t>notified LR 4 September 2008</w:t>
      </w:r>
    </w:p>
    <w:p w14:paraId="3D14DF01" w14:textId="77777777" w:rsidR="00D96AB6" w:rsidRDefault="00D96AB6" w:rsidP="0053766D">
      <w:pPr>
        <w:pStyle w:val="Actdetails"/>
        <w:keepNext/>
      </w:pPr>
      <w:r>
        <w:t>s 1, s 2 commenced 4 September 2008 (LA s 75 (1))</w:t>
      </w:r>
    </w:p>
    <w:p w14:paraId="64BBF3C4" w14:textId="243CE951" w:rsidR="00D96AB6" w:rsidRDefault="00D96AB6" w:rsidP="00D96AB6">
      <w:pPr>
        <w:pStyle w:val="Actdetails"/>
      </w:pPr>
      <w:r>
        <w:t xml:space="preserve">sch 1 pt 1.46 commenced 2 February 2009 (s 2 (1) and see </w:t>
      </w:r>
      <w:hyperlink r:id="rId97" w:tooltip="A2008-35" w:history="1">
        <w:r w:rsidR="00DF21AF" w:rsidRPr="00DF21AF">
          <w:rPr>
            <w:rStyle w:val="charCitHyperlinkAbbrev"/>
          </w:rPr>
          <w:t>ACT Civil and Administrative Tribunal Act 2008</w:t>
        </w:r>
      </w:hyperlink>
      <w:r>
        <w:t xml:space="preserve"> A2008-35, s 2 (1) and </w:t>
      </w:r>
      <w:hyperlink r:id="rId98" w:tooltip="CN2009-2" w:history="1">
        <w:r w:rsidR="00DF21AF" w:rsidRPr="00DF21AF">
          <w:rPr>
            <w:rStyle w:val="charCitHyperlinkAbbrev"/>
          </w:rPr>
          <w:t>CN2009-2</w:t>
        </w:r>
      </w:hyperlink>
      <w:r>
        <w:t>)</w:t>
      </w:r>
    </w:p>
    <w:p w14:paraId="19838E35" w14:textId="4FCF82B8" w:rsidR="0053766D" w:rsidRDefault="00C17B8B" w:rsidP="0053766D">
      <w:pPr>
        <w:pStyle w:val="NewAct"/>
      </w:pPr>
      <w:hyperlink r:id="rId99" w:tooltip="A2014-4" w:history="1">
        <w:r w:rsidR="0053766D">
          <w:rPr>
            <w:rStyle w:val="charCitHyperlinkAbbrev"/>
          </w:rPr>
          <w:t>Totalisator Act 2014</w:t>
        </w:r>
      </w:hyperlink>
      <w:r w:rsidR="0053766D">
        <w:t xml:space="preserve"> A2014-4 sch 2 pt 2.2</w:t>
      </w:r>
    </w:p>
    <w:p w14:paraId="66F33F39" w14:textId="77777777" w:rsidR="0053766D" w:rsidRDefault="0053766D" w:rsidP="0053766D">
      <w:pPr>
        <w:pStyle w:val="Actdetails"/>
        <w:keepNext/>
      </w:pPr>
      <w:r>
        <w:t>notified LR 26 March 2014</w:t>
      </w:r>
    </w:p>
    <w:p w14:paraId="1CCD61D9" w14:textId="77777777" w:rsidR="0053766D" w:rsidRDefault="0053766D" w:rsidP="0053766D">
      <w:pPr>
        <w:pStyle w:val="Actdetails"/>
        <w:keepNext/>
      </w:pPr>
      <w:r>
        <w:t>s 1, s 2 commenced 26 March 2014 (LA s 75 (1))</w:t>
      </w:r>
    </w:p>
    <w:p w14:paraId="0E2F8A24" w14:textId="77777777" w:rsidR="0053766D" w:rsidRDefault="00A10FCD" w:rsidP="0053766D">
      <w:pPr>
        <w:pStyle w:val="Actdetails"/>
      </w:pPr>
      <w:r>
        <w:t>sch 2 pt 2.2</w:t>
      </w:r>
      <w:r w:rsidR="0053766D" w:rsidRPr="002D2CC3">
        <w:t xml:space="preserve"> </w:t>
      </w:r>
      <w:r w:rsidR="0053766D" w:rsidRPr="009A7FDA">
        <w:t xml:space="preserve">commenced </w:t>
      </w:r>
      <w:r w:rsidR="0053766D">
        <w:t>27 March</w:t>
      </w:r>
      <w:r w:rsidR="0053766D" w:rsidRPr="009A7FDA">
        <w:t xml:space="preserve"> 201</w:t>
      </w:r>
      <w:r w:rsidR="0053766D">
        <w:t>4</w:t>
      </w:r>
      <w:r w:rsidR="0053766D" w:rsidRPr="009A7FDA">
        <w:t xml:space="preserve"> (s 2)</w:t>
      </w:r>
    </w:p>
    <w:p w14:paraId="50D3456B" w14:textId="66D6B2D2" w:rsidR="006F23FF" w:rsidRDefault="00C17B8B" w:rsidP="006F23FF">
      <w:pPr>
        <w:pStyle w:val="NewAct"/>
      </w:pPr>
      <w:hyperlink r:id="rId100" w:tooltip="SL2014-17" w:history="1">
        <w:r w:rsidR="006F23FF">
          <w:rPr>
            <w:rStyle w:val="charCitHyperlinkAbbrev"/>
          </w:rPr>
          <w:t>Gambling and Racing Control (Code of Practice) Amendment Regulation 2014 (No 1)</w:t>
        </w:r>
      </w:hyperlink>
      <w:r w:rsidR="006F23FF">
        <w:t xml:space="preserve"> </w:t>
      </w:r>
      <w:r w:rsidR="00EC222E">
        <w:t>SL</w:t>
      </w:r>
      <w:r w:rsidR="006F23FF">
        <w:t>2014-17</w:t>
      </w:r>
    </w:p>
    <w:p w14:paraId="541AF881" w14:textId="77777777" w:rsidR="006F23FF" w:rsidRDefault="006F23FF" w:rsidP="006F23FF">
      <w:pPr>
        <w:pStyle w:val="Actdetails"/>
        <w:keepNext/>
      </w:pPr>
      <w:r>
        <w:t>notified LR 2</w:t>
      </w:r>
      <w:r w:rsidR="00743CAC">
        <w:t>8</w:t>
      </w:r>
      <w:r>
        <w:t xml:space="preserve"> </w:t>
      </w:r>
      <w:r w:rsidR="00743CAC">
        <w:t>July</w:t>
      </w:r>
      <w:r>
        <w:t xml:space="preserve"> 2014</w:t>
      </w:r>
    </w:p>
    <w:p w14:paraId="29BC5684" w14:textId="77777777" w:rsidR="006F23FF" w:rsidRDefault="006F23FF" w:rsidP="006F23FF">
      <w:pPr>
        <w:pStyle w:val="Actdetails"/>
        <w:keepNext/>
      </w:pPr>
      <w:r>
        <w:t>s 1, s 2 commenced 2</w:t>
      </w:r>
      <w:r w:rsidR="00743CAC">
        <w:t>8</w:t>
      </w:r>
      <w:r>
        <w:t xml:space="preserve"> </w:t>
      </w:r>
      <w:r w:rsidR="00743CAC">
        <w:t>July</w:t>
      </w:r>
      <w:r>
        <w:t xml:space="preserve"> 2014 (LA s 75 (1))</w:t>
      </w:r>
    </w:p>
    <w:p w14:paraId="394FBDC7" w14:textId="5597044B" w:rsidR="006F23FF" w:rsidRDefault="009B72D9" w:rsidP="006F23FF">
      <w:pPr>
        <w:pStyle w:val="Actdetails"/>
      </w:pPr>
      <w:r>
        <w:t>remainder</w:t>
      </w:r>
      <w:r w:rsidR="006F23FF" w:rsidRPr="002D2CC3">
        <w:t xml:space="preserve"> </w:t>
      </w:r>
      <w:r w:rsidR="006F23FF" w:rsidRPr="009A7FDA">
        <w:t xml:space="preserve">commenced </w:t>
      </w:r>
      <w:r w:rsidR="00743CAC">
        <w:t>1</w:t>
      </w:r>
      <w:r w:rsidR="006F23FF">
        <w:t xml:space="preserve"> </w:t>
      </w:r>
      <w:r w:rsidR="00743CAC">
        <w:t>August</w:t>
      </w:r>
      <w:r w:rsidR="006F23FF" w:rsidRPr="009A7FDA">
        <w:t xml:space="preserve"> 201</w:t>
      </w:r>
      <w:r w:rsidR="006F23FF">
        <w:t>4</w:t>
      </w:r>
      <w:r w:rsidR="006F23FF" w:rsidRPr="009A7FDA">
        <w:t xml:space="preserve"> (s 2</w:t>
      </w:r>
      <w:r w:rsidR="00FA1B52">
        <w:t xml:space="preserve"> and </w:t>
      </w:r>
      <w:hyperlink r:id="rId101" w:tooltip="CN2014-11" w:history="1">
        <w:r w:rsidR="0077579F">
          <w:rPr>
            <w:rStyle w:val="charCitHyperlinkAbbrev"/>
          </w:rPr>
          <w:t>CN2014-11</w:t>
        </w:r>
      </w:hyperlink>
      <w:r w:rsidR="006F23FF" w:rsidRPr="009A7FDA">
        <w:t>)</w:t>
      </w:r>
    </w:p>
    <w:p w14:paraId="43303B22" w14:textId="1D8CA191" w:rsidR="009F276B" w:rsidRDefault="00C17B8B" w:rsidP="009F276B">
      <w:pPr>
        <w:pStyle w:val="NewAct"/>
      </w:pPr>
      <w:hyperlink r:id="rId102" w:tooltip="SL2015-27" w:history="1">
        <w:r w:rsidR="009F276B">
          <w:rPr>
            <w:rStyle w:val="charCitHyperlinkAbbrev"/>
          </w:rPr>
          <w:t>Gaming Legislation Amendment Regulation 2015 (No 1)</w:t>
        </w:r>
      </w:hyperlink>
      <w:r w:rsidR="00FB6524">
        <w:t xml:space="preserve"> SL2015</w:t>
      </w:r>
      <w:r w:rsidR="00FB6524">
        <w:noBreakHyphen/>
      </w:r>
      <w:r w:rsidR="009F276B">
        <w:t>27</w:t>
      </w:r>
      <w:r w:rsidR="00FB6524">
        <w:t> </w:t>
      </w:r>
      <w:r w:rsidR="00517082">
        <w:t>pt</w:t>
      </w:r>
      <w:r w:rsidR="00FB6524">
        <w:t> </w:t>
      </w:r>
      <w:r w:rsidR="00517082">
        <w:t>2</w:t>
      </w:r>
    </w:p>
    <w:p w14:paraId="2C5957E7" w14:textId="77777777" w:rsidR="009F276B" w:rsidRDefault="009F276B" w:rsidP="009F276B">
      <w:pPr>
        <w:pStyle w:val="Actdetails"/>
        <w:keepNext/>
      </w:pPr>
      <w:r>
        <w:t>notified LR 24 August 2015</w:t>
      </w:r>
    </w:p>
    <w:p w14:paraId="7A8DF681" w14:textId="77777777" w:rsidR="009F276B" w:rsidRDefault="009F276B" w:rsidP="009F276B">
      <w:pPr>
        <w:pStyle w:val="Actdetails"/>
        <w:keepNext/>
      </w:pPr>
      <w:r>
        <w:t>s 1, s 2 commenced 24 August 2015 (LA s 75 (1))</w:t>
      </w:r>
    </w:p>
    <w:p w14:paraId="3336BEE8" w14:textId="39CB1659" w:rsidR="009F276B" w:rsidRDefault="00517082" w:rsidP="009F276B">
      <w:pPr>
        <w:pStyle w:val="Actdetails"/>
      </w:pPr>
      <w:r>
        <w:t>pt 2</w:t>
      </w:r>
      <w:r w:rsidR="009F276B" w:rsidRPr="002D2CC3">
        <w:t xml:space="preserve"> </w:t>
      </w:r>
      <w:r w:rsidR="009F276B" w:rsidRPr="009A7FDA">
        <w:t xml:space="preserve">commenced </w:t>
      </w:r>
      <w:r w:rsidR="009F276B">
        <w:t>31 August</w:t>
      </w:r>
      <w:r w:rsidR="009F276B" w:rsidRPr="009A7FDA">
        <w:t xml:space="preserve"> 201</w:t>
      </w:r>
      <w:r w:rsidR="009F276B">
        <w:t>5</w:t>
      </w:r>
      <w:r w:rsidR="009F276B" w:rsidRPr="009A7FDA">
        <w:t xml:space="preserve"> (s 2</w:t>
      </w:r>
      <w:r w:rsidR="009F276B">
        <w:t xml:space="preserve"> and see </w:t>
      </w:r>
      <w:hyperlink r:id="rId103" w:tooltip="A2015-21" w:history="1">
        <w:r w:rsidRPr="006C7C99">
          <w:rPr>
            <w:rStyle w:val="charCitHyperlinkAbbrev"/>
          </w:rPr>
          <w:t>Gaming Machine (Reform) Amendment Act 2015</w:t>
        </w:r>
      </w:hyperlink>
      <w:r>
        <w:t xml:space="preserve"> A2015-21, s 2 and </w:t>
      </w:r>
      <w:hyperlink r:id="rId104" w:tooltip="CN2015-18" w:history="1">
        <w:r>
          <w:rPr>
            <w:rStyle w:val="charCitHyperlinkAbbrev"/>
          </w:rPr>
          <w:t>CN2015-18</w:t>
        </w:r>
      </w:hyperlink>
      <w:r w:rsidR="009F276B" w:rsidRPr="009A7FDA">
        <w:t>)</w:t>
      </w:r>
    </w:p>
    <w:p w14:paraId="5646907D" w14:textId="3F251FDC" w:rsidR="00FF73A7" w:rsidRDefault="00C17B8B" w:rsidP="00FF73A7">
      <w:pPr>
        <w:pStyle w:val="NewAct"/>
      </w:pPr>
      <w:hyperlink r:id="rId105" w:tooltip="A2015-41" w:history="1">
        <w:r w:rsidR="00FF73A7">
          <w:rPr>
            <w:rStyle w:val="charCitHyperlinkAbbrev"/>
          </w:rPr>
          <w:t>Lotteries (Approvals) Amendment Act 2015</w:t>
        </w:r>
      </w:hyperlink>
      <w:r w:rsidR="00FF73A7">
        <w:t xml:space="preserve"> A2015-41 sch 1</w:t>
      </w:r>
    </w:p>
    <w:p w14:paraId="6C21ECD1" w14:textId="77777777" w:rsidR="00FF73A7" w:rsidRDefault="00FF73A7" w:rsidP="00FF73A7">
      <w:pPr>
        <w:pStyle w:val="Actdetails"/>
      </w:pPr>
      <w:r>
        <w:t>notified LR 4 November 2015</w:t>
      </w:r>
    </w:p>
    <w:p w14:paraId="6C86ECDC" w14:textId="77777777" w:rsidR="00FF73A7" w:rsidRPr="00D30827" w:rsidRDefault="00FF73A7" w:rsidP="00FF73A7">
      <w:pPr>
        <w:pStyle w:val="Actdetails"/>
      </w:pPr>
      <w:r>
        <w:t>s 1, s 2 commenced 4 November 2015 (LA s 75 (1))</w:t>
      </w:r>
    </w:p>
    <w:p w14:paraId="0F399329" w14:textId="77777777" w:rsidR="00FF73A7" w:rsidRDefault="00FF73A7" w:rsidP="00FF73A7">
      <w:pPr>
        <w:pStyle w:val="Actdetails"/>
      </w:pPr>
      <w:r>
        <w:t>sch 1</w:t>
      </w:r>
      <w:r w:rsidRPr="00D700EC">
        <w:t xml:space="preserve"> commence</w:t>
      </w:r>
      <w:r>
        <w:t>d</w:t>
      </w:r>
      <w:r w:rsidRPr="00D700EC">
        <w:t xml:space="preserve"> </w:t>
      </w:r>
      <w:r>
        <w:t>5 November 2015</w:t>
      </w:r>
      <w:r w:rsidRPr="00D700EC">
        <w:t xml:space="preserve"> (s 2)</w:t>
      </w:r>
    </w:p>
    <w:p w14:paraId="2ECF3A47" w14:textId="0E44185C" w:rsidR="00FF05B5" w:rsidRDefault="00C17B8B" w:rsidP="00FF05B5">
      <w:pPr>
        <w:pStyle w:val="NewAct"/>
      </w:pPr>
      <w:hyperlink r:id="rId106" w:tooltip="SL2019-10" w:history="1">
        <w:r w:rsidR="000B39B0">
          <w:rPr>
            <w:rStyle w:val="charCitHyperlinkAbbrev"/>
          </w:rPr>
          <w:t>Gambling and Racing Control (Code of Practice) Amendment Regulation 2019 (No 1)</w:t>
        </w:r>
      </w:hyperlink>
      <w:r w:rsidR="00FF05B5">
        <w:t xml:space="preserve"> SL20</w:t>
      </w:r>
      <w:r w:rsidR="000B39B0">
        <w:t>19</w:t>
      </w:r>
      <w:r w:rsidR="00FF05B5">
        <w:t>-</w:t>
      </w:r>
      <w:r w:rsidR="000B39B0">
        <w:t>10</w:t>
      </w:r>
    </w:p>
    <w:p w14:paraId="5EFB79FA" w14:textId="77777777" w:rsidR="008A104C" w:rsidRDefault="00FF05B5" w:rsidP="00FF05B5">
      <w:pPr>
        <w:pStyle w:val="Actdetails"/>
      </w:pPr>
      <w:r>
        <w:t xml:space="preserve">notified LR </w:t>
      </w:r>
      <w:r w:rsidR="000B39B0">
        <w:t>24</w:t>
      </w:r>
      <w:r>
        <w:t xml:space="preserve"> </w:t>
      </w:r>
      <w:r w:rsidR="000B39B0">
        <w:t>May</w:t>
      </w:r>
      <w:r>
        <w:t xml:space="preserve"> 20</w:t>
      </w:r>
      <w:r w:rsidR="000B39B0">
        <w:t>19</w:t>
      </w:r>
    </w:p>
    <w:p w14:paraId="708350E5" w14:textId="77777777" w:rsidR="00FF05B5" w:rsidRDefault="00FF05B5" w:rsidP="00FF05B5">
      <w:pPr>
        <w:pStyle w:val="Actdetails"/>
      </w:pPr>
      <w:r>
        <w:t xml:space="preserve">s 1, s 2 commenced </w:t>
      </w:r>
      <w:r w:rsidR="000B39B0">
        <w:t>24</w:t>
      </w:r>
      <w:r>
        <w:t xml:space="preserve"> </w:t>
      </w:r>
      <w:r w:rsidR="000B39B0">
        <w:t>May</w:t>
      </w:r>
      <w:r>
        <w:t xml:space="preserve"> 20</w:t>
      </w:r>
      <w:r w:rsidR="000B39B0">
        <w:t>19</w:t>
      </w:r>
      <w:r>
        <w:t xml:space="preserve"> (LA s 75 (1))</w:t>
      </w:r>
    </w:p>
    <w:p w14:paraId="78C362AA" w14:textId="77777777" w:rsidR="00FF05B5" w:rsidRPr="000B39B0" w:rsidRDefault="00FF05B5" w:rsidP="000B39B0">
      <w:pPr>
        <w:pStyle w:val="Actdetails"/>
        <w:rPr>
          <w:rFonts w:cs="Arial"/>
        </w:rPr>
      </w:pPr>
      <w:r w:rsidRPr="00F1531F">
        <w:rPr>
          <w:rFonts w:cs="Arial"/>
        </w:rPr>
        <w:t xml:space="preserve">remainder commenced </w:t>
      </w:r>
      <w:r w:rsidR="000B39B0">
        <w:rPr>
          <w:rFonts w:cs="Arial"/>
        </w:rPr>
        <w:t>26</w:t>
      </w:r>
      <w:r w:rsidRPr="00F1531F">
        <w:rPr>
          <w:rFonts w:cs="Arial"/>
        </w:rPr>
        <w:t xml:space="preserve"> </w:t>
      </w:r>
      <w:r w:rsidR="000B39B0">
        <w:rPr>
          <w:rFonts w:cs="Arial"/>
        </w:rPr>
        <w:t>May</w:t>
      </w:r>
      <w:r w:rsidRPr="00F1531F">
        <w:rPr>
          <w:rFonts w:cs="Arial"/>
        </w:rPr>
        <w:t xml:space="preserve"> 20</w:t>
      </w:r>
      <w:r w:rsidR="000B39B0">
        <w:rPr>
          <w:rFonts w:cs="Arial"/>
        </w:rPr>
        <w:t>19</w:t>
      </w:r>
      <w:r w:rsidR="008F00E1">
        <w:rPr>
          <w:rFonts w:cs="Arial"/>
        </w:rPr>
        <w:t xml:space="preserve"> (s 2)</w:t>
      </w:r>
    </w:p>
    <w:p w14:paraId="7AAD0F29" w14:textId="77777777" w:rsidR="0053766D" w:rsidRPr="0053766D" w:rsidRDefault="0053766D" w:rsidP="0053766D">
      <w:pPr>
        <w:pStyle w:val="PageBreak"/>
      </w:pPr>
      <w:r w:rsidRPr="0053766D">
        <w:br w:type="page"/>
      </w:r>
    </w:p>
    <w:p w14:paraId="5C2B9E64" w14:textId="77777777" w:rsidR="00D847F1" w:rsidRPr="00224E14" w:rsidRDefault="00D847F1">
      <w:pPr>
        <w:pStyle w:val="Endnote20"/>
      </w:pPr>
      <w:bookmarkStart w:id="107" w:name="_Toc72506019"/>
      <w:r w:rsidRPr="00224E14">
        <w:rPr>
          <w:rStyle w:val="charTableNo"/>
        </w:rPr>
        <w:lastRenderedPageBreak/>
        <w:t>4</w:t>
      </w:r>
      <w:r>
        <w:tab/>
      </w:r>
      <w:r w:rsidRPr="00224E14">
        <w:rPr>
          <w:rStyle w:val="charTableText"/>
        </w:rPr>
        <w:t>Amendment history</w:t>
      </w:r>
      <w:bookmarkEnd w:id="107"/>
    </w:p>
    <w:p w14:paraId="10683DF8" w14:textId="77777777" w:rsidR="00D847F1" w:rsidRDefault="00D847F1">
      <w:pPr>
        <w:pStyle w:val="AmdtsEntryHd"/>
      </w:pPr>
      <w:r>
        <w:t>Name of regulation</w:t>
      </w:r>
    </w:p>
    <w:p w14:paraId="0A1E0C31" w14:textId="77777777" w:rsidR="00D847F1" w:rsidRDefault="00D847F1">
      <w:pPr>
        <w:pStyle w:val="AmdtsEntries"/>
      </w:pPr>
      <w:r>
        <w:t>s 1</w:t>
      </w:r>
      <w:r>
        <w:tab/>
        <w:t>am R1 LA; R4 LA</w:t>
      </w:r>
    </w:p>
    <w:p w14:paraId="3DC67703" w14:textId="77777777" w:rsidR="00D847F1" w:rsidRDefault="00D847F1">
      <w:pPr>
        <w:pStyle w:val="AmdtsEntryHd"/>
      </w:pPr>
      <w:r>
        <w:t>Commencement</w:t>
      </w:r>
    </w:p>
    <w:p w14:paraId="01D0854F" w14:textId="77777777" w:rsidR="00D847F1" w:rsidRDefault="00D847F1">
      <w:pPr>
        <w:pStyle w:val="AmdtsEntries"/>
      </w:pPr>
      <w:r>
        <w:t>s 2</w:t>
      </w:r>
      <w:r>
        <w:tab/>
        <w:t>om LA s 89 (4)</w:t>
      </w:r>
    </w:p>
    <w:p w14:paraId="3796EBA9" w14:textId="77777777" w:rsidR="00D847F1" w:rsidRDefault="00D847F1">
      <w:pPr>
        <w:pStyle w:val="AmdtsEntryHd"/>
      </w:pPr>
      <w:r>
        <w:t>Dictionary</w:t>
      </w:r>
    </w:p>
    <w:p w14:paraId="33DB8292" w14:textId="464DABBB" w:rsidR="00D847F1" w:rsidRDefault="00D847F1">
      <w:pPr>
        <w:pStyle w:val="AmdtsEntries"/>
      </w:pPr>
      <w:r>
        <w:t>s 3</w:t>
      </w:r>
      <w:r>
        <w:tab/>
        <w:t xml:space="preserve">am </w:t>
      </w:r>
      <w:hyperlink r:id="rId107"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4; </w:t>
      </w:r>
      <w:hyperlink r:id="rId108" w:tooltip="Statute Law Amendment Act 2007 (No 2)" w:history="1">
        <w:r w:rsidR="00DF21AF" w:rsidRPr="00DF21AF">
          <w:rPr>
            <w:rStyle w:val="charCitHyperlinkAbbrev"/>
          </w:rPr>
          <w:t>A2007</w:t>
        </w:r>
        <w:r w:rsidR="00DF21AF" w:rsidRPr="00DF21AF">
          <w:rPr>
            <w:rStyle w:val="charCitHyperlinkAbbrev"/>
          </w:rPr>
          <w:noBreakHyphen/>
          <w:t>16</w:t>
        </w:r>
      </w:hyperlink>
      <w:r>
        <w:t xml:space="preserve"> amdt 3.66</w:t>
      </w:r>
    </w:p>
    <w:p w14:paraId="072CF329" w14:textId="77777777" w:rsidR="00D847F1" w:rsidRDefault="00D847F1">
      <w:pPr>
        <w:pStyle w:val="AmdtsEntryHd"/>
        <w:rPr>
          <w:rStyle w:val="charItals"/>
        </w:rPr>
      </w:pPr>
      <w:r>
        <w:t xml:space="preserve">Meaning of </w:t>
      </w:r>
      <w:r>
        <w:rPr>
          <w:rStyle w:val="charItals"/>
        </w:rPr>
        <w:t>licensee</w:t>
      </w:r>
    </w:p>
    <w:p w14:paraId="62791062" w14:textId="4458ED0B" w:rsidR="00D847F1" w:rsidRDefault="00D847F1">
      <w:pPr>
        <w:pStyle w:val="AmdtsEntries"/>
      </w:pPr>
      <w:r>
        <w:t>s 5</w:t>
      </w:r>
      <w:r>
        <w:tab/>
        <w:t xml:space="preserve">am </w:t>
      </w:r>
      <w:hyperlink r:id="rId10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5-7</w:t>
      </w:r>
      <w:r w:rsidR="00A10FCD">
        <w:t xml:space="preserve">; </w:t>
      </w:r>
      <w:hyperlink r:id="rId110" w:tooltip="Totalisator Act 2014" w:history="1">
        <w:r w:rsidR="00A10FCD">
          <w:rPr>
            <w:rStyle w:val="charCitHyperlinkAbbrev"/>
          </w:rPr>
          <w:t>A2014</w:t>
        </w:r>
        <w:r w:rsidR="00A10FCD">
          <w:rPr>
            <w:rStyle w:val="charCitHyperlinkAbbrev"/>
          </w:rPr>
          <w:noBreakHyphen/>
          <w:t>4</w:t>
        </w:r>
      </w:hyperlink>
      <w:r w:rsidR="00A10FCD">
        <w:t xml:space="preserve"> amdt 2.3</w:t>
      </w:r>
      <w:r w:rsidR="00FF73A7">
        <w:t xml:space="preserve">; </w:t>
      </w:r>
      <w:hyperlink r:id="rId111" w:tooltip="Lotteries (Approvals) Amendment Act 2015" w:history="1">
        <w:r w:rsidR="00FF73A7">
          <w:rPr>
            <w:rStyle w:val="charCitHyperlinkAbbrev"/>
          </w:rPr>
          <w:t>A2015</w:t>
        </w:r>
        <w:r w:rsidR="00FF73A7">
          <w:rPr>
            <w:rStyle w:val="charCitHyperlinkAbbrev"/>
          </w:rPr>
          <w:noBreakHyphen/>
          <w:t>41</w:t>
        </w:r>
      </w:hyperlink>
      <w:r w:rsidR="00FF73A7">
        <w:t xml:space="preserve"> amdt 1.1, amdt 1.2</w:t>
      </w:r>
    </w:p>
    <w:p w14:paraId="59766B0C" w14:textId="77777777" w:rsidR="00A10FCD" w:rsidRDefault="006A5457" w:rsidP="00A10FCD">
      <w:pPr>
        <w:pStyle w:val="AmdtsEntryHd"/>
        <w:rPr>
          <w:rStyle w:val="charItals"/>
        </w:rPr>
      </w:pPr>
      <w:r>
        <w:t>Offences under pt 2</w:t>
      </w:r>
    </w:p>
    <w:p w14:paraId="2EF59755" w14:textId="375E7AB6" w:rsidR="00A10FCD" w:rsidRDefault="00A10FCD" w:rsidP="00A10FCD">
      <w:pPr>
        <w:pStyle w:val="AmdtsEntries"/>
      </w:pPr>
      <w:r>
        <w:t>s 7</w:t>
      </w:r>
      <w:r>
        <w:tab/>
        <w:t xml:space="preserve">am </w:t>
      </w:r>
      <w:hyperlink r:id="rId112" w:tooltip="Totalisator Act 2014" w:history="1">
        <w:r>
          <w:rPr>
            <w:rStyle w:val="charCitHyperlinkAbbrev"/>
          </w:rPr>
          <w:t>A2014</w:t>
        </w:r>
        <w:r>
          <w:rPr>
            <w:rStyle w:val="charCitHyperlinkAbbrev"/>
          </w:rPr>
          <w:noBreakHyphen/>
          <w:t>4</w:t>
        </w:r>
      </w:hyperlink>
      <w:r>
        <w:t xml:space="preserve"> amdt 2.4; pars renum R8 LA</w:t>
      </w:r>
      <w:r w:rsidR="00743CAC">
        <w:t xml:space="preserve">; </w:t>
      </w:r>
      <w:hyperlink r:id="rId113" w:tooltip="Gambling and Racing Control (Code of Practice) Amendment Regulation 2014 (No 1)" w:history="1">
        <w:r w:rsidR="00B61702">
          <w:rPr>
            <w:rStyle w:val="charCitHyperlinkAbbrev"/>
          </w:rPr>
          <w:t>SL2014</w:t>
        </w:r>
        <w:r w:rsidR="00B61702">
          <w:rPr>
            <w:rStyle w:val="charCitHyperlinkAbbrev"/>
          </w:rPr>
          <w:noBreakHyphen/>
          <w:t>17</w:t>
        </w:r>
      </w:hyperlink>
      <w:r w:rsidR="00743CAC">
        <w:t xml:space="preserve"> s 4</w:t>
      </w:r>
      <w:r w:rsidR="00B61702">
        <w:t>, s 5</w:t>
      </w:r>
    </w:p>
    <w:p w14:paraId="1EBB67E8" w14:textId="77777777" w:rsidR="00D847F1" w:rsidRDefault="00D847F1">
      <w:pPr>
        <w:pStyle w:val="AmdtsEntryHd"/>
      </w:pPr>
      <w:r>
        <w:t>Licensees obligations generally</w:t>
      </w:r>
    </w:p>
    <w:p w14:paraId="168DE276" w14:textId="68AD981C" w:rsidR="00D847F1" w:rsidRDefault="00D847F1">
      <w:pPr>
        <w:pStyle w:val="AmdtsEntries"/>
      </w:pPr>
      <w:r>
        <w:t>s 8</w:t>
      </w:r>
      <w:r>
        <w:tab/>
        <w:t xml:space="preserve">am </w:t>
      </w:r>
      <w:hyperlink r:id="rId11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8; ss renum R3 LA (see </w:t>
      </w:r>
      <w:hyperlink r:id="rId115"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8)</w:t>
      </w:r>
      <w:r w:rsidR="00C050B9">
        <w:t xml:space="preserve">; </w:t>
      </w:r>
      <w:hyperlink r:id="rId116" w:tooltip="Gambling and Racing Control (Code of Practice) Amendment Regulation 2014 (No 1)" w:history="1">
        <w:r w:rsidR="00C050B9">
          <w:rPr>
            <w:rStyle w:val="charCitHyperlinkAbbrev"/>
          </w:rPr>
          <w:t>SL2014</w:t>
        </w:r>
        <w:r w:rsidR="00C050B9">
          <w:rPr>
            <w:rStyle w:val="charCitHyperlinkAbbrev"/>
          </w:rPr>
          <w:noBreakHyphen/>
          <w:t>17</w:t>
        </w:r>
      </w:hyperlink>
      <w:r w:rsidR="00C050B9">
        <w:t xml:space="preserve"> s 39</w:t>
      </w:r>
    </w:p>
    <w:p w14:paraId="5C357EAA" w14:textId="77777777" w:rsidR="00B61702" w:rsidRDefault="00B61702" w:rsidP="00B61702">
      <w:pPr>
        <w:pStyle w:val="AmdtsEntryHd"/>
        <w:rPr>
          <w:rStyle w:val="charItals"/>
        </w:rPr>
      </w:pPr>
      <w:r w:rsidRPr="00A35BB6">
        <w:t>Approved training programs</w:t>
      </w:r>
    </w:p>
    <w:p w14:paraId="0B4929A3" w14:textId="66B15BC3" w:rsidR="00B61702" w:rsidRDefault="00B61702" w:rsidP="00B61702">
      <w:pPr>
        <w:pStyle w:val="AmdtsEntries"/>
      </w:pPr>
      <w:r>
        <w:t>s 9</w:t>
      </w:r>
      <w:r>
        <w:tab/>
        <w:t xml:space="preserve">sub </w:t>
      </w:r>
      <w:hyperlink r:id="rId117" w:tooltip="Gambling and Racing Control (Code of Practice) Amendment Regulation 2014 (No 1)" w:history="1">
        <w:r>
          <w:rPr>
            <w:rStyle w:val="charCitHyperlinkAbbrev"/>
          </w:rPr>
          <w:t>SL2014</w:t>
        </w:r>
        <w:r>
          <w:rPr>
            <w:rStyle w:val="charCitHyperlinkAbbrev"/>
          </w:rPr>
          <w:noBreakHyphen/>
          <w:t>17</w:t>
        </w:r>
      </w:hyperlink>
      <w:r>
        <w:t xml:space="preserve"> s 6</w:t>
      </w:r>
    </w:p>
    <w:p w14:paraId="10CEF895" w14:textId="77777777" w:rsidR="005852C5" w:rsidRDefault="00000E30" w:rsidP="005852C5">
      <w:pPr>
        <w:pStyle w:val="AmdtsEntryHd"/>
        <w:rPr>
          <w:rStyle w:val="charItals"/>
        </w:rPr>
      </w:pPr>
      <w:r>
        <w:t>Recording problem gambling incidents</w:t>
      </w:r>
    </w:p>
    <w:p w14:paraId="6F231F9A" w14:textId="3D1A2FC4" w:rsidR="005852C5" w:rsidRDefault="005852C5" w:rsidP="005852C5">
      <w:pPr>
        <w:pStyle w:val="AmdtsEntries"/>
      </w:pPr>
      <w:r>
        <w:t>s 10</w:t>
      </w:r>
      <w:r>
        <w:tab/>
        <w:t xml:space="preserve">am </w:t>
      </w:r>
      <w:hyperlink r:id="rId118" w:tooltip="Gambling and Racing Control (Code of Practice) Amendment Regulation 2014 (No 1)" w:history="1">
        <w:r>
          <w:rPr>
            <w:rStyle w:val="charCitHyperlinkAbbrev"/>
          </w:rPr>
          <w:t>SL2014</w:t>
        </w:r>
        <w:r>
          <w:rPr>
            <w:rStyle w:val="charCitHyperlinkAbbrev"/>
          </w:rPr>
          <w:noBreakHyphen/>
          <w:t>17</w:t>
        </w:r>
      </w:hyperlink>
      <w:r>
        <w:t xml:space="preserve"> s 7</w:t>
      </w:r>
      <w:r w:rsidR="00A66854">
        <w:t>, s 39</w:t>
      </w:r>
      <w:r>
        <w:t>; ss renum R9 LA</w:t>
      </w:r>
    </w:p>
    <w:p w14:paraId="31804EFB" w14:textId="77777777" w:rsidR="00D847F1" w:rsidRDefault="00D847F1">
      <w:pPr>
        <w:pStyle w:val="AmdtsEntryHd"/>
      </w:pPr>
      <w:r>
        <w:t>Gambling facility to have gambling contact officer</w:t>
      </w:r>
    </w:p>
    <w:p w14:paraId="2262CCBA" w14:textId="4874BA1E" w:rsidR="00D847F1" w:rsidRDefault="00D847F1">
      <w:pPr>
        <w:pStyle w:val="AmdtsEntries"/>
      </w:pPr>
      <w:r>
        <w:t>s 11</w:t>
      </w:r>
      <w:r>
        <w:tab/>
        <w:t xml:space="preserve">am </w:t>
      </w:r>
      <w:hyperlink r:id="rId11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10, s 11; ss renum R3 LA (see </w:t>
      </w:r>
      <w:hyperlink r:id="rId120"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12)</w:t>
      </w:r>
      <w:r w:rsidR="00685282">
        <w:t xml:space="preserve">; </w:t>
      </w:r>
      <w:hyperlink r:id="rId121" w:tooltip="Gambling and Racing Control (Code of Practice) Amendment Regulation 2014 (No 1)" w:history="1">
        <w:r w:rsidR="00685282">
          <w:rPr>
            <w:rStyle w:val="charCitHyperlinkAbbrev"/>
          </w:rPr>
          <w:t>SL2014</w:t>
        </w:r>
        <w:r w:rsidR="00685282">
          <w:rPr>
            <w:rStyle w:val="charCitHyperlinkAbbrev"/>
          </w:rPr>
          <w:noBreakHyphen/>
          <w:t>17</w:t>
        </w:r>
      </w:hyperlink>
      <w:r w:rsidR="00685282">
        <w:t xml:space="preserve"> s 39</w:t>
      </w:r>
    </w:p>
    <w:p w14:paraId="4354B15E" w14:textId="77777777" w:rsidR="00685282" w:rsidRDefault="00154209" w:rsidP="00685282">
      <w:pPr>
        <w:pStyle w:val="AmdtsEntryHd"/>
        <w:rPr>
          <w:rStyle w:val="charItals"/>
        </w:rPr>
      </w:pPr>
      <w:r>
        <w:t>Dealing with people with gambling problem</w:t>
      </w:r>
    </w:p>
    <w:p w14:paraId="23254D06" w14:textId="4114F920" w:rsidR="00685282" w:rsidRDefault="00685282" w:rsidP="00685282">
      <w:pPr>
        <w:pStyle w:val="AmdtsEntries"/>
      </w:pPr>
      <w:r>
        <w:t>s 12</w:t>
      </w:r>
      <w:r>
        <w:tab/>
        <w:t xml:space="preserve">am </w:t>
      </w:r>
      <w:hyperlink r:id="rId122"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6908ABE7" w14:textId="77777777" w:rsidR="00D847F1" w:rsidRDefault="00D847F1">
      <w:pPr>
        <w:pStyle w:val="AmdtsEntryHd"/>
      </w:pPr>
      <w:r>
        <w:t>Application of div 2.4</w:t>
      </w:r>
    </w:p>
    <w:p w14:paraId="0CB7BD20" w14:textId="5CA60D80" w:rsidR="00D847F1" w:rsidRDefault="00D847F1">
      <w:pPr>
        <w:pStyle w:val="AmdtsEntries"/>
      </w:pPr>
      <w:r>
        <w:t>s 13</w:t>
      </w:r>
      <w:r>
        <w:tab/>
        <w:t xml:space="preserve">am </w:t>
      </w:r>
      <w:hyperlink r:id="rId123"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1.5</w:t>
      </w:r>
    </w:p>
    <w:p w14:paraId="7FDF1FEE" w14:textId="77777777" w:rsidR="00D847F1" w:rsidRDefault="00D847F1">
      <w:pPr>
        <w:pStyle w:val="AmdtsEntryHd"/>
      </w:pPr>
      <w:r>
        <w:t>Deeds of exclusion</w:t>
      </w:r>
    </w:p>
    <w:p w14:paraId="2DD8ED37" w14:textId="6960CF46" w:rsidR="00D847F1" w:rsidRDefault="00D847F1">
      <w:pPr>
        <w:pStyle w:val="AmdtsEntries"/>
      </w:pPr>
      <w:r>
        <w:t>s 14</w:t>
      </w:r>
      <w:r>
        <w:tab/>
        <w:t xml:space="preserve">am </w:t>
      </w:r>
      <w:hyperlink r:id="rId12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13</w:t>
      </w:r>
    </w:p>
    <w:p w14:paraId="76112547" w14:textId="77777777" w:rsidR="00154209" w:rsidRDefault="00C64CE8" w:rsidP="00154209">
      <w:pPr>
        <w:pStyle w:val="AmdtsEntryHd"/>
        <w:rPr>
          <w:rStyle w:val="charItals"/>
        </w:rPr>
      </w:pPr>
      <w:r>
        <w:t>Exclusion of people at risk or excluded under deed</w:t>
      </w:r>
    </w:p>
    <w:p w14:paraId="0AD00DE1" w14:textId="41FCA039" w:rsidR="00154209" w:rsidRDefault="00154209" w:rsidP="00154209">
      <w:pPr>
        <w:pStyle w:val="AmdtsEntries"/>
      </w:pPr>
      <w:r>
        <w:t>s 15</w:t>
      </w:r>
      <w:r>
        <w:tab/>
        <w:t xml:space="preserve">am </w:t>
      </w:r>
      <w:hyperlink r:id="rId125"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6AB13898" w14:textId="77777777" w:rsidR="004031BA" w:rsidRDefault="004031BA">
      <w:pPr>
        <w:pStyle w:val="AmdtsEntryHd"/>
      </w:pPr>
      <w:r>
        <w:t>Commission’s review of exclusion decision</w:t>
      </w:r>
    </w:p>
    <w:p w14:paraId="2BD5007A" w14:textId="139B84D9" w:rsidR="004031BA" w:rsidRPr="004031BA" w:rsidRDefault="004031BA" w:rsidP="004031BA">
      <w:pPr>
        <w:pStyle w:val="AmdtsEntries"/>
      </w:pPr>
      <w:r>
        <w:t>s 16</w:t>
      </w:r>
      <w:r>
        <w:tab/>
        <w:t xml:space="preserve">am </w:t>
      </w:r>
      <w:hyperlink r:id="rId126"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amdt 1.207</w:t>
      </w:r>
    </w:p>
    <w:p w14:paraId="25801952" w14:textId="77777777" w:rsidR="004031BA" w:rsidRDefault="004031BA">
      <w:pPr>
        <w:pStyle w:val="AmdtsEntryHd"/>
      </w:pPr>
      <w:r>
        <w:t>Review by ACAT of commission’s decision under s 16</w:t>
      </w:r>
    </w:p>
    <w:p w14:paraId="3E581FD4" w14:textId="50444003" w:rsidR="004031BA" w:rsidRPr="004031BA" w:rsidRDefault="004031BA" w:rsidP="004031BA">
      <w:pPr>
        <w:pStyle w:val="AmdtsEntries"/>
      </w:pPr>
      <w:r>
        <w:t>s 17</w:t>
      </w:r>
      <w:r>
        <w:tab/>
        <w:t xml:space="preserve">sub </w:t>
      </w:r>
      <w:hyperlink r:id="rId127"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amdt 1.208</w:t>
      </w:r>
    </w:p>
    <w:p w14:paraId="55C9D4F7" w14:textId="77777777" w:rsidR="006E6082" w:rsidRDefault="009263D8" w:rsidP="006E6082">
      <w:pPr>
        <w:pStyle w:val="AmdtsEntryHd"/>
        <w:rPr>
          <w:rStyle w:val="charItals"/>
        </w:rPr>
      </w:pPr>
      <w:r>
        <w:t>Compliance with decision to revoke or amend</w:t>
      </w:r>
    </w:p>
    <w:p w14:paraId="3AFBF67A" w14:textId="6558A25B" w:rsidR="006E6082" w:rsidRDefault="006E6082" w:rsidP="006E6082">
      <w:pPr>
        <w:pStyle w:val="AmdtsEntries"/>
      </w:pPr>
      <w:r>
        <w:t>s 18</w:t>
      </w:r>
      <w:r>
        <w:tab/>
        <w:t xml:space="preserve">am </w:t>
      </w:r>
      <w:hyperlink r:id="rId128"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6F2B6BA0" w14:textId="77777777" w:rsidR="006E6082" w:rsidRDefault="009263D8" w:rsidP="006E6082">
      <w:pPr>
        <w:pStyle w:val="AmdtsEntryHd"/>
        <w:rPr>
          <w:rStyle w:val="charItals"/>
        </w:rPr>
      </w:pPr>
      <w:r>
        <w:lastRenderedPageBreak/>
        <w:t>Exclusion procedures</w:t>
      </w:r>
    </w:p>
    <w:p w14:paraId="6FCCDA00" w14:textId="14597326" w:rsidR="006E6082" w:rsidRDefault="006E6082" w:rsidP="006E6082">
      <w:pPr>
        <w:pStyle w:val="AmdtsEntries"/>
      </w:pPr>
      <w:r>
        <w:t>s 19</w:t>
      </w:r>
      <w:r>
        <w:tab/>
        <w:t xml:space="preserve">am </w:t>
      </w:r>
      <w:hyperlink r:id="rId129"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20D41C07" w14:textId="77777777" w:rsidR="00F41D7E" w:rsidRDefault="00F41D7E" w:rsidP="00F41D7E">
      <w:pPr>
        <w:pStyle w:val="AmdtsEntryHd"/>
        <w:rPr>
          <w:rStyle w:val="charItals"/>
        </w:rPr>
      </w:pPr>
      <w:r w:rsidRPr="00A35BB6">
        <w:t>Exclusion register</w:t>
      </w:r>
    </w:p>
    <w:p w14:paraId="0443ECEC" w14:textId="46A33678" w:rsidR="00F41D7E" w:rsidRDefault="00F41D7E" w:rsidP="00F41D7E">
      <w:pPr>
        <w:pStyle w:val="AmdtsEntries"/>
      </w:pPr>
      <w:r>
        <w:t>s 20</w:t>
      </w:r>
      <w:r>
        <w:tab/>
        <w:t xml:space="preserve">sub </w:t>
      </w:r>
      <w:hyperlink r:id="rId130" w:tooltip="Gambling and Racing Control (Code of Practice) Amendment Regulation 2014 (No 1)" w:history="1">
        <w:r>
          <w:rPr>
            <w:rStyle w:val="charCitHyperlinkAbbrev"/>
          </w:rPr>
          <w:t>SL2014</w:t>
        </w:r>
        <w:r>
          <w:rPr>
            <w:rStyle w:val="charCitHyperlinkAbbrev"/>
          </w:rPr>
          <w:noBreakHyphen/>
          <w:t>17</w:t>
        </w:r>
      </w:hyperlink>
      <w:r>
        <w:t xml:space="preserve"> s 8</w:t>
      </w:r>
    </w:p>
    <w:p w14:paraId="3CE4CBF0" w14:textId="77777777" w:rsidR="00F41D7E" w:rsidRDefault="00F41D7E" w:rsidP="00F41D7E">
      <w:pPr>
        <w:pStyle w:val="AmdtsEntryHd"/>
        <w:rPr>
          <w:rStyle w:val="charItals"/>
        </w:rPr>
      </w:pPr>
      <w:r w:rsidRPr="00A35BB6">
        <w:t>Exclusion register—offences</w:t>
      </w:r>
    </w:p>
    <w:p w14:paraId="3070847D" w14:textId="7E6D863C" w:rsidR="00F41D7E" w:rsidRDefault="00F41D7E" w:rsidP="00F41D7E">
      <w:pPr>
        <w:pStyle w:val="AmdtsEntries"/>
      </w:pPr>
      <w:r>
        <w:t>s 20A</w:t>
      </w:r>
      <w:r>
        <w:tab/>
        <w:t xml:space="preserve">ins </w:t>
      </w:r>
      <w:hyperlink r:id="rId131" w:tooltip="Gambling and Racing Control (Code of Practice) Amendment Regulation 2014 (No 1)" w:history="1">
        <w:r>
          <w:rPr>
            <w:rStyle w:val="charCitHyperlinkAbbrev"/>
          </w:rPr>
          <w:t>SL2014</w:t>
        </w:r>
        <w:r>
          <w:rPr>
            <w:rStyle w:val="charCitHyperlinkAbbrev"/>
          </w:rPr>
          <w:noBreakHyphen/>
          <w:t>17</w:t>
        </w:r>
      </w:hyperlink>
      <w:r>
        <w:t xml:space="preserve"> s 8</w:t>
      </w:r>
    </w:p>
    <w:p w14:paraId="67978221" w14:textId="77777777" w:rsidR="006E6082" w:rsidRDefault="009263D8" w:rsidP="006E6082">
      <w:pPr>
        <w:pStyle w:val="AmdtsEntryHd"/>
        <w:rPr>
          <w:rStyle w:val="charItals"/>
        </w:rPr>
      </w:pPr>
      <w:r>
        <w:t>Directions about information, clocks and lighting</w:t>
      </w:r>
    </w:p>
    <w:p w14:paraId="3A681A35" w14:textId="4AC3BA89" w:rsidR="006E6082" w:rsidRDefault="006E6082" w:rsidP="006E6082">
      <w:pPr>
        <w:pStyle w:val="AmdtsEntries"/>
      </w:pPr>
      <w:r>
        <w:t>s 24</w:t>
      </w:r>
      <w:r>
        <w:tab/>
        <w:t xml:space="preserve">am </w:t>
      </w:r>
      <w:hyperlink r:id="rId132"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46C24483" w14:textId="77777777" w:rsidR="006E6082" w:rsidRDefault="009263D8" w:rsidP="006E6082">
      <w:pPr>
        <w:pStyle w:val="AmdtsEntryHd"/>
        <w:rPr>
          <w:rStyle w:val="charItals"/>
        </w:rPr>
      </w:pPr>
      <w:r>
        <w:t>Directions about advertising, promotions and inducements</w:t>
      </w:r>
    </w:p>
    <w:p w14:paraId="25CB2697" w14:textId="51D7F4A8" w:rsidR="006E6082" w:rsidRDefault="006E6082" w:rsidP="006E6082">
      <w:pPr>
        <w:pStyle w:val="AmdtsEntries"/>
      </w:pPr>
      <w:r>
        <w:t>s 25</w:t>
      </w:r>
      <w:r>
        <w:tab/>
        <w:t xml:space="preserve">am </w:t>
      </w:r>
      <w:hyperlink r:id="rId133"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7D942FE4" w14:textId="77777777" w:rsidR="00D847F1" w:rsidRDefault="00D847F1">
      <w:pPr>
        <w:pStyle w:val="AmdtsEntryHd"/>
      </w:pPr>
      <w:r>
        <w:t>Code of practice</w:t>
      </w:r>
    </w:p>
    <w:p w14:paraId="38FE3125" w14:textId="77777777" w:rsidR="00D847F1" w:rsidRDefault="00D847F1">
      <w:pPr>
        <w:pStyle w:val="AmdtsEntries"/>
      </w:pPr>
      <w:r>
        <w:t>sch 1</w:t>
      </w:r>
      <w:r>
        <w:tab/>
        <w:t>ss renum R4 LA</w:t>
      </w:r>
    </w:p>
    <w:p w14:paraId="0AB020E7" w14:textId="77777777" w:rsidR="00D847F1" w:rsidRDefault="00D847F1">
      <w:pPr>
        <w:pStyle w:val="AmdtsEntryHd"/>
        <w:rPr>
          <w:rStyle w:val="CharChapText"/>
        </w:rPr>
      </w:pPr>
      <w:r>
        <w:t xml:space="preserve">Meaning of </w:t>
      </w:r>
      <w:r>
        <w:rPr>
          <w:rStyle w:val="charItals"/>
        </w:rPr>
        <w:t>licensee</w:t>
      </w:r>
    </w:p>
    <w:p w14:paraId="21EAE3D5" w14:textId="12F1BC3A" w:rsidR="00D847F1" w:rsidRDefault="00D847F1">
      <w:pPr>
        <w:pStyle w:val="AmdtsEntries"/>
      </w:pPr>
      <w:r>
        <w:t>sch 1 s 1.1</w:t>
      </w:r>
      <w:r>
        <w:tab/>
        <w:t xml:space="preserve">am </w:t>
      </w:r>
      <w:hyperlink r:id="rId13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14-16; </w:t>
      </w:r>
      <w:hyperlink r:id="rId135"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1.6</w:t>
      </w:r>
      <w:r w:rsidR="00C349DC">
        <w:t xml:space="preserve">; </w:t>
      </w:r>
      <w:hyperlink r:id="rId136" w:tooltip="Totalisator Act 2014" w:history="1">
        <w:r w:rsidR="00C349DC">
          <w:rPr>
            <w:rStyle w:val="charCitHyperlinkAbbrev"/>
          </w:rPr>
          <w:t>A2014</w:t>
        </w:r>
        <w:r w:rsidR="00C349DC">
          <w:rPr>
            <w:rStyle w:val="charCitHyperlinkAbbrev"/>
          </w:rPr>
          <w:noBreakHyphen/>
          <w:t>4</w:t>
        </w:r>
      </w:hyperlink>
      <w:r w:rsidR="00EC2BE7">
        <w:t xml:space="preserve"> amdt </w:t>
      </w:r>
      <w:r w:rsidR="00C349DC">
        <w:t>2.5</w:t>
      </w:r>
      <w:r w:rsidR="00BF449F">
        <w:t xml:space="preserve">; </w:t>
      </w:r>
      <w:hyperlink r:id="rId137" w:tooltip="Lotteries (Approvals) Amendment Act 2015" w:history="1">
        <w:r w:rsidR="00BF449F">
          <w:rPr>
            <w:rStyle w:val="charCitHyperlinkAbbrev"/>
          </w:rPr>
          <w:t>A2015</w:t>
        </w:r>
        <w:r w:rsidR="00BF449F">
          <w:rPr>
            <w:rStyle w:val="charCitHyperlinkAbbrev"/>
          </w:rPr>
          <w:noBreakHyphen/>
          <w:t>41</w:t>
        </w:r>
      </w:hyperlink>
      <w:r w:rsidR="00BF449F">
        <w:t xml:space="preserve"> amdt 1.3, amdt 1.4</w:t>
      </w:r>
    </w:p>
    <w:p w14:paraId="4B3338C5" w14:textId="77777777" w:rsidR="00F41D7E" w:rsidRDefault="002647F9" w:rsidP="00F41D7E">
      <w:pPr>
        <w:pStyle w:val="AmdtsEntryHd"/>
        <w:rPr>
          <w:rStyle w:val="charItals"/>
        </w:rPr>
      </w:pPr>
      <w:r>
        <w:t xml:space="preserve">Meaning of </w:t>
      </w:r>
      <w:r w:rsidRPr="00F1531F">
        <w:rPr>
          <w:rStyle w:val="charItals"/>
        </w:rPr>
        <w:t>gambling problem</w:t>
      </w:r>
    </w:p>
    <w:p w14:paraId="0715C7F8" w14:textId="5ECEB531" w:rsidR="00F41D7E" w:rsidRDefault="00F41D7E" w:rsidP="00F41D7E">
      <w:pPr>
        <w:pStyle w:val="AmdtsEntries"/>
      </w:pPr>
      <w:r>
        <w:t>sch 1 s 1.2</w:t>
      </w:r>
      <w:r>
        <w:tab/>
        <w:t xml:space="preserve">am </w:t>
      </w:r>
      <w:hyperlink r:id="rId138" w:tooltip="Gambling and Racing Control (Code of Practice) Amendment Regulation 2014 (No 1)" w:history="1">
        <w:r>
          <w:rPr>
            <w:rStyle w:val="charCitHyperlinkAbbrev"/>
          </w:rPr>
          <w:t>SL2014</w:t>
        </w:r>
        <w:r>
          <w:rPr>
            <w:rStyle w:val="charCitHyperlinkAbbrev"/>
          </w:rPr>
          <w:noBreakHyphen/>
          <w:t>17</w:t>
        </w:r>
      </w:hyperlink>
      <w:r>
        <w:t xml:space="preserve"> s 9</w:t>
      </w:r>
    </w:p>
    <w:p w14:paraId="69A525DF" w14:textId="77777777" w:rsidR="00D847F1" w:rsidRDefault="00D847F1">
      <w:pPr>
        <w:pStyle w:val="AmdtsEntryHd"/>
      </w:pPr>
      <w:r>
        <w:t>Staff care and training</w:t>
      </w:r>
    </w:p>
    <w:p w14:paraId="7FAABF5D" w14:textId="0A037AE9" w:rsidR="00D847F1" w:rsidRDefault="00D847F1">
      <w:pPr>
        <w:pStyle w:val="AmdtsEntries"/>
      </w:pPr>
      <w:r>
        <w:t>sch 1 s 1.4</w:t>
      </w:r>
      <w:r>
        <w:tab/>
        <w:t xml:space="preserve">am </w:t>
      </w:r>
      <w:hyperlink r:id="rId13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17-21</w:t>
      </w:r>
      <w:r w:rsidR="00C349DC">
        <w:t xml:space="preserve">; </w:t>
      </w:r>
      <w:hyperlink r:id="rId140" w:tooltip="Totalisator Act 2014" w:history="1">
        <w:r w:rsidR="00C349DC">
          <w:rPr>
            <w:rStyle w:val="charCitHyperlinkAbbrev"/>
          </w:rPr>
          <w:t>A2014</w:t>
        </w:r>
        <w:r w:rsidR="00C349DC">
          <w:rPr>
            <w:rStyle w:val="charCitHyperlinkAbbrev"/>
          </w:rPr>
          <w:noBreakHyphen/>
          <w:t>4</w:t>
        </w:r>
      </w:hyperlink>
      <w:r w:rsidR="00C349DC">
        <w:t xml:space="preserve"> amdt 2.6</w:t>
      </w:r>
      <w:r w:rsidR="00833373">
        <w:t xml:space="preserve">; </w:t>
      </w:r>
      <w:hyperlink r:id="rId141" w:tooltip="Gambling and Racing Control (Code of Practice) Amendment Regulation 2014 (No 1)" w:history="1">
        <w:r w:rsidR="00833373">
          <w:rPr>
            <w:rStyle w:val="charCitHyperlinkAbbrev"/>
          </w:rPr>
          <w:t>SL2014</w:t>
        </w:r>
        <w:r w:rsidR="00833373">
          <w:rPr>
            <w:rStyle w:val="charCitHyperlinkAbbrev"/>
          </w:rPr>
          <w:noBreakHyphen/>
          <w:t>17</w:t>
        </w:r>
      </w:hyperlink>
      <w:r w:rsidR="00833373">
        <w:t xml:space="preserve"> s 10</w:t>
      </w:r>
    </w:p>
    <w:p w14:paraId="547C4D71" w14:textId="77777777" w:rsidR="00833373" w:rsidRDefault="00833373" w:rsidP="00833373">
      <w:pPr>
        <w:pStyle w:val="AmdtsEntryHd"/>
        <w:rPr>
          <w:rStyle w:val="charItals"/>
        </w:rPr>
      </w:pPr>
      <w:r w:rsidRPr="00A35BB6">
        <w:t>Problem gambling incident register</w:t>
      </w:r>
    </w:p>
    <w:p w14:paraId="3FB3CF3A" w14:textId="428EEDDF" w:rsidR="00833373" w:rsidRDefault="00833373" w:rsidP="00833373">
      <w:pPr>
        <w:pStyle w:val="AmdtsEntries"/>
      </w:pPr>
      <w:r>
        <w:t>sch 1 s 1.6</w:t>
      </w:r>
      <w:r>
        <w:tab/>
        <w:t xml:space="preserve">sub </w:t>
      </w:r>
      <w:hyperlink r:id="rId142" w:tooltip="Gambling and Racing Control (Code of Practice) Amendment Regulation 2014 (No 1)" w:history="1">
        <w:r>
          <w:rPr>
            <w:rStyle w:val="charCitHyperlinkAbbrev"/>
          </w:rPr>
          <w:t>SL2014</w:t>
        </w:r>
        <w:r>
          <w:rPr>
            <w:rStyle w:val="charCitHyperlinkAbbrev"/>
          </w:rPr>
          <w:noBreakHyphen/>
          <w:t>17</w:t>
        </w:r>
      </w:hyperlink>
      <w:r>
        <w:t xml:space="preserve"> s 11</w:t>
      </w:r>
    </w:p>
    <w:p w14:paraId="7021C27A" w14:textId="77777777" w:rsidR="00833373" w:rsidRDefault="00833373" w:rsidP="00833373">
      <w:pPr>
        <w:pStyle w:val="AmdtsEntryHd"/>
        <w:rPr>
          <w:rStyle w:val="charItals"/>
        </w:rPr>
      </w:pPr>
      <w:r w:rsidRPr="00A35BB6">
        <w:t>Recording problem gambling incidents</w:t>
      </w:r>
    </w:p>
    <w:p w14:paraId="5A2EBD6D" w14:textId="00486AD1" w:rsidR="00833373" w:rsidRDefault="00833373" w:rsidP="00833373">
      <w:pPr>
        <w:pStyle w:val="AmdtsEntries"/>
      </w:pPr>
      <w:r>
        <w:t>sch 1 s 1.6A</w:t>
      </w:r>
      <w:r>
        <w:tab/>
        <w:t xml:space="preserve">ins </w:t>
      </w:r>
      <w:hyperlink r:id="rId143" w:tooltip="Gambling and Racing Control (Code of Practice) Amendment Regulation 2014 (No 1)" w:history="1">
        <w:r>
          <w:rPr>
            <w:rStyle w:val="charCitHyperlinkAbbrev"/>
          </w:rPr>
          <w:t>SL2014</w:t>
        </w:r>
        <w:r>
          <w:rPr>
            <w:rStyle w:val="charCitHyperlinkAbbrev"/>
          </w:rPr>
          <w:noBreakHyphen/>
          <w:t>17</w:t>
        </w:r>
      </w:hyperlink>
      <w:r>
        <w:t xml:space="preserve"> s 11</w:t>
      </w:r>
    </w:p>
    <w:p w14:paraId="4E25E938" w14:textId="77777777" w:rsidR="00D847F1" w:rsidRDefault="00D847F1">
      <w:pPr>
        <w:pStyle w:val="AmdtsEntryHd"/>
      </w:pPr>
      <w:r>
        <w:t>Gambling contact officers</w:t>
      </w:r>
    </w:p>
    <w:p w14:paraId="1F70F565" w14:textId="75368F7E" w:rsidR="00D847F1" w:rsidRDefault="00D847F1" w:rsidP="00BE6580">
      <w:pPr>
        <w:pStyle w:val="AmdtsEntries"/>
        <w:keepNext/>
      </w:pPr>
      <w:r>
        <w:t>sch 1 s 1.9</w:t>
      </w:r>
      <w:r>
        <w:tab/>
        <w:t xml:space="preserve">sub </w:t>
      </w:r>
      <w:hyperlink r:id="rId14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22</w:t>
      </w:r>
    </w:p>
    <w:p w14:paraId="4B82D452" w14:textId="492BBE20" w:rsidR="00BE6580" w:rsidRDefault="00BE6580">
      <w:pPr>
        <w:pStyle w:val="AmdtsEntries"/>
      </w:pPr>
      <w:r>
        <w:tab/>
        <w:t xml:space="preserve">am </w:t>
      </w:r>
      <w:hyperlink r:id="rId145" w:tooltip="Gambling and Racing Control (Code of Practice) Amendment Regulation 2014 (No 1)" w:history="1">
        <w:r>
          <w:rPr>
            <w:rStyle w:val="charCitHyperlinkAbbrev"/>
          </w:rPr>
          <w:t>SL2014</w:t>
        </w:r>
        <w:r>
          <w:rPr>
            <w:rStyle w:val="charCitHyperlinkAbbrev"/>
          </w:rPr>
          <w:noBreakHyphen/>
          <w:t>17</w:t>
        </w:r>
      </w:hyperlink>
      <w:r>
        <w:t xml:space="preserve"> s 12</w:t>
      </w:r>
    </w:p>
    <w:p w14:paraId="75182334" w14:textId="77777777" w:rsidR="00D20D3A" w:rsidRDefault="002647F9" w:rsidP="00D20D3A">
      <w:pPr>
        <w:pStyle w:val="AmdtsEntryHd"/>
        <w:rPr>
          <w:rStyle w:val="charItals"/>
        </w:rPr>
      </w:pPr>
      <w:r>
        <w:t>Gambling contact officers functions</w:t>
      </w:r>
    </w:p>
    <w:p w14:paraId="3A0B84CB" w14:textId="2E29A253" w:rsidR="00D20D3A" w:rsidRDefault="00D20D3A" w:rsidP="00D20D3A">
      <w:pPr>
        <w:pStyle w:val="AmdtsEntries"/>
      </w:pPr>
      <w:r>
        <w:t>sch 1 s 1.10</w:t>
      </w:r>
      <w:r>
        <w:tab/>
        <w:t xml:space="preserve">am </w:t>
      </w:r>
      <w:hyperlink r:id="rId146" w:tooltip="Gambling and Racing Control (Code of Practice) Amendment Regulation 2014 (No 1)" w:history="1">
        <w:r>
          <w:rPr>
            <w:rStyle w:val="charCitHyperlinkAbbrev"/>
          </w:rPr>
          <w:t>SL2014</w:t>
        </w:r>
        <w:r>
          <w:rPr>
            <w:rStyle w:val="charCitHyperlinkAbbrev"/>
          </w:rPr>
          <w:noBreakHyphen/>
          <w:t>17</w:t>
        </w:r>
      </w:hyperlink>
      <w:r w:rsidR="004413BC">
        <w:t xml:space="preserve"> s 13; pars renum R9</w:t>
      </w:r>
      <w:r>
        <w:t xml:space="preserve"> LA</w:t>
      </w:r>
    </w:p>
    <w:p w14:paraId="66F21FCF" w14:textId="77777777" w:rsidR="00D20D3A" w:rsidRDefault="002647F9" w:rsidP="00D20D3A">
      <w:pPr>
        <w:pStyle w:val="AmdtsEntryHd"/>
        <w:rPr>
          <w:rStyle w:val="charItals"/>
        </w:rPr>
      </w:pPr>
      <w:r>
        <w:t>Dealing with people with gambling problem</w:t>
      </w:r>
    </w:p>
    <w:p w14:paraId="71BB2DA6" w14:textId="0E4515AF" w:rsidR="00D20D3A" w:rsidRDefault="00D20D3A" w:rsidP="00D20D3A">
      <w:pPr>
        <w:pStyle w:val="AmdtsEntries"/>
      </w:pPr>
      <w:r>
        <w:t>sch 1 s 1.11</w:t>
      </w:r>
      <w:r>
        <w:tab/>
        <w:t xml:space="preserve">am </w:t>
      </w:r>
      <w:hyperlink r:id="rId147" w:tooltip="Gambling and Racing Control (Code of Practice) Amendment Regulation 2014 (No 1)" w:history="1">
        <w:r>
          <w:rPr>
            <w:rStyle w:val="charCitHyperlinkAbbrev"/>
          </w:rPr>
          <w:t>SL2014</w:t>
        </w:r>
        <w:r>
          <w:rPr>
            <w:rStyle w:val="charCitHyperlinkAbbrev"/>
          </w:rPr>
          <w:noBreakHyphen/>
          <w:t>17</w:t>
        </w:r>
      </w:hyperlink>
      <w:r w:rsidR="001434E3">
        <w:t xml:space="preserve"> s 14</w:t>
      </w:r>
    </w:p>
    <w:p w14:paraId="34D33743" w14:textId="77777777" w:rsidR="00D847F1" w:rsidRDefault="00D847F1">
      <w:pPr>
        <w:pStyle w:val="AmdtsEntryHd"/>
      </w:pPr>
      <w:r>
        <w:t>Application of div 1.2.3</w:t>
      </w:r>
    </w:p>
    <w:p w14:paraId="25FBC5DB" w14:textId="0B5D91A6" w:rsidR="00D847F1" w:rsidRDefault="00D847F1">
      <w:pPr>
        <w:pStyle w:val="AmdtsEntries"/>
      </w:pPr>
      <w:r>
        <w:t>sch 1 s 1.12</w:t>
      </w:r>
      <w:r>
        <w:tab/>
        <w:t xml:space="preserve">am </w:t>
      </w:r>
      <w:hyperlink r:id="rId148"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1.7</w:t>
      </w:r>
    </w:p>
    <w:p w14:paraId="46E22518" w14:textId="77777777" w:rsidR="00D847F1" w:rsidRDefault="00D847F1">
      <w:pPr>
        <w:pStyle w:val="AmdtsEntryHd"/>
      </w:pPr>
      <w:r>
        <w:t>Deeds of exclusion</w:t>
      </w:r>
    </w:p>
    <w:p w14:paraId="6CB5EEF2" w14:textId="3E0F88D5" w:rsidR="00D847F1" w:rsidRDefault="00D847F1">
      <w:pPr>
        <w:pStyle w:val="AmdtsEntries"/>
      </w:pPr>
      <w:r>
        <w:t>sch 1 s 1.13</w:t>
      </w:r>
      <w:r>
        <w:tab/>
        <w:t xml:space="preserve">sub </w:t>
      </w:r>
      <w:hyperlink r:id="rId14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23</w:t>
      </w:r>
      <w:r w:rsidR="001434E3">
        <w:t xml:space="preserve">; </w:t>
      </w:r>
      <w:hyperlink r:id="rId150" w:tooltip="Gambling and Racing Control (Code of Practice) Amendment Regulation 2014 (No 1)" w:history="1">
        <w:r w:rsidR="001434E3">
          <w:rPr>
            <w:rStyle w:val="charCitHyperlinkAbbrev"/>
          </w:rPr>
          <w:t>SL2014</w:t>
        </w:r>
        <w:r w:rsidR="001434E3">
          <w:rPr>
            <w:rStyle w:val="charCitHyperlinkAbbrev"/>
          </w:rPr>
          <w:noBreakHyphen/>
          <w:t>17</w:t>
        </w:r>
      </w:hyperlink>
      <w:r w:rsidR="001434E3">
        <w:t xml:space="preserve"> s 15</w:t>
      </w:r>
    </w:p>
    <w:p w14:paraId="1A9CA2F7" w14:textId="77777777" w:rsidR="001434E3" w:rsidRDefault="001434E3" w:rsidP="001434E3">
      <w:pPr>
        <w:pStyle w:val="AmdtsEntryHd"/>
        <w:rPr>
          <w:rStyle w:val="charItals"/>
        </w:rPr>
      </w:pPr>
      <w:r w:rsidRPr="00A35BB6">
        <w:t>Deeds of exclusion—revocation</w:t>
      </w:r>
    </w:p>
    <w:p w14:paraId="0624AAB0" w14:textId="75013395" w:rsidR="001434E3" w:rsidRDefault="001434E3" w:rsidP="001434E3">
      <w:pPr>
        <w:pStyle w:val="AmdtsEntries"/>
      </w:pPr>
      <w:r>
        <w:t>sch 1 s 1.13A</w:t>
      </w:r>
      <w:r>
        <w:tab/>
        <w:t xml:space="preserve">ins </w:t>
      </w:r>
      <w:hyperlink r:id="rId151" w:tooltip="Gambling and Racing Control (Code of Practice) Amendment Regulation 2014 (No 1)" w:history="1">
        <w:r>
          <w:rPr>
            <w:rStyle w:val="charCitHyperlinkAbbrev"/>
          </w:rPr>
          <w:t>SL2014</w:t>
        </w:r>
        <w:r>
          <w:rPr>
            <w:rStyle w:val="charCitHyperlinkAbbrev"/>
          </w:rPr>
          <w:noBreakHyphen/>
          <w:t>17</w:t>
        </w:r>
      </w:hyperlink>
      <w:r>
        <w:t xml:space="preserve"> s 15</w:t>
      </w:r>
    </w:p>
    <w:p w14:paraId="47B4C3F4" w14:textId="77777777" w:rsidR="00F0587B" w:rsidRDefault="00C96D70" w:rsidP="00F0587B">
      <w:pPr>
        <w:pStyle w:val="AmdtsEntryHd"/>
        <w:rPr>
          <w:rStyle w:val="charItals"/>
        </w:rPr>
      </w:pPr>
      <w:r>
        <w:lastRenderedPageBreak/>
        <w:t>Exclusion of people at risk or excluded under deed</w:t>
      </w:r>
    </w:p>
    <w:p w14:paraId="7CCE534F" w14:textId="4A24E406" w:rsidR="00F0587B" w:rsidRDefault="00F0587B" w:rsidP="00F0587B">
      <w:pPr>
        <w:pStyle w:val="AmdtsEntries"/>
      </w:pPr>
      <w:r>
        <w:t>sch 1 s 1.14</w:t>
      </w:r>
      <w:r>
        <w:tab/>
        <w:t xml:space="preserve">am </w:t>
      </w:r>
      <w:hyperlink r:id="rId152" w:tooltip="Gambling and Racing Control (Code of Practice) Amendment Regulation 2014 (No 1)" w:history="1">
        <w:r>
          <w:rPr>
            <w:rStyle w:val="charCitHyperlinkAbbrev"/>
          </w:rPr>
          <w:t>SL2014</w:t>
        </w:r>
        <w:r>
          <w:rPr>
            <w:rStyle w:val="charCitHyperlinkAbbrev"/>
          </w:rPr>
          <w:noBreakHyphen/>
          <w:t>17</w:t>
        </w:r>
      </w:hyperlink>
      <w:r>
        <w:t xml:space="preserve"> s 16, s 17</w:t>
      </w:r>
    </w:p>
    <w:p w14:paraId="125EFE94" w14:textId="77777777" w:rsidR="00D847F1" w:rsidRDefault="00D847F1">
      <w:pPr>
        <w:pStyle w:val="AmdtsEntryHd"/>
      </w:pPr>
      <w:r>
        <w:t>Matters to which licensee to have regard when deciding whether to exclude</w:t>
      </w:r>
    </w:p>
    <w:p w14:paraId="6159376D" w14:textId="044C8EA1" w:rsidR="00D847F1" w:rsidRDefault="00D847F1">
      <w:pPr>
        <w:pStyle w:val="AmdtsEntries"/>
      </w:pPr>
      <w:r>
        <w:t>sch 1 s 1.15</w:t>
      </w:r>
      <w:r>
        <w:tab/>
        <w:t xml:space="preserve">am </w:t>
      </w:r>
      <w:hyperlink r:id="rId153"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24</w:t>
      </w:r>
    </w:p>
    <w:p w14:paraId="36B02B43" w14:textId="77777777" w:rsidR="004031BA" w:rsidRDefault="004031BA">
      <w:pPr>
        <w:pStyle w:val="AmdtsEntryHd"/>
      </w:pPr>
      <w:r>
        <w:t>Commission’s review of exclusion decisions</w:t>
      </w:r>
    </w:p>
    <w:p w14:paraId="1F787AF0" w14:textId="08085ECE" w:rsidR="004031BA" w:rsidRPr="004031BA" w:rsidRDefault="004031BA" w:rsidP="004031BA">
      <w:pPr>
        <w:pStyle w:val="AmdtsEntries"/>
      </w:pPr>
      <w:r>
        <w:t>sch 1 s 1.16</w:t>
      </w:r>
      <w:r>
        <w:tab/>
        <w:t xml:space="preserve">am </w:t>
      </w:r>
      <w:hyperlink r:id="rId154"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amdt 1.209</w:t>
      </w:r>
    </w:p>
    <w:p w14:paraId="6C111B9B" w14:textId="77777777" w:rsidR="00DE09B2" w:rsidRDefault="00C96D70" w:rsidP="00DE09B2">
      <w:pPr>
        <w:pStyle w:val="AmdtsEntryHd"/>
        <w:rPr>
          <w:rStyle w:val="charItals"/>
        </w:rPr>
      </w:pPr>
      <w:r>
        <w:t>Exclusion procedures</w:t>
      </w:r>
    </w:p>
    <w:p w14:paraId="675D0204" w14:textId="4429ADAC" w:rsidR="00DE09B2" w:rsidRDefault="00DE09B2" w:rsidP="00DE09B2">
      <w:pPr>
        <w:pStyle w:val="AmdtsEntries"/>
      </w:pPr>
      <w:r>
        <w:t>sch 1 s 1.17</w:t>
      </w:r>
      <w:r>
        <w:tab/>
        <w:t xml:space="preserve">am </w:t>
      </w:r>
      <w:hyperlink r:id="rId155" w:tooltip="Gambling and Racing Control (Code of Practice) Amendment Regulation 2014 (No 1)" w:history="1">
        <w:r>
          <w:rPr>
            <w:rStyle w:val="charCitHyperlinkAbbrev"/>
          </w:rPr>
          <w:t>SL2014</w:t>
        </w:r>
        <w:r>
          <w:rPr>
            <w:rStyle w:val="charCitHyperlinkAbbrev"/>
          </w:rPr>
          <w:noBreakHyphen/>
          <w:t>17</w:t>
        </w:r>
      </w:hyperlink>
      <w:r>
        <w:t xml:space="preserve"> s 18; ss renum R9 LA</w:t>
      </w:r>
    </w:p>
    <w:p w14:paraId="76234544" w14:textId="77777777" w:rsidR="00B61E43" w:rsidRDefault="00B61E43" w:rsidP="00B61E43">
      <w:pPr>
        <w:pStyle w:val="AmdtsEntryHd"/>
        <w:rPr>
          <w:rStyle w:val="charItals"/>
        </w:rPr>
      </w:pPr>
      <w:r w:rsidRPr="00A35BB6">
        <w:t>Licensee must keep deeds and notices of exclusion</w:t>
      </w:r>
    </w:p>
    <w:p w14:paraId="42253E89" w14:textId="0DF8791A" w:rsidR="00B61E43" w:rsidRDefault="00B61E43" w:rsidP="00B61E43">
      <w:pPr>
        <w:pStyle w:val="AmdtsEntries"/>
      </w:pPr>
      <w:r>
        <w:t>sch 1 s 1.18</w:t>
      </w:r>
      <w:r>
        <w:tab/>
        <w:t xml:space="preserve">sub </w:t>
      </w:r>
      <w:hyperlink r:id="rId156" w:tooltip="Gambling and Racing Control (Code of Practice) Amendment Regulation 2014 (No 1)" w:history="1">
        <w:r>
          <w:rPr>
            <w:rStyle w:val="charCitHyperlinkAbbrev"/>
          </w:rPr>
          <w:t>SL2014</w:t>
        </w:r>
        <w:r>
          <w:rPr>
            <w:rStyle w:val="charCitHyperlinkAbbrev"/>
          </w:rPr>
          <w:noBreakHyphen/>
          <w:t>17</w:t>
        </w:r>
      </w:hyperlink>
      <w:r>
        <w:t xml:space="preserve"> s 19</w:t>
      </w:r>
    </w:p>
    <w:p w14:paraId="29DCD8ED" w14:textId="77777777" w:rsidR="00D847F1" w:rsidRDefault="00D847F1">
      <w:pPr>
        <w:pStyle w:val="AmdtsEntryHd"/>
      </w:pPr>
      <w:r>
        <w:t>Accounts of excluded people</w:t>
      </w:r>
    </w:p>
    <w:p w14:paraId="187AB6B2" w14:textId="104A9737" w:rsidR="00D847F1" w:rsidRDefault="00D847F1">
      <w:pPr>
        <w:pStyle w:val="AmdtsEntries"/>
      </w:pPr>
      <w:r>
        <w:t>sch 1 s 1.19</w:t>
      </w:r>
      <w:r>
        <w:tab/>
        <w:t xml:space="preserve">sub </w:t>
      </w:r>
      <w:hyperlink r:id="rId157"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1.8</w:t>
      </w:r>
    </w:p>
    <w:p w14:paraId="36BF7FCA" w14:textId="77777777" w:rsidR="00D847F1" w:rsidRDefault="00D847F1">
      <w:pPr>
        <w:pStyle w:val="AmdtsEntryHd"/>
      </w:pPr>
      <w:r>
        <w:t>Promotional material not to be given to certain excluded people</w:t>
      </w:r>
    </w:p>
    <w:p w14:paraId="6B9639E7" w14:textId="1897D85F" w:rsidR="00D847F1" w:rsidRDefault="00D847F1" w:rsidP="00B52C97">
      <w:pPr>
        <w:pStyle w:val="AmdtsEntries"/>
        <w:keepNext/>
      </w:pPr>
      <w:r>
        <w:t>sch 1 s 1.20</w:t>
      </w:r>
      <w:r>
        <w:tab/>
        <w:t xml:space="preserve">sub </w:t>
      </w:r>
      <w:hyperlink r:id="rId158"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25</w:t>
      </w:r>
    </w:p>
    <w:p w14:paraId="7D3844BB" w14:textId="1454819E" w:rsidR="00D847F1" w:rsidRDefault="00D847F1">
      <w:pPr>
        <w:pStyle w:val="AmdtsEntries"/>
      </w:pPr>
      <w:r>
        <w:tab/>
        <w:t xml:space="preserve">am </w:t>
      </w:r>
      <w:hyperlink r:id="rId159"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1.9</w:t>
      </w:r>
    </w:p>
    <w:p w14:paraId="72B1B6D6" w14:textId="77777777" w:rsidR="00515CD5" w:rsidRDefault="00515CD5" w:rsidP="00710A3B">
      <w:pPr>
        <w:pStyle w:val="AmdtsEntryHd"/>
        <w:keepLines/>
      </w:pPr>
      <w:r w:rsidRPr="001E4518">
        <w:t>Betting accounts</w:t>
      </w:r>
      <w:r w:rsidRPr="001E4518">
        <w:rPr>
          <w:color w:val="000000"/>
        </w:rPr>
        <w:t>—totalisator and sports bookmaking licensees</w:t>
      </w:r>
    </w:p>
    <w:p w14:paraId="26C02827" w14:textId="08FD3A5B" w:rsidR="00515CD5" w:rsidRDefault="00515CD5" w:rsidP="00710A3B">
      <w:pPr>
        <w:pStyle w:val="AmdtsEntries"/>
        <w:keepLines/>
      </w:pPr>
      <w:r>
        <w:t xml:space="preserve">sch 1 </w:t>
      </w:r>
      <w:r w:rsidR="00044C6D">
        <w:t>div 1.2.4</w:t>
      </w:r>
      <w:r w:rsidR="00D47918">
        <w:t xml:space="preserve"> hdg</w:t>
      </w:r>
      <w:r w:rsidR="00D47918">
        <w:tab/>
      </w:r>
      <w:r w:rsidR="00044C6D">
        <w:t>ins</w:t>
      </w:r>
      <w:r>
        <w:t xml:space="preserve"> </w:t>
      </w:r>
      <w:hyperlink r:id="rId160" w:tooltip="Gambling and Racing Control (Code of Practice) Amendment Regulation 2019 (No 1)" w:history="1">
        <w:r w:rsidR="00D47918">
          <w:rPr>
            <w:rStyle w:val="charCitHyperlinkAbbrev"/>
          </w:rPr>
          <w:t>SL2019</w:t>
        </w:r>
        <w:r w:rsidR="00D47918">
          <w:rPr>
            <w:rStyle w:val="charCitHyperlinkAbbrev"/>
          </w:rPr>
          <w:noBreakHyphen/>
          <w:t>10</w:t>
        </w:r>
      </w:hyperlink>
      <w:r>
        <w:t xml:space="preserve"> s </w:t>
      </w:r>
      <w:r w:rsidR="00044C6D">
        <w:t>4</w:t>
      </w:r>
    </w:p>
    <w:p w14:paraId="34D1361D" w14:textId="77777777" w:rsidR="00D47918" w:rsidRDefault="00D47918" w:rsidP="00710A3B">
      <w:pPr>
        <w:pStyle w:val="AmdtsEntryHd"/>
        <w:keepLines/>
      </w:pPr>
      <w:r w:rsidRPr="001E4518">
        <w:t>Application</w:t>
      </w:r>
      <w:r w:rsidRPr="001E4518">
        <w:rPr>
          <w:color w:val="000000"/>
        </w:rPr>
        <w:t>—div 1.2.4</w:t>
      </w:r>
    </w:p>
    <w:p w14:paraId="5915B71F" w14:textId="75B4721F" w:rsidR="00D47918" w:rsidRDefault="00D47918" w:rsidP="00710A3B">
      <w:pPr>
        <w:pStyle w:val="AmdtsEntries"/>
        <w:keepLines/>
      </w:pPr>
      <w:r>
        <w:t>sch 1 s 1.20A</w:t>
      </w:r>
      <w:r>
        <w:tab/>
        <w:t xml:space="preserve">ins </w:t>
      </w:r>
      <w:hyperlink r:id="rId161"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311F1022" w14:textId="77777777" w:rsidR="00D47918" w:rsidRDefault="00D47918" w:rsidP="00710A3B">
      <w:pPr>
        <w:pStyle w:val="AmdtsEntryHd"/>
        <w:keepLines/>
      </w:pPr>
      <w:r w:rsidRPr="001E4518">
        <w:t>Definitions</w:t>
      </w:r>
      <w:r w:rsidRPr="001E4518">
        <w:rPr>
          <w:color w:val="000000"/>
        </w:rPr>
        <w:t>—div 1.2.4</w:t>
      </w:r>
    </w:p>
    <w:p w14:paraId="0FBAA319" w14:textId="268B10E4" w:rsidR="00D47918" w:rsidRDefault="00D47918" w:rsidP="00710A3B">
      <w:pPr>
        <w:pStyle w:val="AmdtsEntries"/>
        <w:keepLines/>
      </w:pPr>
      <w:r>
        <w:t>sch 1 s 1.20B</w:t>
      </w:r>
      <w:r>
        <w:tab/>
        <w:t xml:space="preserve">ins </w:t>
      </w:r>
      <w:hyperlink r:id="rId162"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060FB926" w14:textId="4013B798" w:rsidR="008A104C" w:rsidRDefault="008A104C" w:rsidP="00710A3B">
      <w:pPr>
        <w:pStyle w:val="AmdtsEntries"/>
        <w:keepLines/>
      </w:pPr>
      <w:r>
        <w:tab/>
      </w:r>
      <w:r w:rsidR="00710A3B">
        <w:t xml:space="preserve">def </w:t>
      </w:r>
      <w:r w:rsidR="00710A3B" w:rsidRPr="00710A3B">
        <w:rPr>
          <w:b/>
          <w:i/>
        </w:rPr>
        <w:t>betting account</w:t>
      </w:r>
      <w:r w:rsidR="00710A3B">
        <w:t xml:space="preserve"> ins </w:t>
      </w:r>
      <w:hyperlink r:id="rId163" w:tooltip="Gambling and Racing Control (Code of Practice) Amendment Regulation 2019 (No 1)" w:history="1">
        <w:r w:rsidR="00710A3B">
          <w:rPr>
            <w:rStyle w:val="charCitHyperlinkAbbrev"/>
          </w:rPr>
          <w:t>SL2019</w:t>
        </w:r>
        <w:r w:rsidR="00710A3B">
          <w:rPr>
            <w:rStyle w:val="charCitHyperlinkAbbrev"/>
          </w:rPr>
          <w:noBreakHyphen/>
          <w:t>10</w:t>
        </w:r>
      </w:hyperlink>
      <w:r w:rsidR="00710A3B">
        <w:t xml:space="preserve"> s 4</w:t>
      </w:r>
    </w:p>
    <w:p w14:paraId="243E89B9" w14:textId="4F7727F9" w:rsidR="00710A3B" w:rsidRDefault="00710A3B" w:rsidP="00710A3B">
      <w:pPr>
        <w:pStyle w:val="AmdtsEntries"/>
        <w:keepLines/>
      </w:pPr>
      <w:r>
        <w:tab/>
        <w:t xml:space="preserve">def </w:t>
      </w:r>
      <w:r w:rsidRPr="00710A3B">
        <w:rPr>
          <w:b/>
          <w:i/>
        </w:rPr>
        <w:t>deposit limit</w:t>
      </w:r>
      <w:r>
        <w:t xml:space="preserve"> ins </w:t>
      </w:r>
      <w:hyperlink r:id="rId164"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0E364A6A" w14:textId="77777777" w:rsidR="00D47918" w:rsidRDefault="00D47918" w:rsidP="00710A3B">
      <w:pPr>
        <w:pStyle w:val="AmdtsEntryHd"/>
        <w:keepLines/>
      </w:pPr>
      <w:r w:rsidRPr="001E4518">
        <w:t>Information about deposit limits</w:t>
      </w:r>
    </w:p>
    <w:p w14:paraId="53D16D91" w14:textId="2945488F" w:rsidR="00D47918" w:rsidRDefault="00D47918" w:rsidP="00710A3B">
      <w:pPr>
        <w:pStyle w:val="AmdtsEntries"/>
        <w:keepLines/>
      </w:pPr>
      <w:r>
        <w:t>sch 1 s 1.20C</w:t>
      </w:r>
      <w:r>
        <w:tab/>
        <w:t xml:space="preserve">ins </w:t>
      </w:r>
      <w:hyperlink r:id="rId165"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24654232" w14:textId="77777777" w:rsidR="00D47918" w:rsidRDefault="00D47918" w:rsidP="00710A3B">
      <w:pPr>
        <w:pStyle w:val="AmdtsEntryHd"/>
        <w:keepLines/>
      </w:pPr>
      <w:r w:rsidRPr="001E4518">
        <w:t>No deposits over deposit limit</w:t>
      </w:r>
    </w:p>
    <w:p w14:paraId="5BA94EEE" w14:textId="61FD6C44" w:rsidR="00D47918" w:rsidRDefault="00D47918" w:rsidP="00710A3B">
      <w:pPr>
        <w:pStyle w:val="AmdtsEntries"/>
        <w:keepLines/>
      </w:pPr>
      <w:r>
        <w:t>sch 1 s 1.20D</w:t>
      </w:r>
      <w:r>
        <w:tab/>
        <w:t xml:space="preserve">ins </w:t>
      </w:r>
      <w:hyperlink r:id="rId166"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0945E757" w14:textId="77777777" w:rsidR="00D47918" w:rsidRDefault="00D47918" w:rsidP="00710A3B">
      <w:pPr>
        <w:pStyle w:val="AmdtsEntryHd"/>
        <w:keepLines/>
      </w:pPr>
      <w:r w:rsidRPr="001E4518">
        <w:t>Setting and changing deposit limits</w:t>
      </w:r>
    </w:p>
    <w:p w14:paraId="59C8B724" w14:textId="522F5022" w:rsidR="00D47918" w:rsidRDefault="00D47918" w:rsidP="00710A3B">
      <w:pPr>
        <w:pStyle w:val="AmdtsEntries"/>
        <w:keepLines/>
      </w:pPr>
      <w:r>
        <w:t>sch 1 s 1.20E</w:t>
      </w:r>
      <w:r>
        <w:tab/>
        <w:t xml:space="preserve">ins </w:t>
      </w:r>
      <w:hyperlink r:id="rId167"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0426C54F" w14:textId="77777777" w:rsidR="00D47918" w:rsidRDefault="00D47918" w:rsidP="00710A3B">
      <w:pPr>
        <w:pStyle w:val="AmdtsEntryHd"/>
        <w:keepLines/>
      </w:pPr>
      <w:r w:rsidRPr="001E4518">
        <w:t>Closing betting accounts</w:t>
      </w:r>
    </w:p>
    <w:p w14:paraId="5E6C2A62" w14:textId="7C22039C" w:rsidR="00D47918" w:rsidRDefault="00D47918" w:rsidP="00710A3B">
      <w:pPr>
        <w:pStyle w:val="AmdtsEntries"/>
        <w:keepLines/>
      </w:pPr>
      <w:r>
        <w:t>sch 1 s 1.20F</w:t>
      </w:r>
      <w:r>
        <w:tab/>
        <w:t xml:space="preserve">ins </w:t>
      </w:r>
      <w:hyperlink r:id="rId168"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76A2E4C3" w14:textId="77777777" w:rsidR="00D47918" w:rsidRDefault="00D47918" w:rsidP="00710A3B">
      <w:pPr>
        <w:pStyle w:val="AmdtsEntryHd"/>
        <w:keepLines/>
      </w:pPr>
      <w:r w:rsidRPr="001E4518">
        <w:t>Guidelines about betting accounts</w:t>
      </w:r>
    </w:p>
    <w:p w14:paraId="622F1402" w14:textId="3FF18104" w:rsidR="00D47918" w:rsidRDefault="00D47918" w:rsidP="00710A3B">
      <w:pPr>
        <w:pStyle w:val="AmdtsEntries"/>
        <w:keepLines/>
      </w:pPr>
      <w:r>
        <w:t>sch 1 s 1.20G</w:t>
      </w:r>
      <w:r>
        <w:tab/>
        <w:t xml:space="preserve">ins </w:t>
      </w:r>
      <w:hyperlink r:id="rId169"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431F84A4" w14:textId="77777777" w:rsidR="00D47918" w:rsidRDefault="00D47918" w:rsidP="00710A3B">
      <w:pPr>
        <w:pStyle w:val="AmdtsEntryHd"/>
        <w:keepLines/>
      </w:pPr>
      <w:r w:rsidRPr="001E4518">
        <w:t>Directions about betting accounts</w:t>
      </w:r>
    </w:p>
    <w:p w14:paraId="2B306158" w14:textId="2EEF4E58" w:rsidR="00D47918" w:rsidRDefault="00D47918" w:rsidP="00710A3B">
      <w:pPr>
        <w:pStyle w:val="AmdtsEntries"/>
        <w:keepLines/>
      </w:pPr>
      <w:r>
        <w:t>sch 1 s 1.20H</w:t>
      </w:r>
      <w:r>
        <w:tab/>
        <w:t xml:space="preserve">ins </w:t>
      </w:r>
      <w:hyperlink r:id="rId170"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7A1337AB" w14:textId="77777777" w:rsidR="00D847F1" w:rsidRDefault="00D847F1" w:rsidP="00710A3B">
      <w:pPr>
        <w:pStyle w:val="AmdtsEntryHd"/>
        <w:keepLines/>
      </w:pPr>
      <w:r>
        <w:lastRenderedPageBreak/>
        <w:t>Cash payment limits for casino licensees</w:t>
      </w:r>
    </w:p>
    <w:p w14:paraId="4E4B9EFF" w14:textId="2D9D6248" w:rsidR="00D847F1" w:rsidRDefault="00D847F1" w:rsidP="00710A3B">
      <w:pPr>
        <w:pStyle w:val="AmdtsEntries"/>
        <w:keepNext/>
        <w:keepLines/>
      </w:pPr>
      <w:r>
        <w:t>sch 1 s 1.22</w:t>
      </w:r>
      <w:r>
        <w:tab/>
        <w:t xml:space="preserve">sub </w:t>
      </w:r>
      <w:hyperlink r:id="rId171"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26</w:t>
      </w:r>
    </w:p>
    <w:p w14:paraId="461F6A7D" w14:textId="13A53FCC" w:rsidR="00D847F1" w:rsidRDefault="00D847F1" w:rsidP="00710A3B">
      <w:pPr>
        <w:pStyle w:val="AmdtsEntries"/>
        <w:keepLines/>
      </w:pPr>
      <w:r>
        <w:tab/>
        <w:t xml:space="preserve">am </w:t>
      </w:r>
      <w:hyperlink r:id="rId172"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1.10</w:t>
      </w:r>
      <w:r w:rsidR="00CC3469">
        <w:t xml:space="preserve">; </w:t>
      </w:r>
      <w:hyperlink r:id="rId173" w:tooltip="Gambling and Racing Control (Code of Practice) Amendment Regulation 2014 (No 1)" w:history="1">
        <w:r w:rsidR="00CC3469">
          <w:rPr>
            <w:rStyle w:val="charCitHyperlinkAbbrev"/>
          </w:rPr>
          <w:t>SL2014</w:t>
        </w:r>
        <w:r w:rsidR="00CC3469">
          <w:rPr>
            <w:rStyle w:val="charCitHyperlinkAbbrev"/>
          </w:rPr>
          <w:noBreakHyphen/>
          <w:t>17</w:t>
        </w:r>
      </w:hyperlink>
      <w:r w:rsidR="00CC3469">
        <w:t xml:space="preserve"> ss 20-22</w:t>
      </w:r>
    </w:p>
    <w:p w14:paraId="3E450CAF" w14:textId="77777777" w:rsidR="00D847F1" w:rsidRDefault="00D847F1" w:rsidP="00710A3B">
      <w:pPr>
        <w:pStyle w:val="AmdtsEntryHd"/>
        <w:keepLines/>
      </w:pPr>
      <w:r>
        <w:t>Other cash payment limits</w:t>
      </w:r>
    </w:p>
    <w:p w14:paraId="7A047627" w14:textId="458D2956" w:rsidR="00D847F1" w:rsidRDefault="00D847F1" w:rsidP="00710A3B">
      <w:pPr>
        <w:pStyle w:val="AmdtsEntries"/>
        <w:keepNext/>
        <w:keepLines/>
      </w:pPr>
      <w:r>
        <w:t>sch 1 s 1.23</w:t>
      </w:r>
      <w:r>
        <w:tab/>
        <w:t xml:space="preserve">sub </w:t>
      </w:r>
      <w:hyperlink r:id="rId17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27</w:t>
      </w:r>
    </w:p>
    <w:p w14:paraId="1835BB8B" w14:textId="2D4A4B8E" w:rsidR="00C349DC" w:rsidRDefault="00C349DC" w:rsidP="00710A3B">
      <w:pPr>
        <w:pStyle w:val="AmdtsEntries"/>
        <w:keepLines/>
      </w:pPr>
      <w:r>
        <w:tab/>
        <w:t xml:space="preserve">am </w:t>
      </w:r>
      <w:hyperlink r:id="rId175" w:tooltip="Totalisator Act 2014" w:history="1">
        <w:r>
          <w:rPr>
            <w:rStyle w:val="charCitHyperlinkAbbrev"/>
          </w:rPr>
          <w:t>A2014</w:t>
        </w:r>
        <w:r>
          <w:rPr>
            <w:rStyle w:val="charCitHyperlinkAbbrev"/>
          </w:rPr>
          <w:noBreakHyphen/>
          <w:t>4</w:t>
        </w:r>
      </w:hyperlink>
      <w:r>
        <w:t xml:space="preserve"> amdt 2.7</w:t>
      </w:r>
      <w:r w:rsidR="00C5748A">
        <w:t xml:space="preserve">; </w:t>
      </w:r>
      <w:hyperlink r:id="rId176" w:tooltip="Gambling and Racing Control (Code of Practice) Amendment Regulation 2014 (No 1)" w:history="1">
        <w:r w:rsidR="00C5748A">
          <w:rPr>
            <w:rStyle w:val="charCitHyperlinkAbbrev"/>
          </w:rPr>
          <w:t>SL2014</w:t>
        </w:r>
        <w:r w:rsidR="00C5748A">
          <w:rPr>
            <w:rStyle w:val="charCitHyperlinkAbbrev"/>
          </w:rPr>
          <w:noBreakHyphen/>
          <w:t>17</w:t>
        </w:r>
      </w:hyperlink>
      <w:r w:rsidR="00C5748A">
        <w:t xml:space="preserve"> s</w:t>
      </w:r>
      <w:r w:rsidR="0091063F">
        <w:t>s 23-2</w:t>
      </w:r>
      <w:r w:rsidR="00C5748A">
        <w:t>5</w:t>
      </w:r>
      <w:r w:rsidR="004413BC">
        <w:t>; ss renum R9 LA</w:t>
      </w:r>
    </w:p>
    <w:p w14:paraId="60688342" w14:textId="77777777" w:rsidR="005672FE" w:rsidRDefault="00E13019" w:rsidP="005672FE">
      <w:pPr>
        <w:pStyle w:val="AmdtsEntryHd"/>
        <w:rPr>
          <w:rStyle w:val="charItals"/>
        </w:rPr>
      </w:pPr>
      <w:r w:rsidRPr="00A35BB6">
        <w:t>No winnings for excluded or underage patrons</w:t>
      </w:r>
    </w:p>
    <w:p w14:paraId="24806AEC" w14:textId="1641588F" w:rsidR="005672FE" w:rsidRDefault="005672FE" w:rsidP="005672FE">
      <w:pPr>
        <w:pStyle w:val="AmdtsEntries"/>
      </w:pPr>
      <w:r>
        <w:t>sch 1 s 1.23AA</w:t>
      </w:r>
      <w:r>
        <w:tab/>
        <w:t xml:space="preserve">ins </w:t>
      </w:r>
      <w:hyperlink r:id="rId177" w:tooltip="Gambling and Racing Control (Code of Practice) Amendment Regulation 2014 (No 1)" w:history="1">
        <w:r>
          <w:rPr>
            <w:rStyle w:val="charCitHyperlinkAbbrev"/>
          </w:rPr>
          <w:t>SL2014</w:t>
        </w:r>
        <w:r>
          <w:rPr>
            <w:rStyle w:val="charCitHyperlinkAbbrev"/>
          </w:rPr>
          <w:noBreakHyphen/>
          <w:t>17</w:t>
        </w:r>
      </w:hyperlink>
      <w:r>
        <w:t xml:space="preserve"> s 26</w:t>
      </w:r>
    </w:p>
    <w:p w14:paraId="6D92A172" w14:textId="77777777" w:rsidR="00D847F1" w:rsidRDefault="00D847F1">
      <w:pPr>
        <w:pStyle w:val="AmdtsEntryHd"/>
      </w:pPr>
      <w:r>
        <w:t>Non-cash payment of winnings</w:t>
      </w:r>
    </w:p>
    <w:p w14:paraId="2D4877B8" w14:textId="63EF34D9" w:rsidR="00D847F1" w:rsidRDefault="00D847F1">
      <w:pPr>
        <w:pStyle w:val="AmdtsEntries"/>
      </w:pPr>
      <w:r>
        <w:t>sch 1 s 1.23A</w:t>
      </w:r>
      <w:r>
        <w:tab/>
        <w:t xml:space="preserve">ins </w:t>
      </w:r>
      <w:hyperlink r:id="rId178"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28</w:t>
      </w:r>
    </w:p>
    <w:p w14:paraId="5025977F" w14:textId="77777777" w:rsidR="00783A96" w:rsidRDefault="00C96D70" w:rsidP="00783A96">
      <w:pPr>
        <w:pStyle w:val="AmdtsEntryHd"/>
        <w:rPr>
          <w:rStyle w:val="charItals"/>
        </w:rPr>
      </w:pPr>
      <w:r>
        <w:t>Availability of information</w:t>
      </w:r>
    </w:p>
    <w:p w14:paraId="4D31D22E" w14:textId="6ACB4CEF" w:rsidR="00783A96" w:rsidRDefault="00783A96" w:rsidP="00783A96">
      <w:pPr>
        <w:pStyle w:val="AmdtsEntries"/>
      </w:pPr>
      <w:r>
        <w:t>sch 1 s 1.25</w:t>
      </w:r>
      <w:r>
        <w:tab/>
        <w:t xml:space="preserve">am </w:t>
      </w:r>
      <w:hyperlink r:id="rId179" w:tooltip="Gambling and Racing Control (Code of Practice) Amendment Regulation 2014 (No 1)" w:history="1">
        <w:r>
          <w:rPr>
            <w:rStyle w:val="charCitHyperlinkAbbrev"/>
          </w:rPr>
          <w:t>SL2014</w:t>
        </w:r>
        <w:r>
          <w:rPr>
            <w:rStyle w:val="charCitHyperlinkAbbrev"/>
          </w:rPr>
          <w:noBreakHyphen/>
          <w:t>17</w:t>
        </w:r>
      </w:hyperlink>
      <w:r>
        <w:t xml:space="preserve"> s </w:t>
      </w:r>
      <w:r w:rsidR="002527A3">
        <w:t>27, s 28</w:t>
      </w:r>
    </w:p>
    <w:p w14:paraId="0B590FE5" w14:textId="77777777" w:rsidR="003D00F3" w:rsidRDefault="003D00F3" w:rsidP="003D00F3">
      <w:pPr>
        <w:pStyle w:val="AmdtsEntryHd"/>
        <w:rPr>
          <w:rStyle w:val="charItals"/>
        </w:rPr>
      </w:pPr>
      <w:r w:rsidRPr="00A35BB6">
        <w:t>Alcohol service prohibited while gambling</w:t>
      </w:r>
    </w:p>
    <w:p w14:paraId="72C38E38" w14:textId="14536071" w:rsidR="003D00F3" w:rsidRDefault="003D00F3" w:rsidP="003D00F3">
      <w:pPr>
        <w:pStyle w:val="AmdtsEntries"/>
      </w:pPr>
      <w:r>
        <w:t>sch 1 s 1.27A</w:t>
      </w:r>
      <w:r>
        <w:tab/>
        <w:t xml:space="preserve">ins </w:t>
      </w:r>
      <w:hyperlink r:id="rId180" w:tooltip="Gambling and Racing Control (Code of Practice) Amendment Regulation 2014 (No 1)" w:history="1">
        <w:r>
          <w:rPr>
            <w:rStyle w:val="charCitHyperlinkAbbrev"/>
          </w:rPr>
          <w:t>SL2014</w:t>
        </w:r>
        <w:r>
          <w:rPr>
            <w:rStyle w:val="charCitHyperlinkAbbrev"/>
          </w:rPr>
          <w:noBreakHyphen/>
          <w:t>17</w:t>
        </w:r>
      </w:hyperlink>
      <w:r>
        <w:t xml:space="preserve"> s 29</w:t>
      </w:r>
    </w:p>
    <w:p w14:paraId="5333E5DD" w14:textId="77777777" w:rsidR="00C807F7" w:rsidRDefault="00C807F7">
      <w:pPr>
        <w:pStyle w:val="AmdtsEntryHd"/>
      </w:pPr>
      <w:r w:rsidRPr="00AE589E">
        <w:t>Operating times of gaming machines</w:t>
      </w:r>
    </w:p>
    <w:p w14:paraId="0906424E" w14:textId="5DA78D04" w:rsidR="00C807F7" w:rsidRPr="00C807F7" w:rsidRDefault="00C807F7" w:rsidP="00C807F7">
      <w:pPr>
        <w:pStyle w:val="AmdtsEntries"/>
      </w:pPr>
      <w:r>
        <w:t>sch 1 s 1.27B</w:t>
      </w:r>
      <w:r>
        <w:tab/>
        <w:t xml:space="preserve">ins </w:t>
      </w:r>
      <w:hyperlink r:id="rId181" w:tooltip="Gaming Legislation Amendment Regulation 2015 (No 1)" w:history="1">
        <w:r>
          <w:rPr>
            <w:rStyle w:val="charCitHyperlinkAbbrev"/>
          </w:rPr>
          <w:t>SL2015</w:t>
        </w:r>
        <w:r>
          <w:rPr>
            <w:rStyle w:val="charCitHyperlinkAbbrev"/>
          </w:rPr>
          <w:noBreakHyphen/>
          <w:t>27</w:t>
        </w:r>
      </w:hyperlink>
      <w:r>
        <w:rPr>
          <w:rStyle w:val="charCitHyperlinkAbbrev"/>
        </w:rPr>
        <w:t xml:space="preserve"> </w:t>
      </w:r>
      <w:r>
        <w:t>s 4</w:t>
      </w:r>
    </w:p>
    <w:p w14:paraId="502A56D8" w14:textId="77777777" w:rsidR="00D847F1" w:rsidRDefault="00D847F1">
      <w:pPr>
        <w:pStyle w:val="AmdtsEntryHd"/>
      </w:pPr>
      <w:r>
        <w:t>Advertising</w:t>
      </w:r>
    </w:p>
    <w:p w14:paraId="03527244" w14:textId="7FD9B49B" w:rsidR="00D847F1" w:rsidRDefault="00D847F1">
      <w:pPr>
        <w:pStyle w:val="AmdtsEntries"/>
      </w:pPr>
      <w:r>
        <w:t>sch 1 s 1.28</w:t>
      </w:r>
      <w:r>
        <w:tab/>
        <w:t xml:space="preserve">am </w:t>
      </w:r>
      <w:hyperlink r:id="rId182"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29, s 30</w:t>
      </w:r>
    </w:p>
    <w:p w14:paraId="0CF64D5C" w14:textId="77777777" w:rsidR="00D847F1" w:rsidRDefault="00D847F1">
      <w:pPr>
        <w:pStyle w:val="AmdtsEntryHd"/>
      </w:pPr>
      <w:r>
        <w:t>Promotions and inducements</w:t>
      </w:r>
    </w:p>
    <w:p w14:paraId="60026DCE" w14:textId="1A3FF0C8" w:rsidR="00D847F1" w:rsidRDefault="00D847F1">
      <w:pPr>
        <w:pStyle w:val="AmdtsEntries"/>
      </w:pPr>
      <w:r>
        <w:t>sch 1 s 1.30</w:t>
      </w:r>
      <w:r>
        <w:tab/>
        <w:t xml:space="preserve">am </w:t>
      </w:r>
      <w:hyperlink r:id="rId183"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31-34; </w:t>
      </w:r>
      <w:hyperlink r:id="rId184"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1.11</w:t>
      </w:r>
      <w:r w:rsidR="003D00F3">
        <w:t xml:space="preserve">; </w:t>
      </w:r>
      <w:hyperlink r:id="rId185" w:tooltip="Gambling and Racing Control (Code of Practice) Amendment Regulation 2014 (No 1)" w:history="1">
        <w:r w:rsidR="003D00F3">
          <w:rPr>
            <w:rStyle w:val="charCitHyperlinkAbbrev"/>
          </w:rPr>
          <w:t>SL2014</w:t>
        </w:r>
        <w:r w:rsidR="003D00F3">
          <w:rPr>
            <w:rStyle w:val="charCitHyperlinkAbbrev"/>
          </w:rPr>
          <w:noBreakHyphen/>
          <w:t>17</w:t>
        </w:r>
      </w:hyperlink>
      <w:r w:rsidR="003D00F3">
        <w:t xml:space="preserve"> ss</w:t>
      </w:r>
      <w:r w:rsidR="0003721E">
        <w:t> </w:t>
      </w:r>
      <w:r w:rsidR="003D00F3">
        <w:t>30</w:t>
      </w:r>
      <w:r w:rsidR="0003721E">
        <w:noBreakHyphen/>
      </w:r>
      <w:r w:rsidR="003D00F3">
        <w:t>33; pars and ss renum R9 LA</w:t>
      </w:r>
      <w:r w:rsidR="001A5D61">
        <w:t xml:space="preserve">, </w:t>
      </w:r>
      <w:hyperlink r:id="rId186" w:tooltip="Gambling and Racing Control (Code of Practice) Amendment Regulation 2019 (No 1)" w:history="1">
        <w:r w:rsidR="001A5D61">
          <w:rPr>
            <w:rStyle w:val="charCitHyperlinkAbbrev"/>
          </w:rPr>
          <w:t>SL2019</w:t>
        </w:r>
        <w:r w:rsidR="001A5D61">
          <w:rPr>
            <w:rStyle w:val="charCitHyperlinkAbbrev"/>
          </w:rPr>
          <w:noBreakHyphen/>
          <w:t>10</w:t>
        </w:r>
      </w:hyperlink>
      <w:r w:rsidR="001A5D61">
        <w:t xml:space="preserve"> s 5, s 6</w:t>
      </w:r>
      <w:r w:rsidR="005D126E">
        <w:t>; ss renum R12 LA</w:t>
      </w:r>
    </w:p>
    <w:p w14:paraId="583B6F30" w14:textId="77777777" w:rsidR="00043B54" w:rsidRDefault="00C83EA7" w:rsidP="00043B54">
      <w:pPr>
        <w:pStyle w:val="AmdtsEntryHd"/>
        <w:rPr>
          <w:rStyle w:val="charItals"/>
        </w:rPr>
      </w:pPr>
      <w:r w:rsidRPr="00A35BB6">
        <w:t>Gaming machine promotions—alternative ways to participate</w:t>
      </w:r>
    </w:p>
    <w:p w14:paraId="7B255C8D" w14:textId="2204DD42" w:rsidR="00043B54" w:rsidRDefault="00043B54" w:rsidP="00043B54">
      <w:pPr>
        <w:pStyle w:val="AmdtsEntries"/>
      </w:pPr>
      <w:r>
        <w:t>sch 1 s 1.30A</w:t>
      </w:r>
      <w:r>
        <w:tab/>
        <w:t xml:space="preserve">ins </w:t>
      </w:r>
      <w:hyperlink r:id="rId187" w:tooltip="Gambling and Racing Control (Code of Practice) Amendment Regulation 2014 (No 1)" w:history="1">
        <w:r>
          <w:rPr>
            <w:rStyle w:val="charCitHyperlinkAbbrev"/>
          </w:rPr>
          <w:t>SL2014</w:t>
        </w:r>
        <w:r>
          <w:rPr>
            <w:rStyle w:val="charCitHyperlinkAbbrev"/>
          </w:rPr>
          <w:noBreakHyphen/>
          <w:t>17</w:t>
        </w:r>
      </w:hyperlink>
      <w:r w:rsidR="00C83EA7">
        <w:t xml:space="preserve"> s 34</w:t>
      </w:r>
    </w:p>
    <w:p w14:paraId="635C7E70" w14:textId="77777777" w:rsidR="00043B54" w:rsidRDefault="00E00794" w:rsidP="00043B54">
      <w:pPr>
        <w:pStyle w:val="AmdtsEntryHd"/>
        <w:rPr>
          <w:rStyle w:val="charItals"/>
        </w:rPr>
      </w:pPr>
      <w:r w:rsidRPr="001E4518">
        <w:t>Personally addressed promotional material</w:t>
      </w:r>
      <w:r w:rsidRPr="001E4518">
        <w:rPr>
          <w:color w:val="000000"/>
        </w:rPr>
        <w:t>—gaming machine and casino licensees</w:t>
      </w:r>
    </w:p>
    <w:p w14:paraId="6E6B7A35" w14:textId="2FA8F416" w:rsidR="00955DBA" w:rsidRDefault="00955DBA" w:rsidP="00955DBA">
      <w:pPr>
        <w:pStyle w:val="AmdtsEntries"/>
      </w:pPr>
      <w:r>
        <w:t>sch 1 s 1.30B hdg</w:t>
      </w:r>
      <w:r>
        <w:tab/>
        <w:t xml:space="preserve">sub </w:t>
      </w:r>
      <w:hyperlink r:id="rId188" w:tooltip="Gambling and Racing Control (Code of Practice) Amendment Regulation 2019 (No 1)" w:history="1">
        <w:r>
          <w:rPr>
            <w:rStyle w:val="charCitHyperlinkAbbrev"/>
          </w:rPr>
          <w:t>SL2019</w:t>
        </w:r>
        <w:r>
          <w:rPr>
            <w:rStyle w:val="charCitHyperlinkAbbrev"/>
          </w:rPr>
          <w:noBreakHyphen/>
          <w:t>10</w:t>
        </w:r>
      </w:hyperlink>
      <w:r>
        <w:t xml:space="preserve"> s 7</w:t>
      </w:r>
    </w:p>
    <w:p w14:paraId="2C3C3632" w14:textId="7FA8B1ED" w:rsidR="00043B54" w:rsidRDefault="00043B54" w:rsidP="00955DBA">
      <w:pPr>
        <w:pStyle w:val="AmdtsEntries"/>
      </w:pPr>
      <w:r>
        <w:t>sch 1 s 1.30B</w:t>
      </w:r>
      <w:r>
        <w:tab/>
        <w:t xml:space="preserve">ins </w:t>
      </w:r>
      <w:hyperlink r:id="rId189" w:tooltip="Gambling and Racing Control (Code of Practice) Amendment Regulation 2014 (No 1)" w:history="1">
        <w:r>
          <w:rPr>
            <w:rStyle w:val="charCitHyperlinkAbbrev"/>
          </w:rPr>
          <w:t>SL2014</w:t>
        </w:r>
        <w:r>
          <w:rPr>
            <w:rStyle w:val="charCitHyperlinkAbbrev"/>
          </w:rPr>
          <w:noBreakHyphen/>
          <w:t>17</w:t>
        </w:r>
      </w:hyperlink>
      <w:r w:rsidR="00C83EA7">
        <w:t xml:space="preserve"> s 34</w:t>
      </w:r>
    </w:p>
    <w:p w14:paraId="1CF7E838" w14:textId="05BECB4F" w:rsidR="00955DBA" w:rsidRDefault="00955DBA" w:rsidP="00955DBA">
      <w:pPr>
        <w:pStyle w:val="AmdtsEntries"/>
      </w:pPr>
      <w:r>
        <w:tab/>
      </w:r>
      <w:r w:rsidR="005D126E">
        <w:t>am</w:t>
      </w:r>
      <w:r>
        <w:t xml:space="preserve"> </w:t>
      </w:r>
      <w:hyperlink r:id="rId190" w:tooltip="Gambling and Racing Control (Code of Practice) Amendment Regulation 2019 (No 1)" w:history="1">
        <w:r>
          <w:rPr>
            <w:rStyle w:val="charCitHyperlinkAbbrev"/>
          </w:rPr>
          <w:t>SL2019</w:t>
        </w:r>
        <w:r>
          <w:rPr>
            <w:rStyle w:val="charCitHyperlinkAbbrev"/>
          </w:rPr>
          <w:noBreakHyphen/>
          <w:t>10</w:t>
        </w:r>
      </w:hyperlink>
      <w:r>
        <w:t xml:space="preserve"> s 8</w:t>
      </w:r>
    </w:p>
    <w:p w14:paraId="6D946DD4" w14:textId="77777777" w:rsidR="00955DBA" w:rsidRDefault="004102FF" w:rsidP="00955DBA">
      <w:pPr>
        <w:pStyle w:val="AmdtsEntryHd"/>
        <w:rPr>
          <w:rStyle w:val="charItals"/>
        </w:rPr>
      </w:pPr>
      <w:r w:rsidRPr="001E4518">
        <w:t>Direct marketing</w:t>
      </w:r>
      <w:r w:rsidRPr="001E4518">
        <w:rPr>
          <w:color w:val="000000"/>
        </w:rPr>
        <w:t>—totalisator and sports bookmaking licensees</w:t>
      </w:r>
    </w:p>
    <w:p w14:paraId="724654C6" w14:textId="038A5312" w:rsidR="00955DBA" w:rsidRDefault="00955DBA" w:rsidP="00955DBA">
      <w:pPr>
        <w:pStyle w:val="AmdtsEntries"/>
      </w:pPr>
      <w:r>
        <w:t>sch 1 s 1.30C</w:t>
      </w:r>
      <w:r>
        <w:tab/>
        <w:t xml:space="preserve">ins </w:t>
      </w:r>
      <w:hyperlink r:id="rId191" w:tooltip="Gambling and Racing Control (Code of Practice) Amendment Regulation 2019 (No 1)" w:history="1">
        <w:r>
          <w:rPr>
            <w:rStyle w:val="charCitHyperlinkAbbrev"/>
          </w:rPr>
          <w:t>SL2019</w:t>
        </w:r>
        <w:r>
          <w:rPr>
            <w:rStyle w:val="charCitHyperlinkAbbrev"/>
          </w:rPr>
          <w:noBreakHyphen/>
          <w:t>10</w:t>
        </w:r>
      </w:hyperlink>
      <w:r>
        <w:t xml:space="preserve"> s 9</w:t>
      </w:r>
    </w:p>
    <w:p w14:paraId="0F2F2C64" w14:textId="77777777" w:rsidR="004102FF" w:rsidRDefault="004102FF" w:rsidP="004102FF">
      <w:pPr>
        <w:pStyle w:val="AmdtsEntryHd"/>
        <w:rPr>
          <w:rStyle w:val="charItals"/>
        </w:rPr>
      </w:pPr>
      <w:r w:rsidRPr="001E4518">
        <w:t xml:space="preserve">Guidelines for direct marketing by </w:t>
      </w:r>
      <w:r w:rsidRPr="001E4518">
        <w:rPr>
          <w:color w:val="000000"/>
        </w:rPr>
        <w:t>totalisator and sports bookmaking licensees</w:t>
      </w:r>
    </w:p>
    <w:p w14:paraId="1FC6A091" w14:textId="6CA183F2" w:rsidR="004102FF" w:rsidRDefault="004102FF" w:rsidP="004102FF">
      <w:pPr>
        <w:pStyle w:val="AmdtsEntries"/>
      </w:pPr>
      <w:r>
        <w:t>sch 1 s 1.30D</w:t>
      </w:r>
      <w:r>
        <w:tab/>
        <w:t xml:space="preserve">ins </w:t>
      </w:r>
      <w:hyperlink r:id="rId192" w:tooltip="Gambling and Racing Control (Code of Practice) Amendment Regulation 2019 (No 1)" w:history="1">
        <w:r>
          <w:rPr>
            <w:rStyle w:val="charCitHyperlinkAbbrev"/>
          </w:rPr>
          <w:t>SL2019</w:t>
        </w:r>
        <w:r>
          <w:rPr>
            <w:rStyle w:val="charCitHyperlinkAbbrev"/>
          </w:rPr>
          <w:noBreakHyphen/>
          <w:t>10</w:t>
        </w:r>
      </w:hyperlink>
      <w:r>
        <w:t xml:space="preserve"> s 9</w:t>
      </w:r>
    </w:p>
    <w:p w14:paraId="220AA2E9" w14:textId="77777777" w:rsidR="002647F9" w:rsidRDefault="00C96D70" w:rsidP="002647F9">
      <w:pPr>
        <w:pStyle w:val="AmdtsEntryHd"/>
        <w:rPr>
          <w:rStyle w:val="charItals"/>
        </w:rPr>
      </w:pPr>
      <w:r>
        <w:t>Directions about advertising, promotions and inducements</w:t>
      </w:r>
    </w:p>
    <w:p w14:paraId="0D187C05" w14:textId="107C2C53" w:rsidR="002647F9" w:rsidRDefault="002647F9" w:rsidP="002647F9">
      <w:pPr>
        <w:pStyle w:val="AmdtsEntries"/>
      </w:pPr>
      <w:r>
        <w:t>sch 1 s 1.31</w:t>
      </w:r>
      <w:r>
        <w:tab/>
        <w:t xml:space="preserve">am </w:t>
      </w:r>
      <w:hyperlink r:id="rId193" w:tooltip="Gambling and Racing Control (Code of Practice) Amendment Regulation 2014 (No 1)" w:history="1">
        <w:r>
          <w:rPr>
            <w:rStyle w:val="charCitHyperlinkAbbrev"/>
          </w:rPr>
          <w:t>SL2014</w:t>
        </w:r>
        <w:r>
          <w:rPr>
            <w:rStyle w:val="charCitHyperlinkAbbrev"/>
          </w:rPr>
          <w:noBreakHyphen/>
          <w:t>17</w:t>
        </w:r>
      </w:hyperlink>
      <w:r>
        <w:t xml:space="preserve"> s 35</w:t>
      </w:r>
      <w:r w:rsidR="004102FF">
        <w:t xml:space="preserve">, </w:t>
      </w:r>
      <w:hyperlink r:id="rId194" w:tooltip="Gambling and Racing Control (Code of Practice) Amendment Regulation 2019 (No 1)" w:history="1">
        <w:r w:rsidR="004102FF">
          <w:rPr>
            <w:rStyle w:val="charCitHyperlinkAbbrev"/>
          </w:rPr>
          <w:t>SL2019</w:t>
        </w:r>
        <w:r w:rsidR="004102FF">
          <w:rPr>
            <w:rStyle w:val="charCitHyperlinkAbbrev"/>
          </w:rPr>
          <w:noBreakHyphen/>
          <w:t>10</w:t>
        </w:r>
      </w:hyperlink>
      <w:r w:rsidR="004102FF">
        <w:t xml:space="preserve"> s 10</w:t>
      </w:r>
    </w:p>
    <w:p w14:paraId="7F5A8834" w14:textId="77777777" w:rsidR="004102FF" w:rsidRDefault="004102FF" w:rsidP="004102FF">
      <w:pPr>
        <w:pStyle w:val="AmdtsEntryHd"/>
        <w:rPr>
          <w:rStyle w:val="charItals"/>
        </w:rPr>
      </w:pPr>
      <w:r w:rsidRPr="001E4518">
        <w:lastRenderedPageBreak/>
        <w:t>Transitional</w:t>
      </w:r>
      <w:r w:rsidRPr="001E4518">
        <w:rPr>
          <w:color w:val="000000"/>
        </w:rPr>
        <w:t>—Gambling and Racing Control (Code of Practice) Amendment Regulation 2019 (No 1)</w:t>
      </w:r>
    </w:p>
    <w:p w14:paraId="4F284287" w14:textId="06BD1405" w:rsidR="004102FF" w:rsidRDefault="004102FF" w:rsidP="004102FF">
      <w:pPr>
        <w:pStyle w:val="AmdtsEntries"/>
      </w:pPr>
      <w:r>
        <w:t>sch 1 pt 1.10 hdg</w:t>
      </w:r>
      <w:r>
        <w:tab/>
        <w:t xml:space="preserve">ins </w:t>
      </w:r>
      <w:hyperlink r:id="rId195" w:tooltip="Gambling and Racing Control (Code of Practice) Amendment Regulation 2019 (No 1)" w:history="1">
        <w:r>
          <w:rPr>
            <w:rStyle w:val="charCitHyperlinkAbbrev"/>
          </w:rPr>
          <w:t>SL2019</w:t>
        </w:r>
        <w:r>
          <w:rPr>
            <w:rStyle w:val="charCitHyperlinkAbbrev"/>
          </w:rPr>
          <w:noBreakHyphen/>
          <w:t>10</w:t>
        </w:r>
      </w:hyperlink>
      <w:r>
        <w:t xml:space="preserve"> s 11</w:t>
      </w:r>
    </w:p>
    <w:p w14:paraId="568D16D3" w14:textId="77777777" w:rsidR="007F46CD" w:rsidRPr="007F46CD" w:rsidRDefault="007F46CD" w:rsidP="004102FF">
      <w:pPr>
        <w:pStyle w:val="AmdtsEntries"/>
        <w:rPr>
          <w:u w:val="single"/>
        </w:rPr>
      </w:pPr>
      <w:r>
        <w:tab/>
      </w:r>
      <w:r w:rsidRPr="007105C9">
        <w:t>exp 26 May 20</w:t>
      </w:r>
      <w:r w:rsidR="006E2107" w:rsidRPr="007105C9">
        <w:t>21</w:t>
      </w:r>
      <w:r w:rsidRPr="007105C9">
        <w:t xml:space="preserve"> (s 1.101</w:t>
      </w:r>
      <w:r w:rsidRPr="007F46CD">
        <w:rPr>
          <w:u w:val="single"/>
        </w:rPr>
        <w:t>)</w:t>
      </w:r>
    </w:p>
    <w:p w14:paraId="7DB17810" w14:textId="77777777" w:rsidR="004102FF" w:rsidRDefault="004102FF" w:rsidP="00CE2FCA">
      <w:pPr>
        <w:pStyle w:val="AmdtsEntryHd"/>
        <w:rPr>
          <w:rStyle w:val="charItals"/>
        </w:rPr>
      </w:pPr>
      <w:r w:rsidRPr="001E4518">
        <w:t>Existing account holders</w:t>
      </w:r>
      <w:r w:rsidRPr="001E4518">
        <w:rPr>
          <w:color w:val="000000"/>
        </w:rPr>
        <w:t>—</w:t>
      </w:r>
      <w:r w:rsidRPr="001E4518">
        <w:t>deposit limits</w:t>
      </w:r>
    </w:p>
    <w:p w14:paraId="1C57EEBB" w14:textId="1EB5A935" w:rsidR="004102FF" w:rsidRDefault="004102FF" w:rsidP="00CE2FCA">
      <w:pPr>
        <w:pStyle w:val="AmdtsEntries"/>
        <w:keepNext/>
      </w:pPr>
      <w:r>
        <w:t>sch 1 s 1.100</w:t>
      </w:r>
      <w:r>
        <w:tab/>
        <w:t xml:space="preserve">ins </w:t>
      </w:r>
      <w:hyperlink r:id="rId196" w:tooltip="Gambling and Racing Control (Code of Practice) Amendment Regulation 2019 (No 1)" w:history="1">
        <w:r>
          <w:rPr>
            <w:rStyle w:val="charCitHyperlinkAbbrev"/>
          </w:rPr>
          <w:t>SL2019</w:t>
        </w:r>
        <w:r>
          <w:rPr>
            <w:rStyle w:val="charCitHyperlinkAbbrev"/>
          </w:rPr>
          <w:noBreakHyphen/>
          <w:t>10</w:t>
        </w:r>
      </w:hyperlink>
      <w:r>
        <w:t xml:space="preserve"> s 11</w:t>
      </w:r>
    </w:p>
    <w:p w14:paraId="746E4B94" w14:textId="77777777" w:rsidR="007F46CD" w:rsidRPr="007105C9" w:rsidRDefault="007F46CD" w:rsidP="004102FF">
      <w:pPr>
        <w:pStyle w:val="AmdtsEntries"/>
      </w:pPr>
      <w:r>
        <w:tab/>
      </w:r>
      <w:r w:rsidRPr="007105C9">
        <w:t>exp 26 May 20</w:t>
      </w:r>
      <w:r w:rsidR="006E2107" w:rsidRPr="007105C9">
        <w:t>21</w:t>
      </w:r>
      <w:r w:rsidRPr="007105C9">
        <w:t xml:space="preserve"> (s 1.101)</w:t>
      </w:r>
    </w:p>
    <w:p w14:paraId="46567031" w14:textId="77777777" w:rsidR="004102FF" w:rsidRDefault="004102FF" w:rsidP="004102FF">
      <w:pPr>
        <w:pStyle w:val="AmdtsEntryHd"/>
        <w:rPr>
          <w:rStyle w:val="charItals"/>
        </w:rPr>
      </w:pPr>
      <w:r w:rsidRPr="001E4518">
        <w:t>Expiry</w:t>
      </w:r>
      <w:r w:rsidRPr="001E4518">
        <w:rPr>
          <w:color w:val="000000"/>
        </w:rPr>
        <w:t>—</w:t>
      </w:r>
      <w:r w:rsidRPr="001E4518">
        <w:t>pt 1.10</w:t>
      </w:r>
    </w:p>
    <w:p w14:paraId="7D1AD25A" w14:textId="3A29223B" w:rsidR="004102FF" w:rsidRDefault="004102FF" w:rsidP="004102FF">
      <w:pPr>
        <w:pStyle w:val="AmdtsEntries"/>
      </w:pPr>
      <w:r>
        <w:t>sch 1 s 1.101</w:t>
      </w:r>
      <w:r>
        <w:tab/>
        <w:t xml:space="preserve">ins </w:t>
      </w:r>
      <w:hyperlink r:id="rId197" w:tooltip="Gambling and Racing Control (Code of Practice) Amendment Regulation 2019 (No 1)" w:history="1">
        <w:r>
          <w:rPr>
            <w:rStyle w:val="charCitHyperlinkAbbrev"/>
          </w:rPr>
          <w:t>SL2019</w:t>
        </w:r>
        <w:r>
          <w:rPr>
            <w:rStyle w:val="charCitHyperlinkAbbrev"/>
          </w:rPr>
          <w:noBreakHyphen/>
          <w:t>10</w:t>
        </w:r>
      </w:hyperlink>
      <w:r>
        <w:t xml:space="preserve"> s 11</w:t>
      </w:r>
    </w:p>
    <w:p w14:paraId="0904BCA3" w14:textId="77777777" w:rsidR="007F46CD" w:rsidRPr="007105C9" w:rsidRDefault="007F46CD" w:rsidP="004102FF">
      <w:pPr>
        <w:pStyle w:val="AmdtsEntries"/>
      </w:pPr>
      <w:r>
        <w:tab/>
      </w:r>
      <w:r w:rsidRPr="007105C9">
        <w:t>exp 26 May 20</w:t>
      </w:r>
      <w:r w:rsidR="006E2107" w:rsidRPr="007105C9">
        <w:t>21</w:t>
      </w:r>
      <w:r w:rsidRPr="007105C9">
        <w:t xml:space="preserve"> (s 1.101)</w:t>
      </w:r>
    </w:p>
    <w:p w14:paraId="15C56919" w14:textId="77777777" w:rsidR="00D847F1" w:rsidRDefault="00D847F1">
      <w:pPr>
        <w:pStyle w:val="AmdtsEntryHd"/>
      </w:pPr>
      <w:r>
        <w:t>Dictionary</w:t>
      </w:r>
    </w:p>
    <w:p w14:paraId="515D9A2E" w14:textId="11B281F3" w:rsidR="00D847F1" w:rsidRDefault="00D847F1">
      <w:pPr>
        <w:pStyle w:val="AmdtsEntries"/>
      </w:pPr>
      <w:r>
        <w:t>dict</w:t>
      </w:r>
      <w:r>
        <w:tab/>
        <w:t xml:space="preserve">am </w:t>
      </w:r>
      <w:hyperlink r:id="rId198"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35</w:t>
      </w:r>
      <w:r w:rsidR="004031BA">
        <w:t xml:space="preserve">; </w:t>
      </w:r>
      <w:hyperlink r:id="rId199"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rsidR="004031BA">
        <w:t xml:space="preserve"> amdt 1.210; amdt 1.211</w:t>
      </w:r>
    </w:p>
    <w:p w14:paraId="0EF0B619" w14:textId="082FF690" w:rsidR="00C96D70" w:rsidRPr="00C96D70" w:rsidRDefault="00C96D70">
      <w:pPr>
        <w:pStyle w:val="AmdtsEntries"/>
      </w:pPr>
      <w:r>
        <w:tab/>
        <w:t xml:space="preserve">def </w:t>
      </w:r>
      <w:r>
        <w:rPr>
          <w:b/>
          <w:i/>
        </w:rPr>
        <w:t>approved training program</w:t>
      </w:r>
      <w:r>
        <w:t xml:space="preserve"> am </w:t>
      </w:r>
      <w:hyperlink r:id="rId200" w:tooltip="Gambling and Racing Control (Code of Practice) Amendment Regulation 2014 (No 1)" w:history="1">
        <w:r>
          <w:rPr>
            <w:rStyle w:val="charCitHyperlinkAbbrev"/>
          </w:rPr>
          <w:t>SL2014</w:t>
        </w:r>
        <w:r>
          <w:rPr>
            <w:rStyle w:val="charCitHyperlinkAbbrev"/>
          </w:rPr>
          <w:noBreakHyphen/>
          <w:t>17</w:t>
        </w:r>
      </w:hyperlink>
      <w:r>
        <w:t xml:space="preserve"> s 36</w:t>
      </w:r>
    </w:p>
    <w:p w14:paraId="43869953" w14:textId="33129707" w:rsidR="00D847F1" w:rsidRPr="00F1531F" w:rsidRDefault="00D847F1">
      <w:pPr>
        <w:pStyle w:val="AmdtsEntries"/>
      </w:pPr>
      <w:r>
        <w:tab/>
        <w:t xml:space="preserve">def </w:t>
      </w:r>
      <w:r w:rsidRPr="00F1531F">
        <w:rPr>
          <w:rStyle w:val="charBoldItals"/>
        </w:rPr>
        <w:t>casino licensee</w:t>
      </w:r>
      <w:r>
        <w:t xml:space="preserve"> sub </w:t>
      </w:r>
      <w:hyperlink r:id="rId201"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1.12</w:t>
      </w:r>
    </w:p>
    <w:p w14:paraId="1DB4E07E" w14:textId="6B38C188" w:rsidR="00C96D70" w:rsidRPr="00C96D70" w:rsidRDefault="00C96D70" w:rsidP="00C96D70">
      <w:pPr>
        <w:pStyle w:val="AmdtsEntries"/>
      </w:pPr>
      <w:r>
        <w:tab/>
        <w:t xml:space="preserve">def </w:t>
      </w:r>
      <w:r>
        <w:rPr>
          <w:b/>
          <w:i/>
        </w:rPr>
        <w:t>deed</w:t>
      </w:r>
      <w:r w:rsidR="00F74C1D">
        <w:t xml:space="preserve"> o</w:t>
      </w:r>
      <w:r>
        <w:t xml:space="preserve">m </w:t>
      </w:r>
      <w:hyperlink r:id="rId202" w:tooltip="Gambling and Racing Control (Code of Practice) Amendment Regulation 2014 (No 1)" w:history="1">
        <w:r>
          <w:rPr>
            <w:rStyle w:val="charCitHyperlinkAbbrev"/>
          </w:rPr>
          <w:t>SL2014</w:t>
        </w:r>
        <w:r>
          <w:rPr>
            <w:rStyle w:val="charCitHyperlinkAbbrev"/>
          </w:rPr>
          <w:noBreakHyphen/>
          <w:t>17</w:t>
        </w:r>
      </w:hyperlink>
      <w:r>
        <w:t xml:space="preserve"> s 37</w:t>
      </w:r>
    </w:p>
    <w:p w14:paraId="3F15055C" w14:textId="7B655E03" w:rsidR="00F74C1D" w:rsidRPr="00C96D70" w:rsidRDefault="00F74C1D" w:rsidP="00F74C1D">
      <w:pPr>
        <w:pStyle w:val="AmdtsEntries"/>
      </w:pPr>
      <w:r>
        <w:tab/>
        <w:t xml:space="preserve">def </w:t>
      </w:r>
      <w:r>
        <w:rPr>
          <w:b/>
          <w:i/>
        </w:rPr>
        <w:t>deed of exclusion</w:t>
      </w:r>
      <w:r>
        <w:t xml:space="preserve"> ins </w:t>
      </w:r>
      <w:hyperlink r:id="rId203"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247B6E1E" w14:textId="7AD49099" w:rsidR="00F74C1D" w:rsidRPr="00C96D70" w:rsidRDefault="00F74C1D" w:rsidP="00F74C1D">
      <w:pPr>
        <w:pStyle w:val="AmdtsEntries"/>
      </w:pPr>
      <w:r>
        <w:tab/>
        <w:t xml:space="preserve">def </w:t>
      </w:r>
      <w:r w:rsidR="006D63DD" w:rsidRPr="00A35BB6">
        <w:rPr>
          <w:rStyle w:val="charBoldItals"/>
        </w:rPr>
        <w:t>exclusion register</w:t>
      </w:r>
      <w:r>
        <w:t xml:space="preserve"> ins </w:t>
      </w:r>
      <w:hyperlink r:id="rId204"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2E3C4A9E" w14:textId="47BC32FF" w:rsidR="00D847F1" w:rsidRDefault="00D847F1" w:rsidP="00F74C1D">
      <w:pPr>
        <w:pStyle w:val="AmdtsEntries"/>
        <w:keepNext/>
      </w:pPr>
      <w:r>
        <w:tab/>
        <w:t xml:space="preserve">def </w:t>
      </w:r>
      <w:r w:rsidRPr="00F1531F">
        <w:rPr>
          <w:rStyle w:val="charBoldItals"/>
        </w:rPr>
        <w:t xml:space="preserve">exempt lottery </w:t>
      </w:r>
      <w:r>
        <w:t xml:space="preserve">ins </w:t>
      </w:r>
      <w:hyperlink r:id="rId205"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36</w:t>
      </w:r>
    </w:p>
    <w:p w14:paraId="5A076172" w14:textId="19FD2C64" w:rsidR="00D847F1" w:rsidRDefault="00D847F1">
      <w:pPr>
        <w:pStyle w:val="AmdtsEntriesDefL2"/>
      </w:pPr>
      <w:r>
        <w:tab/>
        <w:t xml:space="preserve">sub </w:t>
      </w:r>
      <w:hyperlink r:id="rId206" w:tooltip="Statute Law Amendment Act 2007 (No 2)" w:history="1">
        <w:r w:rsidR="00DF21AF" w:rsidRPr="00DF21AF">
          <w:rPr>
            <w:rStyle w:val="charCitHyperlinkAbbrev"/>
          </w:rPr>
          <w:t>A2007</w:t>
        </w:r>
        <w:r w:rsidR="00DF21AF" w:rsidRPr="00DF21AF">
          <w:rPr>
            <w:rStyle w:val="charCitHyperlinkAbbrev"/>
          </w:rPr>
          <w:noBreakHyphen/>
          <w:t>16</w:t>
        </w:r>
      </w:hyperlink>
      <w:r>
        <w:t xml:space="preserve"> amdt 3.67</w:t>
      </w:r>
    </w:p>
    <w:p w14:paraId="68322848" w14:textId="209CC44F" w:rsidR="00F74C1D" w:rsidRPr="00C96D70" w:rsidRDefault="00F74C1D" w:rsidP="00F74C1D">
      <w:pPr>
        <w:pStyle w:val="AmdtsEntries"/>
      </w:pPr>
      <w:r>
        <w:tab/>
        <w:t xml:space="preserve">def </w:t>
      </w:r>
      <w:r w:rsidR="006D63DD" w:rsidRPr="00A35BB6">
        <w:rPr>
          <w:rStyle w:val="charBoldItals"/>
        </w:rPr>
        <w:t>notice of exclusion</w:t>
      </w:r>
      <w:r>
        <w:t xml:space="preserve"> ins </w:t>
      </w:r>
      <w:hyperlink r:id="rId207"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67403223" w14:textId="3923C538" w:rsidR="00D847F1" w:rsidRDefault="00D847F1">
      <w:pPr>
        <w:pStyle w:val="AmdtsEntries"/>
      </w:pPr>
      <w:r>
        <w:tab/>
        <w:t xml:space="preserve">def </w:t>
      </w:r>
      <w:r w:rsidRPr="00F1531F">
        <w:rPr>
          <w:rStyle w:val="charBoldItals"/>
        </w:rPr>
        <w:t xml:space="preserve">private lottery </w:t>
      </w:r>
      <w:r>
        <w:t xml:space="preserve">om </w:t>
      </w:r>
      <w:hyperlink r:id="rId208"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37</w:t>
      </w:r>
    </w:p>
    <w:p w14:paraId="24D05CB5" w14:textId="2C51C9DD" w:rsidR="00F74C1D" w:rsidRPr="00C96D70" w:rsidRDefault="00F74C1D" w:rsidP="00F74C1D">
      <w:pPr>
        <w:pStyle w:val="AmdtsEntries"/>
      </w:pPr>
      <w:r>
        <w:tab/>
        <w:t xml:space="preserve">def </w:t>
      </w:r>
      <w:r w:rsidR="006D63DD" w:rsidRPr="00A35BB6">
        <w:rPr>
          <w:rStyle w:val="charBoldItals"/>
        </w:rPr>
        <w:t>sports bookmaking licensee</w:t>
      </w:r>
      <w:r>
        <w:t xml:space="preserve"> ins </w:t>
      </w:r>
      <w:hyperlink r:id="rId209"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6881461F" w14:textId="58B9F8ED" w:rsidR="00F74C1D" w:rsidRPr="00C96D70" w:rsidRDefault="00F74C1D" w:rsidP="00F74C1D">
      <w:pPr>
        <w:pStyle w:val="AmdtsEntries"/>
      </w:pPr>
      <w:r>
        <w:tab/>
        <w:t xml:space="preserve">def </w:t>
      </w:r>
      <w:r w:rsidR="006D63DD" w:rsidRPr="00A35BB6">
        <w:rPr>
          <w:rStyle w:val="charBoldItals"/>
        </w:rPr>
        <w:t>totalisator licensee</w:t>
      </w:r>
      <w:r>
        <w:t xml:space="preserve"> ins </w:t>
      </w:r>
      <w:hyperlink r:id="rId210"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426C0035" w14:textId="718F8D89" w:rsidR="00F74C1D" w:rsidRDefault="00F74C1D" w:rsidP="00F74C1D">
      <w:pPr>
        <w:pStyle w:val="AmdtsEntries"/>
      </w:pPr>
      <w:r>
        <w:tab/>
        <w:t xml:space="preserve">def </w:t>
      </w:r>
      <w:r w:rsidR="006D63DD" w:rsidRPr="00A35BB6">
        <w:rPr>
          <w:rStyle w:val="charBoldItals"/>
        </w:rPr>
        <w:t>trading day</w:t>
      </w:r>
      <w:r>
        <w:t xml:space="preserve"> ins </w:t>
      </w:r>
      <w:hyperlink r:id="rId211"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4450CF24" w14:textId="2B35C120" w:rsidR="006D63DD" w:rsidRPr="00C96D70" w:rsidRDefault="006D63DD" w:rsidP="006D63DD">
      <w:pPr>
        <w:pStyle w:val="AmdtsEntries"/>
      </w:pPr>
      <w:r>
        <w:tab/>
        <w:t xml:space="preserve">def </w:t>
      </w:r>
      <w:r w:rsidRPr="00A35BB6">
        <w:rPr>
          <w:rStyle w:val="charBoldItals"/>
        </w:rPr>
        <w:t>winnings</w:t>
      </w:r>
      <w:r>
        <w:rPr>
          <w:rStyle w:val="charBoldItals"/>
        </w:rPr>
        <w:t xml:space="preserve"> </w:t>
      </w:r>
      <w:r>
        <w:t xml:space="preserve">ins </w:t>
      </w:r>
      <w:hyperlink r:id="rId212"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6B276268" w14:textId="77777777" w:rsidR="0053766D" w:rsidRPr="0053766D" w:rsidRDefault="0053766D" w:rsidP="0053766D">
      <w:pPr>
        <w:pStyle w:val="PageBreak"/>
      </w:pPr>
      <w:r w:rsidRPr="0053766D">
        <w:br w:type="page"/>
      </w:r>
    </w:p>
    <w:p w14:paraId="60F710D0" w14:textId="77777777" w:rsidR="00D847F1" w:rsidRPr="00224E14" w:rsidRDefault="00D847F1">
      <w:pPr>
        <w:pStyle w:val="Endnote20"/>
      </w:pPr>
      <w:bookmarkStart w:id="108" w:name="_Toc72506020"/>
      <w:r w:rsidRPr="00224E14">
        <w:rPr>
          <w:rStyle w:val="charTableNo"/>
        </w:rPr>
        <w:lastRenderedPageBreak/>
        <w:t>5</w:t>
      </w:r>
      <w:r>
        <w:tab/>
      </w:r>
      <w:r w:rsidRPr="00224E14">
        <w:rPr>
          <w:rStyle w:val="charTableText"/>
        </w:rPr>
        <w:t>Earlier republications</w:t>
      </w:r>
      <w:bookmarkEnd w:id="108"/>
    </w:p>
    <w:p w14:paraId="014CDE19" w14:textId="77777777" w:rsidR="00D847F1" w:rsidRDefault="00D847F1">
      <w:pPr>
        <w:pStyle w:val="EndNoteTextEPS"/>
        <w:keepNext/>
      </w:pPr>
      <w:r>
        <w:t xml:space="preserve">Some earlier republications were not numbered. The number in column 1 refers to the publication order.  </w:t>
      </w:r>
    </w:p>
    <w:p w14:paraId="7CF11316" w14:textId="77777777" w:rsidR="00D847F1" w:rsidRDefault="00D847F1">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7762110" w14:textId="77777777" w:rsidR="00D847F1" w:rsidRDefault="00D847F1">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D847F1" w14:paraId="70D630A6" w14:textId="77777777">
        <w:trPr>
          <w:tblHeader/>
        </w:trPr>
        <w:tc>
          <w:tcPr>
            <w:tcW w:w="1930" w:type="dxa"/>
          </w:tcPr>
          <w:p w14:paraId="19DF41C0" w14:textId="77777777" w:rsidR="00D847F1" w:rsidRDefault="00D847F1">
            <w:pPr>
              <w:pStyle w:val="EarlierRepubHdg"/>
            </w:pPr>
            <w:r>
              <w:t>Republication No</w:t>
            </w:r>
          </w:p>
        </w:tc>
        <w:tc>
          <w:tcPr>
            <w:tcW w:w="2350" w:type="dxa"/>
          </w:tcPr>
          <w:p w14:paraId="24EA1B8C" w14:textId="77777777" w:rsidR="00D847F1" w:rsidRDefault="00D847F1">
            <w:pPr>
              <w:pStyle w:val="EarlierRepubHdg"/>
            </w:pPr>
            <w:r>
              <w:t>Amendments to</w:t>
            </w:r>
          </w:p>
        </w:tc>
        <w:tc>
          <w:tcPr>
            <w:tcW w:w="2350" w:type="dxa"/>
          </w:tcPr>
          <w:p w14:paraId="442F978F" w14:textId="77777777" w:rsidR="00D847F1" w:rsidRDefault="00D847F1">
            <w:pPr>
              <w:pStyle w:val="EarlierRepubHdg"/>
            </w:pPr>
            <w:r>
              <w:t>Republication date</w:t>
            </w:r>
          </w:p>
        </w:tc>
      </w:tr>
      <w:tr w:rsidR="00D847F1" w14:paraId="4DE808C4" w14:textId="77777777">
        <w:tc>
          <w:tcPr>
            <w:tcW w:w="1930" w:type="dxa"/>
          </w:tcPr>
          <w:p w14:paraId="64153921" w14:textId="77777777" w:rsidR="00D847F1" w:rsidRDefault="00D847F1" w:rsidP="004031BA">
            <w:pPr>
              <w:pStyle w:val="EarlierRepubEntries"/>
              <w:keepNext/>
            </w:pPr>
            <w:r>
              <w:t>1</w:t>
            </w:r>
          </w:p>
        </w:tc>
        <w:tc>
          <w:tcPr>
            <w:tcW w:w="2350" w:type="dxa"/>
          </w:tcPr>
          <w:p w14:paraId="1D3D8553" w14:textId="77777777" w:rsidR="00D847F1" w:rsidRDefault="00D847F1">
            <w:pPr>
              <w:pStyle w:val="EarlierRepubEntries"/>
            </w:pPr>
            <w:r>
              <w:t>not amended</w:t>
            </w:r>
          </w:p>
        </w:tc>
        <w:tc>
          <w:tcPr>
            <w:tcW w:w="2350" w:type="dxa"/>
          </w:tcPr>
          <w:p w14:paraId="5C308EED" w14:textId="77777777" w:rsidR="00D847F1" w:rsidRDefault="00D847F1">
            <w:pPr>
              <w:pStyle w:val="EarlierRepubEntries"/>
            </w:pPr>
            <w:r>
              <w:t>1 December 2002</w:t>
            </w:r>
          </w:p>
        </w:tc>
      </w:tr>
      <w:tr w:rsidR="00D847F1" w14:paraId="3681E638" w14:textId="77777777">
        <w:tc>
          <w:tcPr>
            <w:tcW w:w="1930" w:type="dxa"/>
          </w:tcPr>
          <w:p w14:paraId="59A52BE8" w14:textId="77777777" w:rsidR="00D847F1" w:rsidRDefault="00D847F1">
            <w:pPr>
              <w:pStyle w:val="EarlierRepubEntries"/>
            </w:pPr>
            <w:r>
              <w:t>2</w:t>
            </w:r>
          </w:p>
        </w:tc>
        <w:tc>
          <w:tcPr>
            <w:tcW w:w="2350" w:type="dxa"/>
          </w:tcPr>
          <w:p w14:paraId="309241EB" w14:textId="77777777" w:rsidR="00D847F1" w:rsidRDefault="00D847F1">
            <w:pPr>
              <w:pStyle w:val="EarlierRepubEntries"/>
            </w:pPr>
            <w:r>
              <w:t>not amended</w:t>
            </w:r>
          </w:p>
        </w:tc>
        <w:tc>
          <w:tcPr>
            <w:tcW w:w="2350" w:type="dxa"/>
          </w:tcPr>
          <w:p w14:paraId="75F797A7" w14:textId="77777777" w:rsidR="00D847F1" w:rsidRDefault="00D847F1">
            <w:pPr>
              <w:pStyle w:val="EarlierRepubEntries"/>
            </w:pPr>
            <w:r>
              <w:t>1 May 2003</w:t>
            </w:r>
          </w:p>
        </w:tc>
      </w:tr>
      <w:tr w:rsidR="00D847F1" w14:paraId="795B8A5C" w14:textId="77777777">
        <w:tc>
          <w:tcPr>
            <w:tcW w:w="1930" w:type="dxa"/>
          </w:tcPr>
          <w:p w14:paraId="3069B242" w14:textId="77777777" w:rsidR="00D847F1" w:rsidRDefault="00D847F1">
            <w:pPr>
              <w:pStyle w:val="EarlierRepubEntries"/>
            </w:pPr>
            <w:r>
              <w:t>3</w:t>
            </w:r>
          </w:p>
        </w:tc>
        <w:tc>
          <w:tcPr>
            <w:tcW w:w="2350" w:type="dxa"/>
          </w:tcPr>
          <w:p w14:paraId="61E8657E" w14:textId="483EA1F2" w:rsidR="00D847F1" w:rsidRDefault="00C17B8B">
            <w:pPr>
              <w:pStyle w:val="EarlierRepubEntries"/>
            </w:pPr>
            <w:hyperlink r:id="rId213"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p>
        </w:tc>
        <w:tc>
          <w:tcPr>
            <w:tcW w:w="2350" w:type="dxa"/>
          </w:tcPr>
          <w:p w14:paraId="2B8A729C" w14:textId="77777777" w:rsidR="00D847F1" w:rsidRDefault="00D847F1">
            <w:pPr>
              <w:pStyle w:val="EarlierRepubEntries"/>
            </w:pPr>
            <w:r>
              <w:t>1 October 2004</w:t>
            </w:r>
          </w:p>
        </w:tc>
      </w:tr>
      <w:tr w:rsidR="00D847F1" w14:paraId="123720C3" w14:textId="77777777">
        <w:tc>
          <w:tcPr>
            <w:tcW w:w="1930" w:type="dxa"/>
          </w:tcPr>
          <w:p w14:paraId="47D7D465" w14:textId="77777777" w:rsidR="00D847F1" w:rsidRDefault="00D847F1">
            <w:pPr>
              <w:pStyle w:val="EarlierRepubEntries"/>
            </w:pPr>
            <w:r>
              <w:t>4</w:t>
            </w:r>
          </w:p>
        </w:tc>
        <w:tc>
          <w:tcPr>
            <w:tcW w:w="2350" w:type="dxa"/>
          </w:tcPr>
          <w:p w14:paraId="3DFC12F7" w14:textId="25D79908" w:rsidR="00D847F1" w:rsidRDefault="00C17B8B">
            <w:pPr>
              <w:pStyle w:val="EarlierRepubEntries"/>
            </w:pPr>
            <w:hyperlink r:id="rId21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p>
        </w:tc>
        <w:tc>
          <w:tcPr>
            <w:tcW w:w="2350" w:type="dxa"/>
          </w:tcPr>
          <w:p w14:paraId="0A705344" w14:textId="77777777" w:rsidR="00D847F1" w:rsidRDefault="00D847F1">
            <w:pPr>
              <w:pStyle w:val="EarlierRepubEntries"/>
            </w:pPr>
            <w:r>
              <w:t>4 November 2004</w:t>
            </w:r>
          </w:p>
        </w:tc>
      </w:tr>
      <w:tr w:rsidR="00D847F1" w14:paraId="66763B85" w14:textId="77777777">
        <w:tc>
          <w:tcPr>
            <w:tcW w:w="1930" w:type="dxa"/>
          </w:tcPr>
          <w:p w14:paraId="67F09023" w14:textId="77777777" w:rsidR="00D847F1" w:rsidRDefault="00D847F1">
            <w:pPr>
              <w:pStyle w:val="EarlierRepubEntries"/>
            </w:pPr>
            <w:r>
              <w:t>5</w:t>
            </w:r>
          </w:p>
        </w:tc>
        <w:tc>
          <w:tcPr>
            <w:tcW w:w="2350" w:type="dxa"/>
          </w:tcPr>
          <w:p w14:paraId="12D66A81" w14:textId="5B1692C2" w:rsidR="00D847F1" w:rsidRDefault="00C17B8B">
            <w:pPr>
              <w:pStyle w:val="EarlierRepubEntries"/>
            </w:pPr>
            <w:hyperlink r:id="rId215" w:tooltip="Casino Control Act 2006" w:history="1">
              <w:r w:rsidR="00DF21AF" w:rsidRPr="00DF21AF">
                <w:rPr>
                  <w:rStyle w:val="charCitHyperlinkAbbrev"/>
                </w:rPr>
                <w:t>A2006</w:t>
              </w:r>
              <w:r w:rsidR="00DF21AF" w:rsidRPr="00DF21AF">
                <w:rPr>
                  <w:rStyle w:val="charCitHyperlinkAbbrev"/>
                </w:rPr>
                <w:noBreakHyphen/>
                <w:t>2</w:t>
              </w:r>
            </w:hyperlink>
          </w:p>
        </w:tc>
        <w:tc>
          <w:tcPr>
            <w:tcW w:w="2350" w:type="dxa"/>
          </w:tcPr>
          <w:p w14:paraId="46C09DE5" w14:textId="77777777" w:rsidR="00D847F1" w:rsidRDefault="00D847F1">
            <w:pPr>
              <w:pStyle w:val="EarlierRepubEntries"/>
            </w:pPr>
            <w:r>
              <w:t>1 May 2006</w:t>
            </w:r>
          </w:p>
        </w:tc>
      </w:tr>
      <w:tr w:rsidR="004031BA" w14:paraId="31982221" w14:textId="77777777">
        <w:tc>
          <w:tcPr>
            <w:tcW w:w="1930" w:type="dxa"/>
          </w:tcPr>
          <w:p w14:paraId="60D65BA5" w14:textId="77777777" w:rsidR="004031BA" w:rsidRDefault="004031BA">
            <w:pPr>
              <w:pStyle w:val="EarlierRepubEntries"/>
            </w:pPr>
            <w:r>
              <w:t>6</w:t>
            </w:r>
          </w:p>
        </w:tc>
        <w:tc>
          <w:tcPr>
            <w:tcW w:w="2350" w:type="dxa"/>
          </w:tcPr>
          <w:p w14:paraId="1A86AC39" w14:textId="0C0907ED" w:rsidR="004031BA" w:rsidRDefault="00C17B8B">
            <w:pPr>
              <w:pStyle w:val="EarlierRepubEntries"/>
            </w:pPr>
            <w:hyperlink r:id="rId216" w:tooltip="Statute Law Amendment Act 2007 (No 2)" w:history="1">
              <w:r w:rsidR="00DF21AF" w:rsidRPr="00DF21AF">
                <w:rPr>
                  <w:rStyle w:val="charCitHyperlinkAbbrev"/>
                </w:rPr>
                <w:t>A2007</w:t>
              </w:r>
              <w:r w:rsidR="00DF21AF" w:rsidRPr="00DF21AF">
                <w:rPr>
                  <w:rStyle w:val="charCitHyperlinkAbbrev"/>
                </w:rPr>
                <w:noBreakHyphen/>
                <w:t>16</w:t>
              </w:r>
            </w:hyperlink>
          </w:p>
        </w:tc>
        <w:tc>
          <w:tcPr>
            <w:tcW w:w="2350" w:type="dxa"/>
          </w:tcPr>
          <w:p w14:paraId="3B89D409" w14:textId="77777777" w:rsidR="004031BA" w:rsidRDefault="00ED7E8F">
            <w:pPr>
              <w:pStyle w:val="EarlierRepubEntries"/>
            </w:pPr>
            <w:r>
              <w:t>11 July 2007</w:t>
            </w:r>
          </w:p>
        </w:tc>
      </w:tr>
      <w:tr w:rsidR="0053766D" w14:paraId="2D5A013D" w14:textId="77777777">
        <w:tc>
          <w:tcPr>
            <w:tcW w:w="1930" w:type="dxa"/>
          </w:tcPr>
          <w:p w14:paraId="3462230E" w14:textId="77777777" w:rsidR="0053766D" w:rsidRDefault="0053766D">
            <w:pPr>
              <w:pStyle w:val="EarlierRepubEntries"/>
            </w:pPr>
            <w:r>
              <w:t>7</w:t>
            </w:r>
          </w:p>
        </w:tc>
        <w:tc>
          <w:tcPr>
            <w:tcW w:w="2350" w:type="dxa"/>
          </w:tcPr>
          <w:p w14:paraId="33E7AC79" w14:textId="5181D4B5" w:rsidR="0053766D" w:rsidRDefault="00C17B8B">
            <w:pPr>
              <w:pStyle w:val="EarlierRepubEntries"/>
            </w:pPr>
            <w:hyperlink r:id="rId217" w:tooltip="ACT Civil and Administrative Tribunal Legislation Amendment Act 2008 (No 2)" w:history="1">
              <w:r w:rsidR="0053766D">
                <w:rPr>
                  <w:rStyle w:val="charCitHyperlinkAbbrev"/>
                </w:rPr>
                <w:t>A2008</w:t>
              </w:r>
              <w:r w:rsidR="0053766D">
                <w:rPr>
                  <w:rStyle w:val="charCitHyperlinkAbbrev"/>
                </w:rPr>
                <w:noBreakHyphen/>
                <w:t>37</w:t>
              </w:r>
            </w:hyperlink>
          </w:p>
        </w:tc>
        <w:tc>
          <w:tcPr>
            <w:tcW w:w="2350" w:type="dxa"/>
          </w:tcPr>
          <w:p w14:paraId="59D0765F" w14:textId="77777777" w:rsidR="0053766D" w:rsidRDefault="0053766D">
            <w:pPr>
              <w:pStyle w:val="EarlierRepubEntries"/>
            </w:pPr>
            <w:r>
              <w:t>2 February 2009</w:t>
            </w:r>
          </w:p>
        </w:tc>
      </w:tr>
      <w:tr w:rsidR="006F23FF" w14:paraId="74689583" w14:textId="77777777">
        <w:tc>
          <w:tcPr>
            <w:tcW w:w="1930" w:type="dxa"/>
          </w:tcPr>
          <w:p w14:paraId="70EE5C1F" w14:textId="77777777" w:rsidR="006F23FF" w:rsidRDefault="006F23FF">
            <w:pPr>
              <w:pStyle w:val="EarlierRepubEntries"/>
            </w:pPr>
            <w:r>
              <w:t>8</w:t>
            </w:r>
          </w:p>
        </w:tc>
        <w:tc>
          <w:tcPr>
            <w:tcW w:w="2350" w:type="dxa"/>
          </w:tcPr>
          <w:p w14:paraId="0350FEBC" w14:textId="7CC9F3C6" w:rsidR="006F23FF" w:rsidRDefault="00C17B8B">
            <w:pPr>
              <w:pStyle w:val="EarlierRepubEntries"/>
            </w:pPr>
            <w:hyperlink r:id="rId218" w:tooltip="Totalisator Act 2014" w:history="1">
              <w:r w:rsidR="006F23FF">
                <w:rPr>
                  <w:rStyle w:val="charCitHyperlinkAbbrev"/>
                </w:rPr>
                <w:t>A2014</w:t>
              </w:r>
              <w:r w:rsidR="006F23FF">
                <w:rPr>
                  <w:rStyle w:val="charCitHyperlinkAbbrev"/>
                </w:rPr>
                <w:noBreakHyphen/>
                <w:t>4</w:t>
              </w:r>
            </w:hyperlink>
            <w:r w:rsidR="006F23FF">
              <w:t xml:space="preserve"> </w:t>
            </w:r>
          </w:p>
        </w:tc>
        <w:tc>
          <w:tcPr>
            <w:tcW w:w="2350" w:type="dxa"/>
          </w:tcPr>
          <w:p w14:paraId="5549344F" w14:textId="77777777" w:rsidR="006F23FF" w:rsidRDefault="006F23FF">
            <w:pPr>
              <w:pStyle w:val="EarlierRepubEntries"/>
            </w:pPr>
            <w:r>
              <w:t>27 March 2014</w:t>
            </w:r>
          </w:p>
        </w:tc>
      </w:tr>
      <w:tr w:rsidR="00C807F7" w14:paraId="2AF7EB10" w14:textId="77777777">
        <w:tc>
          <w:tcPr>
            <w:tcW w:w="1930" w:type="dxa"/>
          </w:tcPr>
          <w:p w14:paraId="6B3CB920" w14:textId="77777777" w:rsidR="00C807F7" w:rsidRDefault="00C807F7">
            <w:pPr>
              <w:pStyle w:val="EarlierRepubEntries"/>
            </w:pPr>
            <w:r>
              <w:t>9</w:t>
            </w:r>
          </w:p>
        </w:tc>
        <w:tc>
          <w:tcPr>
            <w:tcW w:w="2350" w:type="dxa"/>
          </w:tcPr>
          <w:p w14:paraId="1396E841" w14:textId="6A99F2D4" w:rsidR="00C807F7" w:rsidRDefault="00C17B8B">
            <w:pPr>
              <w:pStyle w:val="EarlierRepubEntries"/>
            </w:pPr>
            <w:hyperlink r:id="rId219" w:tooltip="Gambling and Racing Control (Code of Practice) Amendment Regulation 2014 (No 1)" w:history="1">
              <w:r w:rsidR="00C807F7" w:rsidRPr="00C807F7">
                <w:rPr>
                  <w:rStyle w:val="charCitHyperlinkAbbrev"/>
                </w:rPr>
                <w:t>SL2014-17</w:t>
              </w:r>
            </w:hyperlink>
          </w:p>
        </w:tc>
        <w:tc>
          <w:tcPr>
            <w:tcW w:w="2350" w:type="dxa"/>
          </w:tcPr>
          <w:p w14:paraId="1F58C12F" w14:textId="77777777" w:rsidR="00C807F7" w:rsidRDefault="00C807F7">
            <w:pPr>
              <w:pStyle w:val="EarlierRepubEntries"/>
            </w:pPr>
            <w:r>
              <w:t>1 August 2014</w:t>
            </w:r>
          </w:p>
        </w:tc>
      </w:tr>
      <w:tr w:rsidR="00BF449F" w14:paraId="3A326D32" w14:textId="77777777">
        <w:tc>
          <w:tcPr>
            <w:tcW w:w="1930" w:type="dxa"/>
          </w:tcPr>
          <w:p w14:paraId="04018721" w14:textId="77777777" w:rsidR="00BF449F" w:rsidRDefault="00BF449F">
            <w:pPr>
              <w:pStyle w:val="EarlierRepubEntries"/>
            </w:pPr>
            <w:r>
              <w:t>10</w:t>
            </w:r>
          </w:p>
        </w:tc>
        <w:tc>
          <w:tcPr>
            <w:tcW w:w="2350" w:type="dxa"/>
          </w:tcPr>
          <w:p w14:paraId="49A9A6F3" w14:textId="2F05B19E" w:rsidR="00BF449F" w:rsidRDefault="00C17B8B">
            <w:pPr>
              <w:pStyle w:val="EarlierRepubEntries"/>
            </w:pPr>
            <w:hyperlink r:id="rId220" w:tooltip="Gaming Legislation Amendment Regulation 2015 (No 1)" w:history="1">
              <w:r w:rsidR="00BF449F" w:rsidRPr="00BF449F">
                <w:rPr>
                  <w:rStyle w:val="charCitHyperlinkAbbrev"/>
                </w:rPr>
                <w:t>SL2015-27</w:t>
              </w:r>
            </w:hyperlink>
          </w:p>
        </w:tc>
        <w:tc>
          <w:tcPr>
            <w:tcW w:w="2350" w:type="dxa"/>
          </w:tcPr>
          <w:p w14:paraId="0C768755" w14:textId="77777777" w:rsidR="00BF449F" w:rsidRDefault="00BF449F">
            <w:pPr>
              <w:pStyle w:val="EarlierRepubEntries"/>
            </w:pPr>
            <w:r>
              <w:t>31 August 2015</w:t>
            </w:r>
          </w:p>
        </w:tc>
      </w:tr>
      <w:tr w:rsidR="00BC717B" w14:paraId="2F4DA040" w14:textId="77777777">
        <w:tc>
          <w:tcPr>
            <w:tcW w:w="1930" w:type="dxa"/>
          </w:tcPr>
          <w:p w14:paraId="3B93DC2C" w14:textId="77777777" w:rsidR="00BC717B" w:rsidRDefault="00BC717B">
            <w:pPr>
              <w:pStyle w:val="EarlierRepubEntries"/>
            </w:pPr>
            <w:r>
              <w:t>11</w:t>
            </w:r>
          </w:p>
        </w:tc>
        <w:tc>
          <w:tcPr>
            <w:tcW w:w="2350" w:type="dxa"/>
          </w:tcPr>
          <w:p w14:paraId="327268FD" w14:textId="087BC4E2" w:rsidR="00BC717B" w:rsidRDefault="00C17B8B">
            <w:pPr>
              <w:pStyle w:val="EarlierRepubEntries"/>
            </w:pPr>
            <w:hyperlink r:id="rId221" w:tooltip="Lotteries (Approvals) Amendment Act 2015" w:history="1">
              <w:r w:rsidR="00BC717B">
                <w:rPr>
                  <w:rStyle w:val="charCitHyperlinkAbbrev"/>
                </w:rPr>
                <w:t>A2015</w:t>
              </w:r>
              <w:r w:rsidR="00BC717B">
                <w:rPr>
                  <w:rStyle w:val="charCitHyperlinkAbbrev"/>
                </w:rPr>
                <w:noBreakHyphen/>
                <w:t>41</w:t>
              </w:r>
            </w:hyperlink>
          </w:p>
        </w:tc>
        <w:tc>
          <w:tcPr>
            <w:tcW w:w="2350" w:type="dxa"/>
          </w:tcPr>
          <w:p w14:paraId="6A32860D" w14:textId="77777777" w:rsidR="00BC717B" w:rsidRDefault="00BC717B">
            <w:pPr>
              <w:pStyle w:val="EarlierRepubEntries"/>
            </w:pPr>
            <w:r>
              <w:t>5 November 2015</w:t>
            </w:r>
          </w:p>
        </w:tc>
      </w:tr>
      <w:tr w:rsidR="0090466A" w14:paraId="66DF49E7" w14:textId="77777777">
        <w:tc>
          <w:tcPr>
            <w:tcW w:w="1930" w:type="dxa"/>
          </w:tcPr>
          <w:p w14:paraId="7BD8CC09" w14:textId="308F2CC7" w:rsidR="0090466A" w:rsidRDefault="0090466A">
            <w:pPr>
              <w:pStyle w:val="EarlierRepubEntries"/>
            </w:pPr>
            <w:r>
              <w:t>12</w:t>
            </w:r>
          </w:p>
        </w:tc>
        <w:tc>
          <w:tcPr>
            <w:tcW w:w="2350" w:type="dxa"/>
          </w:tcPr>
          <w:p w14:paraId="471860B7" w14:textId="0F3CB459" w:rsidR="0090466A" w:rsidRDefault="00C17B8B">
            <w:pPr>
              <w:pStyle w:val="EarlierRepubEntries"/>
            </w:pPr>
            <w:hyperlink r:id="rId222" w:tooltip="Gambling and Racing Control (Code of Practice) Amendment Regulation 2019 (No 1)" w:history="1">
              <w:r w:rsidR="0090466A" w:rsidRPr="0090466A">
                <w:rPr>
                  <w:rStyle w:val="charCitHyperlinkAbbrev"/>
                </w:rPr>
                <w:t>SL2019-10</w:t>
              </w:r>
            </w:hyperlink>
          </w:p>
        </w:tc>
        <w:tc>
          <w:tcPr>
            <w:tcW w:w="2350" w:type="dxa"/>
          </w:tcPr>
          <w:p w14:paraId="0D43389B" w14:textId="6B784C64" w:rsidR="0090466A" w:rsidRDefault="0090466A">
            <w:pPr>
              <w:pStyle w:val="EarlierRepubEntries"/>
            </w:pPr>
            <w:r>
              <w:t>26 May 2019</w:t>
            </w:r>
          </w:p>
        </w:tc>
      </w:tr>
    </w:tbl>
    <w:p w14:paraId="7AA2CCE2" w14:textId="77777777" w:rsidR="0090466A" w:rsidRPr="0090466A" w:rsidRDefault="0090466A" w:rsidP="0090466A">
      <w:pPr>
        <w:pStyle w:val="PageBreak"/>
      </w:pPr>
      <w:r w:rsidRPr="0090466A">
        <w:br w:type="page"/>
      </w:r>
    </w:p>
    <w:p w14:paraId="05EDC1B5" w14:textId="4CF8AA1C" w:rsidR="007105C9" w:rsidRPr="00224E14" w:rsidRDefault="007105C9" w:rsidP="007105C9">
      <w:pPr>
        <w:pStyle w:val="Endnote20"/>
      </w:pPr>
      <w:bookmarkStart w:id="109" w:name="_Toc72506021"/>
      <w:r w:rsidRPr="00224E14">
        <w:rPr>
          <w:rStyle w:val="charTableNo"/>
        </w:rPr>
        <w:lastRenderedPageBreak/>
        <w:t>6</w:t>
      </w:r>
      <w:r w:rsidRPr="00217CE1">
        <w:tab/>
      </w:r>
      <w:r w:rsidRPr="00224E14">
        <w:rPr>
          <w:rStyle w:val="charTableText"/>
        </w:rPr>
        <w:t>Expired transitional or validating provisions</w:t>
      </w:r>
      <w:bookmarkEnd w:id="109"/>
    </w:p>
    <w:p w14:paraId="0D2CF255" w14:textId="26DF6E2F" w:rsidR="007105C9" w:rsidRDefault="007105C9" w:rsidP="007105C9">
      <w:pPr>
        <w:pStyle w:val="EndNoteTextPub"/>
      </w:pPr>
      <w:r w:rsidRPr="00600F19">
        <w:t>This Act may be affected by transitional or validating provisions that have expired.  The expiry does not affect any continuing operation of the provisions (s</w:t>
      </w:r>
      <w:r>
        <w:t xml:space="preserve">ee </w:t>
      </w:r>
      <w:hyperlink r:id="rId223" w:tooltip="A2001-14" w:history="1">
        <w:r w:rsidR="0090466A" w:rsidRPr="0090466A">
          <w:rPr>
            <w:rStyle w:val="charCitHyperlinkItal"/>
          </w:rPr>
          <w:t>Legislation Act 2001</w:t>
        </w:r>
      </w:hyperlink>
      <w:r>
        <w:t>, s 88 (1)).</w:t>
      </w:r>
    </w:p>
    <w:p w14:paraId="1059557D" w14:textId="77777777" w:rsidR="007105C9" w:rsidRDefault="007105C9" w:rsidP="007105C9">
      <w:pPr>
        <w:pStyle w:val="EndNoteTextPub"/>
        <w:spacing w:before="120"/>
      </w:pPr>
      <w:r>
        <w:t>Expired provisions are removed from the republished law when the expiry takes effect and are listed in the amendment history using the abbreviation ‘exp’ followed by the date of the expiry.</w:t>
      </w:r>
    </w:p>
    <w:p w14:paraId="4E314F23" w14:textId="77777777" w:rsidR="007105C9" w:rsidRDefault="007105C9" w:rsidP="007105C9">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740E186" w14:textId="77777777" w:rsidR="000B6920" w:rsidRDefault="000B6920" w:rsidP="007B3882">
      <w:pPr>
        <w:pStyle w:val="05EndNote"/>
        <w:sectPr w:rsidR="000B6920">
          <w:headerReference w:type="even" r:id="rId224"/>
          <w:headerReference w:type="default" r:id="rId225"/>
          <w:footerReference w:type="even" r:id="rId226"/>
          <w:footerReference w:type="default" r:id="rId227"/>
          <w:pgSz w:w="11907" w:h="16839" w:code="9"/>
          <w:pgMar w:top="3000" w:right="1900" w:bottom="2500" w:left="2300" w:header="2480" w:footer="2100" w:gutter="0"/>
          <w:cols w:space="720"/>
          <w:docGrid w:linePitch="254"/>
        </w:sectPr>
      </w:pPr>
    </w:p>
    <w:p w14:paraId="1AF026F1" w14:textId="77777777" w:rsidR="00D847F1" w:rsidRDefault="00D847F1">
      <w:pPr>
        <w:rPr>
          <w:color w:val="000000"/>
          <w:sz w:val="20"/>
        </w:rPr>
      </w:pPr>
    </w:p>
    <w:p w14:paraId="0A12B668" w14:textId="77777777" w:rsidR="00D847F1" w:rsidRDefault="00D847F1">
      <w:pPr>
        <w:rPr>
          <w:color w:val="000000"/>
          <w:sz w:val="22"/>
        </w:rPr>
      </w:pPr>
    </w:p>
    <w:p w14:paraId="0AEC78DE" w14:textId="77777777" w:rsidR="00340410" w:rsidRDefault="00340410">
      <w:pPr>
        <w:rPr>
          <w:color w:val="000000"/>
          <w:sz w:val="22"/>
        </w:rPr>
      </w:pPr>
    </w:p>
    <w:p w14:paraId="2CE5A242" w14:textId="77777777" w:rsidR="00340410" w:rsidRDefault="00340410">
      <w:pPr>
        <w:rPr>
          <w:color w:val="000000"/>
          <w:sz w:val="22"/>
        </w:rPr>
      </w:pPr>
    </w:p>
    <w:p w14:paraId="008E8E01" w14:textId="77777777" w:rsidR="00B33F6B" w:rsidRDefault="00B33F6B">
      <w:pPr>
        <w:rPr>
          <w:color w:val="000000"/>
          <w:sz w:val="22"/>
        </w:rPr>
      </w:pPr>
    </w:p>
    <w:p w14:paraId="77EA6F89" w14:textId="65F2EE86" w:rsidR="00B33F6B" w:rsidRDefault="00B33F6B">
      <w:pPr>
        <w:rPr>
          <w:color w:val="000000"/>
          <w:sz w:val="22"/>
        </w:rPr>
      </w:pPr>
    </w:p>
    <w:p w14:paraId="33B57A19" w14:textId="3B9DDE48" w:rsidR="0090466A" w:rsidRDefault="0090466A">
      <w:pPr>
        <w:rPr>
          <w:color w:val="000000"/>
          <w:sz w:val="22"/>
        </w:rPr>
      </w:pPr>
    </w:p>
    <w:p w14:paraId="32654F04" w14:textId="443E620A" w:rsidR="0090466A" w:rsidRDefault="0090466A">
      <w:pPr>
        <w:rPr>
          <w:color w:val="000000"/>
          <w:sz w:val="22"/>
        </w:rPr>
      </w:pPr>
    </w:p>
    <w:p w14:paraId="2843FCD7" w14:textId="7C882916" w:rsidR="0090466A" w:rsidRDefault="0090466A">
      <w:pPr>
        <w:rPr>
          <w:color w:val="000000"/>
          <w:sz w:val="22"/>
        </w:rPr>
      </w:pPr>
    </w:p>
    <w:p w14:paraId="0E9D3864" w14:textId="55849D87" w:rsidR="0090466A" w:rsidRDefault="0090466A">
      <w:pPr>
        <w:rPr>
          <w:color w:val="000000"/>
          <w:sz w:val="22"/>
        </w:rPr>
      </w:pPr>
    </w:p>
    <w:p w14:paraId="5B9C1B68" w14:textId="7FF7C056" w:rsidR="0090466A" w:rsidRDefault="0090466A">
      <w:pPr>
        <w:rPr>
          <w:color w:val="000000"/>
          <w:sz w:val="22"/>
        </w:rPr>
      </w:pPr>
    </w:p>
    <w:p w14:paraId="5E9AA4CB" w14:textId="4BE319B2" w:rsidR="0090466A" w:rsidRDefault="0090466A">
      <w:pPr>
        <w:rPr>
          <w:color w:val="000000"/>
          <w:sz w:val="22"/>
        </w:rPr>
      </w:pPr>
    </w:p>
    <w:p w14:paraId="625D992E" w14:textId="7AD517EC" w:rsidR="0090466A" w:rsidRDefault="0090466A">
      <w:pPr>
        <w:rPr>
          <w:color w:val="000000"/>
          <w:sz w:val="22"/>
        </w:rPr>
      </w:pPr>
    </w:p>
    <w:p w14:paraId="5C03BE8F" w14:textId="39378340" w:rsidR="0090466A" w:rsidRDefault="0090466A">
      <w:pPr>
        <w:rPr>
          <w:color w:val="000000"/>
          <w:sz w:val="22"/>
        </w:rPr>
      </w:pPr>
    </w:p>
    <w:p w14:paraId="21B30B2A" w14:textId="303D7FE9" w:rsidR="0090466A" w:rsidRDefault="0090466A">
      <w:pPr>
        <w:rPr>
          <w:color w:val="000000"/>
          <w:sz w:val="22"/>
        </w:rPr>
      </w:pPr>
    </w:p>
    <w:p w14:paraId="4260E3BD" w14:textId="77777777" w:rsidR="0090466A" w:rsidRDefault="0090466A">
      <w:pPr>
        <w:rPr>
          <w:color w:val="000000"/>
          <w:sz w:val="22"/>
        </w:rPr>
      </w:pPr>
    </w:p>
    <w:p w14:paraId="77C5DD4B" w14:textId="77777777" w:rsidR="00B33F6B" w:rsidRDefault="00B33F6B">
      <w:pPr>
        <w:rPr>
          <w:color w:val="000000"/>
          <w:sz w:val="22"/>
        </w:rPr>
      </w:pPr>
    </w:p>
    <w:p w14:paraId="7CC77BA8" w14:textId="77777777" w:rsidR="00B33F6B" w:rsidRDefault="00B33F6B">
      <w:pPr>
        <w:rPr>
          <w:color w:val="000000"/>
          <w:sz w:val="22"/>
        </w:rPr>
      </w:pPr>
    </w:p>
    <w:p w14:paraId="0BDFCE27" w14:textId="77777777" w:rsidR="00D847F1" w:rsidRDefault="00D847F1">
      <w:pPr>
        <w:rPr>
          <w:color w:val="000000"/>
          <w:sz w:val="22"/>
        </w:rPr>
      </w:pPr>
    </w:p>
    <w:p w14:paraId="23F453DC" w14:textId="20126AFF" w:rsidR="00D847F1" w:rsidRPr="00340410" w:rsidRDefault="00D847F1">
      <w:pPr>
        <w:rPr>
          <w:color w:val="000000"/>
          <w:sz w:val="22"/>
        </w:rPr>
      </w:pPr>
      <w:r>
        <w:rPr>
          <w:color w:val="000000"/>
          <w:sz w:val="22"/>
        </w:rPr>
        <w:t xml:space="preserve">©  Australian Capital Territory </w:t>
      </w:r>
      <w:r w:rsidR="00224E14">
        <w:rPr>
          <w:noProof/>
          <w:color w:val="000000"/>
          <w:sz w:val="22"/>
        </w:rPr>
        <w:t>2021</w:t>
      </w:r>
    </w:p>
    <w:p w14:paraId="6F41E068" w14:textId="77777777" w:rsidR="004031BA" w:rsidRDefault="004031BA">
      <w:pPr>
        <w:pStyle w:val="06Copyright"/>
        <w:sectPr w:rsidR="004031BA" w:rsidSect="004031BA">
          <w:headerReference w:type="even" r:id="rId228"/>
          <w:headerReference w:type="default" r:id="rId229"/>
          <w:footerReference w:type="even" r:id="rId230"/>
          <w:footerReference w:type="default" r:id="rId231"/>
          <w:headerReference w:type="first" r:id="rId232"/>
          <w:footerReference w:type="first" r:id="rId233"/>
          <w:type w:val="continuous"/>
          <w:pgSz w:w="11907" w:h="16839" w:code="9"/>
          <w:pgMar w:top="2999" w:right="1899" w:bottom="2500" w:left="2302" w:header="2478" w:footer="2098" w:gutter="0"/>
          <w:pgNumType w:fmt="lowerRoman"/>
          <w:cols w:space="720"/>
          <w:titlePg/>
          <w:docGrid w:linePitch="254"/>
        </w:sectPr>
      </w:pPr>
    </w:p>
    <w:p w14:paraId="4D4AEC8B" w14:textId="77777777" w:rsidR="00D847F1" w:rsidRDefault="00D847F1"/>
    <w:sectPr w:rsidR="00D847F1" w:rsidSect="0020309E">
      <w:headerReference w:type="first" r:id="rId234"/>
      <w:footerReference w:type="first" r:id="rId235"/>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331B" w14:textId="77777777" w:rsidR="00F21EE6" w:rsidRDefault="00F21EE6" w:rsidP="00D847F1">
      <w:pPr>
        <w:pStyle w:val="IshadedSchClause"/>
      </w:pPr>
      <w:r>
        <w:separator/>
      </w:r>
    </w:p>
  </w:endnote>
  <w:endnote w:type="continuationSeparator" w:id="0">
    <w:p w14:paraId="713150B2" w14:textId="77777777" w:rsidR="00F21EE6" w:rsidRDefault="00F21EE6" w:rsidP="00D847F1">
      <w:pPr>
        <w:pStyle w:val="IshadedSchClaus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7132" w14:textId="13CAA7C6" w:rsidR="00F21EE6" w:rsidRPr="00C17B8B" w:rsidRDefault="00F21EE6" w:rsidP="00C17B8B">
    <w:pPr>
      <w:pStyle w:val="Footer"/>
      <w:jc w:val="center"/>
      <w:rPr>
        <w:rFonts w:cs="Arial"/>
        <w:sz w:val="14"/>
      </w:rPr>
    </w:pPr>
    <w:r w:rsidRPr="00C17B8B">
      <w:rPr>
        <w:rFonts w:cs="Arial"/>
        <w:sz w:val="14"/>
      </w:rPr>
      <w:fldChar w:fldCharType="begin"/>
    </w:r>
    <w:r w:rsidRPr="00C17B8B">
      <w:rPr>
        <w:rFonts w:cs="Arial"/>
        <w:sz w:val="14"/>
      </w:rPr>
      <w:instrText xml:space="preserve"> DOCPROPERTY "Status" </w:instrText>
    </w:r>
    <w:r w:rsidRPr="00C17B8B">
      <w:rPr>
        <w:rFonts w:cs="Arial"/>
        <w:sz w:val="14"/>
      </w:rPr>
      <w:fldChar w:fldCharType="separate"/>
    </w:r>
    <w:r w:rsidR="000B6920" w:rsidRPr="00C17B8B">
      <w:rPr>
        <w:rFonts w:cs="Arial"/>
        <w:sz w:val="14"/>
      </w:rPr>
      <w:t xml:space="preserve"> </w:t>
    </w:r>
    <w:r w:rsidRPr="00C17B8B">
      <w:rPr>
        <w:rFonts w:cs="Arial"/>
        <w:sz w:val="14"/>
      </w:rPr>
      <w:fldChar w:fldCharType="end"/>
    </w:r>
    <w:r w:rsidR="00C17B8B" w:rsidRPr="00C17B8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0C44" w14:textId="77777777" w:rsidR="0007725C" w:rsidRDefault="0007725C">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07725C" w:rsidRPr="00CB3D59" w14:paraId="11550C99" w14:textId="77777777">
      <w:trPr>
        <w:jc w:val="center"/>
      </w:trPr>
      <w:tc>
        <w:tcPr>
          <w:tcW w:w="1240" w:type="dxa"/>
        </w:tcPr>
        <w:p w14:paraId="101D7A54" w14:textId="77777777" w:rsidR="0007725C" w:rsidRPr="00922BD6" w:rsidRDefault="0007725C" w:rsidP="00B136BA">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w:t>
          </w:r>
          <w:r w:rsidRPr="00922BD6">
            <w:rPr>
              <w:rStyle w:val="PageNumber"/>
              <w:rFonts w:cs="Arial"/>
              <w:szCs w:val="18"/>
            </w:rPr>
            <w:fldChar w:fldCharType="end"/>
          </w:r>
        </w:p>
      </w:tc>
      <w:tc>
        <w:tcPr>
          <w:tcW w:w="4527" w:type="dxa"/>
        </w:tcPr>
        <w:p w14:paraId="55EA9206" w14:textId="4DE12980" w:rsidR="0007725C" w:rsidRPr="00922BD6" w:rsidRDefault="0007725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B6920" w:rsidRPr="000B6920">
            <w:rPr>
              <w:rFonts w:cs="Arial"/>
              <w:szCs w:val="18"/>
            </w:rPr>
            <w:t>Gambling and Racing Control</w:t>
          </w:r>
          <w:r w:rsidR="000B6920">
            <w:t xml:space="preserve"> (Code of Practice) Regulation 2002</w:t>
          </w:r>
          <w:r>
            <w:rPr>
              <w:rFonts w:cs="Arial"/>
              <w:szCs w:val="18"/>
            </w:rPr>
            <w:fldChar w:fldCharType="end"/>
          </w:r>
        </w:p>
        <w:p w14:paraId="22F0E226" w14:textId="0E0E52F6" w:rsidR="0007725C" w:rsidRPr="00922BD6" w:rsidRDefault="0007725C"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0B6920">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0B6920">
            <w:rPr>
              <w:rFonts w:cs="Arial"/>
              <w:szCs w:val="18"/>
            </w:rPr>
            <w:t>27/05/21</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0B6920">
            <w:rPr>
              <w:rFonts w:cs="Arial"/>
              <w:szCs w:val="18"/>
            </w:rPr>
            <w:t>-13/11/22</w:t>
          </w:r>
          <w:r w:rsidRPr="00922BD6">
            <w:rPr>
              <w:rFonts w:cs="Arial"/>
              <w:szCs w:val="18"/>
            </w:rPr>
            <w:fldChar w:fldCharType="end"/>
          </w:r>
        </w:p>
      </w:tc>
      <w:tc>
        <w:tcPr>
          <w:tcW w:w="1553" w:type="dxa"/>
        </w:tcPr>
        <w:p w14:paraId="0E2089D9" w14:textId="5EBEDEF1" w:rsidR="0007725C" w:rsidRPr="00922BD6" w:rsidRDefault="0007725C" w:rsidP="00B136BA">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0B6920">
            <w:rPr>
              <w:rFonts w:cs="Arial"/>
              <w:szCs w:val="18"/>
            </w:rPr>
            <w:t>R13</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0B6920">
            <w:rPr>
              <w:rFonts w:cs="Arial"/>
              <w:szCs w:val="18"/>
            </w:rPr>
            <w:t>27/05/21</w:t>
          </w:r>
          <w:r w:rsidRPr="00922BD6">
            <w:rPr>
              <w:rFonts w:cs="Arial"/>
              <w:szCs w:val="18"/>
            </w:rPr>
            <w:fldChar w:fldCharType="end"/>
          </w:r>
        </w:p>
      </w:tc>
    </w:tr>
  </w:tbl>
  <w:p w14:paraId="06D0F6FE" w14:textId="51122C41" w:rsidR="0007725C" w:rsidRPr="00C17B8B" w:rsidRDefault="00C17B8B" w:rsidP="00C17B8B">
    <w:pPr>
      <w:pStyle w:val="Status"/>
      <w:rPr>
        <w:rFonts w:cs="Arial"/>
      </w:rPr>
    </w:pPr>
    <w:r w:rsidRPr="00C17B8B">
      <w:rPr>
        <w:rFonts w:cs="Arial"/>
      </w:rPr>
      <w:fldChar w:fldCharType="begin"/>
    </w:r>
    <w:r w:rsidRPr="00C17B8B">
      <w:rPr>
        <w:rFonts w:cs="Arial"/>
      </w:rPr>
      <w:instrText xml:space="preserve"> DOCPROPERTY "Status" </w:instrText>
    </w:r>
    <w:r w:rsidRPr="00C17B8B">
      <w:rPr>
        <w:rFonts w:cs="Arial"/>
      </w:rPr>
      <w:fldChar w:fldCharType="separate"/>
    </w:r>
    <w:r w:rsidR="000B6920" w:rsidRPr="00C17B8B">
      <w:rPr>
        <w:rFonts w:cs="Arial"/>
      </w:rPr>
      <w:t xml:space="preserve"> </w:t>
    </w:r>
    <w:r w:rsidRPr="00C17B8B">
      <w:rPr>
        <w:rFonts w:cs="Arial"/>
      </w:rPr>
      <w:fldChar w:fldCharType="end"/>
    </w:r>
    <w:r w:rsidRPr="00C17B8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CF82" w14:textId="77777777" w:rsidR="0007725C" w:rsidRDefault="0007725C">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07725C" w:rsidRPr="00CB3D59" w14:paraId="7243ADA5" w14:textId="77777777">
      <w:trPr>
        <w:jc w:val="center"/>
      </w:trPr>
      <w:tc>
        <w:tcPr>
          <w:tcW w:w="1963" w:type="dxa"/>
        </w:tcPr>
        <w:p w14:paraId="7A2D8477" w14:textId="17B16586" w:rsidR="0007725C" w:rsidRPr="00922BD6" w:rsidRDefault="0007725C" w:rsidP="00B136BA">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0B6920">
            <w:rPr>
              <w:rFonts w:cs="Arial"/>
              <w:szCs w:val="18"/>
            </w:rPr>
            <w:t>R13</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0B6920">
            <w:rPr>
              <w:rFonts w:cs="Arial"/>
              <w:szCs w:val="18"/>
            </w:rPr>
            <w:t>27/05/21</w:t>
          </w:r>
          <w:r w:rsidRPr="00922BD6">
            <w:rPr>
              <w:rFonts w:cs="Arial"/>
              <w:szCs w:val="18"/>
            </w:rPr>
            <w:fldChar w:fldCharType="end"/>
          </w:r>
        </w:p>
      </w:tc>
      <w:tc>
        <w:tcPr>
          <w:tcW w:w="4527" w:type="dxa"/>
        </w:tcPr>
        <w:p w14:paraId="3F3FCC0E" w14:textId="6DAA5496" w:rsidR="0007725C" w:rsidRPr="00922BD6" w:rsidRDefault="0007725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B6920" w:rsidRPr="000B6920">
            <w:rPr>
              <w:rFonts w:cs="Arial"/>
              <w:szCs w:val="18"/>
            </w:rPr>
            <w:t>Gambling and Racing Control</w:t>
          </w:r>
          <w:r w:rsidR="000B6920">
            <w:t xml:space="preserve"> (Code of Practice) Regulation 2002</w:t>
          </w:r>
          <w:r>
            <w:rPr>
              <w:rFonts w:cs="Arial"/>
              <w:szCs w:val="18"/>
            </w:rPr>
            <w:fldChar w:fldCharType="end"/>
          </w:r>
        </w:p>
        <w:p w14:paraId="0D84149F" w14:textId="03A74F66" w:rsidR="0007725C" w:rsidRPr="00922BD6" w:rsidRDefault="0007725C"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0B6920">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0B6920">
            <w:rPr>
              <w:rFonts w:cs="Arial"/>
              <w:szCs w:val="18"/>
            </w:rPr>
            <w:t>27/05/21</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0B6920">
            <w:rPr>
              <w:rFonts w:cs="Arial"/>
              <w:szCs w:val="18"/>
            </w:rPr>
            <w:t>-13/11/22</w:t>
          </w:r>
          <w:r w:rsidRPr="00922BD6">
            <w:rPr>
              <w:rFonts w:cs="Arial"/>
              <w:szCs w:val="18"/>
            </w:rPr>
            <w:fldChar w:fldCharType="end"/>
          </w:r>
        </w:p>
      </w:tc>
      <w:tc>
        <w:tcPr>
          <w:tcW w:w="1240" w:type="dxa"/>
        </w:tcPr>
        <w:p w14:paraId="1F17E1F1" w14:textId="77777777" w:rsidR="0007725C" w:rsidRPr="00922BD6" w:rsidRDefault="0007725C" w:rsidP="00B136BA">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7</w:t>
          </w:r>
          <w:r w:rsidRPr="00922BD6">
            <w:rPr>
              <w:rStyle w:val="PageNumber"/>
              <w:rFonts w:cs="Arial"/>
              <w:szCs w:val="18"/>
            </w:rPr>
            <w:fldChar w:fldCharType="end"/>
          </w:r>
        </w:p>
      </w:tc>
    </w:tr>
  </w:tbl>
  <w:p w14:paraId="29697DA4" w14:textId="6FA2BBF9" w:rsidR="0007725C" w:rsidRPr="00C17B8B" w:rsidRDefault="00C17B8B" w:rsidP="00C17B8B">
    <w:pPr>
      <w:pStyle w:val="Status"/>
      <w:rPr>
        <w:rFonts w:cs="Arial"/>
      </w:rPr>
    </w:pPr>
    <w:r w:rsidRPr="00C17B8B">
      <w:rPr>
        <w:rFonts w:cs="Arial"/>
      </w:rPr>
      <w:fldChar w:fldCharType="begin"/>
    </w:r>
    <w:r w:rsidRPr="00C17B8B">
      <w:rPr>
        <w:rFonts w:cs="Arial"/>
      </w:rPr>
      <w:instrText xml:space="preserve"> DOCPROPERTY "Status" </w:instrText>
    </w:r>
    <w:r w:rsidRPr="00C17B8B">
      <w:rPr>
        <w:rFonts w:cs="Arial"/>
      </w:rPr>
      <w:fldChar w:fldCharType="separate"/>
    </w:r>
    <w:r w:rsidR="000B6920" w:rsidRPr="00C17B8B">
      <w:rPr>
        <w:rFonts w:cs="Arial"/>
      </w:rPr>
      <w:t xml:space="preserve"> </w:t>
    </w:r>
    <w:r w:rsidRPr="00C17B8B">
      <w:rPr>
        <w:rFonts w:cs="Arial"/>
      </w:rPr>
      <w:fldChar w:fldCharType="end"/>
    </w:r>
    <w:r w:rsidRPr="00C17B8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1050" w14:textId="77777777" w:rsidR="0007725C" w:rsidRDefault="000772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725C" w14:paraId="5ED348F5" w14:textId="77777777">
      <w:tc>
        <w:tcPr>
          <w:tcW w:w="847" w:type="pct"/>
        </w:tcPr>
        <w:p w14:paraId="3D6E9E83" w14:textId="77777777" w:rsidR="0007725C" w:rsidRDefault="000772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7C3CC13" w14:textId="218251C5" w:rsidR="0007725C" w:rsidRDefault="00C17B8B">
          <w:pPr>
            <w:pStyle w:val="Footer"/>
            <w:jc w:val="center"/>
          </w:pPr>
          <w:r>
            <w:fldChar w:fldCharType="begin"/>
          </w:r>
          <w:r>
            <w:instrText xml:space="preserve"> REF Citation *\charformat </w:instrText>
          </w:r>
          <w:r>
            <w:fldChar w:fldCharType="separate"/>
          </w:r>
          <w:r w:rsidR="000B6920">
            <w:t>Gambling and Racing Control (Code of Practice) Regulation 2002</w:t>
          </w:r>
          <w:r>
            <w:fldChar w:fldCharType="end"/>
          </w:r>
        </w:p>
        <w:p w14:paraId="0D78CF7E" w14:textId="62B326BD" w:rsidR="0007725C" w:rsidRDefault="00C17B8B">
          <w:pPr>
            <w:pStyle w:val="FooterInfoCentre"/>
          </w:pPr>
          <w:r>
            <w:fldChar w:fldCharType="begin"/>
          </w:r>
          <w:r>
            <w:instrText xml:space="preserve"> DOCPROPERTY "Eff"  *\charformat </w:instrText>
          </w:r>
          <w:r>
            <w:fldChar w:fldCharType="separate"/>
          </w:r>
          <w:r w:rsidR="000B6920">
            <w:t xml:space="preserve">Effective:  </w:t>
          </w:r>
          <w:r>
            <w:fldChar w:fldCharType="end"/>
          </w:r>
          <w:r>
            <w:fldChar w:fldCharType="begin"/>
          </w:r>
          <w:r>
            <w:instrText xml:space="preserve"> DOCPROPERTY "StartDt"  *\charformat </w:instrText>
          </w:r>
          <w:r>
            <w:fldChar w:fldCharType="separate"/>
          </w:r>
          <w:r w:rsidR="000B6920">
            <w:t>27/05/21</w:t>
          </w:r>
          <w:r>
            <w:fldChar w:fldCharType="end"/>
          </w:r>
          <w:r>
            <w:fldChar w:fldCharType="begin"/>
          </w:r>
          <w:r>
            <w:instrText xml:space="preserve"> DOCPROPERTY "EndDt"  *\charformat </w:instrText>
          </w:r>
          <w:r>
            <w:fldChar w:fldCharType="separate"/>
          </w:r>
          <w:r w:rsidR="000B6920">
            <w:t>-13/11/22</w:t>
          </w:r>
          <w:r>
            <w:fldChar w:fldCharType="end"/>
          </w:r>
        </w:p>
      </w:tc>
      <w:tc>
        <w:tcPr>
          <w:tcW w:w="1061" w:type="pct"/>
        </w:tcPr>
        <w:p w14:paraId="6EBCDF66" w14:textId="61619C10" w:rsidR="0007725C" w:rsidRDefault="00C17B8B">
          <w:pPr>
            <w:pStyle w:val="Footer"/>
            <w:jc w:val="right"/>
          </w:pPr>
          <w:r>
            <w:fldChar w:fldCharType="begin"/>
          </w:r>
          <w:r>
            <w:instrText xml:space="preserve"> DOCPROPERTY "Category"  *\charformat  </w:instrText>
          </w:r>
          <w:r>
            <w:fldChar w:fldCharType="separate"/>
          </w:r>
          <w:r w:rsidR="000B6920">
            <w:t>R13</w:t>
          </w:r>
          <w:r>
            <w:fldChar w:fldCharType="end"/>
          </w:r>
          <w:r w:rsidR="0007725C">
            <w:br/>
          </w:r>
          <w:r>
            <w:fldChar w:fldCharType="begin"/>
          </w:r>
          <w:r>
            <w:instrText xml:space="preserve"> DOCPROPERTY "RepubDt"  *\charformat  </w:instrText>
          </w:r>
          <w:r>
            <w:fldChar w:fldCharType="separate"/>
          </w:r>
          <w:r w:rsidR="000B6920">
            <w:t>27/05/21</w:t>
          </w:r>
          <w:r>
            <w:fldChar w:fldCharType="end"/>
          </w:r>
        </w:p>
      </w:tc>
    </w:tr>
  </w:tbl>
  <w:p w14:paraId="6AA2D769" w14:textId="31022BE2" w:rsidR="0007725C" w:rsidRPr="00C17B8B" w:rsidRDefault="00C17B8B" w:rsidP="00C17B8B">
    <w:pPr>
      <w:pStyle w:val="Status"/>
      <w:rPr>
        <w:rFonts w:cs="Arial"/>
      </w:rPr>
    </w:pPr>
    <w:r w:rsidRPr="00C17B8B">
      <w:rPr>
        <w:rFonts w:cs="Arial"/>
      </w:rPr>
      <w:fldChar w:fldCharType="begin"/>
    </w:r>
    <w:r w:rsidRPr="00C17B8B">
      <w:rPr>
        <w:rFonts w:cs="Arial"/>
      </w:rPr>
      <w:instrText xml:space="preserve"> DOCPROPERTY "Status" </w:instrText>
    </w:r>
    <w:r w:rsidRPr="00C17B8B">
      <w:rPr>
        <w:rFonts w:cs="Arial"/>
      </w:rPr>
      <w:fldChar w:fldCharType="separate"/>
    </w:r>
    <w:r w:rsidR="000B6920" w:rsidRPr="00C17B8B">
      <w:rPr>
        <w:rFonts w:cs="Arial"/>
      </w:rPr>
      <w:t xml:space="preserve"> </w:t>
    </w:r>
    <w:r w:rsidRPr="00C17B8B">
      <w:rPr>
        <w:rFonts w:cs="Arial"/>
      </w:rPr>
      <w:fldChar w:fldCharType="end"/>
    </w:r>
    <w:r w:rsidRPr="00C17B8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E9DC" w14:textId="77777777" w:rsidR="0007725C" w:rsidRDefault="0007725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725C" w14:paraId="75555790" w14:textId="77777777">
      <w:tc>
        <w:tcPr>
          <w:tcW w:w="1061" w:type="pct"/>
        </w:tcPr>
        <w:p w14:paraId="476B6A8C" w14:textId="4C3F3878" w:rsidR="0007725C" w:rsidRDefault="00C17B8B">
          <w:pPr>
            <w:pStyle w:val="Footer"/>
          </w:pPr>
          <w:r>
            <w:fldChar w:fldCharType="begin"/>
          </w:r>
          <w:r>
            <w:instrText xml:space="preserve"> DOCPROPERTY "Category"  *\charformat  </w:instrText>
          </w:r>
          <w:r>
            <w:fldChar w:fldCharType="separate"/>
          </w:r>
          <w:r w:rsidR="000B6920">
            <w:t>R13</w:t>
          </w:r>
          <w:r>
            <w:fldChar w:fldCharType="end"/>
          </w:r>
          <w:r w:rsidR="0007725C">
            <w:br/>
          </w:r>
          <w:r>
            <w:fldChar w:fldCharType="begin"/>
          </w:r>
          <w:r>
            <w:instrText xml:space="preserve"> DOCPROPERTY "RepubDt"  *\charformat  </w:instrText>
          </w:r>
          <w:r>
            <w:fldChar w:fldCharType="separate"/>
          </w:r>
          <w:r w:rsidR="000B6920">
            <w:t>27/05/21</w:t>
          </w:r>
          <w:r>
            <w:fldChar w:fldCharType="end"/>
          </w:r>
        </w:p>
      </w:tc>
      <w:tc>
        <w:tcPr>
          <w:tcW w:w="3092" w:type="pct"/>
        </w:tcPr>
        <w:p w14:paraId="7EE35D97" w14:textId="6AFC0904" w:rsidR="0007725C" w:rsidRDefault="00C17B8B">
          <w:pPr>
            <w:pStyle w:val="Footer"/>
            <w:jc w:val="center"/>
          </w:pPr>
          <w:r>
            <w:fldChar w:fldCharType="begin"/>
          </w:r>
          <w:r>
            <w:instrText xml:space="preserve"> REF Citation *\charformat </w:instrText>
          </w:r>
          <w:r>
            <w:fldChar w:fldCharType="separate"/>
          </w:r>
          <w:r w:rsidR="000B6920">
            <w:t>Gambling and Racing Control (Code of Practice) Regulation 2002</w:t>
          </w:r>
          <w:r>
            <w:fldChar w:fldCharType="end"/>
          </w:r>
        </w:p>
        <w:p w14:paraId="738A56CC" w14:textId="5AE82608" w:rsidR="0007725C" w:rsidRDefault="00C17B8B">
          <w:pPr>
            <w:pStyle w:val="FooterInfoCentre"/>
          </w:pPr>
          <w:r>
            <w:fldChar w:fldCharType="begin"/>
          </w:r>
          <w:r>
            <w:instrText xml:space="preserve"> DOCPROPERTY "Eff"  *\charformat </w:instrText>
          </w:r>
          <w:r>
            <w:fldChar w:fldCharType="separate"/>
          </w:r>
          <w:r w:rsidR="000B6920">
            <w:t xml:space="preserve">Effective:  </w:t>
          </w:r>
          <w:r>
            <w:fldChar w:fldCharType="end"/>
          </w:r>
          <w:r>
            <w:fldChar w:fldCharType="begin"/>
          </w:r>
          <w:r>
            <w:instrText xml:space="preserve"> DOCPROPERTY "StartDt"  *\charformat </w:instrText>
          </w:r>
          <w:r>
            <w:fldChar w:fldCharType="separate"/>
          </w:r>
          <w:r w:rsidR="000B6920">
            <w:t>27/05/21</w:t>
          </w:r>
          <w:r>
            <w:fldChar w:fldCharType="end"/>
          </w:r>
          <w:r>
            <w:fldChar w:fldCharType="begin"/>
          </w:r>
          <w:r>
            <w:instrText xml:space="preserve"> DOCPROPERTY "EndDt"  *\charformat </w:instrText>
          </w:r>
          <w:r>
            <w:fldChar w:fldCharType="separate"/>
          </w:r>
          <w:r w:rsidR="000B6920">
            <w:t>-13/11/22</w:t>
          </w:r>
          <w:r>
            <w:fldChar w:fldCharType="end"/>
          </w:r>
        </w:p>
      </w:tc>
      <w:tc>
        <w:tcPr>
          <w:tcW w:w="847" w:type="pct"/>
        </w:tcPr>
        <w:p w14:paraId="1D30D483" w14:textId="77777777" w:rsidR="0007725C" w:rsidRDefault="000772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60D356F" w14:textId="41388990" w:rsidR="0007725C" w:rsidRPr="00C17B8B" w:rsidRDefault="00C17B8B" w:rsidP="00C17B8B">
    <w:pPr>
      <w:pStyle w:val="Status"/>
      <w:rPr>
        <w:rFonts w:cs="Arial"/>
      </w:rPr>
    </w:pPr>
    <w:r w:rsidRPr="00C17B8B">
      <w:rPr>
        <w:rFonts w:cs="Arial"/>
      </w:rPr>
      <w:fldChar w:fldCharType="begin"/>
    </w:r>
    <w:r w:rsidRPr="00C17B8B">
      <w:rPr>
        <w:rFonts w:cs="Arial"/>
      </w:rPr>
      <w:instrText xml:space="preserve"> DOCPROPERTY "Status" </w:instrText>
    </w:r>
    <w:r w:rsidRPr="00C17B8B">
      <w:rPr>
        <w:rFonts w:cs="Arial"/>
      </w:rPr>
      <w:fldChar w:fldCharType="separate"/>
    </w:r>
    <w:r w:rsidR="000B6920" w:rsidRPr="00C17B8B">
      <w:rPr>
        <w:rFonts w:cs="Arial"/>
      </w:rPr>
      <w:t xml:space="preserve"> </w:t>
    </w:r>
    <w:r w:rsidRPr="00C17B8B">
      <w:rPr>
        <w:rFonts w:cs="Arial"/>
      </w:rPr>
      <w:fldChar w:fldCharType="end"/>
    </w:r>
    <w:r w:rsidRPr="00C17B8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D11B" w14:textId="77777777" w:rsidR="000B6920" w:rsidRDefault="000B692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6920" w14:paraId="1DB7FAB6" w14:textId="77777777">
      <w:tc>
        <w:tcPr>
          <w:tcW w:w="847" w:type="pct"/>
        </w:tcPr>
        <w:p w14:paraId="1173B534" w14:textId="77777777" w:rsidR="000B6920" w:rsidRDefault="000B692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EFB4ECE" w14:textId="46591972" w:rsidR="000B6920" w:rsidRDefault="00C17B8B">
          <w:pPr>
            <w:pStyle w:val="Footer"/>
            <w:jc w:val="center"/>
          </w:pPr>
          <w:r>
            <w:fldChar w:fldCharType="begin"/>
          </w:r>
          <w:r>
            <w:instrText xml:space="preserve"> REF Citation *\charformat </w:instrText>
          </w:r>
          <w:r>
            <w:fldChar w:fldCharType="separate"/>
          </w:r>
          <w:r w:rsidR="000B6920">
            <w:t>Gambling and Racing Control (Code of Practice) Regulation 2002</w:t>
          </w:r>
          <w:r>
            <w:fldChar w:fldCharType="end"/>
          </w:r>
        </w:p>
        <w:p w14:paraId="2A0AFE8C" w14:textId="3E6EB4E2" w:rsidR="000B6920" w:rsidRDefault="00C17B8B">
          <w:pPr>
            <w:pStyle w:val="FooterInfoCentre"/>
          </w:pPr>
          <w:r>
            <w:fldChar w:fldCharType="begin"/>
          </w:r>
          <w:r>
            <w:instrText xml:space="preserve"> DOCPROPERTY "Eff"  *\charformat </w:instrText>
          </w:r>
          <w:r>
            <w:fldChar w:fldCharType="separate"/>
          </w:r>
          <w:r w:rsidR="000B6920">
            <w:t xml:space="preserve">Effective:  </w:t>
          </w:r>
          <w:r>
            <w:fldChar w:fldCharType="end"/>
          </w:r>
          <w:r>
            <w:fldChar w:fldCharType="begin"/>
          </w:r>
          <w:r>
            <w:instrText xml:space="preserve"> DOCPROPERTY "StartDt"  *\charformat </w:instrText>
          </w:r>
          <w:r>
            <w:fldChar w:fldCharType="separate"/>
          </w:r>
          <w:r w:rsidR="000B6920">
            <w:t>27/05/21</w:t>
          </w:r>
          <w:r>
            <w:fldChar w:fldCharType="end"/>
          </w:r>
          <w:r>
            <w:fldChar w:fldCharType="begin"/>
          </w:r>
          <w:r>
            <w:instrText xml:space="preserve"> DOCPROPERTY "EndDt"  *\charformat </w:instrText>
          </w:r>
          <w:r>
            <w:fldChar w:fldCharType="separate"/>
          </w:r>
          <w:r w:rsidR="000B6920">
            <w:t>-13/11/22</w:t>
          </w:r>
          <w:r>
            <w:fldChar w:fldCharType="end"/>
          </w:r>
        </w:p>
      </w:tc>
      <w:tc>
        <w:tcPr>
          <w:tcW w:w="1061" w:type="pct"/>
        </w:tcPr>
        <w:p w14:paraId="02D41861" w14:textId="0CB23313" w:rsidR="000B6920" w:rsidRDefault="00C17B8B">
          <w:pPr>
            <w:pStyle w:val="Footer"/>
            <w:jc w:val="right"/>
          </w:pPr>
          <w:r>
            <w:fldChar w:fldCharType="begin"/>
          </w:r>
          <w:r>
            <w:instrText xml:space="preserve"> DOCPROPERTY "Category"  *\charformat  </w:instrText>
          </w:r>
          <w:r>
            <w:fldChar w:fldCharType="separate"/>
          </w:r>
          <w:r w:rsidR="000B6920">
            <w:t>R13</w:t>
          </w:r>
          <w:r>
            <w:fldChar w:fldCharType="end"/>
          </w:r>
          <w:r w:rsidR="000B6920">
            <w:br/>
          </w:r>
          <w:r>
            <w:fldChar w:fldCharType="begin"/>
          </w:r>
          <w:r>
            <w:instrText xml:space="preserve"> DOCPROPERTY "RepubDt"  *\charformat  </w:instrText>
          </w:r>
          <w:r>
            <w:fldChar w:fldCharType="separate"/>
          </w:r>
          <w:r w:rsidR="000B6920">
            <w:t>27/05/21</w:t>
          </w:r>
          <w:r>
            <w:fldChar w:fldCharType="end"/>
          </w:r>
        </w:p>
      </w:tc>
    </w:tr>
  </w:tbl>
  <w:p w14:paraId="3619D7CF" w14:textId="14BD621B" w:rsidR="000B6920" w:rsidRPr="00C17B8B" w:rsidRDefault="00C17B8B" w:rsidP="00C17B8B">
    <w:pPr>
      <w:pStyle w:val="Status"/>
      <w:rPr>
        <w:rFonts w:cs="Arial"/>
      </w:rPr>
    </w:pPr>
    <w:r w:rsidRPr="00C17B8B">
      <w:rPr>
        <w:rFonts w:cs="Arial"/>
      </w:rPr>
      <w:fldChar w:fldCharType="begin"/>
    </w:r>
    <w:r w:rsidRPr="00C17B8B">
      <w:rPr>
        <w:rFonts w:cs="Arial"/>
      </w:rPr>
      <w:instrText xml:space="preserve"> DOCPROPERTY "S</w:instrText>
    </w:r>
    <w:r w:rsidRPr="00C17B8B">
      <w:rPr>
        <w:rFonts w:cs="Arial"/>
      </w:rPr>
      <w:instrText xml:space="preserve">tatus" </w:instrText>
    </w:r>
    <w:r w:rsidRPr="00C17B8B">
      <w:rPr>
        <w:rFonts w:cs="Arial"/>
      </w:rPr>
      <w:fldChar w:fldCharType="separate"/>
    </w:r>
    <w:r w:rsidR="000B6920" w:rsidRPr="00C17B8B">
      <w:rPr>
        <w:rFonts w:cs="Arial"/>
      </w:rPr>
      <w:t xml:space="preserve"> </w:t>
    </w:r>
    <w:r w:rsidRPr="00C17B8B">
      <w:rPr>
        <w:rFonts w:cs="Arial"/>
      </w:rPr>
      <w:fldChar w:fldCharType="end"/>
    </w:r>
    <w:r w:rsidRPr="00C17B8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83B1" w14:textId="77777777" w:rsidR="000B6920" w:rsidRDefault="000B692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6920" w14:paraId="4F57F32A" w14:textId="77777777">
      <w:tc>
        <w:tcPr>
          <w:tcW w:w="1061" w:type="pct"/>
        </w:tcPr>
        <w:p w14:paraId="520D030D" w14:textId="3D3CAE48" w:rsidR="000B6920" w:rsidRDefault="00C17B8B">
          <w:pPr>
            <w:pStyle w:val="Footer"/>
          </w:pPr>
          <w:r>
            <w:fldChar w:fldCharType="begin"/>
          </w:r>
          <w:r>
            <w:instrText xml:space="preserve"> DOCPROPERTY "Category"  *\charformat  </w:instrText>
          </w:r>
          <w:r>
            <w:fldChar w:fldCharType="separate"/>
          </w:r>
          <w:r w:rsidR="000B6920">
            <w:t>R13</w:t>
          </w:r>
          <w:r>
            <w:fldChar w:fldCharType="end"/>
          </w:r>
          <w:r w:rsidR="000B6920">
            <w:br/>
          </w:r>
          <w:r>
            <w:fldChar w:fldCharType="begin"/>
          </w:r>
          <w:r>
            <w:instrText xml:space="preserve"> DOCPROPERTY "RepubDt"  *\charformat  </w:instrText>
          </w:r>
          <w:r>
            <w:fldChar w:fldCharType="separate"/>
          </w:r>
          <w:r w:rsidR="000B6920">
            <w:t>27/05/21</w:t>
          </w:r>
          <w:r>
            <w:fldChar w:fldCharType="end"/>
          </w:r>
        </w:p>
      </w:tc>
      <w:tc>
        <w:tcPr>
          <w:tcW w:w="3092" w:type="pct"/>
        </w:tcPr>
        <w:p w14:paraId="583AFD56" w14:textId="42635FB8" w:rsidR="000B6920" w:rsidRDefault="00C17B8B">
          <w:pPr>
            <w:pStyle w:val="Footer"/>
            <w:jc w:val="center"/>
          </w:pPr>
          <w:r>
            <w:fldChar w:fldCharType="begin"/>
          </w:r>
          <w:r>
            <w:instrText xml:space="preserve"> REF Citation *\charformat </w:instrText>
          </w:r>
          <w:r>
            <w:fldChar w:fldCharType="separate"/>
          </w:r>
          <w:r w:rsidR="000B6920">
            <w:t>Gambling and Racing Control (Code of Practice) Regulation 2002</w:t>
          </w:r>
          <w:r>
            <w:fldChar w:fldCharType="end"/>
          </w:r>
        </w:p>
        <w:p w14:paraId="6A15B07E" w14:textId="639E442D" w:rsidR="000B6920" w:rsidRDefault="00C17B8B">
          <w:pPr>
            <w:pStyle w:val="FooterInfoCentre"/>
          </w:pPr>
          <w:r>
            <w:fldChar w:fldCharType="begin"/>
          </w:r>
          <w:r>
            <w:instrText xml:space="preserve"> DOCPROPERTY "Eff"  *\charformat </w:instrText>
          </w:r>
          <w:r>
            <w:fldChar w:fldCharType="separate"/>
          </w:r>
          <w:r w:rsidR="000B6920">
            <w:t xml:space="preserve">Effective:  </w:t>
          </w:r>
          <w:r>
            <w:fldChar w:fldCharType="end"/>
          </w:r>
          <w:r>
            <w:fldChar w:fldCharType="begin"/>
          </w:r>
          <w:r>
            <w:instrText xml:space="preserve"> DOCP</w:instrText>
          </w:r>
          <w:r>
            <w:instrText xml:space="preserve">ROPERTY "StartDt"  *\charformat </w:instrText>
          </w:r>
          <w:r>
            <w:fldChar w:fldCharType="separate"/>
          </w:r>
          <w:r w:rsidR="000B6920">
            <w:t>27/05/21</w:t>
          </w:r>
          <w:r>
            <w:fldChar w:fldCharType="end"/>
          </w:r>
          <w:r>
            <w:fldChar w:fldCharType="begin"/>
          </w:r>
          <w:r>
            <w:instrText xml:space="preserve"> DOCPROPERTY "EndDt"  *\charformat </w:instrText>
          </w:r>
          <w:r>
            <w:fldChar w:fldCharType="separate"/>
          </w:r>
          <w:r w:rsidR="000B6920">
            <w:t>-13/11/22</w:t>
          </w:r>
          <w:r>
            <w:fldChar w:fldCharType="end"/>
          </w:r>
        </w:p>
      </w:tc>
      <w:tc>
        <w:tcPr>
          <w:tcW w:w="847" w:type="pct"/>
        </w:tcPr>
        <w:p w14:paraId="5D20D353" w14:textId="77777777" w:rsidR="000B6920" w:rsidRDefault="000B692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C186E31" w14:textId="3B5A5D63" w:rsidR="000B6920" w:rsidRPr="00C17B8B" w:rsidRDefault="00C17B8B" w:rsidP="00C17B8B">
    <w:pPr>
      <w:pStyle w:val="Status"/>
      <w:rPr>
        <w:rFonts w:cs="Arial"/>
      </w:rPr>
    </w:pPr>
    <w:r w:rsidRPr="00C17B8B">
      <w:rPr>
        <w:rFonts w:cs="Arial"/>
      </w:rPr>
      <w:fldChar w:fldCharType="begin"/>
    </w:r>
    <w:r w:rsidRPr="00C17B8B">
      <w:rPr>
        <w:rFonts w:cs="Arial"/>
      </w:rPr>
      <w:instrText xml:space="preserve"> DOCPROPERTY "Status" </w:instrText>
    </w:r>
    <w:r w:rsidRPr="00C17B8B">
      <w:rPr>
        <w:rFonts w:cs="Arial"/>
      </w:rPr>
      <w:fldChar w:fldCharType="separate"/>
    </w:r>
    <w:r w:rsidR="000B6920" w:rsidRPr="00C17B8B">
      <w:rPr>
        <w:rFonts w:cs="Arial"/>
      </w:rPr>
      <w:t xml:space="preserve"> </w:t>
    </w:r>
    <w:r w:rsidRPr="00C17B8B">
      <w:rPr>
        <w:rFonts w:cs="Arial"/>
      </w:rPr>
      <w:fldChar w:fldCharType="end"/>
    </w:r>
    <w:r w:rsidRPr="00C17B8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704B" w14:textId="16B89A30" w:rsidR="00F21EE6" w:rsidRPr="00C17B8B" w:rsidRDefault="00C17B8B" w:rsidP="00C17B8B">
    <w:pPr>
      <w:pStyle w:val="Footer"/>
      <w:jc w:val="center"/>
      <w:rPr>
        <w:rFonts w:cs="Arial"/>
        <w:sz w:val="14"/>
      </w:rPr>
    </w:pPr>
    <w:r w:rsidRPr="00C17B8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4AB7" w14:textId="232327BF" w:rsidR="00F21EE6" w:rsidRPr="00C17B8B" w:rsidRDefault="00F21EE6" w:rsidP="00C17B8B">
    <w:pPr>
      <w:pStyle w:val="Footer"/>
      <w:jc w:val="center"/>
      <w:rPr>
        <w:rFonts w:cs="Arial"/>
        <w:sz w:val="14"/>
      </w:rPr>
    </w:pPr>
    <w:r w:rsidRPr="00C17B8B">
      <w:rPr>
        <w:rFonts w:cs="Arial"/>
        <w:sz w:val="14"/>
      </w:rPr>
      <w:fldChar w:fldCharType="begin"/>
    </w:r>
    <w:r w:rsidRPr="00C17B8B">
      <w:rPr>
        <w:rFonts w:cs="Arial"/>
        <w:sz w:val="14"/>
      </w:rPr>
      <w:instrText xml:space="preserve"> COMMENTS  \* MERGEFORMAT </w:instrText>
    </w:r>
    <w:r w:rsidRPr="00C17B8B">
      <w:rPr>
        <w:rFonts w:cs="Arial"/>
        <w:sz w:val="14"/>
      </w:rPr>
      <w:fldChar w:fldCharType="end"/>
    </w:r>
    <w:r w:rsidR="00C17B8B" w:rsidRPr="00C17B8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9C90" w14:textId="40694FB2" w:rsidR="00F21EE6" w:rsidRPr="00C17B8B" w:rsidRDefault="00C17B8B" w:rsidP="00C17B8B">
    <w:pPr>
      <w:pStyle w:val="Footer"/>
      <w:jc w:val="center"/>
      <w:rPr>
        <w:rFonts w:cs="Arial"/>
        <w:sz w:val="14"/>
      </w:rPr>
    </w:pPr>
    <w:r w:rsidRPr="00C17B8B">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324B" w14:textId="77777777" w:rsidR="00F21EE6" w:rsidRDefault="00F21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E324" w14:textId="57EC000C" w:rsidR="00F21EE6" w:rsidRPr="00C17B8B" w:rsidRDefault="00F21EE6" w:rsidP="00C17B8B">
    <w:pPr>
      <w:pStyle w:val="Footer"/>
      <w:jc w:val="center"/>
      <w:rPr>
        <w:rFonts w:cs="Arial"/>
        <w:sz w:val="14"/>
      </w:rPr>
    </w:pPr>
    <w:r w:rsidRPr="00C17B8B">
      <w:rPr>
        <w:rFonts w:cs="Arial"/>
        <w:sz w:val="14"/>
      </w:rPr>
      <w:fldChar w:fldCharType="begin"/>
    </w:r>
    <w:r w:rsidRPr="00C17B8B">
      <w:rPr>
        <w:rFonts w:cs="Arial"/>
        <w:sz w:val="14"/>
      </w:rPr>
      <w:instrText xml:space="preserve"> DOCPROPERTY "Status" </w:instrText>
    </w:r>
    <w:r w:rsidRPr="00C17B8B">
      <w:rPr>
        <w:rFonts w:cs="Arial"/>
        <w:sz w:val="14"/>
      </w:rPr>
      <w:fldChar w:fldCharType="separate"/>
    </w:r>
    <w:r w:rsidR="000B6920" w:rsidRPr="00C17B8B">
      <w:rPr>
        <w:rFonts w:cs="Arial"/>
        <w:sz w:val="14"/>
      </w:rPr>
      <w:t xml:space="preserve"> </w:t>
    </w:r>
    <w:r w:rsidRPr="00C17B8B">
      <w:rPr>
        <w:rFonts w:cs="Arial"/>
        <w:sz w:val="14"/>
      </w:rPr>
      <w:fldChar w:fldCharType="end"/>
    </w:r>
    <w:r w:rsidRPr="00C17B8B">
      <w:rPr>
        <w:rFonts w:cs="Arial"/>
        <w:sz w:val="14"/>
      </w:rPr>
      <w:fldChar w:fldCharType="begin"/>
    </w:r>
    <w:r w:rsidRPr="00C17B8B">
      <w:rPr>
        <w:rFonts w:cs="Arial"/>
        <w:sz w:val="14"/>
      </w:rPr>
      <w:instrText xml:space="preserve"> COMMENTS  \* MERGEFORMAT </w:instrText>
    </w:r>
    <w:r w:rsidRPr="00C17B8B">
      <w:rPr>
        <w:rFonts w:cs="Arial"/>
        <w:sz w:val="14"/>
      </w:rPr>
      <w:fldChar w:fldCharType="end"/>
    </w:r>
    <w:r w:rsidR="00C17B8B" w:rsidRPr="00C17B8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A4F8" w14:textId="046CAB15" w:rsidR="0007725C" w:rsidRPr="00C17B8B" w:rsidRDefault="00C17B8B" w:rsidP="00C17B8B">
    <w:pPr>
      <w:pStyle w:val="Footer"/>
      <w:jc w:val="center"/>
      <w:rPr>
        <w:rFonts w:cs="Arial"/>
        <w:sz w:val="14"/>
      </w:rPr>
    </w:pPr>
    <w:r w:rsidRPr="00C17B8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94D1" w14:textId="77777777" w:rsidR="0007725C" w:rsidRDefault="0007725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7725C" w14:paraId="6E52258C" w14:textId="77777777">
      <w:tc>
        <w:tcPr>
          <w:tcW w:w="846" w:type="pct"/>
        </w:tcPr>
        <w:p w14:paraId="24B2DA6A" w14:textId="77777777" w:rsidR="0007725C" w:rsidRDefault="0007725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C71C8BB" w14:textId="1C72BC79" w:rsidR="0007725C" w:rsidRDefault="00C17B8B">
          <w:pPr>
            <w:pStyle w:val="Footer"/>
            <w:jc w:val="center"/>
          </w:pPr>
          <w:r>
            <w:fldChar w:fldCharType="begin"/>
          </w:r>
          <w:r>
            <w:instrText xml:space="preserve"> REF Citation *\charformat </w:instrText>
          </w:r>
          <w:r>
            <w:fldChar w:fldCharType="separate"/>
          </w:r>
          <w:r w:rsidR="000B6920">
            <w:t>Gambling and Racing Control (Code of Practice) Regulation 2002</w:t>
          </w:r>
          <w:r>
            <w:fldChar w:fldCharType="end"/>
          </w:r>
        </w:p>
        <w:p w14:paraId="342E9EED" w14:textId="2E504A65" w:rsidR="0007725C" w:rsidRDefault="00C17B8B">
          <w:pPr>
            <w:pStyle w:val="FooterInfoCentre"/>
          </w:pPr>
          <w:r>
            <w:fldChar w:fldCharType="begin"/>
          </w:r>
          <w:r>
            <w:instrText xml:space="preserve"> DOCPROPERTY "Eff"  </w:instrText>
          </w:r>
          <w:r>
            <w:fldChar w:fldCharType="separate"/>
          </w:r>
          <w:r w:rsidR="000B6920">
            <w:t xml:space="preserve">Effective:  </w:t>
          </w:r>
          <w:r>
            <w:fldChar w:fldCharType="end"/>
          </w:r>
          <w:r>
            <w:fldChar w:fldCharType="begin"/>
          </w:r>
          <w:r>
            <w:instrText xml:space="preserve"> DOCPROPERTY "StartDt"   </w:instrText>
          </w:r>
          <w:r>
            <w:fldChar w:fldCharType="separate"/>
          </w:r>
          <w:r w:rsidR="000B6920">
            <w:t>27/05/21</w:t>
          </w:r>
          <w:r>
            <w:fldChar w:fldCharType="end"/>
          </w:r>
          <w:r>
            <w:fldChar w:fldCharType="begin"/>
          </w:r>
          <w:r>
            <w:instrText xml:space="preserve"> DOCPROPERTY "EndDt"  </w:instrText>
          </w:r>
          <w:r>
            <w:fldChar w:fldCharType="separate"/>
          </w:r>
          <w:r w:rsidR="000B6920">
            <w:t>-13/11/22</w:t>
          </w:r>
          <w:r>
            <w:fldChar w:fldCharType="end"/>
          </w:r>
        </w:p>
      </w:tc>
      <w:tc>
        <w:tcPr>
          <w:tcW w:w="1061" w:type="pct"/>
        </w:tcPr>
        <w:p w14:paraId="7B93C0A3" w14:textId="6FAD19F8" w:rsidR="0007725C" w:rsidRDefault="00C17B8B">
          <w:pPr>
            <w:pStyle w:val="Footer"/>
            <w:jc w:val="right"/>
          </w:pPr>
          <w:r>
            <w:fldChar w:fldCharType="begin"/>
          </w:r>
          <w:r>
            <w:instrText xml:space="preserve"> DOCPROPERTY "Category"  </w:instrText>
          </w:r>
          <w:r>
            <w:fldChar w:fldCharType="separate"/>
          </w:r>
          <w:r w:rsidR="000B6920">
            <w:t>R13</w:t>
          </w:r>
          <w:r>
            <w:fldChar w:fldCharType="end"/>
          </w:r>
          <w:r w:rsidR="0007725C">
            <w:br/>
          </w:r>
          <w:r>
            <w:fldChar w:fldCharType="begin"/>
          </w:r>
          <w:r>
            <w:instrText xml:space="preserve"> DOCPROPERTY "RepubDt"  </w:instrText>
          </w:r>
          <w:r>
            <w:fldChar w:fldCharType="separate"/>
          </w:r>
          <w:r w:rsidR="000B6920">
            <w:t>27/05/21</w:t>
          </w:r>
          <w:r>
            <w:fldChar w:fldCharType="end"/>
          </w:r>
        </w:p>
      </w:tc>
    </w:tr>
  </w:tbl>
  <w:p w14:paraId="60776145" w14:textId="3045E6DB" w:rsidR="0007725C" w:rsidRPr="00C17B8B" w:rsidRDefault="00C17B8B" w:rsidP="00C17B8B">
    <w:pPr>
      <w:pStyle w:val="Status"/>
      <w:rPr>
        <w:rFonts w:cs="Arial"/>
      </w:rPr>
    </w:pPr>
    <w:r w:rsidRPr="00C17B8B">
      <w:rPr>
        <w:rFonts w:cs="Arial"/>
      </w:rPr>
      <w:fldChar w:fldCharType="begin"/>
    </w:r>
    <w:r w:rsidRPr="00C17B8B">
      <w:rPr>
        <w:rFonts w:cs="Arial"/>
      </w:rPr>
      <w:instrText xml:space="preserve"> DOCPROPERTY "Status" </w:instrText>
    </w:r>
    <w:r w:rsidRPr="00C17B8B">
      <w:rPr>
        <w:rFonts w:cs="Arial"/>
      </w:rPr>
      <w:fldChar w:fldCharType="separate"/>
    </w:r>
    <w:r w:rsidR="000B6920" w:rsidRPr="00C17B8B">
      <w:rPr>
        <w:rFonts w:cs="Arial"/>
      </w:rPr>
      <w:t xml:space="preserve"> </w:t>
    </w:r>
    <w:r w:rsidRPr="00C17B8B">
      <w:rPr>
        <w:rFonts w:cs="Arial"/>
      </w:rPr>
      <w:fldChar w:fldCharType="end"/>
    </w:r>
    <w:r w:rsidRPr="00C17B8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850E" w14:textId="77777777" w:rsidR="0007725C" w:rsidRDefault="0007725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7725C" w14:paraId="785875F1" w14:textId="77777777">
      <w:tc>
        <w:tcPr>
          <w:tcW w:w="1061" w:type="pct"/>
        </w:tcPr>
        <w:p w14:paraId="6978249A" w14:textId="37FF7402" w:rsidR="0007725C" w:rsidRDefault="00C17B8B">
          <w:pPr>
            <w:pStyle w:val="Footer"/>
          </w:pPr>
          <w:r>
            <w:fldChar w:fldCharType="begin"/>
          </w:r>
          <w:r>
            <w:instrText xml:space="preserve"> DOCPROPERTY "Category"  </w:instrText>
          </w:r>
          <w:r>
            <w:fldChar w:fldCharType="separate"/>
          </w:r>
          <w:r w:rsidR="000B6920">
            <w:t>R13</w:t>
          </w:r>
          <w:r>
            <w:fldChar w:fldCharType="end"/>
          </w:r>
          <w:r w:rsidR="0007725C">
            <w:br/>
          </w:r>
          <w:r>
            <w:fldChar w:fldCharType="begin"/>
          </w:r>
          <w:r>
            <w:instrText xml:space="preserve"> DOCPROPERTY "RepubDt"  </w:instrText>
          </w:r>
          <w:r>
            <w:fldChar w:fldCharType="separate"/>
          </w:r>
          <w:r w:rsidR="000B6920">
            <w:t>27/05/21</w:t>
          </w:r>
          <w:r>
            <w:fldChar w:fldCharType="end"/>
          </w:r>
        </w:p>
      </w:tc>
      <w:tc>
        <w:tcPr>
          <w:tcW w:w="3093" w:type="pct"/>
        </w:tcPr>
        <w:p w14:paraId="412122D4" w14:textId="2F5EB122" w:rsidR="0007725C" w:rsidRDefault="00C17B8B">
          <w:pPr>
            <w:pStyle w:val="Footer"/>
            <w:jc w:val="center"/>
          </w:pPr>
          <w:r>
            <w:fldChar w:fldCharType="begin"/>
          </w:r>
          <w:r>
            <w:instrText xml:space="preserve"> REF Citation *\charformat </w:instrText>
          </w:r>
          <w:r>
            <w:fldChar w:fldCharType="separate"/>
          </w:r>
          <w:r w:rsidR="000B6920">
            <w:t>Gambling and Racing Control (Code of Practice) Regulation 2002</w:t>
          </w:r>
          <w:r>
            <w:fldChar w:fldCharType="end"/>
          </w:r>
        </w:p>
        <w:p w14:paraId="2F41F4A9" w14:textId="10296E4A" w:rsidR="0007725C" w:rsidRDefault="00C17B8B">
          <w:pPr>
            <w:pStyle w:val="FooterInfoCentre"/>
          </w:pPr>
          <w:r>
            <w:fldChar w:fldCharType="begin"/>
          </w:r>
          <w:r>
            <w:instrText xml:space="preserve"> DOCPROPERTY "Eff"  </w:instrText>
          </w:r>
          <w:r>
            <w:fldChar w:fldCharType="separate"/>
          </w:r>
          <w:r w:rsidR="000B6920">
            <w:t xml:space="preserve">Effective:  </w:t>
          </w:r>
          <w:r>
            <w:fldChar w:fldCharType="end"/>
          </w:r>
          <w:r>
            <w:fldChar w:fldCharType="begin"/>
          </w:r>
          <w:r>
            <w:instrText xml:space="preserve"> DOCPROPERTY "StartDt"  </w:instrText>
          </w:r>
          <w:r>
            <w:fldChar w:fldCharType="separate"/>
          </w:r>
          <w:r w:rsidR="000B6920">
            <w:t>27/05/21</w:t>
          </w:r>
          <w:r>
            <w:fldChar w:fldCharType="end"/>
          </w:r>
          <w:r>
            <w:fldChar w:fldCharType="begin"/>
          </w:r>
          <w:r>
            <w:instrText xml:space="preserve"> DOCPROPERTY "EndDt"  </w:instrText>
          </w:r>
          <w:r>
            <w:fldChar w:fldCharType="separate"/>
          </w:r>
          <w:r w:rsidR="000B6920">
            <w:t>-13/11/22</w:t>
          </w:r>
          <w:r>
            <w:fldChar w:fldCharType="end"/>
          </w:r>
        </w:p>
      </w:tc>
      <w:tc>
        <w:tcPr>
          <w:tcW w:w="846" w:type="pct"/>
        </w:tcPr>
        <w:p w14:paraId="1053C27A" w14:textId="77777777" w:rsidR="0007725C" w:rsidRDefault="0007725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4B1A485" w14:textId="077861A0" w:rsidR="0007725C" w:rsidRPr="00C17B8B" w:rsidRDefault="00C17B8B" w:rsidP="00C17B8B">
    <w:pPr>
      <w:pStyle w:val="Status"/>
      <w:rPr>
        <w:rFonts w:cs="Arial"/>
      </w:rPr>
    </w:pPr>
    <w:r w:rsidRPr="00C17B8B">
      <w:rPr>
        <w:rFonts w:cs="Arial"/>
      </w:rPr>
      <w:fldChar w:fldCharType="begin"/>
    </w:r>
    <w:r w:rsidRPr="00C17B8B">
      <w:rPr>
        <w:rFonts w:cs="Arial"/>
      </w:rPr>
      <w:instrText xml:space="preserve"> DOCPROPERTY "Status" </w:instrText>
    </w:r>
    <w:r w:rsidRPr="00C17B8B">
      <w:rPr>
        <w:rFonts w:cs="Arial"/>
      </w:rPr>
      <w:fldChar w:fldCharType="separate"/>
    </w:r>
    <w:r w:rsidR="000B6920" w:rsidRPr="00C17B8B">
      <w:rPr>
        <w:rFonts w:cs="Arial"/>
      </w:rPr>
      <w:t xml:space="preserve"> </w:t>
    </w:r>
    <w:r w:rsidRPr="00C17B8B">
      <w:rPr>
        <w:rFonts w:cs="Arial"/>
      </w:rPr>
      <w:fldChar w:fldCharType="end"/>
    </w:r>
    <w:r w:rsidRPr="00C17B8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8910" w14:textId="77777777" w:rsidR="0007725C" w:rsidRDefault="0007725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7725C" w14:paraId="68B5A8A0" w14:textId="77777777">
      <w:tc>
        <w:tcPr>
          <w:tcW w:w="1061" w:type="pct"/>
        </w:tcPr>
        <w:p w14:paraId="44B61CDA" w14:textId="55840BD7" w:rsidR="0007725C" w:rsidRDefault="00C17B8B">
          <w:pPr>
            <w:pStyle w:val="Footer"/>
          </w:pPr>
          <w:r>
            <w:fldChar w:fldCharType="begin"/>
          </w:r>
          <w:r>
            <w:instrText xml:space="preserve"> DOCPROPERTY "Category"  </w:instrText>
          </w:r>
          <w:r>
            <w:fldChar w:fldCharType="separate"/>
          </w:r>
          <w:r w:rsidR="000B6920">
            <w:t>R13</w:t>
          </w:r>
          <w:r>
            <w:fldChar w:fldCharType="end"/>
          </w:r>
          <w:r w:rsidR="0007725C">
            <w:br/>
          </w:r>
          <w:r>
            <w:fldChar w:fldCharType="begin"/>
          </w:r>
          <w:r>
            <w:instrText xml:space="preserve"> DOCPROPERTY "RepubDt"  </w:instrText>
          </w:r>
          <w:r>
            <w:fldChar w:fldCharType="separate"/>
          </w:r>
          <w:r w:rsidR="000B6920">
            <w:t>27/05/21</w:t>
          </w:r>
          <w:r>
            <w:fldChar w:fldCharType="end"/>
          </w:r>
        </w:p>
      </w:tc>
      <w:tc>
        <w:tcPr>
          <w:tcW w:w="3093" w:type="pct"/>
        </w:tcPr>
        <w:p w14:paraId="197DC2B8" w14:textId="6004A53B" w:rsidR="0007725C" w:rsidRDefault="00C17B8B">
          <w:pPr>
            <w:pStyle w:val="Footer"/>
            <w:jc w:val="center"/>
          </w:pPr>
          <w:r>
            <w:fldChar w:fldCharType="begin"/>
          </w:r>
          <w:r>
            <w:instrText xml:space="preserve"> REF Citation *\charformat </w:instrText>
          </w:r>
          <w:r>
            <w:fldChar w:fldCharType="separate"/>
          </w:r>
          <w:r w:rsidR="000B6920">
            <w:t>Gambling and Racing Control (Code of Practice) Regulation 2002</w:t>
          </w:r>
          <w:r>
            <w:fldChar w:fldCharType="end"/>
          </w:r>
        </w:p>
        <w:p w14:paraId="08A3D96D" w14:textId="152CE5A5" w:rsidR="0007725C" w:rsidRDefault="00C17B8B">
          <w:pPr>
            <w:pStyle w:val="FooterInfoCentre"/>
          </w:pPr>
          <w:r>
            <w:fldChar w:fldCharType="begin"/>
          </w:r>
          <w:r>
            <w:instrText xml:space="preserve"> DOCPROPERTY "Eff"  </w:instrText>
          </w:r>
          <w:r>
            <w:fldChar w:fldCharType="separate"/>
          </w:r>
          <w:r w:rsidR="000B6920">
            <w:t xml:space="preserve">Effective:  </w:t>
          </w:r>
          <w:r>
            <w:fldChar w:fldCharType="end"/>
          </w:r>
          <w:r>
            <w:fldChar w:fldCharType="begin"/>
          </w:r>
          <w:r>
            <w:instrText xml:space="preserve"> DOCPROPERTY "StartDt"   </w:instrText>
          </w:r>
          <w:r>
            <w:fldChar w:fldCharType="separate"/>
          </w:r>
          <w:r w:rsidR="000B6920">
            <w:t>27/05/21</w:t>
          </w:r>
          <w:r>
            <w:fldChar w:fldCharType="end"/>
          </w:r>
          <w:r>
            <w:fldChar w:fldCharType="begin"/>
          </w:r>
          <w:r>
            <w:instrText xml:space="preserve"> DOCPROPERTY "EndDt"  </w:instrText>
          </w:r>
          <w:r>
            <w:fldChar w:fldCharType="separate"/>
          </w:r>
          <w:r w:rsidR="000B6920">
            <w:t>-13/11/22</w:t>
          </w:r>
          <w:r>
            <w:fldChar w:fldCharType="end"/>
          </w:r>
        </w:p>
      </w:tc>
      <w:tc>
        <w:tcPr>
          <w:tcW w:w="846" w:type="pct"/>
        </w:tcPr>
        <w:p w14:paraId="10D8D024" w14:textId="77777777" w:rsidR="0007725C" w:rsidRDefault="0007725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C130122" w14:textId="6093217B" w:rsidR="0007725C" w:rsidRPr="00C17B8B" w:rsidRDefault="00C17B8B" w:rsidP="00C17B8B">
    <w:pPr>
      <w:pStyle w:val="Status"/>
      <w:rPr>
        <w:rFonts w:cs="Arial"/>
      </w:rPr>
    </w:pPr>
    <w:r w:rsidRPr="00C17B8B">
      <w:rPr>
        <w:rFonts w:cs="Arial"/>
      </w:rPr>
      <w:fldChar w:fldCharType="begin"/>
    </w:r>
    <w:r w:rsidRPr="00C17B8B">
      <w:rPr>
        <w:rFonts w:cs="Arial"/>
      </w:rPr>
      <w:instrText xml:space="preserve"> DOCPROPERTY "Status" </w:instrText>
    </w:r>
    <w:r w:rsidRPr="00C17B8B">
      <w:rPr>
        <w:rFonts w:cs="Arial"/>
      </w:rPr>
      <w:fldChar w:fldCharType="separate"/>
    </w:r>
    <w:r w:rsidR="000B6920" w:rsidRPr="00C17B8B">
      <w:rPr>
        <w:rFonts w:cs="Arial"/>
      </w:rPr>
      <w:t xml:space="preserve"> </w:t>
    </w:r>
    <w:r w:rsidRPr="00C17B8B">
      <w:rPr>
        <w:rFonts w:cs="Arial"/>
      </w:rPr>
      <w:fldChar w:fldCharType="end"/>
    </w:r>
    <w:r w:rsidRPr="00C17B8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B931" w14:textId="77777777" w:rsidR="0007725C" w:rsidRDefault="000772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725C" w14:paraId="0B2B3AD8" w14:textId="77777777">
      <w:tc>
        <w:tcPr>
          <w:tcW w:w="847" w:type="pct"/>
        </w:tcPr>
        <w:p w14:paraId="1AE98956" w14:textId="77777777" w:rsidR="0007725C" w:rsidRDefault="000772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C465787" w14:textId="05561178" w:rsidR="0007725C" w:rsidRDefault="00C17B8B">
          <w:pPr>
            <w:pStyle w:val="Footer"/>
            <w:jc w:val="center"/>
          </w:pPr>
          <w:r>
            <w:fldChar w:fldCharType="begin"/>
          </w:r>
          <w:r>
            <w:instrText xml:space="preserve"> REF Citation *\charformat </w:instrText>
          </w:r>
          <w:r>
            <w:fldChar w:fldCharType="separate"/>
          </w:r>
          <w:r w:rsidR="000B6920">
            <w:t>Gambling and Racing Control (Code of Practice) Regulation 2002</w:t>
          </w:r>
          <w:r>
            <w:fldChar w:fldCharType="end"/>
          </w:r>
        </w:p>
        <w:p w14:paraId="01987AC3" w14:textId="1B25B01A" w:rsidR="0007725C" w:rsidRDefault="00C17B8B">
          <w:pPr>
            <w:pStyle w:val="FooterInfoCentre"/>
          </w:pPr>
          <w:r>
            <w:fldChar w:fldCharType="begin"/>
          </w:r>
          <w:r>
            <w:instrText xml:space="preserve"> DOCPROPERTY "Eff"  *\charformat </w:instrText>
          </w:r>
          <w:r>
            <w:fldChar w:fldCharType="separate"/>
          </w:r>
          <w:r w:rsidR="000B6920">
            <w:t xml:space="preserve">Effective:  </w:t>
          </w:r>
          <w:r>
            <w:fldChar w:fldCharType="end"/>
          </w:r>
          <w:r>
            <w:fldChar w:fldCharType="begin"/>
          </w:r>
          <w:r>
            <w:instrText xml:space="preserve"> DOCPROPERTY "StartDt"  *\charformat </w:instrText>
          </w:r>
          <w:r>
            <w:fldChar w:fldCharType="separate"/>
          </w:r>
          <w:r w:rsidR="000B6920">
            <w:t>27/05/21</w:t>
          </w:r>
          <w:r>
            <w:fldChar w:fldCharType="end"/>
          </w:r>
          <w:r>
            <w:fldChar w:fldCharType="begin"/>
          </w:r>
          <w:r>
            <w:instrText xml:space="preserve"> DOCPROPERTY "EndDt"  *\charformat </w:instrText>
          </w:r>
          <w:r>
            <w:fldChar w:fldCharType="separate"/>
          </w:r>
          <w:r w:rsidR="000B6920">
            <w:t>-13/11/22</w:t>
          </w:r>
          <w:r>
            <w:fldChar w:fldCharType="end"/>
          </w:r>
        </w:p>
      </w:tc>
      <w:tc>
        <w:tcPr>
          <w:tcW w:w="1061" w:type="pct"/>
        </w:tcPr>
        <w:p w14:paraId="51AA3E77" w14:textId="116D5C82" w:rsidR="0007725C" w:rsidRDefault="00C17B8B">
          <w:pPr>
            <w:pStyle w:val="Footer"/>
            <w:jc w:val="right"/>
          </w:pPr>
          <w:r>
            <w:fldChar w:fldCharType="begin"/>
          </w:r>
          <w:r>
            <w:instrText xml:space="preserve"> DOCPROPERTY "Category"  *\charformat  </w:instrText>
          </w:r>
          <w:r>
            <w:fldChar w:fldCharType="separate"/>
          </w:r>
          <w:r w:rsidR="000B6920">
            <w:t>R13</w:t>
          </w:r>
          <w:r>
            <w:fldChar w:fldCharType="end"/>
          </w:r>
          <w:r w:rsidR="0007725C">
            <w:br/>
          </w:r>
          <w:r>
            <w:fldChar w:fldCharType="begin"/>
          </w:r>
          <w:r>
            <w:instrText xml:space="preserve"> DOCPROPERTY "RepubDt"  *\charformat  </w:instrText>
          </w:r>
          <w:r>
            <w:fldChar w:fldCharType="separate"/>
          </w:r>
          <w:r w:rsidR="000B6920">
            <w:t>27/05/21</w:t>
          </w:r>
          <w:r>
            <w:fldChar w:fldCharType="end"/>
          </w:r>
        </w:p>
      </w:tc>
    </w:tr>
  </w:tbl>
  <w:p w14:paraId="147D26B8" w14:textId="56D97678" w:rsidR="0007725C" w:rsidRPr="00C17B8B" w:rsidRDefault="00C17B8B" w:rsidP="00C17B8B">
    <w:pPr>
      <w:pStyle w:val="Status"/>
      <w:rPr>
        <w:rFonts w:cs="Arial"/>
      </w:rPr>
    </w:pPr>
    <w:r w:rsidRPr="00C17B8B">
      <w:rPr>
        <w:rFonts w:cs="Arial"/>
      </w:rPr>
      <w:fldChar w:fldCharType="begin"/>
    </w:r>
    <w:r w:rsidRPr="00C17B8B">
      <w:rPr>
        <w:rFonts w:cs="Arial"/>
      </w:rPr>
      <w:instrText xml:space="preserve"> DOCPROPERTY "Status" </w:instrText>
    </w:r>
    <w:r w:rsidRPr="00C17B8B">
      <w:rPr>
        <w:rFonts w:cs="Arial"/>
      </w:rPr>
      <w:fldChar w:fldCharType="separate"/>
    </w:r>
    <w:r w:rsidR="000B6920" w:rsidRPr="00C17B8B">
      <w:rPr>
        <w:rFonts w:cs="Arial"/>
      </w:rPr>
      <w:t xml:space="preserve"> </w:t>
    </w:r>
    <w:r w:rsidRPr="00C17B8B">
      <w:rPr>
        <w:rFonts w:cs="Arial"/>
      </w:rPr>
      <w:fldChar w:fldCharType="end"/>
    </w:r>
    <w:r w:rsidRPr="00C17B8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BDD6" w14:textId="77777777" w:rsidR="0007725C" w:rsidRDefault="0007725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725C" w14:paraId="3A8FCC6A" w14:textId="77777777">
      <w:tc>
        <w:tcPr>
          <w:tcW w:w="1061" w:type="pct"/>
        </w:tcPr>
        <w:p w14:paraId="733196D4" w14:textId="0043964B" w:rsidR="0007725C" w:rsidRDefault="00C17B8B">
          <w:pPr>
            <w:pStyle w:val="Footer"/>
          </w:pPr>
          <w:r>
            <w:fldChar w:fldCharType="begin"/>
          </w:r>
          <w:r>
            <w:instrText xml:space="preserve"> DOCPROPERTY "Category"  *\charformat  </w:instrText>
          </w:r>
          <w:r>
            <w:fldChar w:fldCharType="separate"/>
          </w:r>
          <w:r w:rsidR="000B6920">
            <w:t>R13</w:t>
          </w:r>
          <w:r>
            <w:fldChar w:fldCharType="end"/>
          </w:r>
          <w:r w:rsidR="0007725C">
            <w:br/>
          </w:r>
          <w:r>
            <w:fldChar w:fldCharType="begin"/>
          </w:r>
          <w:r>
            <w:instrText xml:space="preserve"> DOCPROPERTY "RepubDt"  *\charformat  </w:instrText>
          </w:r>
          <w:r>
            <w:fldChar w:fldCharType="separate"/>
          </w:r>
          <w:r w:rsidR="000B6920">
            <w:t>27/05/21</w:t>
          </w:r>
          <w:r>
            <w:fldChar w:fldCharType="end"/>
          </w:r>
        </w:p>
      </w:tc>
      <w:tc>
        <w:tcPr>
          <w:tcW w:w="3092" w:type="pct"/>
        </w:tcPr>
        <w:p w14:paraId="507425EC" w14:textId="6D4E3664" w:rsidR="0007725C" w:rsidRDefault="00C17B8B">
          <w:pPr>
            <w:pStyle w:val="Footer"/>
            <w:jc w:val="center"/>
          </w:pPr>
          <w:r>
            <w:fldChar w:fldCharType="begin"/>
          </w:r>
          <w:r>
            <w:instrText xml:space="preserve"> REF Citation *\charformat </w:instrText>
          </w:r>
          <w:r>
            <w:fldChar w:fldCharType="separate"/>
          </w:r>
          <w:r w:rsidR="000B6920">
            <w:t>Gambling and Racing Control (Code of Practice) Regulation 2002</w:t>
          </w:r>
          <w:r>
            <w:fldChar w:fldCharType="end"/>
          </w:r>
        </w:p>
        <w:p w14:paraId="12DF9F96" w14:textId="26E51A25" w:rsidR="0007725C" w:rsidRDefault="00C17B8B">
          <w:pPr>
            <w:pStyle w:val="FooterInfoCentre"/>
          </w:pPr>
          <w:r>
            <w:fldChar w:fldCharType="begin"/>
          </w:r>
          <w:r>
            <w:instrText xml:space="preserve"> DOCPROPERTY "Eff"  *\charformat </w:instrText>
          </w:r>
          <w:r>
            <w:fldChar w:fldCharType="separate"/>
          </w:r>
          <w:r w:rsidR="000B6920">
            <w:t xml:space="preserve">Effective:  </w:t>
          </w:r>
          <w:r>
            <w:fldChar w:fldCharType="end"/>
          </w:r>
          <w:r>
            <w:fldChar w:fldCharType="begin"/>
          </w:r>
          <w:r>
            <w:instrText xml:space="preserve"> DOCPROPERTY "StartDt"  *\charformat </w:instrText>
          </w:r>
          <w:r>
            <w:fldChar w:fldCharType="separate"/>
          </w:r>
          <w:r w:rsidR="000B6920">
            <w:t>27/05/21</w:t>
          </w:r>
          <w:r>
            <w:fldChar w:fldCharType="end"/>
          </w:r>
          <w:r>
            <w:fldChar w:fldCharType="begin"/>
          </w:r>
          <w:r>
            <w:instrText xml:space="preserve"> DOCPROPERTY "EndDt"  *\charformat </w:instrText>
          </w:r>
          <w:r>
            <w:fldChar w:fldCharType="separate"/>
          </w:r>
          <w:r w:rsidR="000B6920">
            <w:t>-13/11/22</w:t>
          </w:r>
          <w:r>
            <w:fldChar w:fldCharType="end"/>
          </w:r>
        </w:p>
      </w:tc>
      <w:tc>
        <w:tcPr>
          <w:tcW w:w="847" w:type="pct"/>
        </w:tcPr>
        <w:p w14:paraId="27F9F098" w14:textId="77777777" w:rsidR="0007725C" w:rsidRDefault="000772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9A1C624" w14:textId="5C12C341" w:rsidR="0007725C" w:rsidRPr="00C17B8B" w:rsidRDefault="00C17B8B" w:rsidP="00C17B8B">
    <w:pPr>
      <w:pStyle w:val="Status"/>
      <w:rPr>
        <w:rFonts w:cs="Arial"/>
      </w:rPr>
    </w:pPr>
    <w:r w:rsidRPr="00C17B8B">
      <w:rPr>
        <w:rFonts w:cs="Arial"/>
      </w:rPr>
      <w:fldChar w:fldCharType="begin"/>
    </w:r>
    <w:r w:rsidRPr="00C17B8B">
      <w:rPr>
        <w:rFonts w:cs="Arial"/>
      </w:rPr>
      <w:instrText xml:space="preserve"> DOCPROPERTY "Status" </w:instrText>
    </w:r>
    <w:r w:rsidRPr="00C17B8B">
      <w:rPr>
        <w:rFonts w:cs="Arial"/>
      </w:rPr>
      <w:fldChar w:fldCharType="separate"/>
    </w:r>
    <w:r w:rsidR="000B6920" w:rsidRPr="00C17B8B">
      <w:rPr>
        <w:rFonts w:cs="Arial"/>
      </w:rPr>
      <w:t xml:space="preserve"> </w:t>
    </w:r>
    <w:r w:rsidRPr="00C17B8B">
      <w:rPr>
        <w:rFonts w:cs="Arial"/>
      </w:rPr>
      <w:fldChar w:fldCharType="end"/>
    </w:r>
    <w:r w:rsidRPr="00C17B8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9C53" w14:textId="77777777" w:rsidR="0007725C" w:rsidRDefault="0007725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7725C" w14:paraId="33993F8B" w14:textId="77777777">
      <w:tc>
        <w:tcPr>
          <w:tcW w:w="1061" w:type="pct"/>
        </w:tcPr>
        <w:p w14:paraId="4346DC11" w14:textId="26C76668" w:rsidR="0007725C" w:rsidRDefault="00C17B8B">
          <w:pPr>
            <w:pStyle w:val="Footer"/>
          </w:pPr>
          <w:r>
            <w:fldChar w:fldCharType="begin"/>
          </w:r>
          <w:r>
            <w:instrText xml:space="preserve"> DOCPROPERTY "Category"  *\charformat  </w:instrText>
          </w:r>
          <w:r>
            <w:fldChar w:fldCharType="separate"/>
          </w:r>
          <w:r w:rsidR="000B6920">
            <w:t>R13</w:t>
          </w:r>
          <w:r>
            <w:fldChar w:fldCharType="end"/>
          </w:r>
          <w:r w:rsidR="0007725C">
            <w:br/>
          </w:r>
          <w:r>
            <w:fldChar w:fldCharType="begin"/>
          </w:r>
          <w:r>
            <w:instrText xml:space="preserve"> DOCPROPERTY "RepubDt"  *\charformat  </w:instrText>
          </w:r>
          <w:r>
            <w:fldChar w:fldCharType="separate"/>
          </w:r>
          <w:r w:rsidR="000B6920">
            <w:t>27/05/21</w:t>
          </w:r>
          <w:r>
            <w:fldChar w:fldCharType="end"/>
          </w:r>
        </w:p>
      </w:tc>
      <w:tc>
        <w:tcPr>
          <w:tcW w:w="3092" w:type="pct"/>
        </w:tcPr>
        <w:p w14:paraId="10754FB2" w14:textId="37C1B8C7" w:rsidR="0007725C" w:rsidRDefault="00C17B8B">
          <w:pPr>
            <w:pStyle w:val="Footer"/>
            <w:jc w:val="center"/>
          </w:pPr>
          <w:r>
            <w:fldChar w:fldCharType="begin"/>
          </w:r>
          <w:r>
            <w:instrText xml:space="preserve"> REF Citation *\charformat </w:instrText>
          </w:r>
          <w:r>
            <w:fldChar w:fldCharType="separate"/>
          </w:r>
          <w:r w:rsidR="000B6920">
            <w:t>Gambling and Racing Control (Code of Practice) Regulation 2002</w:t>
          </w:r>
          <w:r>
            <w:fldChar w:fldCharType="end"/>
          </w:r>
        </w:p>
        <w:p w14:paraId="7F7F1921" w14:textId="1282B84A" w:rsidR="0007725C" w:rsidRDefault="00C17B8B">
          <w:pPr>
            <w:pStyle w:val="FooterInfoCentre"/>
          </w:pPr>
          <w:r>
            <w:fldChar w:fldCharType="begin"/>
          </w:r>
          <w:r>
            <w:instrText xml:space="preserve"> DOCPROPERTY "Eff"  *\charformat </w:instrText>
          </w:r>
          <w:r>
            <w:fldChar w:fldCharType="separate"/>
          </w:r>
          <w:r w:rsidR="000B6920">
            <w:t xml:space="preserve">Effective:  </w:t>
          </w:r>
          <w:r>
            <w:fldChar w:fldCharType="end"/>
          </w:r>
          <w:r>
            <w:fldChar w:fldCharType="begin"/>
          </w:r>
          <w:r>
            <w:instrText xml:space="preserve"> DOCPROPERTY "Start</w:instrText>
          </w:r>
          <w:r>
            <w:instrText xml:space="preserve">Dt"  *\charformat </w:instrText>
          </w:r>
          <w:r>
            <w:fldChar w:fldCharType="separate"/>
          </w:r>
          <w:r w:rsidR="000B6920">
            <w:t>27/05/21</w:t>
          </w:r>
          <w:r>
            <w:fldChar w:fldCharType="end"/>
          </w:r>
          <w:r>
            <w:fldChar w:fldCharType="begin"/>
          </w:r>
          <w:r>
            <w:instrText xml:space="preserve"> DOCPROPERTY "EndDt"  *\charformat </w:instrText>
          </w:r>
          <w:r>
            <w:fldChar w:fldCharType="separate"/>
          </w:r>
          <w:r w:rsidR="000B6920">
            <w:t>-13/11/22</w:t>
          </w:r>
          <w:r>
            <w:fldChar w:fldCharType="end"/>
          </w:r>
        </w:p>
      </w:tc>
      <w:tc>
        <w:tcPr>
          <w:tcW w:w="847" w:type="pct"/>
        </w:tcPr>
        <w:p w14:paraId="49F41367" w14:textId="77777777" w:rsidR="0007725C" w:rsidRDefault="000772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9278B45" w14:textId="04B62E16" w:rsidR="0007725C" w:rsidRPr="00C17B8B" w:rsidRDefault="00C17B8B" w:rsidP="00C17B8B">
    <w:pPr>
      <w:pStyle w:val="Status"/>
      <w:rPr>
        <w:rFonts w:cs="Arial"/>
      </w:rPr>
    </w:pPr>
    <w:r w:rsidRPr="00C17B8B">
      <w:rPr>
        <w:rFonts w:cs="Arial"/>
      </w:rPr>
      <w:fldChar w:fldCharType="begin"/>
    </w:r>
    <w:r w:rsidRPr="00C17B8B">
      <w:rPr>
        <w:rFonts w:cs="Arial"/>
      </w:rPr>
      <w:instrText xml:space="preserve"> DOCPROPERTY "Status" </w:instrText>
    </w:r>
    <w:r w:rsidRPr="00C17B8B">
      <w:rPr>
        <w:rFonts w:cs="Arial"/>
      </w:rPr>
      <w:fldChar w:fldCharType="separate"/>
    </w:r>
    <w:r w:rsidR="000B6920" w:rsidRPr="00C17B8B">
      <w:rPr>
        <w:rFonts w:cs="Arial"/>
      </w:rPr>
      <w:t xml:space="preserve"> </w:t>
    </w:r>
    <w:r w:rsidRPr="00C17B8B">
      <w:rPr>
        <w:rFonts w:cs="Arial"/>
      </w:rPr>
      <w:fldChar w:fldCharType="end"/>
    </w:r>
    <w:r w:rsidRPr="00C17B8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E692" w14:textId="77777777" w:rsidR="00F21EE6" w:rsidRDefault="00F21EE6" w:rsidP="00D847F1">
      <w:pPr>
        <w:pStyle w:val="IshadedSchClause"/>
      </w:pPr>
      <w:r>
        <w:separator/>
      </w:r>
    </w:p>
  </w:footnote>
  <w:footnote w:type="continuationSeparator" w:id="0">
    <w:p w14:paraId="21C216DC" w14:textId="77777777" w:rsidR="00F21EE6" w:rsidRDefault="00F21EE6" w:rsidP="00D847F1">
      <w:pPr>
        <w:pStyle w:val="IshadedSchClaus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CA4C" w14:textId="77777777" w:rsidR="0007725C" w:rsidRDefault="000772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7725C" w14:paraId="0DF6E7CD" w14:textId="77777777">
      <w:trPr>
        <w:jc w:val="center"/>
      </w:trPr>
      <w:tc>
        <w:tcPr>
          <w:tcW w:w="1340" w:type="dxa"/>
        </w:tcPr>
        <w:p w14:paraId="40B0BD99" w14:textId="77777777" w:rsidR="0007725C" w:rsidRDefault="0007725C">
          <w:pPr>
            <w:pStyle w:val="HeaderEven"/>
          </w:pPr>
        </w:p>
      </w:tc>
      <w:tc>
        <w:tcPr>
          <w:tcW w:w="6583" w:type="dxa"/>
        </w:tcPr>
        <w:p w14:paraId="57666328" w14:textId="77777777" w:rsidR="0007725C" w:rsidRDefault="0007725C">
          <w:pPr>
            <w:pStyle w:val="HeaderEven"/>
          </w:pPr>
        </w:p>
      </w:tc>
    </w:tr>
    <w:tr w:rsidR="0007725C" w14:paraId="044259D3" w14:textId="77777777">
      <w:trPr>
        <w:jc w:val="center"/>
      </w:trPr>
      <w:tc>
        <w:tcPr>
          <w:tcW w:w="7923" w:type="dxa"/>
          <w:gridSpan w:val="2"/>
          <w:tcBorders>
            <w:bottom w:val="single" w:sz="4" w:space="0" w:color="auto"/>
          </w:tcBorders>
        </w:tcPr>
        <w:p w14:paraId="54275706" w14:textId="77777777" w:rsidR="0007725C" w:rsidRDefault="0007725C">
          <w:pPr>
            <w:pStyle w:val="HeaderEven6"/>
          </w:pPr>
          <w:r>
            <w:t>Dictionary</w:t>
          </w:r>
        </w:p>
      </w:tc>
    </w:tr>
  </w:tbl>
  <w:p w14:paraId="007CA290" w14:textId="77777777" w:rsidR="0007725C" w:rsidRDefault="0007725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7725C" w14:paraId="275B8258" w14:textId="77777777">
      <w:trPr>
        <w:jc w:val="center"/>
      </w:trPr>
      <w:tc>
        <w:tcPr>
          <w:tcW w:w="6583" w:type="dxa"/>
        </w:tcPr>
        <w:p w14:paraId="4EEEE774" w14:textId="77777777" w:rsidR="0007725C" w:rsidRDefault="0007725C">
          <w:pPr>
            <w:pStyle w:val="HeaderOdd"/>
          </w:pPr>
        </w:p>
      </w:tc>
      <w:tc>
        <w:tcPr>
          <w:tcW w:w="1340" w:type="dxa"/>
        </w:tcPr>
        <w:p w14:paraId="3E323657" w14:textId="77777777" w:rsidR="0007725C" w:rsidRDefault="0007725C">
          <w:pPr>
            <w:pStyle w:val="HeaderOdd"/>
          </w:pPr>
        </w:p>
      </w:tc>
    </w:tr>
    <w:tr w:rsidR="0007725C" w14:paraId="44995012" w14:textId="77777777">
      <w:trPr>
        <w:jc w:val="center"/>
      </w:trPr>
      <w:tc>
        <w:tcPr>
          <w:tcW w:w="7923" w:type="dxa"/>
          <w:gridSpan w:val="2"/>
          <w:tcBorders>
            <w:bottom w:val="single" w:sz="4" w:space="0" w:color="auto"/>
          </w:tcBorders>
        </w:tcPr>
        <w:p w14:paraId="7CA44288" w14:textId="77777777" w:rsidR="0007725C" w:rsidRDefault="0007725C">
          <w:pPr>
            <w:pStyle w:val="HeaderOdd6"/>
          </w:pPr>
          <w:r>
            <w:t>Dictionary</w:t>
          </w:r>
        </w:p>
      </w:tc>
    </w:tr>
  </w:tbl>
  <w:p w14:paraId="48A19556" w14:textId="77777777" w:rsidR="0007725C" w:rsidRDefault="0007725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B6920" w14:paraId="1DD501C1" w14:textId="77777777">
      <w:trPr>
        <w:jc w:val="center"/>
      </w:trPr>
      <w:tc>
        <w:tcPr>
          <w:tcW w:w="1234" w:type="dxa"/>
          <w:gridSpan w:val="2"/>
        </w:tcPr>
        <w:p w14:paraId="1F18A71A" w14:textId="77777777" w:rsidR="000B6920" w:rsidRDefault="000B6920">
          <w:pPr>
            <w:pStyle w:val="HeaderEven"/>
            <w:rPr>
              <w:b/>
            </w:rPr>
          </w:pPr>
          <w:r>
            <w:rPr>
              <w:b/>
            </w:rPr>
            <w:t>Endnotes</w:t>
          </w:r>
        </w:p>
      </w:tc>
      <w:tc>
        <w:tcPr>
          <w:tcW w:w="6062" w:type="dxa"/>
        </w:tcPr>
        <w:p w14:paraId="0FCF469F" w14:textId="77777777" w:rsidR="000B6920" w:rsidRDefault="000B6920">
          <w:pPr>
            <w:pStyle w:val="HeaderEven"/>
          </w:pPr>
        </w:p>
      </w:tc>
    </w:tr>
    <w:tr w:rsidR="000B6920" w14:paraId="14893683" w14:textId="77777777">
      <w:trPr>
        <w:cantSplit/>
        <w:jc w:val="center"/>
      </w:trPr>
      <w:tc>
        <w:tcPr>
          <w:tcW w:w="7296" w:type="dxa"/>
          <w:gridSpan w:val="3"/>
        </w:tcPr>
        <w:p w14:paraId="0FB1013D" w14:textId="77777777" w:rsidR="000B6920" w:rsidRDefault="000B6920">
          <w:pPr>
            <w:pStyle w:val="HeaderEven"/>
          </w:pPr>
        </w:p>
      </w:tc>
    </w:tr>
    <w:tr w:rsidR="000B6920" w14:paraId="46C77001" w14:textId="77777777">
      <w:trPr>
        <w:cantSplit/>
        <w:jc w:val="center"/>
      </w:trPr>
      <w:tc>
        <w:tcPr>
          <w:tcW w:w="700" w:type="dxa"/>
          <w:tcBorders>
            <w:bottom w:val="single" w:sz="4" w:space="0" w:color="auto"/>
          </w:tcBorders>
        </w:tcPr>
        <w:p w14:paraId="6EFCFFA7" w14:textId="5F9970B3" w:rsidR="000B6920" w:rsidRDefault="000B6920">
          <w:pPr>
            <w:pStyle w:val="HeaderEven6"/>
          </w:pPr>
          <w:r>
            <w:rPr>
              <w:noProof/>
            </w:rPr>
            <w:fldChar w:fldCharType="begin"/>
          </w:r>
          <w:r>
            <w:rPr>
              <w:noProof/>
            </w:rPr>
            <w:instrText xml:space="preserve"> STYLEREF charTableNo \*charformat </w:instrText>
          </w:r>
          <w:r>
            <w:rPr>
              <w:noProof/>
            </w:rPr>
            <w:fldChar w:fldCharType="separate"/>
          </w:r>
          <w:r w:rsidR="00C17B8B">
            <w:rPr>
              <w:noProof/>
            </w:rPr>
            <w:t>6</w:t>
          </w:r>
          <w:r>
            <w:rPr>
              <w:noProof/>
            </w:rPr>
            <w:fldChar w:fldCharType="end"/>
          </w:r>
        </w:p>
      </w:tc>
      <w:tc>
        <w:tcPr>
          <w:tcW w:w="6600" w:type="dxa"/>
          <w:gridSpan w:val="2"/>
          <w:tcBorders>
            <w:bottom w:val="single" w:sz="4" w:space="0" w:color="auto"/>
          </w:tcBorders>
        </w:tcPr>
        <w:p w14:paraId="7AE88F1E" w14:textId="462B4115" w:rsidR="000B6920" w:rsidRDefault="000B6920">
          <w:pPr>
            <w:pStyle w:val="HeaderEven6"/>
          </w:pPr>
          <w:r>
            <w:rPr>
              <w:noProof/>
            </w:rPr>
            <w:fldChar w:fldCharType="begin"/>
          </w:r>
          <w:r>
            <w:rPr>
              <w:noProof/>
            </w:rPr>
            <w:instrText xml:space="preserve"> STYLEREF charTableText \*charformat </w:instrText>
          </w:r>
          <w:r>
            <w:rPr>
              <w:noProof/>
            </w:rPr>
            <w:fldChar w:fldCharType="separate"/>
          </w:r>
          <w:r w:rsidR="00C17B8B">
            <w:rPr>
              <w:noProof/>
            </w:rPr>
            <w:t>Expired transitional or validating provisions</w:t>
          </w:r>
          <w:r>
            <w:rPr>
              <w:noProof/>
            </w:rPr>
            <w:fldChar w:fldCharType="end"/>
          </w:r>
        </w:p>
      </w:tc>
    </w:tr>
  </w:tbl>
  <w:p w14:paraId="6C20A4D0" w14:textId="77777777" w:rsidR="000B6920" w:rsidRDefault="000B692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B6920" w14:paraId="7B7608D7" w14:textId="77777777">
      <w:trPr>
        <w:jc w:val="center"/>
      </w:trPr>
      <w:tc>
        <w:tcPr>
          <w:tcW w:w="5741" w:type="dxa"/>
        </w:tcPr>
        <w:p w14:paraId="5E926A78" w14:textId="77777777" w:rsidR="000B6920" w:rsidRDefault="000B6920">
          <w:pPr>
            <w:pStyle w:val="HeaderEven"/>
            <w:jc w:val="right"/>
          </w:pPr>
        </w:p>
      </w:tc>
      <w:tc>
        <w:tcPr>
          <w:tcW w:w="1560" w:type="dxa"/>
          <w:gridSpan w:val="2"/>
        </w:tcPr>
        <w:p w14:paraId="320B6D8A" w14:textId="77777777" w:rsidR="000B6920" w:rsidRDefault="000B6920">
          <w:pPr>
            <w:pStyle w:val="HeaderEven"/>
            <w:jc w:val="right"/>
            <w:rPr>
              <w:b/>
            </w:rPr>
          </w:pPr>
          <w:r>
            <w:rPr>
              <w:b/>
            </w:rPr>
            <w:t>Endnotes</w:t>
          </w:r>
        </w:p>
      </w:tc>
    </w:tr>
    <w:tr w:rsidR="000B6920" w14:paraId="3E221496" w14:textId="77777777">
      <w:trPr>
        <w:jc w:val="center"/>
      </w:trPr>
      <w:tc>
        <w:tcPr>
          <w:tcW w:w="7301" w:type="dxa"/>
          <w:gridSpan w:val="3"/>
        </w:tcPr>
        <w:p w14:paraId="7A3E2BC5" w14:textId="77777777" w:rsidR="000B6920" w:rsidRDefault="000B6920">
          <w:pPr>
            <w:pStyle w:val="HeaderEven"/>
            <w:jc w:val="right"/>
            <w:rPr>
              <w:b/>
            </w:rPr>
          </w:pPr>
        </w:p>
      </w:tc>
    </w:tr>
    <w:tr w:rsidR="000B6920" w14:paraId="69D3998A" w14:textId="77777777">
      <w:trPr>
        <w:jc w:val="center"/>
      </w:trPr>
      <w:tc>
        <w:tcPr>
          <w:tcW w:w="6600" w:type="dxa"/>
          <w:gridSpan w:val="2"/>
          <w:tcBorders>
            <w:bottom w:val="single" w:sz="4" w:space="0" w:color="auto"/>
          </w:tcBorders>
        </w:tcPr>
        <w:p w14:paraId="3C7C8740" w14:textId="3EF7EF9C" w:rsidR="000B6920" w:rsidRDefault="000B6920">
          <w:pPr>
            <w:pStyle w:val="HeaderOdd6"/>
          </w:pPr>
          <w:r>
            <w:rPr>
              <w:noProof/>
            </w:rPr>
            <w:fldChar w:fldCharType="begin"/>
          </w:r>
          <w:r>
            <w:rPr>
              <w:noProof/>
            </w:rPr>
            <w:instrText xml:space="preserve"> STYLEREF charTableText \*charformat </w:instrText>
          </w:r>
          <w:r>
            <w:rPr>
              <w:noProof/>
            </w:rPr>
            <w:fldChar w:fldCharType="separate"/>
          </w:r>
          <w:r w:rsidR="00C17B8B">
            <w:rPr>
              <w:noProof/>
            </w:rPr>
            <w:t>Earlier republications</w:t>
          </w:r>
          <w:r>
            <w:rPr>
              <w:noProof/>
            </w:rPr>
            <w:fldChar w:fldCharType="end"/>
          </w:r>
        </w:p>
      </w:tc>
      <w:tc>
        <w:tcPr>
          <w:tcW w:w="700" w:type="dxa"/>
          <w:tcBorders>
            <w:bottom w:val="single" w:sz="4" w:space="0" w:color="auto"/>
          </w:tcBorders>
        </w:tcPr>
        <w:p w14:paraId="105D640A" w14:textId="2476529A" w:rsidR="000B6920" w:rsidRDefault="000B6920">
          <w:pPr>
            <w:pStyle w:val="HeaderOdd6"/>
          </w:pPr>
          <w:r>
            <w:rPr>
              <w:noProof/>
            </w:rPr>
            <w:fldChar w:fldCharType="begin"/>
          </w:r>
          <w:r>
            <w:rPr>
              <w:noProof/>
            </w:rPr>
            <w:instrText xml:space="preserve"> STYLEREF charTableNo \*charformat </w:instrText>
          </w:r>
          <w:r>
            <w:rPr>
              <w:noProof/>
            </w:rPr>
            <w:fldChar w:fldCharType="separate"/>
          </w:r>
          <w:r w:rsidR="00C17B8B">
            <w:rPr>
              <w:noProof/>
            </w:rPr>
            <w:t>5</w:t>
          </w:r>
          <w:r>
            <w:rPr>
              <w:noProof/>
            </w:rPr>
            <w:fldChar w:fldCharType="end"/>
          </w:r>
        </w:p>
      </w:tc>
    </w:tr>
  </w:tbl>
  <w:p w14:paraId="75B62F07" w14:textId="77777777" w:rsidR="000B6920" w:rsidRDefault="000B692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E274" w14:textId="77777777" w:rsidR="00F21EE6" w:rsidRDefault="00F21EE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7864" w14:textId="77777777" w:rsidR="00F21EE6" w:rsidRDefault="00F21EE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6028" w14:textId="77777777" w:rsidR="00F21EE6" w:rsidRDefault="00F21EE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DA60" w14:textId="77777777" w:rsidR="00F21EE6" w:rsidRDefault="00F21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46C" w14:textId="77777777" w:rsidR="0007725C" w:rsidRDefault="00077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3393" w14:textId="77777777" w:rsidR="0007725C" w:rsidRDefault="000772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7725C" w14:paraId="6AD572A4" w14:textId="77777777">
      <w:tc>
        <w:tcPr>
          <w:tcW w:w="900" w:type="pct"/>
        </w:tcPr>
        <w:p w14:paraId="22B1AE26" w14:textId="77777777" w:rsidR="0007725C" w:rsidRDefault="0007725C">
          <w:pPr>
            <w:pStyle w:val="HeaderEven"/>
          </w:pPr>
        </w:p>
      </w:tc>
      <w:tc>
        <w:tcPr>
          <w:tcW w:w="4100" w:type="pct"/>
        </w:tcPr>
        <w:p w14:paraId="1572A94C" w14:textId="77777777" w:rsidR="0007725C" w:rsidRDefault="0007725C">
          <w:pPr>
            <w:pStyle w:val="HeaderEven"/>
          </w:pPr>
        </w:p>
      </w:tc>
    </w:tr>
    <w:tr w:rsidR="0007725C" w14:paraId="0FD119ED" w14:textId="77777777">
      <w:tc>
        <w:tcPr>
          <w:tcW w:w="4100" w:type="pct"/>
          <w:gridSpan w:val="2"/>
          <w:tcBorders>
            <w:bottom w:val="single" w:sz="4" w:space="0" w:color="auto"/>
          </w:tcBorders>
        </w:tcPr>
        <w:p w14:paraId="199BF9F6" w14:textId="4259C468" w:rsidR="0007725C" w:rsidRDefault="00C17B8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3DC5E7B" w14:textId="495B02D4" w:rsidR="0007725C" w:rsidRDefault="0007725C">
    <w:pPr>
      <w:pStyle w:val="N-9pt"/>
    </w:pPr>
    <w:r>
      <w:tab/>
    </w:r>
    <w:r w:rsidR="00C17B8B">
      <w:fldChar w:fldCharType="begin"/>
    </w:r>
    <w:r w:rsidR="00C17B8B">
      <w:instrText xml:space="preserve"> STYLEREF charPage \* MERGEFORMAT </w:instrText>
    </w:r>
    <w:r w:rsidR="00C17B8B">
      <w:fldChar w:fldCharType="separate"/>
    </w:r>
    <w:r w:rsidR="00C17B8B">
      <w:rPr>
        <w:noProof/>
      </w:rPr>
      <w:t>Page</w:t>
    </w:r>
    <w:r w:rsidR="00C17B8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7725C" w14:paraId="1E0708E7" w14:textId="77777777">
      <w:tc>
        <w:tcPr>
          <w:tcW w:w="4100" w:type="pct"/>
        </w:tcPr>
        <w:p w14:paraId="56BF0F29" w14:textId="77777777" w:rsidR="0007725C" w:rsidRDefault="0007725C">
          <w:pPr>
            <w:pStyle w:val="HeaderOdd"/>
          </w:pPr>
        </w:p>
      </w:tc>
      <w:tc>
        <w:tcPr>
          <w:tcW w:w="900" w:type="pct"/>
        </w:tcPr>
        <w:p w14:paraId="7AB572EE" w14:textId="77777777" w:rsidR="0007725C" w:rsidRDefault="0007725C">
          <w:pPr>
            <w:pStyle w:val="HeaderOdd"/>
          </w:pPr>
        </w:p>
      </w:tc>
    </w:tr>
    <w:tr w:rsidR="0007725C" w14:paraId="3F521742" w14:textId="77777777">
      <w:tc>
        <w:tcPr>
          <w:tcW w:w="900" w:type="pct"/>
          <w:gridSpan w:val="2"/>
          <w:tcBorders>
            <w:bottom w:val="single" w:sz="4" w:space="0" w:color="auto"/>
          </w:tcBorders>
        </w:tcPr>
        <w:p w14:paraId="0EED43E3" w14:textId="4A2B6939" w:rsidR="0007725C" w:rsidRDefault="00C17B8B">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B5316DE" w14:textId="3F3F872F" w:rsidR="0007725C" w:rsidRDefault="0007725C">
    <w:pPr>
      <w:pStyle w:val="N-9pt"/>
    </w:pPr>
    <w:r>
      <w:tab/>
    </w:r>
    <w:r w:rsidR="00C17B8B">
      <w:fldChar w:fldCharType="begin"/>
    </w:r>
    <w:r w:rsidR="00C17B8B">
      <w:instrText xml:space="preserve"> STYLEREF charPage \* MERGEFORMAT </w:instrText>
    </w:r>
    <w:r w:rsidR="00C17B8B">
      <w:fldChar w:fldCharType="separate"/>
    </w:r>
    <w:r w:rsidR="00C17B8B">
      <w:rPr>
        <w:noProof/>
      </w:rPr>
      <w:t>Page</w:t>
    </w:r>
    <w:r w:rsidR="00C17B8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07725C" w14:paraId="6D28E0E8" w14:textId="77777777" w:rsidTr="00D86897">
      <w:tc>
        <w:tcPr>
          <w:tcW w:w="1701" w:type="dxa"/>
        </w:tcPr>
        <w:p w14:paraId="6FE90599" w14:textId="1D5A5067" w:rsidR="0007725C" w:rsidRDefault="0007725C">
          <w:pPr>
            <w:pStyle w:val="HeaderEven"/>
            <w:rPr>
              <w:b/>
            </w:rPr>
          </w:pPr>
          <w:r>
            <w:rPr>
              <w:b/>
            </w:rPr>
            <w:fldChar w:fldCharType="begin"/>
          </w:r>
          <w:r>
            <w:rPr>
              <w:b/>
            </w:rPr>
            <w:instrText xml:space="preserve"> STYLEREF CharPartNo \*charformat </w:instrText>
          </w:r>
          <w:r>
            <w:rPr>
              <w:b/>
            </w:rPr>
            <w:fldChar w:fldCharType="separate"/>
          </w:r>
          <w:r w:rsidR="00C17B8B">
            <w:rPr>
              <w:b/>
              <w:noProof/>
            </w:rPr>
            <w:t>Part 2</w:t>
          </w:r>
          <w:r>
            <w:rPr>
              <w:b/>
            </w:rPr>
            <w:fldChar w:fldCharType="end"/>
          </w:r>
        </w:p>
      </w:tc>
      <w:tc>
        <w:tcPr>
          <w:tcW w:w="6320" w:type="dxa"/>
        </w:tcPr>
        <w:p w14:paraId="5988B8DD" w14:textId="0C8B946D" w:rsidR="0007725C" w:rsidRDefault="0007725C">
          <w:pPr>
            <w:pStyle w:val="HeaderEven"/>
          </w:pPr>
          <w:r>
            <w:rPr>
              <w:noProof/>
            </w:rPr>
            <w:fldChar w:fldCharType="begin"/>
          </w:r>
          <w:r>
            <w:rPr>
              <w:noProof/>
            </w:rPr>
            <w:instrText xml:space="preserve"> STYLEREF CharPartText \*charformat </w:instrText>
          </w:r>
          <w:r>
            <w:rPr>
              <w:noProof/>
            </w:rPr>
            <w:fldChar w:fldCharType="separate"/>
          </w:r>
          <w:r w:rsidR="00C17B8B">
            <w:rPr>
              <w:noProof/>
            </w:rPr>
            <w:t>Code of practice</w:t>
          </w:r>
          <w:r>
            <w:rPr>
              <w:noProof/>
            </w:rPr>
            <w:fldChar w:fldCharType="end"/>
          </w:r>
        </w:p>
      </w:tc>
    </w:tr>
    <w:tr w:rsidR="0007725C" w14:paraId="47BE3963" w14:textId="77777777" w:rsidTr="00D86897">
      <w:tc>
        <w:tcPr>
          <w:tcW w:w="1701" w:type="dxa"/>
        </w:tcPr>
        <w:p w14:paraId="54491054" w14:textId="13FE5866" w:rsidR="0007725C" w:rsidRDefault="0007725C">
          <w:pPr>
            <w:pStyle w:val="HeaderEven"/>
            <w:rPr>
              <w:b/>
            </w:rPr>
          </w:pPr>
          <w:r>
            <w:rPr>
              <w:b/>
            </w:rPr>
            <w:fldChar w:fldCharType="begin"/>
          </w:r>
          <w:r>
            <w:rPr>
              <w:b/>
            </w:rPr>
            <w:instrText xml:space="preserve"> STYLEREF CharDivNo \*charformat </w:instrText>
          </w:r>
          <w:r w:rsidR="00C17B8B">
            <w:rPr>
              <w:b/>
            </w:rPr>
            <w:fldChar w:fldCharType="separate"/>
          </w:r>
          <w:r w:rsidR="00C17B8B">
            <w:rPr>
              <w:b/>
              <w:noProof/>
            </w:rPr>
            <w:t>Division 2.6</w:t>
          </w:r>
          <w:r>
            <w:rPr>
              <w:b/>
            </w:rPr>
            <w:fldChar w:fldCharType="end"/>
          </w:r>
        </w:p>
      </w:tc>
      <w:tc>
        <w:tcPr>
          <w:tcW w:w="6320" w:type="dxa"/>
        </w:tcPr>
        <w:p w14:paraId="12043DA9" w14:textId="3EFFA454" w:rsidR="0007725C" w:rsidRDefault="00C17B8B">
          <w:pPr>
            <w:pStyle w:val="HeaderEven"/>
          </w:pPr>
          <w:r>
            <w:fldChar w:fldCharType="begin"/>
          </w:r>
          <w:r>
            <w:instrText xml:space="preserve"> STYLEREF CharDivText \*charformat </w:instrText>
          </w:r>
          <w:r>
            <w:fldChar w:fldCharType="separate"/>
          </w:r>
          <w:r>
            <w:rPr>
              <w:noProof/>
            </w:rPr>
            <w:t>Advertising, promotions and inducements</w:t>
          </w:r>
          <w:r>
            <w:rPr>
              <w:noProof/>
            </w:rPr>
            <w:fldChar w:fldCharType="end"/>
          </w:r>
        </w:p>
      </w:tc>
    </w:tr>
    <w:tr w:rsidR="0007725C" w14:paraId="5ACF4E14" w14:textId="77777777" w:rsidTr="00D86897">
      <w:trPr>
        <w:cantSplit/>
      </w:trPr>
      <w:tc>
        <w:tcPr>
          <w:tcW w:w="1701" w:type="dxa"/>
          <w:gridSpan w:val="2"/>
          <w:tcBorders>
            <w:bottom w:val="single" w:sz="4" w:space="0" w:color="auto"/>
          </w:tcBorders>
        </w:tcPr>
        <w:p w14:paraId="67AC5F42" w14:textId="4562AFA8" w:rsidR="0007725C" w:rsidRDefault="00C17B8B">
          <w:pPr>
            <w:pStyle w:val="HeaderEven6"/>
          </w:pPr>
          <w:r>
            <w:fldChar w:fldCharType="begin"/>
          </w:r>
          <w:r>
            <w:instrText xml:space="preserve"> DOCPROPERTY "Company"  \* </w:instrText>
          </w:r>
          <w:r>
            <w:instrText xml:space="preserve">MERGEFORMAT </w:instrText>
          </w:r>
          <w:r>
            <w:fldChar w:fldCharType="separate"/>
          </w:r>
          <w:r w:rsidR="000B6920">
            <w:t>Section</w:t>
          </w:r>
          <w:r>
            <w:fldChar w:fldCharType="end"/>
          </w:r>
          <w:r w:rsidR="0007725C">
            <w:t xml:space="preserve"> </w:t>
          </w:r>
          <w:r w:rsidR="0007725C">
            <w:rPr>
              <w:noProof/>
            </w:rPr>
            <w:fldChar w:fldCharType="begin"/>
          </w:r>
          <w:r w:rsidR="0007725C">
            <w:rPr>
              <w:noProof/>
            </w:rPr>
            <w:instrText xml:space="preserve"> STYLEREF CharSectNo \*charformat </w:instrText>
          </w:r>
          <w:r w:rsidR="0007725C">
            <w:rPr>
              <w:noProof/>
            </w:rPr>
            <w:fldChar w:fldCharType="separate"/>
          </w:r>
          <w:r>
            <w:rPr>
              <w:noProof/>
            </w:rPr>
            <w:t>24</w:t>
          </w:r>
          <w:r w:rsidR="0007725C">
            <w:rPr>
              <w:noProof/>
            </w:rPr>
            <w:fldChar w:fldCharType="end"/>
          </w:r>
        </w:p>
      </w:tc>
    </w:tr>
  </w:tbl>
  <w:p w14:paraId="5DF32CB5" w14:textId="77777777" w:rsidR="0007725C" w:rsidRDefault="000772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07725C" w14:paraId="5096B4EF" w14:textId="77777777" w:rsidTr="00D86897">
      <w:tc>
        <w:tcPr>
          <w:tcW w:w="6320" w:type="dxa"/>
        </w:tcPr>
        <w:p w14:paraId="06E33B93" w14:textId="67BC3538" w:rsidR="0007725C" w:rsidRDefault="0007725C">
          <w:pPr>
            <w:pStyle w:val="HeaderEven"/>
            <w:jc w:val="right"/>
          </w:pPr>
          <w:r>
            <w:rPr>
              <w:noProof/>
            </w:rPr>
            <w:fldChar w:fldCharType="begin"/>
          </w:r>
          <w:r>
            <w:rPr>
              <w:noProof/>
            </w:rPr>
            <w:instrText xml:space="preserve"> STYLEREF CharPartText \*charformat </w:instrText>
          </w:r>
          <w:r>
            <w:rPr>
              <w:noProof/>
            </w:rPr>
            <w:fldChar w:fldCharType="separate"/>
          </w:r>
          <w:r w:rsidR="00C17B8B">
            <w:rPr>
              <w:noProof/>
            </w:rPr>
            <w:t>Miscellaneous</w:t>
          </w:r>
          <w:r>
            <w:rPr>
              <w:noProof/>
            </w:rPr>
            <w:fldChar w:fldCharType="end"/>
          </w:r>
        </w:p>
      </w:tc>
      <w:tc>
        <w:tcPr>
          <w:tcW w:w="1701" w:type="dxa"/>
        </w:tcPr>
        <w:p w14:paraId="567138A3" w14:textId="0EAE88A8" w:rsidR="0007725C" w:rsidRDefault="0007725C">
          <w:pPr>
            <w:pStyle w:val="HeaderEven"/>
            <w:jc w:val="right"/>
            <w:rPr>
              <w:b/>
            </w:rPr>
          </w:pPr>
          <w:r>
            <w:rPr>
              <w:b/>
            </w:rPr>
            <w:fldChar w:fldCharType="begin"/>
          </w:r>
          <w:r>
            <w:rPr>
              <w:b/>
            </w:rPr>
            <w:instrText xml:space="preserve"> STYLEREF CharPartNo \*charformat </w:instrText>
          </w:r>
          <w:r>
            <w:rPr>
              <w:b/>
            </w:rPr>
            <w:fldChar w:fldCharType="separate"/>
          </w:r>
          <w:r w:rsidR="00C17B8B">
            <w:rPr>
              <w:b/>
              <w:noProof/>
            </w:rPr>
            <w:t>Part 3</w:t>
          </w:r>
          <w:r>
            <w:rPr>
              <w:b/>
            </w:rPr>
            <w:fldChar w:fldCharType="end"/>
          </w:r>
        </w:p>
      </w:tc>
    </w:tr>
    <w:tr w:rsidR="0007725C" w14:paraId="18F6C216" w14:textId="77777777" w:rsidTr="00D86897">
      <w:tc>
        <w:tcPr>
          <w:tcW w:w="6320" w:type="dxa"/>
        </w:tcPr>
        <w:p w14:paraId="40A807FF" w14:textId="71E0E5E5" w:rsidR="0007725C" w:rsidRDefault="0007725C">
          <w:pPr>
            <w:pStyle w:val="HeaderEven"/>
            <w:jc w:val="right"/>
          </w:pPr>
          <w:r>
            <w:fldChar w:fldCharType="begin"/>
          </w:r>
          <w:r>
            <w:instrText xml:space="preserve"> STYLEREF CharDivText \*charformat </w:instrText>
          </w:r>
          <w:r>
            <w:fldChar w:fldCharType="end"/>
          </w:r>
        </w:p>
      </w:tc>
      <w:tc>
        <w:tcPr>
          <w:tcW w:w="1701" w:type="dxa"/>
        </w:tcPr>
        <w:p w14:paraId="09478CF1" w14:textId="4C3F8DBC" w:rsidR="0007725C" w:rsidRDefault="0007725C">
          <w:pPr>
            <w:pStyle w:val="HeaderEven"/>
            <w:jc w:val="right"/>
            <w:rPr>
              <w:b/>
            </w:rPr>
          </w:pPr>
          <w:r>
            <w:rPr>
              <w:b/>
            </w:rPr>
            <w:fldChar w:fldCharType="begin"/>
          </w:r>
          <w:r>
            <w:rPr>
              <w:b/>
            </w:rPr>
            <w:instrText xml:space="preserve"> STYLEREF CharDivNo \*charformat </w:instrText>
          </w:r>
          <w:r>
            <w:rPr>
              <w:b/>
            </w:rPr>
            <w:fldChar w:fldCharType="end"/>
          </w:r>
        </w:p>
      </w:tc>
    </w:tr>
    <w:tr w:rsidR="0007725C" w14:paraId="53C3CDA5" w14:textId="77777777" w:rsidTr="00D86897">
      <w:trPr>
        <w:cantSplit/>
      </w:trPr>
      <w:tc>
        <w:tcPr>
          <w:tcW w:w="1701" w:type="dxa"/>
          <w:gridSpan w:val="2"/>
          <w:tcBorders>
            <w:bottom w:val="single" w:sz="4" w:space="0" w:color="auto"/>
          </w:tcBorders>
        </w:tcPr>
        <w:p w14:paraId="4D8072E0" w14:textId="0CD04866" w:rsidR="0007725C" w:rsidRDefault="00C17B8B">
          <w:pPr>
            <w:pStyle w:val="HeaderOdd6"/>
          </w:pPr>
          <w:r>
            <w:fldChar w:fldCharType="begin"/>
          </w:r>
          <w:r>
            <w:instrText xml:space="preserve"> DOCPROPERTY "Company"  \* MERGEFORMAT </w:instrText>
          </w:r>
          <w:r>
            <w:fldChar w:fldCharType="separate"/>
          </w:r>
          <w:r w:rsidR="000B6920">
            <w:t>Section</w:t>
          </w:r>
          <w:r>
            <w:fldChar w:fldCharType="end"/>
          </w:r>
          <w:r w:rsidR="0007725C">
            <w:t xml:space="preserve"> </w:t>
          </w:r>
          <w:r w:rsidR="0007725C">
            <w:rPr>
              <w:noProof/>
            </w:rPr>
            <w:fldChar w:fldCharType="begin"/>
          </w:r>
          <w:r w:rsidR="0007725C">
            <w:rPr>
              <w:noProof/>
            </w:rPr>
            <w:instrText xml:space="preserve"> STYLEREF CharSectNo \*charformat </w:instrText>
          </w:r>
          <w:r w:rsidR="0007725C">
            <w:rPr>
              <w:noProof/>
            </w:rPr>
            <w:fldChar w:fldCharType="separate"/>
          </w:r>
          <w:r>
            <w:rPr>
              <w:noProof/>
            </w:rPr>
            <w:t>26</w:t>
          </w:r>
          <w:r w:rsidR="0007725C">
            <w:rPr>
              <w:noProof/>
            </w:rPr>
            <w:fldChar w:fldCharType="end"/>
          </w:r>
        </w:p>
      </w:tc>
    </w:tr>
  </w:tbl>
  <w:p w14:paraId="19B51DB8" w14:textId="77777777" w:rsidR="0007725C" w:rsidRDefault="000772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07725C" w:rsidRPr="00CB3D59" w14:paraId="2C6DE1B8" w14:textId="77777777">
      <w:trPr>
        <w:jc w:val="center"/>
      </w:trPr>
      <w:tc>
        <w:tcPr>
          <w:tcW w:w="1560" w:type="dxa"/>
        </w:tcPr>
        <w:p w14:paraId="0420BC1E" w14:textId="7A3B409A" w:rsidR="0007725C" w:rsidRPr="00922BD6" w:rsidRDefault="0007725C">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C17B8B">
            <w:rPr>
              <w:rFonts w:cs="Arial"/>
              <w:b/>
              <w:noProof/>
              <w:szCs w:val="18"/>
            </w:rPr>
            <w:t>Schedule 1</w:t>
          </w:r>
          <w:r w:rsidRPr="00922BD6">
            <w:rPr>
              <w:rFonts w:cs="Arial"/>
              <w:b/>
              <w:szCs w:val="18"/>
            </w:rPr>
            <w:fldChar w:fldCharType="end"/>
          </w:r>
        </w:p>
      </w:tc>
      <w:tc>
        <w:tcPr>
          <w:tcW w:w="5741" w:type="dxa"/>
        </w:tcPr>
        <w:p w14:paraId="76DD8CC2" w14:textId="45E8AA36" w:rsidR="0007725C" w:rsidRPr="00922BD6" w:rsidRDefault="0007725C">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C17B8B">
            <w:rPr>
              <w:rFonts w:cs="Arial"/>
              <w:noProof/>
              <w:szCs w:val="18"/>
            </w:rPr>
            <w:t>Code of practice</w:t>
          </w:r>
          <w:r w:rsidRPr="00922BD6">
            <w:rPr>
              <w:rFonts w:cs="Arial"/>
              <w:szCs w:val="18"/>
            </w:rPr>
            <w:fldChar w:fldCharType="end"/>
          </w:r>
        </w:p>
      </w:tc>
    </w:tr>
    <w:tr w:rsidR="0007725C" w:rsidRPr="00CB3D59" w14:paraId="1A2F75B4" w14:textId="77777777">
      <w:trPr>
        <w:jc w:val="center"/>
      </w:trPr>
      <w:tc>
        <w:tcPr>
          <w:tcW w:w="1560" w:type="dxa"/>
        </w:tcPr>
        <w:p w14:paraId="0E791169" w14:textId="0C7303E5" w:rsidR="0007725C" w:rsidRPr="00922BD6" w:rsidRDefault="0007725C">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C17B8B">
            <w:rPr>
              <w:rFonts w:cs="Arial"/>
              <w:b/>
              <w:noProof/>
              <w:szCs w:val="18"/>
            </w:rPr>
            <w:t>Part 1.4</w:t>
          </w:r>
          <w:r w:rsidRPr="00922BD6">
            <w:rPr>
              <w:rFonts w:cs="Arial"/>
              <w:b/>
              <w:szCs w:val="18"/>
            </w:rPr>
            <w:fldChar w:fldCharType="end"/>
          </w:r>
        </w:p>
      </w:tc>
      <w:tc>
        <w:tcPr>
          <w:tcW w:w="5741" w:type="dxa"/>
        </w:tcPr>
        <w:p w14:paraId="559D9A26" w14:textId="63BE90A0" w:rsidR="0007725C" w:rsidRPr="00922BD6" w:rsidRDefault="0007725C">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C17B8B">
            <w:rPr>
              <w:rFonts w:cs="Arial"/>
              <w:noProof/>
              <w:szCs w:val="18"/>
            </w:rPr>
            <w:t>Advertising, promotions and inducements</w:t>
          </w:r>
          <w:r w:rsidRPr="00922BD6">
            <w:rPr>
              <w:rFonts w:cs="Arial"/>
              <w:szCs w:val="18"/>
            </w:rPr>
            <w:fldChar w:fldCharType="end"/>
          </w:r>
        </w:p>
      </w:tc>
    </w:tr>
    <w:tr w:rsidR="0007725C" w:rsidRPr="00CB3D59" w14:paraId="60A96254" w14:textId="77777777">
      <w:trPr>
        <w:jc w:val="center"/>
      </w:trPr>
      <w:tc>
        <w:tcPr>
          <w:tcW w:w="1560" w:type="dxa"/>
        </w:tcPr>
        <w:p w14:paraId="29C34253" w14:textId="630C8749" w:rsidR="0007725C" w:rsidRPr="00922BD6" w:rsidRDefault="0007725C">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14:paraId="42D42C04" w14:textId="3924D19E" w:rsidR="0007725C" w:rsidRPr="00922BD6" w:rsidRDefault="0007725C">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07725C" w:rsidRPr="00CB3D59" w14:paraId="4C66BEAD" w14:textId="77777777">
      <w:trPr>
        <w:cantSplit/>
        <w:jc w:val="center"/>
      </w:trPr>
      <w:tc>
        <w:tcPr>
          <w:tcW w:w="7296" w:type="dxa"/>
          <w:gridSpan w:val="2"/>
          <w:tcBorders>
            <w:bottom w:val="single" w:sz="4" w:space="0" w:color="auto"/>
          </w:tcBorders>
        </w:tcPr>
        <w:p w14:paraId="5D2E184A" w14:textId="604386B1" w:rsidR="0007725C" w:rsidRPr="00922BD6" w:rsidRDefault="0007725C" w:rsidP="00B136BA">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C17B8B">
            <w:rPr>
              <w:rFonts w:cs="Arial"/>
              <w:noProof/>
              <w:szCs w:val="18"/>
            </w:rPr>
            <w:t>1.31</w:t>
          </w:r>
          <w:r w:rsidRPr="00922BD6">
            <w:rPr>
              <w:rFonts w:cs="Arial"/>
              <w:szCs w:val="18"/>
            </w:rPr>
            <w:fldChar w:fldCharType="end"/>
          </w:r>
        </w:p>
      </w:tc>
    </w:tr>
  </w:tbl>
  <w:p w14:paraId="1CADCCFD" w14:textId="77777777" w:rsidR="0007725C" w:rsidRDefault="000772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07725C" w:rsidRPr="00CB3D59" w14:paraId="001697DE" w14:textId="77777777">
      <w:trPr>
        <w:jc w:val="center"/>
      </w:trPr>
      <w:tc>
        <w:tcPr>
          <w:tcW w:w="6165" w:type="dxa"/>
        </w:tcPr>
        <w:p w14:paraId="0AD1DAA1" w14:textId="63B74E36" w:rsidR="0007725C" w:rsidRPr="00922BD6" w:rsidRDefault="0007725C">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C17B8B">
            <w:rPr>
              <w:rFonts w:cs="Arial"/>
              <w:noProof/>
              <w:szCs w:val="18"/>
            </w:rPr>
            <w:t>Code of practice</w:t>
          </w:r>
          <w:r w:rsidRPr="00922BD6">
            <w:rPr>
              <w:rFonts w:cs="Arial"/>
              <w:szCs w:val="18"/>
            </w:rPr>
            <w:fldChar w:fldCharType="end"/>
          </w:r>
        </w:p>
      </w:tc>
      <w:tc>
        <w:tcPr>
          <w:tcW w:w="1560" w:type="dxa"/>
        </w:tcPr>
        <w:p w14:paraId="2FBCFBDA" w14:textId="60C29100" w:rsidR="0007725C" w:rsidRPr="00922BD6" w:rsidRDefault="0007725C">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C17B8B">
            <w:rPr>
              <w:rFonts w:cs="Arial"/>
              <w:b/>
              <w:noProof/>
              <w:szCs w:val="18"/>
            </w:rPr>
            <w:t>Schedule 1</w:t>
          </w:r>
          <w:r w:rsidRPr="00922BD6">
            <w:rPr>
              <w:rFonts w:cs="Arial"/>
              <w:b/>
              <w:szCs w:val="18"/>
            </w:rPr>
            <w:fldChar w:fldCharType="end"/>
          </w:r>
        </w:p>
      </w:tc>
    </w:tr>
    <w:tr w:rsidR="0007725C" w:rsidRPr="00CB3D59" w14:paraId="0A9B0940" w14:textId="77777777">
      <w:trPr>
        <w:jc w:val="center"/>
      </w:trPr>
      <w:tc>
        <w:tcPr>
          <w:tcW w:w="6165" w:type="dxa"/>
        </w:tcPr>
        <w:p w14:paraId="7DCCBF90" w14:textId="2531E885" w:rsidR="0007725C" w:rsidRPr="00922BD6" w:rsidRDefault="0007725C">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C17B8B">
            <w:rPr>
              <w:rFonts w:cs="Arial"/>
              <w:noProof/>
              <w:szCs w:val="18"/>
            </w:rPr>
            <w:t>Advertising, promotions and inducements</w:t>
          </w:r>
          <w:r w:rsidRPr="00922BD6">
            <w:rPr>
              <w:rFonts w:cs="Arial"/>
              <w:szCs w:val="18"/>
            </w:rPr>
            <w:fldChar w:fldCharType="end"/>
          </w:r>
        </w:p>
      </w:tc>
      <w:tc>
        <w:tcPr>
          <w:tcW w:w="1560" w:type="dxa"/>
        </w:tcPr>
        <w:p w14:paraId="32DE060E" w14:textId="742ECDB9" w:rsidR="0007725C" w:rsidRPr="00922BD6" w:rsidRDefault="0007725C">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C17B8B">
            <w:rPr>
              <w:rFonts w:cs="Arial"/>
              <w:b/>
              <w:noProof/>
              <w:szCs w:val="18"/>
            </w:rPr>
            <w:t>Part 1.4</w:t>
          </w:r>
          <w:r w:rsidRPr="00922BD6">
            <w:rPr>
              <w:rFonts w:cs="Arial"/>
              <w:b/>
              <w:szCs w:val="18"/>
            </w:rPr>
            <w:fldChar w:fldCharType="end"/>
          </w:r>
        </w:p>
      </w:tc>
    </w:tr>
    <w:tr w:rsidR="0007725C" w:rsidRPr="00CB3D59" w14:paraId="6A12083A" w14:textId="77777777">
      <w:trPr>
        <w:jc w:val="center"/>
      </w:trPr>
      <w:tc>
        <w:tcPr>
          <w:tcW w:w="6165" w:type="dxa"/>
        </w:tcPr>
        <w:p w14:paraId="78BE9EA2" w14:textId="3C508515" w:rsidR="0007725C" w:rsidRPr="00922BD6" w:rsidRDefault="0007725C">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14:paraId="43D8AA82" w14:textId="58ECB4DC" w:rsidR="0007725C" w:rsidRPr="00922BD6" w:rsidRDefault="0007725C">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07725C" w:rsidRPr="00CB3D59" w14:paraId="39494FDF" w14:textId="77777777">
      <w:trPr>
        <w:cantSplit/>
        <w:jc w:val="center"/>
      </w:trPr>
      <w:tc>
        <w:tcPr>
          <w:tcW w:w="7725" w:type="dxa"/>
          <w:gridSpan w:val="2"/>
          <w:tcBorders>
            <w:bottom w:val="single" w:sz="4" w:space="0" w:color="auto"/>
          </w:tcBorders>
        </w:tcPr>
        <w:p w14:paraId="50D29274" w14:textId="269DCAFF" w:rsidR="0007725C" w:rsidRPr="00922BD6" w:rsidRDefault="0007725C" w:rsidP="00B136BA">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C17B8B">
            <w:rPr>
              <w:rFonts w:cs="Arial"/>
              <w:noProof/>
              <w:szCs w:val="18"/>
            </w:rPr>
            <w:t>1.30D</w:t>
          </w:r>
          <w:r w:rsidRPr="00922BD6">
            <w:rPr>
              <w:rFonts w:cs="Arial"/>
              <w:szCs w:val="18"/>
            </w:rPr>
            <w:fldChar w:fldCharType="end"/>
          </w:r>
        </w:p>
      </w:tc>
    </w:tr>
  </w:tbl>
  <w:p w14:paraId="4C89EEC9" w14:textId="77777777" w:rsidR="0007725C" w:rsidRDefault="00077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DF5667"/>
    <w:multiLevelType w:val="singleLevel"/>
    <w:tmpl w:val="743CBAA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5"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8210346">
    <w:abstractNumId w:val="17"/>
  </w:num>
  <w:num w:numId="2" w16cid:durableId="1164082160">
    <w:abstractNumId w:val="18"/>
  </w:num>
  <w:num w:numId="3" w16cid:durableId="244806645">
    <w:abstractNumId w:val="14"/>
  </w:num>
  <w:num w:numId="4" w16cid:durableId="2781623">
    <w:abstractNumId w:val="13"/>
  </w:num>
  <w:num w:numId="5" w16cid:durableId="1708218384">
    <w:abstractNumId w:val="20"/>
  </w:num>
  <w:num w:numId="6" w16cid:durableId="174612116">
    <w:abstractNumId w:val="24"/>
  </w:num>
  <w:num w:numId="7" w16cid:durableId="1765999616">
    <w:abstractNumId w:val="9"/>
  </w:num>
  <w:num w:numId="8" w16cid:durableId="1370181474">
    <w:abstractNumId w:val="7"/>
  </w:num>
  <w:num w:numId="9" w16cid:durableId="1561399629">
    <w:abstractNumId w:val="6"/>
  </w:num>
  <w:num w:numId="10" w16cid:durableId="544561640">
    <w:abstractNumId w:val="5"/>
  </w:num>
  <w:num w:numId="11" w16cid:durableId="826631047">
    <w:abstractNumId w:val="4"/>
  </w:num>
  <w:num w:numId="12" w16cid:durableId="1979720624">
    <w:abstractNumId w:val="8"/>
  </w:num>
  <w:num w:numId="13" w16cid:durableId="568657085">
    <w:abstractNumId w:val="3"/>
  </w:num>
  <w:num w:numId="14" w16cid:durableId="173570268">
    <w:abstractNumId w:val="2"/>
  </w:num>
  <w:num w:numId="15" w16cid:durableId="494535229">
    <w:abstractNumId w:val="1"/>
  </w:num>
  <w:num w:numId="16" w16cid:durableId="858202495">
    <w:abstractNumId w:val="0"/>
  </w:num>
  <w:num w:numId="17" w16cid:durableId="81487989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F1"/>
    <w:rsid w:val="00000E30"/>
    <w:rsid w:val="00001834"/>
    <w:rsid w:val="00010EDA"/>
    <w:rsid w:val="00014AE4"/>
    <w:rsid w:val="00016A6A"/>
    <w:rsid w:val="00021A65"/>
    <w:rsid w:val="00033B6E"/>
    <w:rsid w:val="0003687E"/>
    <w:rsid w:val="0003721E"/>
    <w:rsid w:val="00043B54"/>
    <w:rsid w:val="00044C6D"/>
    <w:rsid w:val="000569CA"/>
    <w:rsid w:val="0007725C"/>
    <w:rsid w:val="000A1A3B"/>
    <w:rsid w:val="000B39B0"/>
    <w:rsid w:val="000B6920"/>
    <w:rsid w:val="000C073E"/>
    <w:rsid w:val="000C21BB"/>
    <w:rsid w:val="000E5E7F"/>
    <w:rsid w:val="000F00EF"/>
    <w:rsid w:val="000F0D8D"/>
    <w:rsid w:val="00137843"/>
    <w:rsid w:val="001434E3"/>
    <w:rsid w:val="00154209"/>
    <w:rsid w:val="001670ED"/>
    <w:rsid w:val="001739A9"/>
    <w:rsid w:val="001A1D3F"/>
    <w:rsid w:val="001A5D61"/>
    <w:rsid w:val="001A5E2C"/>
    <w:rsid w:val="001A6F65"/>
    <w:rsid w:val="001C369F"/>
    <w:rsid w:val="001C5459"/>
    <w:rsid w:val="001D0CF9"/>
    <w:rsid w:val="001D15C1"/>
    <w:rsid w:val="001D3D24"/>
    <w:rsid w:val="001F5274"/>
    <w:rsid w:val="0020309E"/>
    <w:rsid w:val="00220D86"/>
    <w:rsid w:val="00221019"/>
    <w:rsid w:val="00221DDE"/>
    <w:rsid w:val="00224E14"/>
    <w:rsid w:val="00231D83"/>
    <w:rsid w:val="002518AA"/>
    <w:rsid w:val="002527A3"/>
    <w:rsid w:val="00256440"/>
    <w:rsid w:val="00262618"/>
    <w:rsid w:val="002647F9"/>
    <w:rsid w:val="00280C39"/>
    <w:rsid w:val="002C47BB"/>
    <w:rsid w:val="002D319E"/>
    <w:rsid w:val="002E7D75"/>
    <w:rsid w:val="002F25AC"/>
    <w:rsid w:val="00322AE5"/>
    <w:rsid w:val="00336029"/>
    <w:rsid w:val="00340410"/>
    <w:rsid w:val="00390718"/>
    <w:rsid w:val="003973A9"/>
    <w:rsid w:val="003C01D9"/>
    <w:rsid w:val="003C1B54"/>
    <w:rsid w:val="003D00F3"/>
    <w:rsid w:val="003E3DF8"/>
    <w:rsid w:val="004031BA"/>
    <w:rsid w:val="004078A3"/>
    <w:rsid w:val="004102FF"/>
    <w:rsid w:val="00414D6D"/>
    <w:rsid w:val="00425AAD"/>
    <w:rsid w:val="004413BC"/>
    <w:rsid w:val="00456C0F"/>
    <w:rsid w:val="00480DC0"/>
    <w:rsid w:val="004A006F"/>
    <w:rsid w:val="004A2630"/>
    <w:rsid w:val="004B5D04"/>
    <w:rsid w:val="004B7734"/>
    <w:rsid w:val="004C1A61"/>
    <w:rsid w:val="004E273F"/>
    <w:rsid w:val="00500732"/>
    <w:rsid w:val="00515CD5"/>
    <w:rsid w:val="00517082"/>
    <w:rsid w:val="00521F15"/>
    <w:rsid w:val="0053766D"/>
    <w:rsid w:val="005672FE"/>
    <w:rsid w:val="0056747E"/>
    <w:rsid w:val="005852C5"/>
    <w:rsid w:val="005940A4"/>
    <w:rsid w:val="005C0AA0"/>
    <w:rsid w:val="005D067F"/>
    <w:rsid w:val="005D126E"/>
    <w:rsid w:val="005E00C1"/>
    <w:rsid w:val="005E6F0C"/>
    <w:rsid w:val="0063631C"/>
    <w:rsid w:val="006532B0"/>
    <w:rsid w:val="006570B4"/>
    <w:rsid w:val="0066283E"/>
    <w:rsid w:val="00685282"/>
    <w:rsid w:val="006A5457"/>
    <w:rsid w:val="006A595F"/>
    <w:rsid w:val="006B290D"/>
    <w:rsid w:val="006D63DD"/>
    <w:rsid w:val="006D7675"/>
    <w:rsid w:val="006E2107"/>
    <w:rsid w:val="006E6082"/>
    <w:rsid w:val="006F0BE7"/>
    <w:rsid w:val="006F1314"/>
    <w:rsid w:val="006F23FF"/>
    <w:rsid w:val="006F575E"/>
    <w:rsid w:val="006F5CCF"/>
    <w:rsid w:val="0070212B"/>
    <w:rsid w:val="007105C9"/>
    <w:rsid w:val="00710A3B"/>
    <w:rsid w:val="0073189A"/>
    <w:rsid w:val="00743CAC"/>
    <w:rsid w:val="007530E7"/>
    <w:rsid w:val="007659AE"/>
    <w:rsid w:val="0077579F"/>
    <w:rsid w:val="00783A96"/>
    <w:rsid w:val="00795879"/>
    <w:rsid w:val="007A3840"/>
    <w:rsid w:val="007A4ED0"/>
    <w:rsid w:val="007C1855"/>
    <w:rsid w:val="007C2DE6"/>
    <w:rsid w:val="007F160B"/>
    <w:rsid w:val="007F2AE5"/>
    <w:rsid w:val="007F46CD"/>
    <w:rsid w:val="00801F26"/>
    <w:rsid w:val="008123E7"/>
    <w:rsid w:val="00833373"/>
    <w:rsid w:val="00835911"/>
    <w:rsid w:val="00890B09"/>
    <w:rsid w:val="00897982"/>
    <w:rsid w:val="008A104C"/>
    <w:rsid w:val="008A2184"/>
    <w:rsid w:val="008B17B2"/>
    <w:rsid w:val="008C0F0D"/>
    <w:rsid w:val="008E539A"/>
    <w:rsid w:val="008F00E1"/>
    <w:rsid w:val="0090163F"/>
    <w:rsid w:val="0090466A"/>
    <w:rsid w:val="0091063F"/>
    <w:rsid w:val="009263D8"/>
    <w:rsid w:val="00955DBA"/>
    <w:rsid w:val="00972E74"/>
    <w:rsid w:val="00987026"/>
    <w:rsid w:val="00991BFF"/>
    <w:rsid w:val="00995F7F"/>
    <w:rsid w:val="009B66CF"/>
    <w:rsid w:val="009B72D9"/>
    <w:rsid w:val="009F276B"/>
    <w:rsid w:val="00A03D08"/>
    <w:rsid w:val="00A10FCD"/>
    <w:rsid w:val="00A139D8"/>
    <w:rsid w:val="00A315E1"/>
    <w:rsid w:val="00A40769"/>
    <w:rsid w:val="00A61F5C"/>
    <w:rsid w:val="00A62CD5"/>
    <w:rsid w:val="00A66854"/>
    <w:rsid w:val="00A83933"/>
    <w:rsid w:val="00A875BE"/>
    <w:rsid w:val="00A96636"/>
    <w:rsid w:val="00AB06CC"/>
    <w:rsid w:val="00AC5ABF"/>
    <w:rsid w:val="00AF348D"/>
    <w:rsid w:val="00B019AC"/>
    <w:rsid w:val="00B33F6B"/>
    <w:rsid w:val="00B35225"/>
    <w:rsid w:val="00B35F75"/>
    <w:rsid w:val="00B36027"/>
    <w:rsid w:val="00B47127"/>
    <w:rsid w:val="00B50448"/>
    <w:rsid w:val="00B52C97"/>
    <w:rsid w:val="00B57FEC"/>
    <w:rsid w:val="00B61702"/>
    <w:rsid w:val="00B61E43"/>
    <w:rsid w:val="00B62D69"/>
    <w:rsid w:val="00B67368"/>
    <w:rsid w:val="00B776B3"/>
    <w:rsid w:val="00B86AAE"/>
    <w:rsid w:val="00BA5A94"/>
    <w:rsid w:val="00BA76B1"/>
    <w:rsid w:val="00BC249E"/>
    <w:rsid w:val="00BC717B"/>
    <w:rsid w:val="00BE364D"/>
    <w:rsid w:val="00BE6580"/>
    <w:rsid w:val="00BF449F"/>
    <w:rsid w:val="00C041A3"/>
    <w:rsid w:val="00C050B9"/>
    <w:rsid w:val="00C17B8B"/>
    <w:rsid w:val="00C349DC"/>
    <w:rsid w:val="00C4267C"/>
    <w:rsid w:val="00C514E4"/>
    <w:rsid w:val="00C53A7A"/>
    <w:rsid w:val="00C5748A"/>
    <w:rsid w:val="00C64CE8"/>
    <w:rsid w:val="00C807F7"/>
    <w:rsid w:val="00C83EA7"/>
    <w:rsid w:val="00C96D70"/>
    <w:rsid w:val="00CB3009"/>
    <w:rsid w:val="00CB3F82"/>
    <w:rsid w:val="00CC3469"/>
    <w:rsid w:val="00CC4745"/>
    <w:rsid w:val="00CE08B7"/>
    <w:rsid w:val="00CE2FCA"/>
    <w:rsid w:val="00CF5E33"/>
    <w:rsid w:val="00D11833"/>
    <w:rsid w:val="00D20D3A"/>
    <w:rsid w:val="00D232C5"/>
    <w:rsid w:val="00D241D9"/>
    <w:rsid w:val="00D25207"/>
    <w:rsid w:val="00D3286F"/>
    <w:rsid w:val="00D4224C"/>
    <w:rsid w:val="00D442DD"/>
    <w:rsid w:val="00D45E5C"/>
    <w:rsid w:val="00D47918"/>
    <w:rsid w:val="00D74F86"/>
    <w:rsid w:val="00D81070"/>
    <w:rsid w:val="00D838C8"/>
    <w:rsid w:val="00D847F1"/>
    <w:rsid w:val="00D96AB6"/>
    <w:rsid w:val="00DA6F13"/>
    <w:rsid w:val="00DC1784"/>
    <w:rsid w:val="00DE09B2"/>
    <w:rsid w:val="00DF21AF"/>
    <w:rsid w:val="00E00794"/>
    <w:rsid w:val="00E02D37"/>
    <w:rsid w:val="00E13019"/>
    <w:rsid w:val="00E32685"/>
    <w:rsid w:val="00E32B97"/>
    <w:rsid w:val="00E34A85"/>
    <w:rsid w:val="00E5599F"/>
    <w:rsid w:val="00E9093B"/>
    <w:rsid w:val="00E95BAD"/>
    <w:rsid w:val="00EA1BC2"/>
    <w:rsid w:val="00EC0987"/>
    <w:rsid w:val="00EC222E"/>
    <w:rsid w:val="00EC2BE7"/>
    <w:rsid w:val="00EC7582"/>
    <w:rsid w:val="00ED7E8F"/>
    <w:rsid w:val="00EE45F4"/>
    <w:rsid w:val="00F0587B"/>
    <w:rsid w:val="00F1531F"/>
    <w:rsid w:val="00F21EE6"/>
    <w:rsid w:val="00F41D7E"/>
    <w:rsid w:val="00F42436"/>
    <w:rsid w:val="00F612A1"/>
    <w:rsid w:val="00F74C1D"/>
    <w:rsid w:val="00F823D7"/>
    <w:rsid w:val="00F83F19"/>
    <w:rsid w:val="00F966FF"/>
    <w:rsid w:val="00FA1B52"/>
    <w:rsid w:val="00FB11F3"/>
    <w:rsid w:val="00FB6524"/>
    <w:rsid w:val="00FD252A"/>
    <w:rsid w:val="00FF05B5"/>
    <w:rsid w:val="00FF7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2438E"/>
  <w15:docId w15:val="{B9D0C919-28EB-4EEC-8B7D-B1DC5070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31F"/>
    <w:pPr>
      <w:tabs>
        <w:tab w:val="left" w:pos="0"/>
      </w:tabs>
    </w:pPr>
    <w:rPr>
      <w:sz w:val="24"/>
      <w:lang w:eastAsia="en-US"/>
    </w:rPr>
  </w:style>
  <w:style w:type="paragraph" w:styleId="Heading1">
    <w:name w:val="heading 1"/>
    <w:basedOn w:val="Normal"/>
    <w:next w:val="Normal"/>
    <w:qFormat/>
    <w:rsid w:val="00F1531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1531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1531F"/>
    <w:pPr>
      <w:keepNext/>
      <w:spacing w:before="140"/>
      <w:outlineLvl w:val="2"/>
    </w:pPr>
    <w:rPr>
      <w:b/>
    </w:rPr>
  </w:style>
  <w:style w:type="paragraph" w:styleId="Heading4">
    <w:name w:val="heading 4"/>
    <w:basedOn w:val="Normal"/>
    <w:next w:val="Normal"/>
    <w:qFormat/>
    <w:rsid w:val="00F1531F"/>
    <w:pPr>
      <w:keepNext/>
      <w:spacing w:before="240" w:after="60"/>
      <w:outlineLvl w:val="3"/>
    </w:pPr>
    <w:rPr>
      <w:rFonts w:ascii="Arial" w:hAnsi="Arial"/>
      <w:b/>
      <w:bCs/>
      <w:sz w:val="22"/>
      <w:szCs w:val="28"/>
    </w:rPr>
  </w:style>
  <w:style w:type="paragraph" w:styleId="Heading5">
    <w:name w:val="heading 5"/>
    <w:basedOn w:val="Normal"/>
    <w:next w:val="Normal"/>
    <w:qFormat/>
    <w:rsid w:val="0020309E"/>
    <w:pPr>
      <w:numPr>
        <w:ilvl w:val="4"/>
        <w:numId w:val="1"/>
      </w:numPr>
      <w:spacing w:before="240" w:after="60"/>
      <w:outlineLvl w:val="4"/>
    </w:pPr>
    <w:rPr>
      <w:sz w:val="22"/>
    </w:rPr>
  </w:style>
  <w:style w:type="paragraph" w:styleId="Heading6">
    <w:name w:val="heading 6"/>
    <w:basedOn w:val="Normal"/>
    <w:next w:val="Normal"/>
    <w:qFormat/>
    <w:rsid w:val="0020309E"/>
    <w:pPr>
      <w:numPr>
        <w:ilvl w:val="5"/>
        <w:numId w:val="1"/>
      </w:numPr>
      <w:spacing w:before="240" w:after="60"/>
      <w:outlineLvl w:val="5"/>
    </w:pPr>
    <w:rPr>
      <w:i/>
      <w:sz w:val="22"/>
    </w:rPr>
  </w:style>
  <w:style w:type="paragraph" w:styleId="Heading7">
    <w:name w:val="heading 7"/>
    <w:basedOn w:val="Normal"/>
    <w:next w:val="Normal"/>
    <w:qFormat/>
    <w:rsid w:val="0020309E"/>
    <w:pPr>
      <w:numPr>
        <w:ilvl w:val="6"/>
        <w:numId w:val="1"/>
      </w:numPr>
      <w:spacing w:before="240" w:after="60"/>
      <w:outlineLvl w:val="6"/>
    </w:pPr>
    <w:rPr>
      <w:rFonts w:ascii="Arial" w:hAnsi="Arial"/>
      <w:sz w:val="20"/>
    </w:rPr>
  </w:style>
  <w:style w:type="paragraph" w:styleId="Heading8">
    <w:name w:val="heading 8"/>
    <w:basedOn w:val="Normal"/>
    <w:next w:val="Normal"/>
    <w:qFormat/>
    <w:rsid w:val="0020309E"/>
    <w:pPr>
      <w:numPr>
        <w:ilvl w:val="7"/>
        <w:numId w:val="1"/>
      </w:numPr>
      <w:spacing w:before="240" w:after="60"/>
      <w:outlineLvl w:val="7"/>
    </w:pPr>
    <w:rPr>
      <w:rFonts w:ascii="Arial" w:hAnsi="Arial"/>
      <w:i/>
      <w:sz w:val="20"/>
    </w:rPr>
  </w:style>
  <w:style w:type="paragraph" w:styleId="Heading9">
    <w:name w:val="heading 9"/>
    <w:basedOn w:val="Normal"/>
    <w:next w:val="Normal"/>
    <w:qFormat/>
    <w:rsid w:val="0020309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1531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1531F"/>
  </w:style>
  <w:style w:type="paragraph" w:customStyle="1" w:styleId="00ClientCover">
    <w:name w:val="00ClientCover"/>
    <w:basedOn w:val="Normal"/>
    <w:rsid w:val="00F1531F"/>
  </w:style>
  <w:style w:type="paragraph" w:customStyle="1" w:styleId="02Text">
    <w:name w:val="02Text"/>
    <w:basedOn w:val="Normal"/>
    <w:rsid w:val="00F1531F"/>
  </w:style>
  <w:style w:type="paragraph" w:customStyle="1" w:styleId="BillBasic">
    <w:name w:val="BillBasic"/>
    <w:rsid w:val="00F1531F"/>
    <w:pPr>
      <w:spacing w:before="140"/>
      <w:jc w:val="both"/>
    </w:pPr>
    <w:rPr>
      <w:sz w:val="24"/>
      <w:lang w:eastAsia="en-US"/>
    </w:rPr>
  </w:style>
  <w:style w:type="paragraph" w:styleId="Header">
    <w:name w:val="header"/>
    <w:aliases w:val="cnvHeader"/>
    <w:basedOn w:val="Normal"/>
    <w:link w:val="HeaderChar"/>
    <w:rsid w:val="00F1531F"/>
    <w:pPr>
      <w:tabs>
        <w:tab w:val="center" w:pos="4153"/>
        <w:tab w:val="right" w:pos="8306"/>
      </w:tabs>
    </w:pPr>
  </w:style>
  <w:style w:type="paragraph" w:styleId="Footer">
    <w:name w:val="footer"/>
    <w:basedOn w:val="Normal"/>
    <w:link w:val="FooterChar"/>
    <w:rsid w:val="00F1531F"/>
    <w:pPr>
      <w:spacing w:before="120" w:line="240" w:lineRule="exact"/>
    </w:pPr>
    <w:rPr>
      <w:rFonts w:ascii="Arial" w:hAnsi="Arial"/>
      <w:sz w:val="18"/>
    </w:rPr>
  </w:style>
  <w:style w:type="paragraph" w:customStyle="1" w:styleId="Billname">
    <w:name w:val="Billname"/>
    <w:basedOn w:val="Normal"/>
    <w:rsid w:val="00F1531F"/>
    <w:pPr>
      <w:spacing w:before="1220"/>
    </w:pPr>
    <w:rPr>
      <w:rFonts w:ascii="Arial" w:hAnsi="Arial"/>
      <w:b/>
      <w:sz w:val="40"/>
    </w:rPr>
  </w:style>
  <w:style w:type="paragraph" w:customStyle="1" w:styleId="BillBasicHeading">
    <w:name w:val="BillBasicHeading"/>
    <w:basedOn w:val="BillBasic"/>
    <w:rsid w:val="00F1531F"/>
    <w:pPr>
      <w:keepNext/>
      <w:tabs>
        <w:tab w:val="left" w:pos="2600"/>
      </w:tabs>
      <w:jc w:val="left"/>
    </w:pPr>
    <w:rPr>
      <w:rFonts w:ascii="Arial" w:hAnsi="Arial"/>
      <w:b/>
    </w:rPr>
  </w:style>
  <w:style w:type="paragraph" w:customStyle="1" w:styleId="EnactingWordsRules">
    <w:name w:val="EnactingWordsRules"/>
    <w:basedOn w:val="EnactingWords"/>
    <w:rsid w:val="00F1531F"/>
    <w:pPr>
      <w:spacing w:before="240"/>
    </w:pPr>
  </w:style>
  <w:style w:type="paragraph" w:customStyle="1" w:styleId="EnactingWords">
    <w:name w:val="EnactingWords"/>
    <w:basedOn w:val="BillBasic"/>
    <w:rsid w:val="00F1531F"/>
    <w:pPr>
      <w:spacing w:before="120"/>
    </w:pPr>
  </w:style>
  <w:style w:type="paragraph" w:customStyle="1" w:styleId="BillCrest">
    <w:name w:val="Bill Crest"/>
    <w:basedOn w:val="Normal"/>
    <w:next w:val="Normal"/>
    <w:rsid w:val="00F1531F"/>
    <w:pPr>
      <w:tabs>
        <w:tab w:val="center" w:pos="3160"/>
      </w:tabs>
      <w:spacing w:after="60"/>
    </w:pPr>
    <w:rPr>
      <w:sz w:val="216"/>
    </w:rPr>
  </w:style>
  <w:style w:type="paragraph" w:customStyle="1" w:styleId="Amain">
    <w:name w:val="A main"/>
    <w:basedOn w:val="BillBasic"/>
    <w:rsid w:val="00F1531F"/>
    <w:pPr>
      <w:tabs>
        <w:tab w:val="right" w:pos="900"/>
        <w:tab w:val="left" w:pos="1100"/>
      </w:tabs>
      <w:ind w:left="1100" w:hanging="1100"/>
      <w:outlineLvl w:val="5"/>
    </w:pPr>
  </w:style>
  <w:style w:type="paragraph" w:customStyle="1" w:styleId="Amainreturn">
    <w:name w:val="A main return"/>
    <w:basedOn w:val="BillBasic"/>
    <w:link w:val="AmainreturnChar"/>
    <w:rsid w:val="00F1531F"/>
    <w:pPr>
      <w:ind w:left="1100"/>
    </w:pPr>
  </w:style>
  <w:style w:type="paragraph" w:customStyle="1" w:styleId="Apara">
    <w:name w:val="A para"/>
    <w:basedOn w:val="BillBasic"/>
    <w:rsid w:val="00F1531F"/>
    <w:pPr>
      <w:tabs>
        <w:tab w:val="right" w:pos="1400"/>
        <w:tab w:val="left" w:pos="1600"/>
      </w:tabs>
      <w:ind w:left="1600" w:hanging="1600"/>
      <w:outlineLvl w:val="6"/>
    </w:pPr>
  </w:style>
  <w:style w:type="paragraph" w:customStyle="1" w:styleId="Asubpara">
    <w:name w:val="A subpara"/>
    <w:basedOn w:val="BillBasic"/>
    <w:rsid w:val="00F1531F"/>
    <w:pPr>
      <w:tabs>
        <w:tab w:val="right" w:pos="1900"/>
        <w:tab w:val="left" w:pos="2100"/>
      </w:tabs>
      <w:ind w:left="2100" w:hanging="2100"/>
      <w:outlineLvl w:val="7"/>
    </w:pPr>
  </w:style>
  <w:style w:type="paragraph" w:customStyle="1" w:styleId="Asubsubpara">
    <w:name w:val="A subsubpara"/>
    <w:basedOn w:val="BillBasic"/>
    <w:rsid w:val="00F1531F"/>
    <w:pPr>
      <w:tabs>
        <w:tab w:val="right" w:pos="2400"/>
        <w:tab w:val="left" w:pos="2600"/>
      </w:tabs>
      <w:ind w:left="2600" w:hanging="2600"/>
      <w:outlineLvl w:val="8"/>
    </w:pPr>
  </w:style>
  <w:style w:type="paragraph" w:customStyle="1" w:styleId="aDef">
    <w:name w:val="aDef"/>
    <w:basedOn w:val="BillBasic"/>
    <w:rsid w:val="00F1531F"/>
    <w:pPr>
      <w:ind w:left="1100"/>
    </w:pPr>
  </w:style>
  <w:style w:type="paragraph" w:customStyle="1" w:styleId="aExamHead">
    <w:name w:val="aExam Head"/>
    <w:basedOn w:val="BillBasicHeading"/>
    <w:next w:val="aExam"/>
    <w:rsid w:val="00F1531F"/>
    <w:pPr>
      <w:tabs>
        <w:tab w:val="clear" w:pos="2600"/>
      </w:tabs>
      <w:ind w:left="1100"/>
    </w:pPr>
    <w:rPr>
      <w:sz w:val="18"/>
    </w:rPr>
  </w:style>
  <w:style w:type="paragraph" w:customStyle="1" w:styleId="aExam">
    <w:name w:val="aExam"/>
    <w:basedOn w:val="aNoteSymb"/>
    <w:rsid w:val="00F1531F"/>
    <w:pPr>
      <w:spacing w:before="60"/>
      <w:ind w:left="1100" w:firstLine="0"/>
    </w:pPr>
  </w:style>
  <w:style w:type="paragraph" w:customStyle="1" w:styleId="aNote">
    <w:name w:val="aNote"/>
    <w:basedOn w:val="BillBasic"/>
    <w:link w:val="aNoteChar"/>
    <w:rsid w:val="00F1531F"/>
    <w:pPr>
      <w:ind w:left="1900" w:hanging="800"/>
    </w:pPr>
    <w:rPr>
      <w:sz w:val="20"/>
    </w:rPr>
  </w:style>
  <w:style w:type="paragraph" w:customStyle="1" w:styleId="HeaderEven">
    <w:name w:val="HeaderEven"/>
    <w:basedOn w:val="Normal"/>
    <w:rsid w:val="00F1531F"/>
    <w:rPr>
      <w:rFonts w:ascii="Arial" w:hAnsi="Arial"/>
      <w:sz w:val="18"/>
    </w:rPr>
  </w:style>
  <w:style w:type="paragraph" w:customStyle="1" w:styleId="HeaderEven6">
    <w:name w:val="HeaderEven6"/>
    <w:basedOn w:val="HeaderEven"/>
    <w:rsid w:val="00F1531F"/>
    <w:pPr>
      <w:spacing w:before="120" w:after="60"/>
    </w:pPr>
  </w:style>
  <w:style w:type="paragraph" w:customStyle="1" w:styleId="HeaderOdd6">
    <w:name w:val="HeaderOdd6"/>
    <w:basedOn w:val="HeaderEven6"/>
    <w:rsid w:val="00F1531F"/>
    <w:pPr>
      <w:jc w:val="right"/>
    </w:pPr>
  </w:style>
  <w:style w:type="paragraph" w:customStyle="1" w:styleId="HeaderOdd">
    <w:name w:val="HeaderOdd"/>
    <w:basedOn w:val="HeaderEven"/>
    <w:rsid w:val="00F1531F"/>
    <w:pPr>
      <w:jc w:val="right"/>
    </w:pPr>
  </w:style>
  <w:style w:type="paragraph" w:customStyle="1" w:styleId="BillNo">
    <w:name w:val="BillNo"/>
    <w:basedOn w:val="BillBasicHeading"/>
    <w:rsid w:val="00F1531F"/>
    <w:pPr>
      <w:keepNext w:val="0"/>
      <w:spacing w:before="240"/>
      <w:jc w:val="both"/>
    </w:pPr>
  </w:style>
  <w:style w:type="paragraph" w:customStyle="1" w:styleId="N-TOCheading">
    <w:name w:val="N-TOCheading"/>
    <w:basedOn w:val="BillBasicHeading"/>
    <w:next w:val="N-9pt"/>
    <w:rsid w:val="00F1531F"/>
    <w:pPr>
      <w:pBdr>
        <w:bottom w:val="single" w:sz="4" w:space="1" w:color="auto"/>
      </w:pBdr>
      <w:spacing w:before="800"/>
    </w:pPr>
    <w:rPr>
      <w:sz w:val="32"/>
    </w:rPr>
  </w:style>
  <w:style w:type="paragraph" w:customStyle="1" w:styleId="N-9pt">
    <w:name w:val="N-9pt"/>
    <w:basedOn w:val="BillBasic"/>
    <w:next w:val="BillBasic"/>
    <w:rsid w:val="00F1531F"/>
    <w:pPr>
      <w:keepNext/>
      <w:tabs>
        <w:tab w:val="right" w:pos="7707"/>
      </w:tabs>
      <w:spacing w:before="120"/>
    </w:pPr>
    <w:rPr>
      <w:rFonts w:ascii="Arial" w:hAnsi="Arial"/>
      <w:sz w:val="18"/>
    </w:rPr>
  </w:style>
  <w:style w:type="paragraph" w:customStyle="1" w:styleId="N-14pt">
    <w:name w:val="N-14pt"/>
    <w:basedOn w:val="BillBasic"/>
    <w:rsid w:val="00F1531F"/>
    <w:pPr>
      <w:spacing w:before="0"/>
    </w:pPr>
    <w:rPr>
      <w:b/>
      <w:sz w:val="28"/>
    </w:rPr>
  </w:style>
  <w:style w:type="paragraph" w:customStyle="1" w:styleId="N-16pt">
    <w:name w:val="N-16pt"/>
    <w:basedOn w:val="BillBasic"/>
    <w:rsid w:val="00F1531F"/>
    <w:pPr>
      <w:spacing w:before="800"/>
    </w:pPr>
    <w:rPr>
      <w:b/>
      <w:sz w:val="32"/>
    </w:rPr>
  </w:style>
  <w:style w:type="paragraph" w:customStyle="1" w:styleId="N-line3">
    <w:name w:val="N-line3"/>
    <w:basedOn w:val="BillBasic"/>
    <w:next w:val="BillBasic"/>
    <w:rsid w:val="00F1531F"/>
    <w:pPr>
      <w:pBdr>
        <w:bottom w:val="single" w:sz="12" w:space="1" w:color="auto"/>
      </w:pBdr>
      <w:spacing w:before="60"/>
    </w:pPr>
  </w:style>
  <w:style w:type="paragraph" w:customStyle="1" w:styleId="Comment">
    <w:name w:val="Comment"/>
    <w:basedOn w:val="BillBasic"/>
    <w:rsid w:val="00F1531F"/>
    <w:pPr>
      <w:tabs>
        <w:tab w:val="left" w:pos="1800"/>
      </w:tabs>
      <w:ind w:left="1300"/>
      <w:jc w:val="left"/>
    </w:pPr>
    <w:rPr>
      <w:b/>
      <w:sz w:val="18"/>
    </w:rPr>
  </w:style>
  <w:style w:type="paragraph" w:customStyle="1" w:styleId="FooterInfo">
    <w:name w:val="FooterInfo"/>
    <w:basedOn w:val="Normal"/>
    <w:rsid w:val="00F1531F"/>
    <w:pPr>
      <w:tabs>
        <w:tab w:val="right" w:pos="7707"/>
      </w:tabs>
    </w:pPr>
    <w:rPr>
      <w:rFonts w:ascii="Arial" w:hAnsi="Arial"/>
      <w:sz w:val="18"/>
    </w:rPr>
  </w:style>
  <w:style w:type="paragraph" w:customStyle="1" w:styleId="AH1Chapter">
    <w:name w:val="A H1 Chapter"/>
    <w:basedOn w:val="BillBasicHeading"/>
    <w:next w:val="AH2Part"/>
    <w:rsid w:val="00F1531F"/>
    <w:pPr>
      <w:spacing w:before="320"/>
      <w:ind w:left="2600" w:hanging="2600"/>
      <w:outlineLvl w:val="0"/>
    </w:pPr>
    <w:rPr>
      <w:sz w:val="34"/>
    </w:rPr>
  </w:style>
  <w:style w:type="paragraph" w:customStyle="1" w:styleId="AH2Part">
    <w:name w:val="A H2 Part"/>
    <w:basedOn w:val="BillBasicHeading"/>
    <w:next w:val="AH3Div"/>
    <w:rsid w:val="00F1531F"/>
    <w:pPr>
      <w:spacing w:before="380"/>
      <w:ind w:left="2600" w:hanging="2600"/>
      <w:outlineLvl w:val="1"/>
    </w:pPr>
    <w:rPr>
      <w:sz w:val="32"/>
    </w:rPr>
  </w:style>
  <w:style w:type="paragraph" w:customStyle="1" w:styleId="AH3Div">
    <w:name w:val="A H3 Div"/>
    <w:basedOn w:val="BillBasicHeading"/>
    <w:next w:val="AH5Sec"/>
    <w:rsid w:val="00F1531F"/>
    <w:pPr>
      <w:spacing w:before="240"/>
      <w:ind w:left="2600" w:hanging="2600"/>
      <w:outlineLvl w:val="2"/>
    </w:pPr>
    <w:rPr>
      <w:sz w:val="28"/>
    </w:rPr>
  </w:style>
  <w:style w:type="paragraph" w:customStyle="1" w:styleId="AH5Sec">
    <w:name w:val="A H5 Sec"/>
    <w:basedOn w:val="BillBasicHeading"/>
    <w:next w:val="Amain"/>
    <w:rsid w:val="00F1531F"/>
    <w:pPr>
      <w:tabs>
        <w:tab w:val="clear" w:pos="2600"/>
        <w:tab w:val="left" w:pos="1100"/>
      </w:tabs>
      <w:spacing w:before="240"/>
      <w:ind w:left="1100" w:hanging="1100"/>
      <w:outlineLvl w:val="4"/>
    </w:pPr>
  </w:style>
  <w:style w:type="paragraph" w:customStyle="1" w:styleId="AH4SubDiv">
    <w:name w:val="A H4 SubDiv"/>
    <w:basedOn w:val="BillBasicHeading"/>
    <w:next w:val="AH5Sec"/>
    <w:rsid w:val="00F1531F"/>
    <w:pPr>
      <w:spacing w:before="240"/>
      <w:ind w:left="2600" w:hanging="2600"/>
      <w:outlineLvl w:val="3"/>
    </w:pPr>
    <w:rPr>
      <w:sz w:val="26"/>
    </w:rPr>
  </w:style>
  <w:style w:type="paragraph" w:customStyle="1" w:styleId="Sched-heading">
    <w:name w:val="Sched-heading"/>
    <w:basedOn w:val="BillBasicHeading"/>
    <w:next w:val="refSymb"/>
    <w:rsid w:val="00F1531F"/>
    <w:pPr>
      <w:spacing w:before="380"/>
      <w:ind w:left="2600" w:hanging="2600"/>
      <w:outlineLvl w:val="0"/>
    </w:pPr>
    <w:rPr>
      <w:sz w:val="34"/>
    </w:rPr>
  </w:style>
  <w:style w:type="paragraph" w:customStyle="1" w:styleId="ref">
    <w:name w:val="ref"/>
    <w:basedOn w:val="BillBasic"/>
    <w:next w:val="Normal"/>
    <w:rsid w:val="00F1531F"/>
    <w:pPr>
      <w:spacing w:before="60"/>
    </w:pPr>
    <w:rPr>
      <w:sz w:val="18"/>
    </w:rPr>
  </w:style>
  <w:style w:type="paragraph" w:customStyle="1" w:styleId="Sched-Part">
    <w:name w:val="Sched-Part"/>
    <w:basedOn w:val="BillBasicHeading"/>
    <w:next w:val="Sched-Form"/>
    <w:rsid w:val="00F1531F"/>
    <w:pPr>
      <w:spacing w:before="380"/>
      <w:ind w:left="2600" w:hanging="2600"/>
      <w:outlineLvl w:val="1"/>
    </w:pPr>
    <w:rPr>
      <w:sz w:val="32"/>
    </w:rPr>
  </w:style>
  <w:style w:type="paragraph" w:customStyle="1" w:styleId="ShadedSchClause">
    <w:name w:val="Shaded Sch Clause"/>
    <w:basedOn w:val="Schclauseheading"/>
    <w:next w:val="direction"/>
    <w:rsid w:val="00F1531F"/>
    <w:pPr>
      <w:shd w:val="pct25" w:color="auto" w:fill="auto"/>
      <w:outlineLvl w:val="3"/>
    </w:pPr>
  </w:style>
  <w:style w:type="paragraph" w:customStyle="1" w:styleId="Schclauseheading">
    <w:name w:val="Sch clause heading"/>
    <w:basedOn w:val="BillBasic"/>
    <w:next w:val="SchAmainSymb"/>
    <w:rsid w:val="00F1531F"/>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F1531F"/>
    <w:pPr>
      <w:ind w:left="1100"/>
    </w:pPr>
    <w:rPr>
      <w:i/>
    </w:rPr>
  </w:style>
  <w:style w:type="paragraph" w:customStyle="1" w:styleId="Sched-Form">
    <w:name w:val="Sched-Form"/>
    <w:basedOn w:val="BillBasicHeading"/>
    <w:next w:val="Schclauseheading"/>
    <w:rsid w:val="00F1531F"/>
    <w:pPr>
      <w:tabs>
        <w:tab w:val="right" w:pos="7200"/>
      </w:tabs>
      <w:spacing w:before="240"/>
      <w:ind w:left="2600" w:hanging="2600"/>
      <w:outlineLvl w:val="2"/>
    </w:pPr>
    <w:rPr>
      <w:sz w:val="28"/>
    </w:rPr>
  </w:style>
  <w:style w:type="paragraph" w:customStyle="1" w:styleId="Dict-Heading">
    <w:name w:val="Dict-Heading"/>
    <w:basedOn w:val="BillBasicHeading"/>
    <w:next w:val="Normal"/>
    <w:rsid w:val="00F1531F"/>
    <w:pPr>
      <w:spacing w:before="320"/>
      <w:ind w:left="2600" w:hanging="2600"/>
      <w:jc w:val="both"/>
      <w:outlineLvl w:val="0"/>
    </w:pPr>
    <w:rPr>
      <w:sz w:val="34"/>
    </w:rPr>
  </w:style>
  <w:style w:type="paragraph" w:styleId="TOC7">
    <w:name w:val="toc 7"/>
    <w:basedOn w:val="TOC2"/>
    <w:next w:val="Normal"/>
    <w:autoRedefine/>
    <w:uiPriority w:val="39"/>
    <w:rsid w:val="00F1531F"/>
    <w:pPr>
      <w:keepNext w:val="0"/>
      <w:spacing w:before="120"/>
    </w:pPr>
    <w:rPr>
      <w:sz w:val="20"/>
    </w:rPr>
  </w:style>
  <w:style w:type="paragraph" w:styleId="TOC2">
    <w:name w:val="toc 2"/>
    <w:basedOn w:val="Normal"/>
    <w:next w:val="Normal"/>
    <w:autoRedefine/>
    <w:uiPriority w:val="39"/>
    <w:rsid w:val="00F1531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1531F"/>
    <w:pPr>
      <w:keepNext/>
      <w:tabs>
        <w:tab w:val="left" w:pos="400"/>
      </w:tabs>
      <w:spacing w:before="0"/>
      <w:jc w:val="left"/>
    </w:pPr>
    <w:rPr>
      <w:rFonts w:ascii="Arial" w:hAnsi="Arial"/>
      <w:b/>
      <w:sz w:val="28"/>
    </w:rPr>
  </w:style>
  <w:style w:type="paragraph" w:customStyle="1" w:styleId="EndNote2">
    <w:name w:val="EndNote2"/>
    <w:basedOn w:val="BillBasic"/>
    <w:rsid w:val="0020309E"/>
    <w:pPr>
      <w:keepNext/>
      <w:tabs>
        <w:tab w:val="left" w:pos="240"/>
      </w:tabs>
      <w:spacing w:before="160" w:after="80"/>
      <w:jc w:val="left"/>
    </w:pPr>
    <w:rPr>
      <w:b/>
      <w:sz w:val="18"/>
    </w:rPr>
  </w:style>
  <w:style w:type="paragraph" w:customStyle="1" w:styleId="IH1Chap">
    <w:name w:val="I H1 Chap"/>
    <w:basedOn w:val="BillBasicHeading"/>
    <w:next w:val="Normal"/>
    <w:rsid w:val="00F1531F"/>
    <w:pPr>
      <w:spacing w:before="320"/>
      <w:ind w:left="2600" w:hanging="2600"/>
    </w:pPr>
    <w:rPr>
      <w:sz w:val="34"/>
    </w:rPr>
  </w:style>
  <w:style w:type="paragraph" w:customStyle="1" w:styleId="IH2Part">
    <w:name w:val="I H2 Part"/>
    <w:basedOn w:val="BillBasicHeading"/>
    <w:next w:val="Normal"/>
    <w:rsid w:val="00F1531F"/>
    <w:pPr>
      <w:spacing w:before="380"/>
      <w:ind w:left="2600" w:hanging="2600"/>
    </w:pPr>
    <w:rPr>
      <w:sz w:val="32"/>
    </w:rPr>
  </w:style>
  <w:style w:type="paragraph" w:customStyle="1" w:styleId="IH3Div">
    <w:name w:val="I H3 Div"/>
    <w:basedOn w:val="BillBasicHeading"/>
    <w:next w:val="Normal"/>
    <w:rsid w:val="00F1531F"/>
    <w:pPr>
      <w:spacing w:before="240"/>
      <w:ind w:left="2600" w:hanging="2600"/>
    </w:pPr>
    <w:rPr>
      <w:sz w:val="28"/>
    </w:rPr>
  </w:style>
  <w:style w:type="paragraph" w:customStyle="1" w:styleId="IH5Sec">
    <w:name w:val="I H5 Sec"/>
    <w:basedOn w:val="BillBasicHeading"/>
    <w:next w:val="Normal"/>
    <w:rsid w:val="00F1531F"/>
    <w:pPr>
      <w:tabs>
        <w:tab w:val="clear" w:pos="2600"/>
        <w:tab w:val="left" w:pos="1100"/>
      </w:tabs>
      <w:spacing w:before="240"/>
      <w:ind w:left="1100" w:hanging="1100"/>
    </w:pPr>
  </w:style>
  <w:style w:type="paragraph" w:customStyle="1" w:styleId="IH4SubDiv">
    <w:name w:val="I H4 SubDiv"/>
    <w:basedOn w:val="BillBasicHeading"/>
    <w:next w:val="Normal"/>
    <w:rsid w:val="00F1531F"/>
    <w:pPr>
      <w:spacing w:before="240"/>
      <w:ind w:left="2600" w:hanging="2600"/>
      <w:jc w:val="both"/>
    </w:pPr>
    <w:rPr>
      <w:sz w:val="26"/>
    </w:rPr>
  </w:style>
  <w:style w:type="character" w:styleId="LineNumber">
    <w:name w:val="line number"/>
    <w:basedOn w:val="DefaultParagraphFont"/>
    <w:rsid w:val="00F1531F"/>
    <w:rPr>
      <w:rFonts w:ascii="Arial" w:hAnsi="Arial"/>
      <w:sz w:val="16"/>
    </w:rPr>
  </w:style>
  <w:style w:type="paragraph" w:customStyle="1" w:styleId="PageBreak">
    <w:name w:val="PageBreak"/>
    <w:basedOn w:val="Normal"/>
    <w:rsid w:val="00F1531F"/>
    <w:rPr>
      <w:sz w:val="4"/>
    </w:rPr>
  </w:style>
  <w:style w:type="paragraph" w:customStyle="1" w:styleId="04Dictionary">
    <w:name w:val="04Dictionary"/>
    <w:basedOn w:val="Normal"/>
    <w:rsid w:val="00F1531F"/>
  </w:style>
  <w:style w:type="paragraph" w:customStyle="1" w:styleId="N-line1">
    <w:name w:val="N-line1"/>
    <w:basedOn w:val="BillBasic"/>
    <w:rsid w:val="00F1531F"/>
    <w:pPr>
      <w:pBdr>
        <w:bottom w:val="single" w:sz="4" w:space="0" w:color="auto"/>
      </w:pBdr>
      <w:spacing w:before="100"/>
      <w:ind w:left="2980" w:right="3020"/>
      <w:jc w:val="center"/>
    </w:pPr>
  </w:style>
  <w:style w:type="paragraph" w:customStyle="1" w:styleId="N-line2">
    <w:name w:val="N-line2"/>
    <w:basedOn w:val="Normal"/>
    <w:rsid w:val="00F1531F"/>
    <w:pPr>
      <w:pBdr>
        <w:bottom w:val="single" w:sz="8" w:space="0" w:color="auto"/>
      </w:pBdr>
    </w:pPr>
  </w:style>
  <w:style w:type="paragraph" w:customStyle="1" w:styleId="EndNote">
    <w:name w:val="EndNote"/>
    <w:basedOn w:val="BillBasicHeading"/>
    <w:rsid w:val="00F1531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1531F"/>
    <w:pPr>
      <w:tabs>
        <w:tab w:val="left" w:pos="700"/>
      </w:tabs>
      <w:spacing w:before="160"/>
      <w:ind w:left="700" w:hanging="700"/>
    </w:pPr>
    <w:rPr>
      <w:rFonts w:ascii="Arial (W1)" w:hAnsi="Arial (W1)"/>
    </w:rPr>
  </w:style>
  <w:style w:type="paragraph" w:customStyle="1" w:styleId="PenaltyHeading">
    <w:name w:val="PenaltyHeading"/>
    <w:basedOn w:val="Normal"/>
    <w:rsid w:val="00F1531F"/>
    <w:pPr>
      <w:tabs>
        <w:tab w:val="left" w:pos="1100"/>
      </w:tabs>
      <w:spacing w:before="120"/>
      <w:ind w:left="1100" w:hanging="1100"/>
    </w:pPr>
    <w:rPr>
      <w:rFonts w:ascii="Arial" w:hAnsi="Arial"/>
      <w:b/>
      <w:sz w:val="20"/>
    </w:rPr>
  </w:style>
  <w:style w:type="paragraph" w:customStyle="1" w:styleId="05EndNote">
    <w:name w:val="05EndNote"/>
    <w:basedOn w:val="Normal"/>
    <w:rsid w:val="00F1531F"/>
  </w:style>
  <w:style w:type="paragraph" w:customStyle="1" w:styleId="03Schedule">
    <w:name w:val="03Schedule"/>
    <w:basedOn w:val="Normal"/>
    <w:rsid w:val="00F1531F"/>
  </w:style>
  <w:style w:type="paragraph" w:customStyle="1" w:styleId="ISched-heading">
    <w:name w:val="I Sched-heading"/>
    <w:basedOn w:val="BillBasicHeading"/>
    <w:next w:val="Normal"/>
    <w:rsid w:val="00F1531F"/>
    <w:pPr>
      <w:spacing w:before="320"/>
      <w:ind w:left="2600" w:hanging="2600"/>
    </w:pPr>
    <w:rPr>
      <w:sz w:val="34"/>
    </w:rPr>
  </w:style>
  <w:style w:type="paragraph" w:customStyle="1" w:styleId="ISched-Part">
    <w:name w:val="I Sched-Part"/>
    <w:basedOn w:val="BillBasicHeading"/>
    <w:rsid w:val="00F1531F"/>
    <w:pPr>
      <w:spacing w:before="380"/>
      <w:ind w:left="2600" w:hanging="2600"/>
    </w:pPr>
    <w:rPr>
      <w:sz w:val="32"/>
    </w:rPr>
  </w:style>
  <w:style w:type="paragraph" w:customStyle="1" w:styleId="ISched-form">
    <w:name w:val="I Sched-form"/>
    <w:basedOn w:val="BillBasicHeading"/>
    <w:rsid w:val="00F1531F"/>
    <w:pPr>
      <w:tabs>
        <w:tab w:val="right" w:pos="7200"/>
      </w:tabs>
      <w:spacing w:before="240"/>
      <w:ind w:left="2600" w:hanging="2600"/>
    </w:pPr>
    <w:rPr>
      <w:sz w:val="28"/>
    </w:rPr>
  </w:style>
  <w:style w:type="paragraph" w:customStyle="1" w:styleId="ISchclauseheading">
    <w:name w:val="I Sch clause heading"/>
    <w:basedOn w:val="BillBasic"/>
    <w:rsid w:val="00F1531F"/>
    <w:pPr>
      <w:keepNext/>
      <w:tabs>
        <w:tab w:val="left" w:pos="1100"/>
      </w:tabs>
      <w:spacing w:before="240"/>
      <w:ind w:left="1100" w:hanging="1100"/>
      <w:jc w:val="left"/>
    </w:pPr>
    <w:rPr>
      <w:rFonts w:ascii="Arial" w:hAnsi="Arial"/>
      <w:b/>
    </w:rPr>
  </w:style>
  <w:style w:type="paragraph" w:customStyle="1" w:styleId="IMain">
    <w:name w:val="I Main"/>
    <w:basedOn w:val="Amain"/>
    <w:rsid w:val="00F1531F"/>
  </w:style>
  <w:style w:type="paragraph" w:customStyle="1" w:styleId="Ipara">
    <w:name w:val="I para"/>
    <w:basedOn w:val="Apara"/>
    <w:rsid w:val="00F1531F"/>
    <w:pPr>
      <w:outlineLvl w:val="9"/>
    </w:pPr>
  </w:style>
  <w:style w:type="paragraph" w:customStyle="1" w:styleId="Isubpara">
    <w:name w:val="I subpara"/>
    <w:basedOn w:val="Asubpara"/>
    <w:rsid w:val="00F1531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1531F"/>
    <w:pPr>
      <w:tabs>
        <w:tab w:val="clear" w:pos="2400"/>
        <w:tab w:val="clear" w:pos="2600"/>
        <w:tab w:val="right" w:pos="2460"/>
        <w:tab w:val="left" w:pos="2660"/>
      </w:tabs>
      <w:ind w:left="2660" w:hanging="2660"/>
    </w:pPr>
  </w:style>
  <w:style w:type="character" w:customStyle="1" w:styleId="CharSectNo">
    <w:name w:val="CharSectNo"/>
    <w:basedOn w:val="DefaultParagraphFont"/>
    <w:rsid w:val="00F1531F"/>
  </w:style>
  <w:style w:type="character" w:customStyle="1" w:styleId="CharDivNo">
    <w:name w:val="CharDivNo"/>
    <w:basedOn w:val="DefaultParagraphFont"/>
    <w:rsid w:val="00F1531F"/>
  </w:style>
  <w:style w:type="character" w:customStyle="1" w:styleId="CharDivText">
    <w:name w:val="CharDivText"/>
    <w:basedOn w:val="DefaultParagraphFont"/>
    <w:rsid w:val="00F1531F"/>
  </w:style>
  <w:style w:type="character" w:customStyle="1" w:styleId="CharPartNo">
    <w:name w:val="CharPartNo"/>
    <w:basedOn w:val="DefaultParagraphFont"/>
    <w:rsid w:val="00F1531F"/>
  </w:style>
  <w:style w:type="paragraph" w:customStyle="1" w:styleId="Placeholder">
    <w:name w:val="Placeholder"/>
    <w:basedOn w:val="Normal"/>
    <w:rsid w:val="00F1531F"/>
    <w:rPr>
      <w:sz w:val="10"/>
    </w:rPr>
  </w:style>
  <w:style w:type="paragraph" w:styleId="PlainText">
    <w:name w:val="Plain Text"/>
    <w:basedOn w:val="Normal"/>
    <w:rsid w:val="00F1531F"/>
    <w:rPr>
      <w:rFonts w:ascii="Courier New" w:hAnsi="Courier New"/>
      <w:sz w:val="20"/>
    </w:rPr>
  </w:style>
  <w:style w:type="character" w:customStyle="1" w:styleId="CharChapNo">
    <w:name w:val="CharChapNo"/>
    <w:basedOn w:val="DefaultParagraphFont"/>
    <w:rsid w:val="00F1531F"/>
  </w:style>
  <w:style w:type="character" w:customStyle="1" w:styleId="CharChapText">
    <w:name w:val="CharChapText"/>
    <w:basedOn w:val="DefaultParagraphFont"/>
    <w:rsid w:val="00F1531F"/>
  </w:style>
  <w:style w:type="character" w:customStyle="1" w:styleId="CharPartText">
    <w:name w:val="CharPartText"/>
    <w:basedOn w:val="DefaultParagraphFont"/>
    <w:rsid w:val="00F1531F"/>
  </w:style>
  <w:style w:type="paragraph" w:styleId="TOC1">
    <w:name w:val="toc 1"/>
    <w:basedOn w:val="Normal"/>
    <w:next w:val="Normal"/>
    <w:autoRedefine/>
    <w:uiPriority w:val="39"/>
    <w:rsid w:val="00F1531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1531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1531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1531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1531F"/>
  </w:style>
  <w:style w:type="paragraph" w:styleId="Title">
    <w:name w:val="Title"/>
    <w:basedOn w:val="Normal"/>
    <w:qFormat/>
    <w:rsid w:val="0020309E"/>
    <w:pPr>
      <w:spacing w:before="240" w:after="60"/>
      <w:jc w:val="center"/>
      <w:outlineLvl w:val="0"/>
    </w:pPr>
    <w:rPr>
      <w:rFonts w:ascii="Arial" w:hAnsi="Arial"/>
      <w:b/>
      <w:kern w:val="28"/>
      <w:sz w:val="32"/>
    </w:rPr>
  </w:style>
  <w:style w:type="paragraph" w:styleId="Signature">
    <w:name w:val="Signature"/>
    <w:basedOn w:val="Normal"/>
    <w:rsid w:val="00F1531F"/>
    <w:pPr>
      <w:ind w:left="4252"/>
    </w:pPr>
  </w:style>
  <w:style w:type="paragraph" w:customStyle="1" w:styleId="ActNo">
    <w:name w:val="ActNo"/>
    <w:basedOn w:val="BillBasicHeading"/>
    <w:rsid w:val="00F1531F"/>
    <w:pPr>
      <w:keepNext w:val="0"/>
      <w:tabs>
        <w:tab w:val="clear" w:pos="2600"/>
      </w:tabs>
      <w:spacing w:before="220"/>
    </w:pPr>
  </w:style>
  <w:style w:type="paragraph" w:customStyle="1" w:styleId="aParaNote">
    <w:name w:val="aParaNote"/>
    <w:basedOn w:val="BillBasic"/>
    <w:rsid w:val="00F1531F"/>
    <w:pPr>
      <w:ind w:left="2840" w:hanging="1240"/>
    </w:pPr>
    <w:rPr>
      <w:sz w:val="20"/>
    </w:rPr>
  </w:style>
  <w:style w:type="paragraph" w:customStyle="1" w:styleId="aExamNum">
    <w:name w:val="aExamNum"/>
    <w:basedOn w:val="aExam"/>
    <w:rsid w:val="00F1531F"/>
    <w:pPr>
      <w:ind w:left="1500" w:hanging="400"/>
    </w:pPr>
  </w:style>
  <w:style w:type="paragraph" w:customStyle="1" w:styleId="LongTitle">
    <w:name w:val="LongTitle"/>
    <w:basedOn w:val="BillBasic"/>
    <w:rsid w:val="00F1531F"/>
    <w:pPr>
      <w:spacing w:before="300"/>
    </w:pPr>
  </w:style>
  <w:style w:type="paragraph" w:customStyle="1" w:styleId="Minister">
    <w:name w:val="Minister"/>
    <w:basedOn w:val="BillBasic"/>
    <w:rsid w:val="00F1531F"/>
    <w:pPr>
      <w:spacing w:before="640"/>
      <w:jc w:val="right"/>
    </w:pPr>
    <w:rPr>
      <w:caps/>
    </w:rPr>
  </w:style>
  <w:style w:type="paragraph" w:customStyle="1" w:styleId="DateLine">
    <w:name w:val="DateLine"/>
    <w:basedOn w:val="BillBasic"/>
    <w:rsid w:val="00F1531F"/>
    <w:pPr>
      <w:tabs>
        <w:tab w:val="left" w:pos="4320"/>
      </w:tabs>
    </w:pPr>
  </w:style>
  <w:style w:type="paragraph" w:customStyle="1" w:styleId="madeunder">
    <w:name w:val="made under"/>
    <w:basedOn w:val="BillBasic"/>
    <w:rsid w:val="00F1531F"/>
    <w:pPr>
      <w:spacing w:before="240"/>
    </w:pPr>
  </w:style>
  <w:style w:type="paragraph" w:customStyle="1" w:styleId="EndNoteSubHeading">
    <w:name w:val="EndNoteSubHeading"/>
    <w:basedOn w:val="Normal"/>
    <w:next w:val="EndNoteText"/>
    <w:rsid w:val="0020309E"/>
    <w:pPr>
      <w:keepNext/>
      <w:tabs>
        <w:tab w:val="left" w:pos="700"/>
      </w:tabs>
      <w:spacing w:before="120"/>
      <w:ind w:left="700" w:hanging="700"/>
    </w:pPr>
    <w:rPr>
      <w:rFonts w:ascii="Arial" w:hAnsi="Arial"/>
      <w:b/>
      <w:sz w:val="20"/>
    </w:rPr>
  </w:style>
  <w:style w:type="paragraph" w:customStyle="1" w:styleId="EndNoteText">
    <w:name w:val="EndNoteText"/>
    <w:basedOn w:val="BillBasic"/>
    <w:rsid w:val="00F1531F"/>
    <w:pPr>
      <w:tabs>
        <w:tab w:val="left" w:pos="700"/>
        <w:tab w:val="right" w:pos="6160"/>
      </w:tabs>
      <w:spacing w:before="80"/>
      <w:ind w:left="700" w:hanging="700"/>
    </w:pPr>
    <w:rPr>
      <w:sz w:val="20"/>
    </w:rPr>
  </w:style>
  <w:style w:type="paragraph" w:customStyle="1" w:styleId="BillBasicItalics">
    <w:name w:val="BillBasicItalics"/>
    <w:basedOn w:val="BillBasic"/>
    <w:rsid w:val="00F1531F"/>
    <w:rPr>
      <w:i/>
    </w:rPr>
  </w:style>
  <w:style w:type="paragraph" w:customStyle="1" w:styleId="00SigningPage">
    <w:name w:val="00SigningPage"/>
    <w:basedOn w:val="Normal"/>
    <w:rsid w:val="00F1531F"/>
  </w:style>
  <w:style w:type="paragraph" w:customStyle="1" w:styleId="Aparareturn">
    <w:name w:val="A para return"/>
    <w:basedOn w:val="BillBasic"/>
    <w:rsid w:val="00F1531F"/>
    <w:pPr>
      <w:ind w:left="1600"/>
    </w:pPr>
  </w:style>
  <w:style w:type="paragraph" w:customStyle="1" w:styleId="Asubparareturn">
    <w:name w:val="A subpara return"/>
    <w:basedOn w:val="BillBasic"/>
    <w:rsid w:val="00F1531F"/>
    <w:pPr>
      <w:ind w:left="2100"/>
    </w:pPr>
  </w:style>
  <w:style w:type="paragraph" w:customStyle="1" w:styleId="CommentNum">
    <w:name w:val="CommentNum"/>
    <w:basedOn w:val="Comment"/>
    <w:rsid w:val="00F1531F"/>
    <w:pPr>
      <w:ind w:left="1800" w:hanging="1800"/>
    </w:pPr>
  </w:style>
  <w:style w:type="paragraph" w:styleId="TOC8">
    <w:name w:val="toc 8"/>
    <w:basedOn w:val="TOC3"/>
    <w:next w:val="Normal"/>
    <w:autoRedefine/>
    <w:uiPriority w:val="39"/>
    <w:rsid w:val="00F1531F"/>
    <w:pPr>
      <w:keepNext w:val="0"/>
      <w:spacing w:before="120"/>
    </w:pPr>
  </w:style>
  <w:style w:type="paragraph" w:customStyle="1" w:styleId="Judges">
    <w:name w:val="Judges"/>
    <w:basedOn w:val="Minister"/>
    <w:rsid w:val="00F1531F"/>
    <w:pPr>
      <w:spacing w:before="180"/>
    </w:pPr>
  </w:style>
  <w:style w:type="paragraph" w:customStyle="1" w:styleId="BillFor">
    <w:name w:val="BillFor"/>
    <w:basedOn w:val="BillBasicHeading"/>
    <w:rsid w:val="00F1531F"/>
    <w:pPr>
      <w:keepNext w:val="0"/>
      <w:spacing w:before="320"/>
      <w:jc w:val="both"/>
    </w:pPr>
    <w:rPr>
      <w:sz w:val="28"/>
    </w:rPr>
  </w:style>
  <w:style w:type="paragraph" w:customStyle="1" w:styleId="draft">
    <w:name w:val="draft"/>
    <w:basedOn w:val="Normal"/>
    <w:rsid w:val="00F1531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1531F"/>
    <w:pPr>
      <w:spacing w:line="260" w:lineRule="atLeast"/>
      <w:jc w:val="center"/>
    </w:pPr>
  </w:style>
  <w:style w:type="paragraph" w:customStyle="1" w:styleId="Amainbullet">
    <w:name w:val="A main bullet"/>
    <w:basedOn w:val="BillBasic"/>
    <w:rsid w:val="00F1531F"/>
    <w:pPr>
      <w:spacing w:before="60"/>
      <w:ind w:left="1500" w:hanging="400"/>
    </w:pPr>
  </w:style>
  <w:style w:type="paragraph" w:customStyle="1" w:styleId="Aparabullet">
    <w:name w:val="A para bullet"/>
    <w:basedOn w:val="BillBasic"/>
    <w:rsid w:val="00F1531F"/>
    <w:pPr>
      <w:spacing w:before="60"/>
      <w:ind w:left="2000" w:hanging="400"/>
    </w:pPr>
  </w:style>
  <w:style w:type="paragraph" w:customStyle="1" w:styleId="Asubparabullet">
    <w:name w:val="A subpara bullet"/>
    <w:basedOn w:val="BillBasic"/>
    <w:rsid w:val="00F1531F"/>
    <w:pPr>
      <w:spacing w:before="60"/>
      <w:ind w:left="2540" w:hanging="400"/>
    </w:pPr>
  </w:style>
  <w:style w:type="paragraph" w:customStyle="1" w:styleId="aDefpara">
    <w:name w:val="aDef para"/>
    <w:basedOn w:val="Apara"/>
    <w:rsid w:val="00F1531F"/>
  </w:style>
  <w:style w:type="paragraph" w:customStyle="1" w:styleId="aDefsubpara">
    <w:name w:val="aDef subpara"/>
    <w:basedOn w:val="Asubpara"/>
    <w:rsid w:val="00F1531F"/>
  </w:style>
  <w:style w:type="paragraph" w:customStyle="1" w:styleId="Idefpara">
    <w:name w:val="I def para"/>
    <w:basedOn w:val="Ipara"/>
    <w:rsid w:val="00F1531F"/>
  </w:style>
  <w:style w:type="paragraph" w:customStyle="1" w:styleId="Idefsubpara">
    <w:name w:val="I def subpara"/>
    <w:basedOn w:val="Isubpara"/>
    <w:rsid w:val="00F1531F"/>
  </w:style>
  <w:style w:type="paragraph" w:customStyle="1" w:styleId="Notified">
    <w:name w:val="Notified"/>
    <w:basedOn w:val="BillBasic"/>
    <w:rsid w:val="00F1531F"/>
    <w:pPr>
      <w:spacing w:before="360"/>
      <w:jc w:val="right"/>
    </w:pPr>
    <w:rPr>
      <w:i/>
    </w:rPr>
  </w:style>
  <w:style w:type="paragraph" w:customStyle="1" w:styleId="03ScheduleLandscape">
    <w:name w:val="03ScheduleLandscape"/>
    <w:basedOn w:val="Normal"/>
    <w:rsid w:val="00F1531F"/>
  </w:style>
  <w:style w:type="paragraph" w:customStyle="1" w:styleId="IDict-Heading">
    <w:name w:val="I Dict-Heading"/>
    <w:basedOn w:val="BillBasicHeading"/>
    <w:rsid w:val="00F1531F"/>
    <w:pPr>
      <w:spacing w:before="320"/>
      <w:ind w:left="2600" w:hanging="2600"/>
      <w:jc w:val="both"/>
    </w:pPr>
    <w:rPr>
      <w:sz w:val="34"/>
    </w:rPr>
  </w:style>
  <w:style w:type="paragraph" w:customStyle="1" w:styleId="02TextLandscape">
    <w:name w:val="02TextLandscape"/>
    <w:basedOn w:val="Normal"/>
    <w:rsid w:val="00F1531F"/>
  </w:style>
  <w:style w:type="paragraph" w:styleId="Salutation">
    <w:name w:val="Salutation"/>
    <w:basedOn w:val="Normal"/>
    <w:next w:val="Normal"/>
    <w:rsid w:val="0020309E"/>
  </w:style>
  <w:style w:type="paragraph" w:customStyle="1" w:styleId="aNoteBullet">
    <w:name w:val="aNoteBullet"/>
    <w:basedOn w:val="aNoteSymb"/>
    <w:rsid w:val="00F1531F"/>
    <w:pPr>
      <w:tabs>
        <w:tab w:val="left" w:pos="2200"/>
      </w:tabs>
      <w:spacing w:before="60"/>
      <w:ind w:left="2600" w:hanging="700"/>
    </w:pPr>
  </w:style>
  <w:style w:type="paragraph" w:customStyle="1" w:styleId="aParaNoteBullet">
    <w:name w:val="aParaNoteBullet"/>
    <w:basedOn w:val="aParaNote"/>
    <w:rsid w:val="00F1531F"/>
    <w:pPr>
      <w:tabs>
        <w:tab w:val="left" w:pos="2700"/>
      </w:tabs>
      <w:spacing w:before="60"/>
      <w:ind w:left="3100" w:hanging="700"/>
    </w:pPr>
  </w:style>
  <w:style w:type="paragraph" w:customStyle="1" w:styleId="MinisterWord">
    <w:name w:val="MinisterWord"/>
    <w:basedOn w:val="Normal"/>
    <w:rsid w:val="00F1531F"/>
    <w:pPr>
      <w:spacing w:before="60"/>
      <w:jc w:val="right"/>
    </w:pPr>
  </w:style>
  <w:style w:type="paragraph" w:customStyle="1" w:styleId="aExamPara">
    <w:name w:val="aExamPara"/>
    <w:basedOn w:val="aExam"/>
    <w:rsid w:val="00F1531F"/>
    <w:pPr>
      <w:tabs>
        <w:tab w:val="right" w:pos="1720"/>
        <w:tab w:val="left" w:pos="2000"/>
        <w:tab w:val="left" w:pos="2300"/>
      </w:tabs>
      <w:ind w:left="2400" w:hanging="1300"/>
    </w:pPr>
  </w:style>
  <w:style w:type="paragraph" w:customStyle="1" w:styleId="aExamNumText">
    <w:name w:val="aExamNumText"/>
    <w:basedOn w:val="aExam"/>
    <w:rsid w:val="00F1531F"/>
    <w:pPr>
      <w:ind w:left="1500"/>
    </w:pPr>
  </w:style>
  <w:style w:type="paragraph" w:customStyle="1" w:styleId="aExamBullet">
    <w:name w:val="aExamBullet"/>
    <w:basedOn w:val="aExam"/>
    <w:rsid w:val="00F1531F"/>
    <w:pPr>
      <w:tabs>
        <w:tab w:val="left" w:pos="1500"/>
        <w:tab w:val="left" w:pos="2300"/>
      </w:tabs>
      <w:ind w:left="1900" w:hanging="800"/>
    </w:pPr>
  </w:style>
  <w:style w:type="paragraph" w:customStyle="1" w:styleId="aNotePara">
    <w:name w:val="aNotePara"/>
    <w:basedOn w:val="aNote"/>
    <w:rsid w:val="00F1531F"/>
    <w:pPr>
      <w:tabs>
        <w:tab w:val="right" w:pos="2140"/>
        <w:tab w:val="left" w:pos="2400"/>
      </w:tabs>
      <w:spacing w:before="60"/>
      <w:ind w:left="2400" w:hanging="1300"/>
    </w:pPr>
  </w:style>
  <w:style w:type="paragraph" w:customStyle="1" w:styleId="aExplanHeading">
    <w:name w:val="aExplanHeading"/>
    <w:basedOn w:val="BillBasicHeading"/>
    <w:next w:val="Normal"/>
    <w:rsid w:val="00F1531F"/>
    <w:rPr>
      <w:rFonts w:ascii="Arial (W1)" w:hAnsi="Arial (W1)"/>
      <w:sz w:val="18"/>
    </w:rPr>
  </w:style>
  <w:style w:type="paragraph" w:customStyle="1" w:styleId="aExplanText">
    <w:name w:val="aExplanText"/>
    <w:basedOn w:val="BillBasic"/>
    <w:rsid w:val="00F1531F"/>
    <w:rPr>
      <w:sz w:val="20"/>
    </w:rPr>
  </w:style>
  <w:style w:type="paragraph" w:customStyle="1" w:styleId="aParaNotePara">
    <w:name w:val="aParaNotePara"/>
    <w:basedOn w:val="aNoteParaSymb"/>
    <w:rsid w:val="00F1531F"/>
    <w:pPr>
      <w:tabs>
        <w:tab w:val="clear" w:pos="2140"/>
        <w:tab w:val="clear" w:pos="2400"/>
        <w:tab w:val="right" w:pos="2644"/>
      </w:tabs>
      <w:ind w:left="3320" w:hanging="1720"/>
    </w:pPr>
  </w:style>
  <w:style w:type="character" w:customStyle="1" w:styleId="charBold">
    <w:name w:val="charBold"/>
    <w:basedOn w:val="DefaultParagraphFont"/>
    <w:rsid w:val="00F1531F"/>
    <w:rPr>
      <w:b/>
    </w:rPr>
  </w:style>
  <w:style w:type="character" w:customStyle="1" w:styleId="charBoldItals">
    <w:name w:val="charBoldItals"/>
    <w:basedOn w:val="DefaultParagraphFont"/>
    <w:rsid w:val="00F1531F"/>
    <w:rPr>
      <w:b/>
      <w:i/>
    </w:rPr>
  </w:style>
  <w:style w:type="character" w:customStyle="1" w:styleId="charItals">
    <w:name w:val="charItals"/>
    <w:basedOn w:val="DefaultParagraphFont"/>
    <w:rsid w:val="00F1531F"/>
    <w:rPr>
      <w:i/>
    </w:rPr>
  </w:style>
  <w:style w:type="character" w:customStyle="1" w:styleId="charUnderline">
    <w:name w:val="charUnderline"/>
    <w:basedOn w:val="DefaultParagraphFont"/>
    <w:rsid w:val="00F1531F"/>
    <w:rPr>
      <w:u w:val="single"/>
    </w:rPr>
  </w:style>
  <w:style w:type="paragraph" w:customStyle="1" w:styleId="TableHd">
    <w:name w:val="TableHd"/>
    <w:basedOn w:val="Normal"/>
    <w:rsid w:val="00F1531F"/>
    <w:pPr>
      <w:keepNext/>
      <w:spacing w:before="300"/>
      <w:ind w:left="1200" w:hanging="1200"/>
    </w:pPr>
    <w:rPr>
      <w:rFonts w:ascii="Arial" w:hAnsi="Arial"/>
      <w:b/>
      <w:sz w:val="20"/>
    </w:rPr>
  </w:style>
  <w:style w:type="paragraph" w:customStyle="1" w:styleId="TableColHd">
    <w:name w:val="TableColHd"/>
    <w:basedOn w:val="Normal"/>
    <w:rsid w:val="00F1531F"/>
    <w:pPr>
      <w:keepNext/>
      <w:spacing w:after="60"/>
    </w:pPr>
    <w:rPr>
      <w:rFonts w:ascii="Arial" w:hAnsi="Arial"/>
      <w:b/>
      <w:sz w:val="18"/>
    </w:rPr>
  </w:style>
  <w:style w:type="paragraph" w:customStyle="1" w:styleId="PenaltyPara">
    <w:name w:val="PenaltyPara"/>
    <w:basedOn w:val="Normal"/>
    <w:rsid w:val="00F1531F"/>
    <w:pPr>
      <w:tabs>
        <w:tab w:val="right" w:pos="1360"/>
      </w:tabs>
      <w:spacing w:before="60"/>
      <w:ind w:left="1600" w:hanging="1600"/>
      <w:jc w:val="both"/>
    </w:pPr>
  </w:style>
  <w:style w:type="paragraph" w:customStyle="1" w:styleId="tablepara">
    <w:name w:val="table para"/>
    <w:basedOn w:val="Normal"/>
    <w:rsid w:val="00F1531F"/>
    <w:pPr>
      <w:tabs>
        <w:tab w:val="right" w:pos="800"/>
        <w:tab w:val="left" w:pos="1100"/>
      </w:tabs>
      <w:spacing w:before="80" w:after="60"/>
      <w:ind w:left="1100" w:hanging="1100"/>
    </w:pPr>
  </w:style>
  <w:style w:type="paragraph" w:customStyle="1" w:styleId="tablesubpara">
    <w:name w:val="table subpara"/>
    <w:basedOn w:val="Normal"/>
    <w:rsid w:val="00F1531F"/>
    <w:pPr>
      <w:tabs>
        <w:tab w:val="right" w:pos="1500"/>
        <w:tab w:val="left" w:pos="1800"/>
      </w:tabs>
      <w:spacing w:before="80" w:after="60"/>
      <w:ind w:left="1800" w:hanging="1800"/>
    </w:pPr>
  </w:style>
  <w:style w:type="paragraph" w:customStyle="1" w:styleId="TableText">
    <w:name w:val="TableText"/>
    <w:basedOn w:val="Normal"/>
    <w:rsid w:val="00F1531F"/>
    <w:pPr>
      <w:spacing w:before="60" w:after="60"/>
    </w:pPr>
  </w:style>
  <w:style w:type="character" w:styleId="PageNumber">
    <w:name w:val="page number"/>
    <w:basedOn w:val="DefaultParagraphFont"/>
    <w:rsid w:val="00F1531F"/>
  </w:style>
  <w:style w:type="paragraph" w:styleId="TOC9">
    <w:name w:val="toc 9"/>
    <w:basedOn w:val="Normal"/>
    <w:next w:val="Normal"/>
    <w:autoRedefine/>
    <w:uiPriority w:val="39"/>
    <w:rsid w:val="00F1531F"/>
    <w:pPr>
      <w:ind w:left="1920" w:right="600"/>
    </w:pPr>
  </w:style>
  <w:style w:type="character" w:styleId="Hyperlink">
    <w:name w:val="Hyperlink"/>
    <w:basedOn w:val="DefaultParagraphFont"/>
    <w:uiPriority w:val="99"/>
    <w:unhideWhenUsed/>
    <w:rsid w:val="00F1531F"/>
    <w:rPr>
      <w:color w:val="0000FF" w:themeColor="hyperlink"/>
      <w:u w:val="single"/>
    </w:rPr>
  </w:style>
  <w:style w:type="paragraph" w:customStyle="1" w:styleId="Status">
    <w:name w:val="Status"/>
    <w:basedOn w:val="Normal"/>
    <w:rsid w:val="00F1531F"/>
    <w:pPr>
      <w:spacing w:before="280"/>
      <w:jc w:val="center"/>
    </w:pPr>
    <w:rPr>
      <w:rFonts w:ascii="Arial" w:hAnsi="Arial"/>
      <w:sz w:val="14"/>
    </w:rPr>
  </w:style>
  <w:style w:type="paragraph" w:customStyle="1" w:styleId="Sched-Form-18Space">
    <w:name w:val="Sched-Form-18Space"/>
    <w:basedOn w:val="Normal"/>
    <w:rsid w:val="00F1531F"/>
    <w:pPr>
      <w:spacing w:before="360" w:after="60"/>
    </w:pPr>
    <w:rPr>
      <w:sz w:val="22"/>
    </w:rPr>
  </w:style>
  <w:style w:type="paragraph" w:customStyle="1" w:styleId="AH1ChapterSymb">
    <w:name w:val="A H1 Chapter Symb"/>
    <w:basedOn w:val="AH1Chapter"/>
    <w:next w:val="AH2Part"/>
    <w:rsid w:val="00F1531F"/>
    <w:pPr>
      <w:tabs>
        <w:tab w:val="clear" w:pos="2600"/>
        <w:tab w:val="left" w:pos="0"/>
      </w:tabs>
      <w:ind w:left="2480" w:hanging="2960"/>
    </w:pPr>
  </w:style>
  <w:style w:type="paragraph" w:customStyle="1" w:styleId="EndnotesAbbrev">
    <w:name w:val="EndnotesAbbrev"/>
    <w:basedOn w:val="Normal"/>
    <w:rsid w:val="00F1531F"/>
    <w:pPr>
      <w:spacing w:before="20"/>
    </w:pPr>
    <w:rPr>
      <w:rFonts w:ascii="Arial" w:hAnsi="Arial"/>
      <w:color w:val="000000"/>
      <w:sz w:val="16"/>
    </w:rPr>
  </w:style>
  <w:style w:type="paragraph" w:customStyle="1" w:styleId="RepubNo">
    <w:name w:val="RepubNo"/>
    <w:basedOn w:val="BillBasicHeading"/>
    <w:rsid w:val="00F1531F"/>
    <w:pPr>
      <w:keepNext w:val="0"/>
      <w:spacing w:before="600"/>
      <w:jc w:val="both"/>
    </w:pPr>
    <w:rPr>
      <w:sz w:val="26"/>
    </w:rPr>
  </w:style>
  <w:style w:type="paragraph" w:customStyle="1" w:styleId="NewAct">
    <w:name w:val="New Act"/>
    <w:basedOn w:val="Normal"/>
    <w:next w:val="Actdetails"/>
    <w:rsid w:val="00F1531F"/>
    <w:pPr>
      <w:keepNext/>
      <w:spacing w:before="180"/>
      <w:ind w:left="1100"/>
    </w:pPr>
    <w:rPr>
      <w:rFonts w:ascii="Arial" w:hAnsi="Arial"/>
      <w:b/>
      <w:sz w:val="20"/>
    </w:rPr>
  </w:style>
  <w:style w:type="paragraph" w:customStyle="1" w:styleId="CoverInForce">
    <w:name w:val="CoverInForce"/>
    <w:basedOn w:val="BillBasicHeading"/>
    <w:rsid w:val="00F1531F"/>
    <w:pPr>
      <w:keepNext w:val="0"/>
      <w:spacing w:before="400"/>
    </w:pPr>
    <w:rPr>
      <w:b w:val="0"/>
    </w:rPr>
  </w:style>
  <w:style w:type="paragraph" w:styleId="Subtitle">
    <w:name w:val="Subtitle"/>
    <w:basedOn w:val="Normal"/>
    <w:qFormat/>
    <w:rsid w:val="00F1531F"/>
    <w:pPr>
      <w:spacing w:after="60"/>
      <w:jc w:val="center"/>
      <w:outlineLvl w:val="1"/>
    </w:pPr>
    <w:rPr>
      <w:rFonts w:ascii="Arial" w:hAnsi="Arial"/>
    </w:rPr>
  </w:style>
  <w:style w:type="paragraph" w:customStyle="1" w:styleId="CoverActName">
    <w:name w:val="CoverActName"/>
    <w:basedOn w:val="BillBasicHeading"/>
    <w:rsid w:val="00F1531F"/>
    <w:pPr>
      <w:keepNext w:val="0"/>
      <w:spacing w:before="260"/>
    </w:pPr>
  </w:style>
  <w:style w:type="paragraph" w:customStyle="1" w:styleId="FormRule">
    <w:name w:val="FormRule"/>
    <w:basedOn w:val="Normal"/>
    <w:rsid w:val="00F1531F"/>
    <w:pPr>
      <w:pBdr>
        <w:top w:val="single" w:sz="4" w:space="1" w:color="auto"/>
      </w:pBdr>
      <w:spacing w:before="160" w:after="40"/>
      <w:ind w:left="3220" w:right="3260"/>
    </w:pPr>
    <w:rPr>
      <w:sz w:val="8"/>
    </w:rPr>
  </w:style>
  <w:style w:type="paragraph" w:customStyle="1" w:styleId="SchSubClause">
    <w:name w:val="Sch SubClause"/>
    <w:basedOn w:val="Schclauseheading"/>
    <w:rsid w:val="00F1531F"/>
    <w:rPr>
      <w:b w:val="0"/>
    </w:rPr>
  </w:style>
  <w:style w:type="paragraph" w:customStyle="1" w:styleId="Endnote20">
    <w:name w:val="Endnote2"/>
    <w:basedOn w:val="Normal"/>
    <w:rsid w:val="00F1531F"/>
    <w:pPr>
      <w:keepNext/>
      <w:tabs>
        <w:tab w:val="left" w:pos="1100"/>
      </w:tabs>
      <w:spacing w:before="360"/>
    </w:pPr>
    <w:rPr>
      <w:rFonts w:ascii="Arial" w:hAnsi="Arial"/>
      <w:b/>
    </w:rPr>
  </w:style>
  <w:style w:type="paragraph" w:customStyle="1" w:styleId="Actdetails">
    <w:name w:val="Act details"/>
    <w:basedOn w:val="Normal"/>
    <w:rsid w:val="00F1531F"/>
    <w:pPr>
      <w:spacing w:before="20"/>
      <w:ind w:left="1400"/>
    </w:pPr>
    <w:rPr>
      <w:rFonts w:ascii="Arial" w:hAnsi="Arial"/>
      <w:sz w:val="20"/>
    </w:rPr>
  </w:style>
  <w:style w:type="paragraph" w:customStyle="1" w:styleId="Asamby">
    <w:name w:val="As am by"/>
    <w:basedOn w:val="Normal"/>
    <w:next w:val="Normal"/>
    <w:rsid w:val="00F1531F"/>
    <w:pPr>
      <w:spacing w:before="240"/>
      <w:ind w:left="1100"/>
    </w:pPr>
    <w:rPr>
      <w:rFonts w:ascii="Arial" w:hAnsi="Arial"/>
      <w:sz w:val="20"/>
    </w:rPr>
  </w:style>
  <w:style w:type="paragraph" w:customStyle="1" w:styleId="AmdtsEntries">
    <w:name w:val="AmdtsEntries"/>
    <w:basedOn w:val="BillBasicHeading"/>
    <w:rsid w:val="00F1531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1531F"/>
    <w:pPr>
      <w:tabs>
        <w:tab w:val="clear" w:pos="2600"/>
        <w:tab w:val="left" w:pos="0"/>
      </w:tabs>
      <w:ind w:left="2480" w:hanging="2960"/>
    </w:pPr>
  </w:style>
  <w:style w:type="paragraph" w:customStyle="1" w:styleId="AmdtsEntryHd">
    <w:name w:val="AmdtsEntryHd"/>
    <w:basedOn w:val="BillBasicHeading"/>
    <w:next w:val="AmdtsEntries"/>
    <w:rsid w:val="00F1531F"/>
    <w:pPr>
      <w:tabs>
        <w:tab w:val="clear" w:pos="2600"/>
      </w:tabs>
      <w:spacing w:before="120"/>
      <w:ind w:left="1100"/>
    </w:pPr>
    <w:rPr>
      <w:sz w:val="18"/>
    </w:rPr>
  </w:style>
  <w:style w:type="paragraph" w:customStyle="1" w:styleId="EndNoteParas">
    <w:name w:val="EndNoteParas"/>
    <w:basedOn w:val="EndNoteTextEPS"/>
    <w:rsid w:val="00F1531F"/>
    <w:pPr>
      <w:tabs>
        <w:tab w:val="right" w:pos="1432"/>
      </w:tabs>
      <w:ind w:left="1840" w:hanging="1840"/>
    </w:pPr>
  </w:style>
  <w:style w:type="paragraph" w:customStyle="1" w:styleId="NewReg">
    <w:name w:val="New Reg"/>
    <w:basedOn w:val="NewAct"/>
    <w:next w:val="Actdetails"/>
    <w:rsid w:val="00F1531F"/>
  </w:style>
  <w:style w:type="paragraph" w:customStyle="1" w:styleId="Endnote3">
    <w:name w:val="Endnote3"/>
    <w:basedOn w:val="Normal"/>
    <w:rsid w:val="00F1531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1531F"/>
  </w:style>
  <w:style w:type="character" w:customStyle="1" w:styleId="charTableText">
    <w:name w:val="charTableText"/>
    <w:basedOn w:val="DefaultParagraphFont"/>
    <w:rsid w:val="00F1531F"/>
  </w:style>
  <w:style w:type="paragraph" w:customStyle="1" w:styleId="EndNoteTextEPS">
    <w:name w:val="EndNoteTextEPS"/>
    <w:basedOn w:val="Normal"/>
    <w:rsid w:val="00F1531F"/>
    <w:pPr>
      <w:spacing w:before="60"/>
      <w:ind w:left="1100"/>
      <w:jc w:val="both"/>
    </w:pPr>
    <w:rPr>
      <w:sz w:val="20"/>
    </w:rPr>
  </w:style>
  <w:style w:type="paragraph" w:customStyle="1" w:styleId="TLegEntries">
    <w:name w:val="TLegEntries"/>
    <w:basedOn w:val="Normal"/>
    <w:rsid w:val="00F1531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1531F"/>
    <w:pPr>
      <w:tabs>
        <w:tab w:val="clear" w:pos="2600"/>
        <w:tab w:val="left" w:leader="dot" w:pos="2700"/>
      </w:tabs>
      <w:ind w:left="2700" w:hanging="2000"/>
    </w:pPr>
    <w:rPr>
      <w:sz w:val="18"/>
    </w:rPr>
  </w:style>
  <w:style w:type="paragraph" w:customStyle="1" w:styleId="CoverText">
    <w:name w:val="CoverText"/>
    <w:basedOn w:val="Normal"/>
    <w:uiPriority w:val="99"/>
    <w:rsid w:val="00F1531F"/>
    <w:pPr>
      <w:spacing w:before="100"/>
      <w:jc w:val="both"/>
    </w:pPr>
    <w:rPr>
      <w:sz w:val="20"/>
    </w:rPr>
  </w:style>
  <w:style w:type="paragraph" w:customStyle="1" w:styleId="CoverHeading">
    <w:name w:val="CoverHeading"/>
    <w:basedOn w:val="Normal"/>
    <w:rsid w:val="00F1531F"/>
    <w:rPr>
      <w:rFonts w:ascii="Arial" w:hAnsi="Arial"/>
      <w:b/>
    </w:rPr>
  </w:style>
  <w:style w:type="paragraph" w:customStyle="1" w:styleId="OldAmdt2ndLine">
    <w:name w:val="OldAmdt2ndLine"/>
    <w:basedOn w:val="OldAmdtsEntries"/>
    <w:rsid w:val="00F1531F"/>
    <w:pPr>
      <w:tabs>
        <w:tab w:val="left" w:pos="2700"/>
      </w:tabs>
      <w:spacing w:before="0"/>
    </w:pPr>
  </w:style>
  <w:style w:type="paragraph" w:customStyle="1" w:styleId="EarlierRepubEntries">
    <w:name w:val="EarlierRepubEntries"/>
    <w:basedOn w:val="Normal"/>
    <w:rsid w:val="00F1531F"/>
    <w:pPr>
      <w:spacing w:before="60" w:after="60"/>
    </w:pPr>
    <w:rPr>
      <w:rFonts w:ascii="Arial" w:hAnsi="Arial"/>
      <w:sz w:val="18"/>
    </w:rPr>
  </w:style>
  <w:style w:type="paragraph" w:customStyle="1" w:styleId="RenumProvEntries">
    <w:name w:val="RenumProvEntries"/>
    <w:basedOn w:val="Normal"/>
    <w:rsid w:val="00F1531F"/>
    <w:pPr>
      <w:spacing w:before="60"/>
    </w:pPr>
    <w:rPr>
      <w:rFonts w:ascii="Arial" w:hAnsi="Arial"/>
      <w:sz w:val="20"/>
    </w:rPr>
  </w:style>
  <w:style w:type="paragraph" w:customStyle="1" w:styleId="CoverSubHdg">
    <w:name w:val="CoverSubHdg"/>
    <w:basedOn w:val="CoverHeading"/>
    <w:rsid w:val="00F1531F"/>
    <w:pPr>
      <w:spacing w:before="120"/>
    </w:pPr>
    <w:rPr>
      <w:sz w:val="20"/>
    </w:rPr>
  </w:style>
  <w:style w:type="paragraph" w:customStyle="1" w:styleId="CoverTextPara">
    <w:name w:val="CoverTextPara"/>
    <w:basedOn w:val="CoverText"/>
    <w:rsid w:val="00F1531F"/>
    <w:pPr>
      <w:tabs>
        <w:tab w:val="right" w:pos="600"/>
        <w:tab w:val="left" w:pos="840"/>
      </w:tabs>
      <w:ind w:left="840" w:hanging="840"/>
    </w:pPr>
  </w:style>
  <w:style w:type="paragraph" w:customStyle="1" w:styleId="AH5SecSymb">
    <w:name w:val="A H5 Sec Symb"/>
    <w:basedOn w:val="AH5Sec"/>
    <w:next w:val="Amain"/>
    <w:rsid w:val="00F1531F"/>
    <w:pPr>
      <w:tabs>
        <w:tab w:val="clear" w:pos="1100"/>
        <w:tab w:val="left" w:pos="0"/>
      </w:tabs>
      <w:ind w:hanging="1580"/>
    </w:pPr>
  </w:style>
  <w:style w:type="character" w:customStyle="1" w:styleId="charSymb">
    <w:name w:val="charSymb"/>
    <w:basedOn w:val="DefaultParagraphFont"/>
    <w:rsid w:val="00F1531F"/>
    <w:rPr>
      <w:rFonts w:ascii="Arial" w:hAnsi="Arial"/>
      <w:sz w:val="24"/>
      <w:bdr w:val="single" w:sz="4" w:space="0" w:color="auto"/>
    </w:rPr>
  </w:style>
  <w:style w:type="paragraph" w:customStyle="1" w:styleId="AH3DivSymb">
    <w:name w:val="A H3 Div Symb"/>
    <w:basedOn w:val="AH3Div"/>
    <w:next w:val="AH5Sec"/>
    <w:rsid w:val="00F1531F"/>
    <w:pPr>
      <w:tabs>
        <w:tab w:val="clear" w:pos="2600"/>
        <w:tab w:val="left" w:pos="0"/>
      </w:tabs>
      <w:ind w:left="2480" w:hanging="2960"/>
    </w:pPr>
  </w:style>
  <w:style w:type="paragraph" w:customStyle="1" w:styleId="AH4SubDivSymb">
    <w:name w:val="A H4 SubDiv Symb"/>
    <w:basedOn w:val="AH4SubDiv"/>
    <w:next w:val="AH5Sec"/>
    <w:rsid w:val="00F1531F"/>
    <w:pPr>
      <w:tabs>
        <w:tab w:val="clear" w:pos="2600"/>
        <w:tab w:val="left" w:pos="0"/>
      </w:tabs>
      <w:ind w:left="2480" w:hanging="2960"/>
    </w:pPr>
  </w:style>
  <w:style w:type="paragraph" w:customStyle="1" w:styleId="Dict-HeadingSymb">
    <w:name w:val="Dict-Heading Symb"/>
    <w:basedOn w:val="Dict-Heading"/>
    <w:rsid w:val="00F1531F"/>
    <w:pPr>
      <w:tabs>
        <w:tab w:val="left" w:pos="0"/>
      </w:tabs>
      <w:ind w:left="2480" w:hanging="2960"/>
    </w:pPr>
  </w:style>
  <w:style w:type="paragraph" w:customStyle="1" w:styleId="Sched-headingSymb">
    <w:name w:val="Sched-heading Symb"/>
    <w:basedOn w:val="Sched-heading"/>
    <w:rsid w:val="00F1531F"/>
    <w:pPr>
      <w:tabs>
        <w:tab w:val="left" w:pos="0"/>
      </w:tabs>
      <w:ind w:left="2480" w:hanging="2960"/>
    </w:pPr>
  </w:style>
  <w:style w:type="paragraph" w:customStyle="1" w:styleId="Sched-PartSymb">
    <w:name w:val="Sched-Part Symb"/>
    <w:basedOn w:val="Sched-Part"/>
    <w:rsid w:val="00F1531F"/>
    <w:pPr>
      <w:tabs>
        <w:tab w:val="left" w:pos="0"/>
      </w:tabs>
      <w:ind w:left="2480" w:hanging="2960"/>
    </w:pPr>
  </w:style>
  <w:style w:type="paragraph" w:customStyle="1" w:styleId="Sched-FormSymb">
    <w:name w:val="Sched-Form Symb"/>
    <w:basedOn w:val="Sched-Form"/>
    <w:rsid w:val="00F1531F"/>
    <w:pPr>
      <w:tabs>
        <w:tab w:val="left" w:pos="0"/>
      </w:tabs>
      <w:ind w:left="2480" w:hanging="2960"/>
    </w:pPr>
  </w:style>
  <w:style w:type="paragraph" w:customStyle="1" w:styleId="SchclauseheadingSymb">
    <w:name w:val="Sch clause heading Symb"/>
    <w:basedOn w:val="Schclauseheading"/>
    <w:rsid w:val="00F1531F"/>
    <w:pPr>
      <w:tabs>
        <w:tab w:val="left" w:pos="0"/>
      </w:tabs>
      <w:ind w:left="980" w:hanging="1460"/>
    </w:pPr>
  </w:style>
  <w:style w:type="paragraph" w:customStyle="1" w:styleId="TLegAsAmBy">
    <w:name w:val="TLegAsAmBy"/>
    <w:basedOn w:val="TLegEntries"/>
    <w:rsid w:val="00F1531F"/>
    <w:pPr>
      <w:ind w:firstLine="0"/>
    </w:pPr>
    <w:rPr>
      <w:b/>
    </w:rPr>
  </w:style>
  <w:style w:type="paragraph" w:customStyle="1" w:styleId="00Spine">
    <w:name w:val="00Spine"/>
    <w:basedOn w:val="Normal"/>
    <w:rsid w:val="00F1531F"/>
  </w:style>
  <w:style w:type="paragraph" w:customStyle="1" w:styleId="AuthorisedBlock">
    <w:name w:val="AuthorisedBlock"/>
    <w:basedOn w:val="Normal"/>
    <w:rsid w:val="00F1531F"/>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F1531F"/>
    <w:pPr>
      <w:tabs>
        <w:tab w:val="left" w:pos="3000"/>
      </w:tabs>
      <w:ind w:left="3100" w:hanging="2000"/>
    </w:pPr>
    <w:rPr>
      <w:rFonts w:ascii="Arial" w:hAnsi="Arial"/>
      <w:sz w:val="18"/>
    </w:rPr>
  </w:style>
  <w:style w:type="paragraph" w:customStyle="1" w:styleId="06Copyright">
    <w:name w:val="06Copyright"/>
    <w:basedOn w:val="Normal"/>
    <w:rsid w:val="00F1531F"/>
  </w:style>
  <w:style w:type="paragraph" w:customStyle="1" w:styleId="AFHdg">
    <w:name w:val="AFHdg"/>
    <w:basedOn w:val="BillBasicHeading"/>
    <w:rsid w:val="00F1531F"/>
    <w:rPr>
      <w:b w:val="0"/>
      <w:sz w:val="32"/>
    </w:rPr>
  </w:style>
  <w:style w:type="paragraph" w:customStyle="1" w:styleId="LegHistNote">
    <w:name w:val="LegHistNote"/>
    <w:basedOn w:val="Actdetails"/>
    <w:rsid w:val="00F1531F"/>
    <w:pPr>
      <w:spacing w:before="60"/>
      <w:ind w:left="2700" w:right="-60" w:hanging="1300"/>
    </w:pPr>
    <w:rPr>
      <w:sz w:val="18"/>
    </w:rPr>
  </w:style>
  <w:style w:type="paragraph" w:customStyle="1" w:styleId="MH1Chapter">
    <w:name w:val="M H1 Chapter"/>
    <w:basedOn w:val="AH1Chapter"/>
    <w:rsid w:val="00F1531F"/>
    <w:pPr>
      <w:tabs>
        <w:tab w:val="clear" w:pos="2600"/>
        <w:tab w:val="left" w:pos="2720"/>
      </w:tabs>
      <w:ind w:left="4000" w:hanging="3300"/>
    </w:pPr>
  </w:style>
  <w:style w:type="paragraph" w:customStyle="1" w:styleId="ModH1Chapter">
    <w:name w:val="Mod H1 Chapter"/>
    <w:basedOn w:val="IH1ChapSymb"/>
    <w:rsid w:val="00F1531F"/>
    <w:pPr>
      <w:tabs>
        <w:tab w:val="clear" w:pos="2600"/>
        <w:tab w:val="left" w:pos="3300"/>
      </w:tabs>
      <w:ind w:left="3300"/>
    </w:pPr>
  </w:style>
  <w:style w:type="paragraph" w:customStyle="1" w:styleId="ModH2Part">
    <w:name w:val="Mod H2 Part"/>
    <w:basedOn w:val="IH2PartSymb"/>
    <w:rsid w:val="00F1531F"/>
    <w:pPr>
      <w:tabs>
        <w:tab w:val="clear" w:pos="2600"/>
        <w:tab w:val="left" w:pos="3300"/>
      </w:tabs>
      <w:ind w:left="3300"/>
    </w:pPr>
  </w:style>
  <w:style w:type="paragraph" w:customStyle="1" w:styleId="ModH3Div">
    <w:name w:val="Mod H3 Div"/>
    <w:basedOn w:val="IH3DivSymb"/>
    <w:rsid w:val="00F1531F"/>
    <w:pPr>
      <w:tabs>
        <w:tab w:val="clear" w:pos="2600"/>
        <w:tab w:val="left" w:pos="3300"/>
      </w:tabs>
      <w:ind w:left="3300"/>
    </w:pPr>
  </w:style>
  <w:style w:type="paragraph" w:customStyle="1" w:styleId="ModH4SubDiv">
    <w:name w:val="Mod H4 SubDiv"/>
    <w:basedOn w:val="IH4SubDivSymb"/>
    <w:rsid w:val="00F1531F"/>
    <w:pPr>
      <w:tabs>
        <w:tab w:val="clear" w:pos="2600"/>
        <w:tab w:val="left" w:pos="3300"/>
      </w:tabs>
      <w:ind w:left="3300"/>
    </w:pPr>
  </w:style>
  <w:style w:type="paragraph" w:customStyle="1" w:styleId="ModH5Sec">
    <w:name w:val="Mod H5 Sec"/>
    <w:basedOn w:val="IH5SecSymb"/>
    <w:rsid w:val="00F1531F"/>
    <w:pPr>
      <w:tabs>
        <w:tab w:val="clear" w:pos="1100"/>
        <w:tab w:val="left" w:pos="1800"/>
      </w:tabs>
      <w:ind w:left="2200"/>
    </w:pPr>
  </w:style>
  <w:style w:type="paragraph" w:customStyle="1" w:styleId="Modmain">
    <w:name w:val="Mod main"/>
    <w:basedOn w:val="Amain"/>
    <w:rsid w:val="00F1531F"/>
    <w:pPr>
      <w:tabs>
        <w:tab w:val="clear" w:pos="900"/>
        <w:tab w:val="clear" w:pos="1100"/>
        <w:tab w:val="right" w:pos="1600"/>
        <w:tab w:val="left" w:pos="1800"/>
      </w:tabs>
      <w:ind w:left="2200"/>
    </w:pPr>
  </w:style>
  <w:style w:type="paragraph" w:customStyle="1" w:styleId="Modpara">
    <w:name w:val="Mod para"/>
    <w:basedOn w:val="BillBasic"/>
    <w:rsid w:val="00F1531F"/>
    <w:pPr>
      <w:tabs>
        <w:tab w:val="right" w:pos="2100"/>
        <w:tab w:val="left" w:pos="2300"/>
      </w:tabs>
      <w:ind w:left="2700" w:hanging="1600"/>
      <w:outlineLvl w:val="6"/>
    </w:pPr>
  </w:style>
  <w:style w:type="paragraph" w:customStyle="1" w:styleId="Modsubpara">
    <w:name w:val="Mod subpara"/>
    <w:basedOn w:val="Asubpara"/>
    <w:rsid w:val="00F1531F"/>
    <w:pPr>
      <w:tabs>
        <w:tab w:val="clear" w:pos="1900"/>
        <w:tab w:val="clear" w:pos="2100"/>
        <w:tab w:val="right" w:pos="2640"/>
        <w:tab w:val="left" w:pos="2840"/>
      </w:tabs>
      <w:ind w:left="3240" w:hanging="2140"/>
    </w:pPr>
  </w:style>
  <w:style w:type="paragraph" w:customStyle="1" w:styleId="Modsubsubpara">
    <w:name w:val="Mod subsubpara"/>
    <w:basedOn w:val="AsubsubparaSymb"/>
    <w:rsid w:val="00F1531F"/>
    <w:pPr>
      <w:tabs>
        <w:tab w:val="clear" w:pos="2400"/>
        <w:tab w:val="clear" w:pos="2600"/>
        <w:tab w:val="right" w:pos="3160"/>
        <w:tab w:val="left" w:pos="3360"/>
      </w:tabs>
      <w:ind w:left="3760" w:hanging="2660"/>
    </w:pPr>
  </w:style>
  <w:style w:type="paragraph" w:customStyle="1" w:styleId="Modmainreturn">
    <w:name w:val="Mod main return"/>
    <w:basedOn w:val="AmainreturnSymb"/>
    <w:rsid w:val="00F1531F"/>
    <w:pPr>
      <w:ind w:left="1800"/>
    </w:pPr>
  </w:style>
  <w:style w:type="paragraph" w:customStyle="1" w:styleId="Modparareturn">
    <w:name w:val="Mod para return"/>
    <w:basedOn w:val="AparareturnSymb"/>
    <w:rsid w:val="00F1531F"/>
    <w:pPr>
      <w:ind w:left="2300"/>
    </w:pPr>
  </w:style>
  <w:style w:type="paragraph" w:customStyle="1" w:styleId="Modsubparareturn">
    <w:name w:val="Mod subpara return"/>
    <w:basedOn w:val="AsubparareturnSymb"/>
    <w:rsid w:val="00F1531F"/>
    <w:pPr>
      <w:ind w:left="3040"/>
    </w:pPr>
  </w:style>
  <w:style w:type="paragraph" w:customStyle="1" w:styleId="Modref">
    <w:name w:val="Mod ref"/>
    <w:basedOn w:val="refSymb"/>
    <w:rsid w:val="00F1531F"/>
    <w:pPr>
      <w:ind w:left="1100"/>
    </w:pPr>
  </w:style>
  <w:style w:type="paragraph" w:customStyle="1" w:styleId="ModaNote">
    <w:name w:val="Mod aNote"/>
    <w:basedOn w:val="aNoteSymb"/>
    <w:rsid w:val="00F1531F"/>
    <w:pPr>
      <w:tabs>
        <w:tab w:val="left" w:pos="2600"/>
      </w:tabs>
      <w:ind w:left="2600"/>
    </w:pPr>
  </w:style>
  <w:style w:type="paragraph" w:customStyle="1" w:styleId="ModNote">
    <w:name w:val="Mod Note"/>
    <w:basedOn w:val="aNoteSymb"/>
    <w:rsid w:val="00F1531F"/>
    <w:pPr>
      <w:tabs>
        <w:tab w:val="left" w:pos="2600"/>
      </w:tabs>
      <w:ind w:left="2600"/>
    </w:pPr>
  </w:style>
  <w:style w:type="paragraph" w:customStyle="1" w:styleId="ApprFormHd">
    <w:name w:val="ApprFormHd"/>
    <w:basedOn w:val="Sched-heading"/>
    <w:rsid w:val="00F1531F"/>
    <w:pPr>
      <w:ind w:left="0" w:firstLine="0"/>
    </w:pPr>
  </w:style>
  <w:style w:type="paragraph" w:customStyle="1" w:styleId="EarlierRepubHdg">
    <w:name w:val="EarlierRepubHdg"/>
    <w:basedOn w:val="Normal"/>
    <w:rsid w:val="00F1531F"/>
    <w:pPr>
      <w:keepNext/>
    </w:pPr>
    <w:rPr>
      <w:rFonts w:ascii="Arial" w:hAnsi="Arial"/>
      <w:b/>
      <w:sz w:val="20"/>
    </w:rPr>
  </w:style>
  <w:style w:type="paragraph" w:customStyle="1" w:styleId="RenumProvHdg">
    <w:name w:val="RenumProvHdg"/>
    <w:basedOn w:val="Normal"/>
    <w:rsid w:val="00F1531F"/>
    <w:rPr>
      <w:rFonts w:ascii="Arial" w:hAnsi="Arial"/>
      <w:b/>
      <w:sz w:val="22"/>
    </w:rPr>
  </w:style>
  <w:style w:type="paragraph" w:customStyle="1" w:styleId="RenumProvHeader">
    <w:name w:val="RenumProvHeader"/>
    <w:basedOn w:val="Normal"/>
    <w:rsid w:val="00F1531F"/>
    <w:rPr>
      <w:rFonts w:ascii="Arial" w:hAnsi="Arial"/>
      <w:b/>
      <w:sz w:val="22"/>
    </w:rPr>
  </w:style>
  <w:style w:type="paragraph" w:customStyle="1" w:styleId="RenumTableHdg">
    <w:name w:val="RenumTableHdg"/>
    <w:basedOn w:val="Normal"/>
    <w:rsid w:val="00F1531F"/>
    <w:pPr>
      <w:spacing w:before="120"/>
    </w:pPr>
    <w:rPr>
      <w:rFonts w:ascii="Arial" w:hAnsi="Arial"/>
      <w:b/>
      <w:sz w:val="20"/>
    </w:rPr>
  </w:style>
  <w:style w:type="paragraph" w:customStyle="1" w:styleId="EPSCoverTop">
    <w:name w:val="EPSCoverTop"/>
    <w:basedOn w:val="Normal"/>
    <w:rsid w:val="00F1531F"/>
    <w:pPr>
      <w:jc w:val="right"/>
    </w:pPr>
    <w:rPr>
      <w:rFonts w:ascii="Arial" w:hAnsi="Arial"/>
      <w:sz w:val="20"/>
    </w:rPr>
  </w:style>
  <w:style w:type="paragraph" w:customStyle="1" w:styleId="AmainSymb">
    <w:name w:val="A main Symb"/>
    <w:basedOn w:val="Amain"/>
    <w:rsid w:val="00F1531F"/>
    <w:pPr>
      <w:tabs>
        <w:tab w:val="left" w:pos="0"/>
      </w:tabs>
      <w:ind w:left="1120" w:hanging="1600"/>
    </w:pPr>
  </w:style>
  <w:style w:type="paragraph" w:customStyle="1" w:styleId="AparaSymb">
    <w:name w:val="A para Symb"/>
    <w:basedOn w:val="Apara"/>
    <w:rsid w:val="00F1531F"/>
    <w:pPr>
      <w:tabs>
        <w:tab w:val="right" w:pos="0"/>
      </w:tabs>
      <w:ind w:hanging="2080"/>
    </w:pPr>
  </w:style>
  <w:style w:type="paragraph" w:customStyle="1" w:styleId="AsubparaSymb">
    <w:name w:val="A subpara Symb"/>
    <w:basedOn w:val="Asubpara"/>
    <w:rsid w:val="00F1531F"/>
    <w:pPr>
      <w:tabs>
        <w:tab w:val="left" w:pos="0"/>
      </w:tabs>
      <w:ind w:left="2098" w:hanging="2580"/>
    </w:pPr>
  </w:style>
  <w:style w:type="paragraph" w:customStyle="1" w:styleId="RenumProvSubsectEntries">
    <w:name w:val="RenumProvSubsectEntries"/>
    <w:basedOn w:val="RenumProvEntries"/>
    <w:rsid w:val="00F1531F"/>
    <w:pPr>
      <w:ind w:left="252"/>
    </w:pPr>
  </w:style>
  <w:style w:type="paragraph" w:customStyle="1" w:styleId="IshadedSchClause">
    <w:name w:val="I shaded Sch Clause"/>
    <w:basedOn w:val="IshadedH5Sec"/>
    <w:rsid w:val="00F1531F"/>
  </w:style>
  <w:style w:type="paragraph" w:customStyle="1" w:styleId="IshadedH5Sec">
    <w:name w:val="I shaded H5 Sec"/>
    <w:basedOn w:val="AH5Sec"/>
    <w:rsid w:val="00F1531F"/>
    <w:pPr>
      <w:shd w:val="pct25" w:color="auto" w:fill="auto"/>
      <w:outlineLvl w:val="9"/>
    </w:pPr>
  </w:style>
  <w:style w:type="paragraph" w:customStyle="1" w:styleId="Endnote4">
    <w:name w:val="Endnote4"/>
    <w:basedOn w:val="Endnote20"/>
    <w:rsid w:val="00F1531F"/>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1531F"/>
    <w:pPr>
      <w:keepNext/>
      <w:tabs>
        <w:tab w:val="clear" w:pos="900"/>
        <w:tab w:val="clear" w:pos="1100"/>
      </w:tabs>
      <w:spacing w:before="300"/>
      <w:ind w:left="0" w:firstLine="0"/>
      <w:outlineLvl w:val="9"/>
    </w:pPr>
    <w:rPr>
      <w:i/>
    </w:rPr>
  </w:style>
  <w:style w:type="paragraph" w:customStyle="1" w:styleId="Penalty">
    <w:name w:val="Penalty"/>
    <w:basedOn w:val="Amainreturn"/>
    <w:rsid w:val="00F1531F"/>
  </w:style>
  <w:style w:type="paragraph" w:customStyle="1" w:styleId="Billcrest0">
    <w:name w:val="Billcrest"/>
    <w:basedOn w:val="Normal"/>
    <w:rsid w:val="00F1531F"/>
    <w:pPr>
      <w:spacing w:after="60"/>
      <w:ind w:left="2800"/>
    </w:pPr>
    <w:rPr>
      <w:rFonts w:ascii="ACTCrest" w:hAnsi="ACTCrest"/>
      <w:sz w:val="216"/>
    </w:rPr>
  </w:style>
  <w:style w:type="paragraph" w:customStyle="1" w:styleId="EffectiveDate">
    <w:name w:val="EffectiveDate"/>
    <w:basedOn w:val="Normal"/>
    <w:rsid w:val="00F1531F"/>
    <w:pPr>
      <w:spacing w:before="120"/>
    </w:pPr>
    <w:rPr>
      <w:rFonts w:ascii="Arial" w:hAnsi="Arial"/>
      <w:b/>
      <w:sz w:val="26"/>
    </w:rPr>
  </w:style>
  <w:style w:type="paragraph" w:customStyle="1" w:styleId="ChronTabledetails">
    <w:name w:val="Chron Table details"/>
    <w:basedOn w:val="Normal"/>
    <w:rsid w:val="0020309E"/>
    <w:rPr>
      <w:rFonts w:ascii="Arial" w:hAnsi="Arial"/>
      <w:sz w:val="18"/>
      <w:lang w:val="en-US"/>
    </w:rPr>
  </w:style>
  <w:style w:type="paragraph" w:customStyle="1" w:styleId="LongTitleSymb">
    <w:name w:val="LongTitleSymb"/>
    <w:basedOn w:val="LongTitle"/>
    <w:rsid w:val="00F1531F"/>
    <w:pPr>
      <w:ind w:hanging="480"/>
    </w:pPr>
  </w:style>
  <w:style w:type="paragraph" w:customStyle="1" w:styleId="aNoteText">
    <w:name w:val="aNoteText"/>
    <w:basedOn w:val="aNoteSymb"/>
    <w:rsid w:val="00F1531F"/>
    <w:pPr>
      <w:spacing w:before="60"/>
      <w:ind w:firstLine="0"/>
    </w:pPr>
  </w:style>
  <w:style w:type="paragraph" w:customStyle="1" w:styleId="05Endnote0">
    <w:name w:val="05Endnote"/>
    <w:basedOn w:val="Normal"/>
    <w:rsid w:val="00F1531F"/>
  </w:style>
  <w:style w:type="paragraph" w:customStyle="1" w:styleId="AmdtEntries">
    <w:name w:val="AmdtEntries"/>
    <w:basedOn w:val="BillBasicHeading"/>
    <w:rsid w:val="00F1531F"/>
    <w:pPr>
      <w:keepNext w:val="0"/>
      <w:tabs>
        <w:tab w:val="clear" w:pos="2600"/>
      </w:tabs>
      <w:spacing w:before="0"/>
      <w:ind w:left="3200" w:hanging="2100"/>
    </w:pPr>
    <w:rPr>
      <w:sz w:val="18"/>
    </w:rPr>
  </w:style>
  <w:style w:type="paragraph" w:customStyle="1" w:styleId="AmdtEntriesDefL2">
    <w:name w:val="AmdtEntriesDefL2"/>
    <w:basedOn w:val="AmdtEntries"/>
    <w:rsid w:val="00F1531F"/>
    <w:pPr>
      <w:tabs>
        <w:tab w:val="left" w:pos="3000"/>
      </w:tabs>
      <w:ind w:left="3600" w:hanging="2500"/>
    </w:pPr>
  </w:style>
  <w:style w:type="character" w:customStyle="1" w:styleId="charContents">
    <w:name w:val="charContents"/>
    <w:basedOn w:val="DefaultParagraphFont"/>
    <w:rsid w:val="00F1531F"/>
  </w:style>
  <w:style w:type="character" w:customStyle="1" w:styleId="charPage">
    <w:name w:val="charPage"/>
    <w:basedOn w:val="DefaultParagraphFont"/>
    <w:rsid w:val="00F1531F"/>
  </w:style>
  <w:style w:type="paragraph" w:customStyle="1" w:styleId="FooterInfoCentre">
    <w:name w:val="FooterInfoCentre"/>
    <w:basedOn w:val="FooterInfo"/>
    <w:rsid w:val="00F1531F"/>
    <w:pPr>
      <w:spacing w:before="60"/>
      <w:jc w:val="center"/>
    </w:pPr>
  </w:style>
  <w:style w:type="paragraph" w:styleId="MacroText">
    <w:name w:val="macro"/>
    <w:semiHidden/>
    <w:rsid w:val="00F153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1531F"/>
    <w:pPr>
      <w:spacing w:before="60"/>
      <w:ind w:left="1100"/>
      <w:jc w:val="both"/>
    </w:pPr>
    <w:rPr>
      <w:sz w:val="20"/>
    </w:rPr>
  </w:style>
  <w:style w:type="paragraph" w:customStyle="1" w:styleId="aExamHdgss">
    <w:name w:val="aExamHdgss"/>
    <w:basedOn w:val="BillBasicHeading"/>
    <w:next w:val="Normal"/>
    <w:rsid w:val="00F1531F"/>
    <w:pPr>
      <w:tabs>
        <w:tab w:val="clear" w:pos="2600"/>
      </w:tabs>
      <w:ind w:left="1100"/>
    </w:pPr>
    <w:rPr>
      <w:sz w:val="18"/>
    </w:rPr>
  </w:style>
  <w:style w:type="paragraph" w:customStyle="1" w:styleId="aExamss">
    <w:name w:val="aExamss"/>
    <w:basedOn w:val="aNoteSymb"/>
    <w:rsid w:val="00F1531F"/>
    <w:pPr>
      <w:spacing w:before="60"/>
      <w:ind w:left="1100" w:firstLine="0"/>
    </w:pPr>
  </w:style>
  <w:style w:type="paragraph" w:customStyle="1" w:styleId="aExamINumss">
    <w:name w:val="aExamINumss"/>
    <w:basedOn w:val="aExamss"/>
    <w:rsid w:val="00F1531F"/>
    <w:pPr>
      <w:tabs>
        <w:tab w:val="left" w:pos="1500"/>
      </w:tabs>
      <w:ind w:left="1500" w:hanging="400"/>
    </w:pPr>
  </w:style>
  <w:style w:type="paragraph" w:customStyle="1" w:styleId="aExamNumTextss">
    <w:name w:val="aExamNumTextss"/>
    <w:basedOn w:val="aExamss"/>
    <w:rsid w:val="00F1531F"/>
    <w:pPr>
      <w:ind w:left="1500"/>
    </w:pPr>
  </w:style>
  <w:style w:type="paragraph" w:customStyle="1" w:styleId="AExamIPara">
    <w:name w:val="AExamIPara"/>
    <w:basedOn w:val="aExam"/>
    <w:rsid w:val="00F1531F"/>
    <w:pPr>
      <w:tabs>
        <w:tab w:val="right" w:pos="1720"/>
        <w:tab w:val="left" w:pos="2000"/>
      </w:tabs>
      <w:ind w:left="2000" w:hanging="900"/>
    </w:pPr>
  </w:style>
  <w:style w:type="paragraph" w:customStyle="1" w:styleId="aNoteTextss">
    <w:name w:val="aNoteTextss"/>
    <w:basedOn w:val="Normal"/>
    <w:rsid w:val="00F1531F"/>
    <w:pPr>
      <w:spacing w:before="60"/>
      <w:ind w:left="1900"/>
      <w:jc w:val="both"/>
    </w:pPr>
    <w:rPr>
      <w:sz w:val="20"/>
    </w:rPr>
  </w:style>
  <w:style w:type="paragraph" w:customStyle="1" w:styleId="aNoteParass">
    <w:name w:val="aNoteParass"/>
    <w:basedOn w:val="Normal"/>
    <w:rsid w:val="00F1531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1531F"/>
    <w:pPr>
      <w:ind w:left="1600"/>
    </w:pPr>
  </w:style>
  <w:style w:type="paragraph" w:customStyle="1" w:styleId="aExampar">
    <w:name w:val="aExampar"/>
    <w:basedOn w:val="aExamss"/>
    <w:rsid w:val="00F1531F"/>
    <w:pPr>
      <w:ind w:left="1600"/>
    </w:pPr>
  </w:style>
  <w:style w:type="paragraph" w:customStyle="1" w:styleId="aNotepar">
    <w:name w:val="aNotepar"/>
    <w:basedOn w:val="BillBasic"/>
    <w:next w:val="Normal"/>
    <w:rsid w:val="00F1531F"/>
    <w:pPr>
      <w:ind w:left="2400" w:hanging="800"/>
    </w:pPr>
    <w:rPr>
      <w:sz w:val="20"/>
    </w:rPr>
  </w:style>
  <w:style w:type="paragraph" w:customStyle="1" w:styleId="aNoteTextpar">
    <w:name w:val="aNoteTextpar"/>
    <w:basedOn w:val="aNotepar"/>
    <w:rsid w:val="00F1531F"/>
    <w:pPr>
      <w:spacing w:before="60"/>
      <w:ind w:firstLine="0"/>
    </w:pPr>
  </w:style>
  <w:style w:type="paragraph" w:customStyle="1" w:styleId="aNoteParapar">
    <w:name w:val="aNoteParapar"/>
    <w:basedOn w:val="aNotepar"/>
    <w:rsid w:val="00F1531F"/>
    <w:pPr>
      <w:tabs>
        <w:tab w:val="right" w:pos="2640"/>
      </w:tabs>
      <w:spacing w:before="60"/>
      <w:ind w:left="2920" w:hanging="1320"/>
    </w:pPr>
  </w:style>
  <w:style w:type="paragraph" w:customStyle="1" w:styleId="aExamHdgsubpar">
    <w:name w:val="aExamHdgsubpar"/>
    <w:basedOn w:val="aExamHdgss"/>
    <w:next w:val="Normal"/>
    <w:rsid w:val="00F1531F"/>
    <w:pPr>
      <w:ind w:left="2140"/>
    </w:pPr>
  </w:style>
  <w:style w:type="paragraph" w:customStyle="1" w:styleId="aExamsubpar">
    <w:name w:val="aExamsubpar"/>
    <w:basedOn w:val="aExamss"/>
    <w:rsid w:val="00F1531F"/>
    <w:pPr>
      <w:ind w:left="2140"/>
    </w:pPr>
  </w:style>
  <w:style w:type="paragraph" w:customStyle="1" w:styleId="aNotesubpar">
    <w:name w:val="aNotesubpar"/>
    <w:basedOn w:val="BillBasic"/>
    <w:next w:val="Normal"/>
    <w:rsid w:val="00F1531F"/>
    <w:pPr>
      <w:ind w:left="2940" w:hanging="800"/>
    </w:pPr>
    <w:rPr>
      <w:sz w:val="20"/>
    </w:rPr>
  </w:style>
  <w:style w:type="paragraph" w:customStyle="1" w:styleId="aNoteTextsubpar">
    <w:name w:val="aNoteTextsubpar"/>
    <w:basedOn w:val="aNotesubpar"/>
    <w:rsid w:val="00F1531F"/>
    <w:pPr>
      <w:spacing w:before="60"/>
      <w:ind w:firstLine="0"/>
    </w:pPr>
  </w:style>
  <w:style w:type="paragraph" w:customStyle="1" w:styleId="aExamBulletss">
    <w:name w:val="aExamBulletss"/>
    <w:basedOn w:val="aExamss"/>
    <w:rsid w:val="00F1531F"/>
    <w:pPr>
      <w:ind w:left="1500" w:hanging="400"/>
    </w:pPr>
  </w:style>
  <w:style w:type="paragraph" w:customStyle="1" w:styleId="aNoteBulletss">
    <w:name w:val="aNoteBulletss"/>
    <w:basedOn w:val="Normal"/>
    <w:rsid w:val="00F1531F"/>
    <w:pPr>
      <w:spacing w:before="60"/>
      <w:ind w:left="2300" w:hanging="400"/>
      <w:jc w:val="both"/>
    </w:pPr>
    <w:rPr>
      <w:sz w:val="20"/>
    </w:rPr>
  </w:style>
  <w:style w:type="paragraph" w:customStyle="1" w:styleId="aExamBulletpar">
    <w:name w:val="aExamBulletpar"/>
    <w:basedOn w:val="aExampar"/>
    <w:rsid w:val="00F1531F"/>
    <w:pPr>
      <w:ind w:left="2000" w:hanging="400"/>
    </w:pPr>
  </w:style>
  <w:style w:type="paragraph" w:customStyle="1" w:styleId="aNoteBulletpar">
    <w:name w:val="aNoteBulletpar"/>
    <w:basedOn w:val="aNotepar"/>
    <w:rsid w:val="00F1531F"/>
    <w:pPr>
      <w:spacing w:before="60"/>
      <w:ind w:left="2800" w:hanging="400"/>
    </w:pPr>
  </w:style>
  <w:style w:type="paragraph" w:customStyle="1" w:styleId="aExplanBullet">
    <w:name w:val="aExplanBullet"/>
    <w:basedOn w:val="Normal"/>
    <w:rsid w:val="00F1531F"/>
    <w:pPr>
      <w:spacing w:before="140"/>
      <w:ind w:left="400" w:hanging="400"/>
      <w:jc w:val="both"/>
    </w:pPr>
    <w:rPr>
      <w:snapToGrid w:val="0"/>
      <w:sz w:val="20"/>
    </w:rPr>
  </w:style>
  <w:style w:type="paragraph" w:customStyle="1" w:styleId="Actbullet">
    <w:name w:val="Act bullet"/>
    <w:basedOn w:val="Normal"/>
    <w:uiPriority w:val="99"/>
    <w:rsid w:val="00F1531F"/>
    <w:pPr>
      <w:numPr>
        <w:numId w:val="17"/>
      </w:numPr>
      <w:tabs>
        <w:tab w:val="left" w:pos="900"/>
      </w:tabs>
      <w:spacing w:before="20"/>
      <w:ind w:right="-60"/>
    </w:pPr>
    <w:rPr>
      <w:rFonts w:ascii="Arial" w:hAnsi="Arial"/>
      <w:sz w:val="18"/>
    </w:rPr>
  </w:style>
  <w:style w:type="paragraph" w:customStyle="1" w:styleId="Actdetailsshaded">
    <w:name w:val="Act details shaded"/>
    <w:basedOn w:val="Actdetails"/>
    <w:rsid w:val="0020309E"/>
    <w:pPr>
      <w:shd w:val="pct15" w:color="auto" w:fill="FFFFFF"/>
      <w:spacing w:before="0"/>
      <w:ind w:left="900" w:right="-60"/>
    </w:pPr>
    <w:rPr>
      <w:rFonts w:cs="Arial"/>
      <w:sz w:val="18"/>
      <w:szCs w:val="18"/>
    </w:rPr>
  </w:style>
  <w:style w:type="paragraph" w:customStyle="1" w:styleId="SchAmain">
    <w:name w:val="Sch A main"/>
    <w:basedOn w:val="Amain"/>
    <w:rsid w:val="00F1531F"/>
  </w:style>
  <w:style w:type="paragraph" w:customStyle="1" w:styleId="SchApara">
    <w:name w:val="Sch A para"/>
    <w:basedOn w:val="Apara"/>
    <w:rsid w:val="00F1531F"/>
  </w:style>
  <w:style w:type="paragraph" w:customStyle="1" w:styleId="SchAsubpara">
    <w:name w:val="Sch A subpara"/>
    <w:basedOn w:val="Asubpara"/>
    <w:rsid w:val="00F1531F"/>
  </w:style>
  <w:style w:type="paragraph" w:customStyle="1" w:styleId="SchAsubsubpara">
    <w:name w:val="Sch A subsubpara"/>
    <w:basedOn w:val="Asubsubpara"/>
    <w:rsid w:val="00F1531F"/>
  </w:style>
  <w:style w:type="paragraph" w:customStyle="1" w:styleId="TOCOL1">
    <w:name w:val="TOCOL 1"/>
    <w:basedOn w:val="TOC1"/>
    <w:rsid w:val="00F1531F"/>
  </w:style>
  <w:style w:type="paragraph" w:customStyle="1" w:styleId="TOCOL2">
    <w:name w:val="TOCOL 2"/>
    <w:basedOn w:val="TOC2"/>
    <w:rsid w:val="00F1531F"/>
    <w:pPr>
      <w:keepNext w:val="0"/>
    </w:pPr>
  </w:style>
  <w:style w:type="paragraph" w:customStyle="1" w:styleId="TOCOL3">
    <w:name w:val="TOCOL 3"/>
    <w:basedOn w:val="TOC3"/>
    <w:rsid w:val="00F1531F"/>
    <w:pPr>
      <w:keepNext w:val="0"/>
    </w:pPr>
  </w:style>
  <w:style w:type="paragraph" w:customStyle="1" w:styleId="TOCOL4">
    <w:name w:val="TOCOL 4"/>
    <w:basedOn w:val="TOC4"/>
    <w:rsid w:val="00F1531F"/>
    <w:pPr>
      <w:keepNext w:val="0"/>
    </w:pPr>
  </w:style>
  <w:style w:type="paragraph" w:customStyle="1" w:styleId="TOCOL5">
    <w:name w:val="TOCOL 5"/>
    <w:basedOn w:val="TOC5"/>
    <w:rsid w:val="00F1531F"/>
    <w:pPr>
      <w:tabs>
        <w:tab w:val="left" w:pos="400"/>
      </w:tabs>
    </w:pPr>
  </w:style>
  <w:style w:type="paragraph" w:customStyle="1" w:styleId="TOCOL6">
    <w:name w:val="TOCOL 6"/>
    <w:basedOn w:val="TOC6"/>
    <w:rsid w:val="00F1531F"/>
    <w:pPr>
      <w:keepNext w:val="0"/>
    </w:pPr>
  </w:style>
  <w:style w:type="paragraph" w:customStyle="1" w:styleId="TOCOL7">
    <w:name w:val="TOCOL 7"/>
    <w:basedOn w:val="TOC7"/>
    <w:rsid w:val="00F1531F"/>
  </w:style>
  <w:style w:type="paragraph" w:customStyle="1" w:styleId="TOCOL8">
    <w:name w:val="TOCOL 8"/>
    <w:basedOn w:val="TOC8"/>
    <w:rsid w:val="00F1531F"/>
  </w:style>
  <w:style w:type="paragraph" w:customStyle="1" w:styleId="TOCOL9">
    <w:name w:val="TOCOL 9"/>
    <w:basedOn w:val="TOC9"/>
    <w:rsid w:val="00F1531F"/>
    <w:pPr>
      <w:ind w:right="0"/>
    </w:pPr>
  </w:style>
  <w:style w:type="paragraph" w:customStyle="1" w:styleId="TOC10">
    <w:name w:val="TOC 10"/>
    <w:basedOn w:val="TOC5"/>
    <w:rsid w:val="00F1531F"/>
    <w:rPr>
      <w:szCs w:val="24"/>
    </w:rPr>
  </w:style>
  <w:style w:type="character" w:customStyle="1" w:styleId="charNotBold">
    <w:name w:val="charNotBold"/>
    <w:basedOn w:val="DefaultParagraphFont"/>
    <w:rsid w:val="00F1531F"/>
    <w:rPr>
      <w:rFonts w:ascii="Arial" w:hAnsi="Arial"/>
      <w:sz w:val="20"/>
    </w:rPr>
  </w:style>
  <w:style w:type="paragraph" w:customStyle="1" w:styleId="Billname1">
    <w:name w:val="Billname1"/>
    <w:basedOn w:val="Normal"/>
    <w:rsid w:val="00F1531F"/>
    <w:pPr>
      <w:tabs>
        <w:tab w:val="left" w:pos="2400"/>
      </w:tabs>
      <w:spacing w:before="1220"/>
    </w:pPr>
    <w:rPr>
      <w:rFonts w:ascii="Arial" w:hAnsi="Arial"/>
      <w:b/>
      <w:sz w:val="40"/>
    </w:rPr>
  </w:style>
  <w:style w:type="paragraph" w:customStyle="1" w:styleId="TablePara10">
    <w:name w:val="TablePara10"/>
    <w:basedOn w:val="tablepara"/>
    <w:rsid w:val="00F1531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1531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1531F"/>
    <w:rPr>
      <w:sz w:val="20"/>
    </w:rPr>
  </w:style>
  <w:style w:type="paragraph" w:customStyle="1" w:styleId="aExamINumpar">
    <w:name w:val="aExamINumpar"/>
    <w:basedOn w:val="aExampar"/>
    <w:rsid w:val="00F1531F"/>
    <w:pPr>
      <w:tabs>
        <w:tab w:val="left" w:pos="2000"/>
      </w:tabs>
      <w:ind w:left="2000" w:hanging="400"/>
    </w:pPr>
  </w:style>
  <w:style w:type="character" w:customStyle="1" w:styleId="FooterChar">
    <w:name w:val="Footer Char"/>
    <w:basedOn w:val="DefaultParagraphFont"/>
    <w:link w:val="Footer"/>
    <w:rsid w:val="00F1531F"/>
    <w:rPr>
      <w:rFonts w:ascii="Arial" w:hAnsi="Arial"/>
      <w:sz w:val="18"/>
      <w:lang w:eastAsia="en-US"/>
    </w:rPr>
  </w:style>
  <w:style w:type="paragraph" w:customStyle="1" w:styleId="ShadedSchClauseSymb">
    <w:name w:val="Shaded Sch Clause Symb"/>
    <w:basedOn w:val="ShadedSchClause"/>
    <w:rsid w:val="00F1531F"/>
    <w:pPr>
      <w:tabs>
        <w:tab w:val="left" w:pos="0"/>
      </w:tabs>
      <w:ind w:left="975" w:hanging="1457"/>
    </w:pPr>
  </w:style>
  <w:style w:type="paragraph" w:styleId="BalloonText">
    <w:name w:val="Balloon Text"/>
    <w:basedOn w:val="Normal"/>
    <w:link w:val="BalloonTextChar"/>
    <w:uiPriority w:val="99"/>
    <w:unhideWhenUsed/>
    <w:rsid w:val="00F1531F"/>
    <w:rPr>
      <w:rFonts w:ascii="Tahoma" w:hAnsi="Tahoma" w:cs="Tahoma"/>
      <w:sz w:val="16"/>
      <w:szCs w:val="16"/>
    </w:rPr>
  </w:style>
  <w:style w:type="character" w:customStyle="1" w:styleId="BalloonTextChar">
    <w:name w:val="Balloon Text Char"/>
    <w:basedOn w:val="DefaultParagraphFont"/>
    <w:link w:val="BalloonText"/>
    <w:uiPriority w:val="99"/>
    <w:rsid w:val="00F1531F"/>
    <w:rPr>
      <w:rFonts w:ascii="Tahoma" w:hAnsi="Tahoma" w:cs="Tahoma"/>
      <w:sz w:val="16"/>
      <w:szCs w:val="16"/>
      <w:lang w:eastAsia="en-US"/>
    </w:rPr>
  </w:style>
  <w:style w:type="paragraph" w:customStyle="1" w:styleId="CoverTextBullet">
    <w:name w:val="CoverTextBullet"/>
    <w:basedOn w:val="CoverText"/>
    <w:qFormat/>
    <w:rsid w:val="00F1531F"/>
    <w:pPr>
      <w:numPr>
        <w:numId w:val="2"/>
      </w:numPr>
    </w:pPr>
    <w:rPr>
      <w:color w:val="000000"/>
    </w:rPr>
  </w:style>
  <w:style w:type="paragraph" w:customStyle="1" w:styleId="01aPreamble">
    <w:name w:val="01aPreamble"/>
    <w:basedOn w:val="Normal"/>
    <w:qFormat/>
    <w:rsid w:val="00F1531F"/>
  </w:style>
  <w:style w:type="paragraph" w:customStyle="1" w:styleId="TableBullet">
    <w:name w:val="TableBullet"/>
    <w:basedOn w:val="TableText10"/>
    <w:qFormat/>
    <w:rsid w:val="00F1531F"/>
    <w:pPr>
      <w:numPr>
        <w:numId w:val="5"/>
      </w:numPr>
    </w:pPr>
  </w:style>
  <w:style w:type="paragraph" w:customStyle="1" w:styleId="TableNumbered">
    <w:name w:val="TableNumbered"/>
    <w:basedOn w:val="TableText10"/>
    <w:qFormat/>
    <w:rsid w:val="00F1531F"/>
    <w:pPr>
      <w:numPr>
        <w:numId w:val="6"/>
      </w:numPr>
    </w:pPr>
  </w:style>
  <w:style w:type="character" w:customStyle="1" w:styleId="charCitHyperlinkItal">
    <w:name w:val="charCitHyperlinkItal"/>
    <w:basedOn w:val="Hyperlink"/>
    <w:uiPriority w:val="1"/>
    <w:rsid w:val="00F1531F"/>
    <w:rPr>
      <w:i/>
      <w:color w:val="0000FF" w:themeColor="hyperlink"/>
      <w:u w:val="none"/>
    </w:rPr>
  </w:style>
  <w:style w:type="character" w:customStyle="1" w:styleId="charCitHyperlinkAbbrev">
    <w:name w:val="charCitHyperlinkAbbrev"/>
    <w:basedOn w:val="Hyperlink"/>
    <w:uiPriority w:val="1"/>
    <w:rsid w:val="00F1531F"/>
    <w:rPr>
      <w:color w:val="0000FF" w:themeColor="hyperlink"/>
      <w:u w:val="none"/>
    </w:rPr>
  </w:style>
  <w:style w:type="character" w:customStyle="1" w:styleId="Heading3Char">
    <w:name w:val="Heading 3 Char"/>
    <w:aliases w:val="h3 Char,sec Char"/>
    <w:basedOn w:val="DefaultParagraphFont"/>
    <w:link w:val="Heading3"/>
    <w:rsid w:val="00F1531F"/>
    <w:rPr>
      <w:b/>
      <w:sz w:val="24"/>
      <w:lang w:eastAsia="en-US"/>
    </w:rPr>
  </w:style>
  <w:style w:type="paragraph" w:customStyle="1" w:styleId="parainpara">
    <w:name w:val="para in para"/>
    <w:rsid w:val="00F1531F"/>
    <w:pPr>
      <w:tabs>
        <w:tab w:val="right" w:pos="1500"/>
      </w:tabs>
      <w:spacing w:before="80" w:after="80"/>
      <w:ind w:left="1800" w:hanging="1800"/>
      <w:jc w:val="both"/>
    </w:pPr>
    <w:rPr>
      <w:rFonts w:ascii="Times" w:hAnsi="Times"/>
      <w:sz w:val="24"/>
      <w:lang w:eastAsia="en-US"/>
    </w:rPr>
  </w:style>
  <w:style w:type="paragraph" w:customStyle="1" w:styleId="Actdetailsnote">
    <w:name w:val="Act details note"/>
    <w:basedOn w:val="Actdetails"/>
    <w:uiPriority w:val="99"/>
    <w:rsid w:val="00F1531F"/>
    <w:pPr>
      <w:ind w:left="1620" w:right="-60" w:hanging="720"/>
    </w:pPr>
    <w:rPr>
      <w:sz w:val="18"/>
    </w:rPr>
  </w:style>
  <w:style w:type="paragraph" w:customStyle="1" w:styleId="DetailsNo">
    <w:name w:val="Details No"/>
    <w:basedOn w:val="Actdetails"/>
    <w:uiPriority w:val="99"/>
    <w:rsid w:val="00F1531F"/>
    <w:pPr>
      <w:ind w:left="0"/>
    </w:pPr>
    <w:rPr>
      <w:sz w:val="18"/>
    </w:rPr>
  </w:style>
  <w:style w:type="paragraph" w:customStyle="1" w:styleId="ISchMain">
    <w:name w:val="I Sch Main"/>
    <w:basedOn w:val="BillBasic"/>
    <w:rsid w:val="00F1531F"/>
    <w:pPr>
      <w:tabs>
        <w:tab w:val="right" w:pos="900"/>
        <w:tab w:val="left" w:pos="1100"/>
      </w:tabs>
      <w:ind w:left="1100" w:hanging="1100"/>
    </w:pPr>
  </w:style>
  <w:style w:type="paragraph" w:customStyle="1" w:styleId="ISchpara">
    <w:name w:val="I Sch para"/>
    <w:basedOn w:val="BillBasic"/>
    <w:rsid w:val="00F1531F"/>
    <w:pPr>
      <w:tabs>
        <w:tab w:val="right" w:pos="1400"/>
        <w:tab w:val="left" w:pos="1600"/>
      </w:tabs>
      <w:ind w:left="1600" w:hanging="1600"/>
    </w:pPr>
  </w:style>
  <w:style w:type="paragraph" w:customStyle="1" w:styleId="ISchsubpara">
    <w:name w:val="I Sch subpara"/>
    <w:basedOn w:val="BillBasic"/>
    <w:rsid w:val="00F1531F"/>
    <w:pPr>
      <w:tabs>
        <w:tab w:val="right" w:pos="1940"/>
        <w:tab w:val="left" w:pos="2140"/>
      </w:tabs>
      <w:ind w:left="2140" w:hanging="2140"/>
    </w:pPr>
  </w:style>
  <w:style w:type="paragraph" w:customStyle="1" w:styleId="ISchsubsubpara">
    <w:name w:val="I Sch subsubpara"/>
    <w:basedOn w:val="BillBasic"/>
    <w:rsid w:val="00F1531F"/>
    <w:pPr>
      <w:tabs>
        <w:tab w:val="right" w:pos="2460"/>
        <w:tab w:val="left" w:pos="2660"/>
      </w:tabs>
      <w:ind w:left="2660" w:hanging="2660"/>
    </w:pPr>
  </w:style>
  <w:style w:type="paragraph" w:customStyle="1" w:styleId="AssectheadingSymb">
    <w:name w:val="A ssect heading Symb"/>
    <w:basedOn w:val="Amain"/>
    <w:rsid w:val="00F1531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1531F"/>
    <w:pPr>
      <w:tabs>
        <w:tab w:val="left" w:pos="0"/>
        <w:tab w:val="right" w:pos="2400"/>
        <w:tab w:val="left" w:pos="2600"/>
      </w:tabs>
      <w:ind w:left="2602" w:hanging="3084"/>
      <w:outlineLvl w:val="8"/>
    </w:pPr>
  </w:style>
  <w:style w:type="paragraph" w:customStyle="1" w:styleId="AmainreturnSymb">
    <w:name w:val="A main return Symb"/>
    <w:basedOn w:val="BillBasic"/>
    <w:rsid w:val="00F1531F"/>
    <w:pPr>
      <w:tabs>
        <w:tab w:val="left" w:pos="1582"/>
      </w:tabs>
      <w:ind w:left="1100" w:hanging="1582"/>
    </w:pPr>
  </w:style>
  <w:style w:type="paragraph" w:customStyle="1" w:styleId="AparareturnSymb">
    <w:name w:val="A para return Symb"/>
    <w:basedOn w:val="BillBasic"/>
    <w:rsid w:val="00F1531F"/>
    <w:pPr>
      <w:tabs>
        <w:tab w:val="left" w:pos="2081"/>
      </w:tabs>
      <w:ind w:left="1599" w:hanging="2081"/>
    </w:pPr>
  </w:style>
  <w:style w:type="paragraph" w:customStyle="1" w:styleId="AsubparareturnSymb">
    <w:name w:val="A subpara return Symb"/>
    <w:basedOn w:val="BillBasic"/>
    <w:rsid w:val="00F1531F"/>
    <w:pPr>
      <w:tabs>
        <w:tab w:val="left" w:pos="2580"/>
      </w:tabs>
      <w:ind w:left="2098" w:hanging="2580"/>
    </w:pPr>
  </w:style>
  <w:style w:type="paragraph" w:customStyle="1" w:styleId="aDefSymb">
    <w:name w:val="aDef Symb"/>
    <w:basedOn w:val="BillBasic"/>
    <w:rsid w:val="00F1531F"/>
    <w:pPr>
      <w:tabs>
        <w:tab w:val="left" w:pos="1582"/>
      </w:tabs>
      <w:ind w:left="1100" w:hanging="1582"/>
    </w:pPr>
  </w:style>
  <w:style w:type="paragraph" w:customStyle="1" w:styleId="aDefparaSymb">
    <w:name w:val="aDef para Symb"/>
    <w:basedOn w:val="Apara"/>
    <w:rsid w:val="00F1531F"/>
    <w:pPr>
      <w:tabs>
        <w:tab w:val="clear" w:pos="1600"/>
        <w:tab w:val="left" w:pos="0"/>
        <w:tab w:val="left" w:pos="1599"/>
      </w:tabs>
      <w:ind w:left="1599" w:hanging="2081"/>
    </w:pPr>
  </w:style>
  <w:style w:type="paragraph" w:customStyle="1" w:styleId="aDefsubparaSymb">
    <w:name w:val="aDef subpara Symb"/>
    <w:basedOn w:val="Asubpara"/>
    <w:rsid w:val="00F1531F"/>
    <w:pPr>
      <w:tabs>
        <w:tab w:val="left" w:pos="0"/>
      </w:tabs>
      <w:ind w:left="2098" w:hanging="2580"/>
    </w:pPr>
  </w:style>
  <w:style w:type="paragraph" w:customStyle="1" w:styleId="SchAmainSymb">
    <w:name w:val="Sch A main Symb"/>
    <w:basedOn w:val="Amain"/>
    <w:rsid w:val="00F1531F"/>
    <w:pPr>
      <w:tabs>
        <w:tab w:val="left" w:pos="0"/>
      </w:tabs>
      <w:ind w:hanging="1580"/>
    </w:pPr>
  </w:style>
  <w:style w:type="paragraph" w:customStyle="1" w:styleId="SchAparaSymb">
    <w:name w:val="Sch A para Symb"/>
    <w:basedOn w:val="Apara"/>
    <w:rsid w:val="00F1531F"/>
    <w:pPr>
      <w:tabs>
        <w:tab w:val="left" w:pos="0"/>
      </w:tabs>
      <w:ind w:hanging="2080"/>
    </w:pPr>
  </w:style>
  <w:style w:type="paragraph" w:customStyle="1" w:styleId="SchAsubparaSymb">
    <w:name w:val="Sch A subpara Symb"/>
    <w:basedOn w:val="Asubpara"/>
    <w:rsid w:val="00F1531F"/>
    <w:pPr>
      <w:tabs>
        <w:tab w:val="left" w:pos="0"/>
      </w:tabs>
      <w:ind w:hanging="2580"/>
    </w:pPr>
  </w:style>
  <w:style w:type="paragraph" w:customStyle="1" w:styleId="SchAsubsubparaSymb">
    <w:name w:val="Sch A subsubpara Symb"/>
    <w:basedOn w:val="AsubsubparaSymb"/>
    <w:rsid w:val="00F1531F"/>
  </w:style>
  <w:style w:type="paragraph" w:customStyle="1" w:styleId="refSymb">
    <w:name w:val="ref Symb"/>
    <w:basedOn w:val="BillBasic"/>
    <w:next w:val="Normal"/>
    <w:rsid w:val="00F1531F"/>
    <w:pPr>
      <w:tabs>
        <w:tab w:val="left" w:pos="-480"/>
      </w:tabs>
      <w:spacing w:before="60"/>
      <w:ind w:hanging="480"/>
    </w:pPr>
    <w:rPr>
      <w:sz w:val="18"/>
    </w:rPr>
  </w:style>
  <w:style w:type="paragraph" w:customStyle="1" w:styleId="IshadedH5SecSymb">
    <w:name w:val="I shaded H5 Sec Symb"/>
    <w:basedOn w:val="AH5Sec"/>
    <w:rsid w:val="00F1531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1531F"/>
    <w:pPr>
      <w:tabs>
        <w:tab w:val="clear" w:pos="-1580"/>
      </w:tabs>
      <w:ind w:left="975" w:hanging="1457"/>
    </w:pPr>
  </w:style>
  <w:style w:type="paragraph" w:customStyle="1" w:styleId="IH1ChapSymb">
    <w:name w:val="I H1 Chap Symb"/>
    <w:basedOn w:val="BillBasicHeading"/>
    <w:next w:val="Normal"/>
    <w:rsid w:val="00F1531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1531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1531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1531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1531F"/>
    <w:pPr>
      <w:tabs>
        <w:tab w:val="clear" w:pos="2600"/>
        <w:tab w:val="left" w:pos="-1580"/>
        <w:tab w:val="left" w:pos="0"/>
        <w:tab w:val="left" w:pos="1100"/>
      </w:tabs>
      <w:spacing w:before="240"/>
      <w:ind w:left="1100" w:hanging="1580"/>
    </w:pPr>
  </w:style>
  <w:style w:type="paragraph" w:customStyle="1" w:styleId="IMainSymb">
    <w:name w:val="I Main Symb"/>
    <w:basedOn w:val="Amain"/>
    <w:rsid w:val="00F1531F"/>
    <w:pPr>
      <w:tabs>
        <w:tab w:val="left" w:pos="0"/>
      </w:tabs>
      <w:ind w:hanging="1580"/>
    </w:pPr>
  </w:style>
  <w:style w:type="paragraph" w:customStyle="1" w:styleId="IparaSymb">
    <w:name w:val="I para Symb"/>
    <w:basedOn w:val="Apara"/>
    <w:rsid w:val="00F1531F"/>
    <w:pPr>
      <w:tabs>
        <w:tab w:val="left" w:pos="0"/>
      </w:tabs>
      <w:ind w:hanging="2080"/>
      <w:outlineLvl w:val="9"/>
    </w:pPr>
  </w:style>
  <w:style w:type="paragraph" w:customStyle="1" w:styleId="IsubparaSymb">
    <w:name w:val="I subpara Symb"/>
    <w:basedOn w:val="Asubpara"/>
    <w:rsid w:val="00F1531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1531F"/>
    <w:pPr>
      <w:tabs>
        <w:tab w:val="clear" w:pos="2400"/>
        <w:tab w:val="clear" w:pos="2600"/>
        <w:tab w:val="right" w:pos="2460"/>
        <w:tab w:val="left" w:pos="2660"/>
      </w:tabs>
      <w:ind w:left="2660" w:hanging="3140"/>
    </w:pPr>
  </w:style>
  <w:style w:type="paragraph" w:customStyle="1" w:styleId="IdefparaSymb">
    <w:name w:val="I def para Symb"/>
    <w:basedOn w:val="IparaSymb"/>
    <w:rsid w:val="00F1531F"/>
    <w:pPr>
      <w:ind w:left="1599" w:hanging="2081"/>
    </w:pPr>
  </w:style>
  <w:style w:type="paragraph" w:customStyle="1" w:styleId="IdefsubparaSymb">
    <w:name w:val="I def subpara Symb"/>
    <w:basedOn w:val="IsubparaSymb"/>
    <w:rsid w:val="00F1531F"/>
    <w:pPr>
      <w:ind w:left="2138"/>
    </w:pPr>
  </w:style>
  <w:style w:type="paragraph" w:customStyle="1" w:styleId="ISched-headingSymb">
    <w:name w:val="I Sched-heading Symb"/>
    <w:basedOn w:val="BillBasicHeading"/>
    <w:next w:val="Normal"/>
    <w:rsid w:val="00F1531F"/>
    <w:pPr>
      <w:tabs>
        <w:tab w:val="left" w:pos="-3080"/>
        <w:tab w:val="left" w:pos="0"/>
      </w:tabs>
      <w:spacing w:before="320"/>
      <w:ind w:left="2600" w:hanging="3080"/>
    </w:pPr>
    <w:rPr>
      <w:sz w:val="34"/>
    </w:rPr>
  </w:style>
  <w:style w:type="paragraph" w:customStyle="1" w:styleId="ISched-PartSymb">
    <w:name w:val="I Sched-Part Symb"/>
    <w:basedOn w:val="BillBasicHeading"/>
    <w:rsid w:val="00F1531F"/>
    <w:pPr>
      <w:tabs>
        <w:tab w:val="left" w:pos="-3080"/>
        <w:tab w:val="left" w:pos="0"/>
      </w:tabs>
      <w:spacing w:before="380"/>
      <w:ind w:left="2600" w:hanging="3080"/>
    </w:pPr>
    <w:rPr>
      <w:sz w:val="32"/>
    </w:rPr>
  </w:style>
  <w:style w:type="paragraph" w:customStyle="1" w:styleId="ISched-formSymb">
    <w:name w:val="I Sched-form Symb"/>
    <w:basedOn w:val="BillBasicHeading"/>
    <w:rsid w:val="00F1531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1531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1531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1531F"/>
    <w:pPr>
      <w:tabs>
        <w:tab w:val="left" w:pos="1100"/>
      </w:tabs>
      <w:spacing w:before="60"/>
      <w:ind w:left="1500" w:hanging="1986"/>
    </w:pPr>
  </w:style>
  <w:style w:type="paragraph" w:customStyle="1" w:styleId="aExamHdgssSymb">
    <w:name w:val="aExamHdgss Symb"/>
    <w:basedOn w:val="BillBasicHeading"/>
    <w:next w:val="Normal"/>
    <w:rsid w:val="00F1531F"/>
    <w:pPr>
      <w:tabs>
        <w:tab w:val="clear" w:pos="2600"/>
        <w:tab w:val="left" w:pos="1582"/>
      </w:tabs>
      <w:ind w:left="1100" w:hanging="1582"/>
    </w:pPr>
    <w:rPr>
      <w:sz w:val="18"/>
    </w:rPr>
  </w:style>
  <w:style w:type="paragraph" w:customStyle="1" w:styleId="aExamssSymb">
    <w:name w:val="aExamss Symb"/>
    <w:basedOn w:val="aNote"/>
    <w:rsid w:val="00F1531F"/>
    <w:pPr>
      <w:tabs>
        <w:tab w:val="left" w:pos="1582"/>
      </w:tabs>
      <w:spacing w:before="60"/>
      <w:ind w:left="1100" w:hanging="1582"/>
    </w:pPr>
  </w:style>
  <w:style w:type="paragraph" w:customStyle="1" w:styleId="aExamINumssSymb">
    <w:name w:val="aExamINumss Symb"/>
    <w:basedOn w:val="aExamssSymb"/>
    <w:rsid w:val="00F1531F"/>
    <w:pPr>
      <w:tabs>
        <w:tab w:val="left" w:pos="1100"/>
      </w:tabs>
      <w:ind w:left="1500" w:hanging="1986"/>
    </w:pPr>
  </w:style>
  <w:style w:type="paragraph" w:customStyle="1" w:styleId="aExamNumTextssSymb">
    <w:name w:val="aExamNumTextss Symb"/>
    <w:basedOn w:val="aExamssSymb"/>
    <w:rsid w:val="00F1531F"/>
    <w:pPr>
      <w:tabs>
        <w:tab w:val="clear" w:pos="1582"/>
        <w:tab w:val="left" w:pos="1985"/>
      </w:tabs>
      <w:ind w:left="1503" w:hanging="1985"/>
    </w:pPr>
  </w:style>
  <w:style w:type="paragraph" w:customStyle="1" w:styleId="AExamIParaSymb">
    <w:name w:val="AExamIPara Symb"/>
    <w:basedOn w:val="aExam"/>
    <w:rsid w:val="00F1531F"/>
    <w:pPr>
      <w:tabs>
        <w:tab w:val="right" w:pos="1718"/>
      </w:tabs>
      <w:ind w:left="1984" w:hanging="2466"/>
    </w:pPr>
  </w:style>
  <w:style w:type="paragraph" w:customStyle="1" w:styleId="aExamBulletssSymb">
    <w:name w:val="aExamBulletss Symb"/>
    <w:basedOn w:val="aExamssSymb"/>
    <w:rsid w:val="00F1531F"/>
    <w:pPr>
      <w:tabs>
        <w:tab w:val="left" w:pos="1100"/>
      </w:tabs>
      <w:ind w:left="1500" w:hanging="1986"/>
    </w:pPr>
  </w:style>
  <w:style w:type="paragraph" w:customStyle="1" w:styleId="aNoteSymb">
    <w:name w:val="aNote Symb"/>
    <w:basedOn w:val="BillBasic"/>
    <w:rsid w:val="00F1531F"/>
    <w:pPr>
      <w:tabs>
        <w:tab w:val="left" w:pos="1100"/>
        <w:tab w:val="left" w:pos="2381"/>
      </w:tabs>
      <w:ind w:left="1899" w:hanging="2381"/>
    </w:pPr>
    <w:rPr>
      <w:sz w:val="20"/>
    </w:rPr>
  </w:style>
  <w:style w:type="paragraph" w:customStyle="1" w:styleId="aNoteTextssSymb">
    <w:name w:val="aNoteTextss Symb"/>
    <w:basedOn w:val="Normal"/>
    <w:rsid w:val="00F1531F"/>
    <w:pPr>
      <w:tabs>
        <w:tab w:val="clear" w:pos="0"/>
        <w:tab w:val="left" w:pos="1418"/>
      </w:tabs>
      <w:spacing w:before="60"/>
      <w:ind w:left="1417" w:hanging="1899"/>
      <w:jc w:val="both"/>
    </w:pPr>
    <w:rPr>
      <w:sz w:val="20"/>
    </w:rPr>
  </w:style>
  <w:style w:type="paragraph" w:customStyle="1" w:styleId="aNoteParaSymb">
    <w:name w:val="aNotePara Symb"/>
    <w:basedOn w:val="aNoteSymb"/>
    <w:rsid w:val="00F1531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1531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1531F"/>
    <w:pPr>
      <w:tabs>
        <w:tab w:val="left" w:pos="1616"/>
        <w:tab w:val="left" w:pos="2495"/>
      </w:tabs>
      <w:spacing w:before="60"/>
      <w:ind w:left="2013" w:hanging="2495"/>
    </w:pPr>
  </w:style>
  <w:style w:type="paragraph" w:customStyle="1" w:styleId="aExamHdgparSymb">
    <w:name w:val="aExamHdgpar Symb"/>
    <w:basedOn w:val="aExamHdgssSymb"/>
    <w:next w:val="Normal"/>
    <w:rsid w:val="00F1531F"/>
    <w:pPr>
      <w:tabs>
        <w:tab w:val="clear" w:pos="1582"/>
        <w:tab w:val="left" w:pos="1599"/>
      </w:tabs>
      <w:ind w:left="1599" w:hanging="2081"/>
    </w:pPr>
  </w:style>
  <w:style w:type="paragraph" w:customStyle="1" w:styleId="aExamparSymb">
    <w:name w:val="aExampar Symb"/>
    <w:basedOn w:val="aExamssSymb"/>
    <w:rsid w:val="00F1531F"/>
    <w:pPr>
      <w:tabs>
        <w:tab w:val="clear" w:pos="1582"/>
        <w:tab w:val="left" w:pos="1599"/>
      </w:tabs>
      <w:ind w:left="1599" w:hanging="2081"/>
    </w:pPr>
  </w:style>
  <w:style w:type="paragraph" w:customStyle="1" w:styleId="aExamINumparSymb">
    <w:name w:val="aExamINumpar Symb"/>
    <w:basedOn w:val="aExamparSymb"/>
    <w:rsid w:val="00F1531F"/>
    <w:pPr>
      <w:tabs>
        <w:tab w:val="left" w:pos="2000"/>
      </w:tabs>
      <w:ind w:left="2041" w:hanging="2495"/>
    </w:pPr>
  </w:style>
  <w:style w:type="paragraph" w:customStyle="1" w:styleId="aExamBulletparSymb">
    <w:name w:val="aExamBulletpar Symb"/>
    <w:basedOn w:val="aExamparSymb"/>
    <w:rsid w:val="00F1531F"/>
    <w:pPr>
      <w:tabs>
        <w:tab w:val="clear" w:pos="1599"/>
        <w:tab w:val="left" w:pos="1616"/>
        <w:tab w:val="left" w:pos="2495"/>
      </w:tabs>
      <w:ind w:left="2013" w:hanging="2495"/>
    </w:pPr>
  </w:style>
  <w:style w:type="paragraph" w:customStyle="1" w:styleId="aNoteparSymb">
    <w:name w:val="aNotepar Symb"/>
    <w:basedOn w:val="BillBasic"/>
    <w:next w:val="Normal"/>
    <w:rsid w:val="00F1531F"/>
    <w:pPr>
      <w:tabs>
        <w:tab w:val="left" w:pos="1599"/>
        <w:tab w:val="left" w:pos="2398"/>
      </w:tabs>
      <w:ind w:left="2410" w:hanging="2892"/>
    </w:pPr>
    <w:rPr>
      <w:sz w:val="20"/>
    </w:rPr>
  </w:style>
  <w:style w:type="paragraph" w:customStyle="1" w:styleId="aNoteTextparSymb">
    <w:name w:val="aNoteTextpar Symb"/>
    <w:basedOn w:val="aNoteparSymb"/>
    <w:rsid w:val="00F1531F"/>
    <w:pPr>
      <w:tabs>
        <w:tab w:val="clear" w:pos="1599"/>
        <w:tab w:val="clear" w:pos="2398"/>
        <w:tab w:val="left" w:pos="2880"/>
      </w:tabs>
      <w:spacing w:before="60"/>
      <w:ind w:left="2398" w:hanging="2880"/>
    </w:pPr>
  </w:style>
  <w:style w:type="paragraph" w:customStyle="1" w:styleId="aNoteParaparSymb">
    <w:name w:val="aNoteParapar Symb"/>
    <w:basedOn w:val="aNoteparSymb"/>
    <w:rsid w:val="00F1531F"/>
    <w:pPr>
      <w:tabs>
        <w:tab w:val="right" w:pos="2640"/>
      </w:tabs>
      <w:spacing w:before="60"/>
      <w:ind w:left="2920" w:hanging="3402"/>
    </w:pPr>
  </w:style>
  <w:style w:type="paragraph" w:customStyle="1" w:styleId="aNoteBulletparSymb">
    <w:name w:val="aNoteBulletpar Symb"/>
    <w:basedOn w:val="aNoteparSymb"/>
    <w:rsid w:val="00F1531F"/>
    <w:pPr>
      <w:tabs>
        <w:tab w:val="clear" w:pos="1599"/>
        <w:tab w:val="left" w:pos="3289"/>
      </w:tabs>
      <w:spacing w:before="60"/>
      <w:ind w:left="2807" w:hanging="3289"/>
    </w:pPr>
  </w:style>
  <w:style w:type="paragraph" w:customStyle="1" w:styleId="AsubparabulletSymb">
    <w:name w:val="A subpara bullet Symb"/>
    <w:basedOn w:val="BillBasic"/>
    <w:rsid w:val="00F1531F"/>
    <w:pPr>
      <w:tabs>
        <w:tab w:val="left" w:pos="2138"/>
        <w:tab w:val="left" w:pos="3005"/>
      </w:tabs>
      <w:spacing w:before="60"/>
      <w:ind w:left="2523" w:hanging="3005"/>
    </w:pPr>
  </w:style>
  <w:style w:type="paragraph" w:customStyle="1" w:styleId="aExamHdgsubparSymb">
    <w:name w:val="aExamHdgsubpar Symb"/>
    <w:basedOn w:val="aExamHdgssSymb"/>
    <w:next w:val="Normal"/>
    <w:rsid w:val="00F1531F"/>
    <w:pPr>
      <w:tabs>
        <w:tab w:val="clear" w:pos="1582"/>
        <w:tab w:val="left" w:pos="2620"/>
      </w:tabs>
      <w:ind w:left="2138" w:hanging="2620"/>
    </w:pPr>
  </w:style>
  <w:style w:type="paragraph" w:customStyle="1" w:styleId="aExamsubparSymb">
    <w:name w:val="aExamsubpar Symb"/>
    <w:basedOn w:val="aExamssSymb"/>
    <w:rsid w:val="00F1531F"/>
    <w:pPr>
      <w:tabs>
        <w:tab w:val="clear" w:pos="1582"/>
        <w:tab w:val="left" w:pos="2620"/>
      </w:tabs>
      <w:ind w:left="2138" w:hanging="2620"/>
    </w:pPr>
  </w:style>
  <w:style w:type="paragraph" w:customStyle="1" w:styleId="aNotesubparSymb">
    <w:name w:val="aNotesubpar Symb"/>
    <w:basedOn w:val="BillBasic"/>
    <w:next w:val="Normal"/>
    <w:rsid w:val="00F1531F"/>
    <w:pPr>
      <w:tabs>
        <w:tab w:val="left" w:pos="2138"/>
        <w:tab w:val="left" w:pos="2937"/>
      </w:tabs>
      <w:ind w:left="2455" w:hanging="2937"/>
    </w:pPr>
    <w:rPr>
      <w:sz w:val="20"/>
    </w:rPr>
  </w:style>
  <w:style w:type="paragraph" w:customStyle="1" w:styleId="aNoteTextsubparSymb">
    <w:name w:val="aNoteTextsubpar Symb"/>
    <w:basedOn w:val="aNotesubparSymb"/>
    <w:rsid w:val="00F1531F"/>
    <w:pPr>
      <w:tabs>
        <w:tab w:val="clear" w:pos="2138"/>
        <w:tab w:val="clear" w:pos="2937"/>
        <w:tab w:val="left" w:pos="2943"/>
      </w:tabs>
      <w:spacing w:before="60"/>
      <w:ind w:left="2943" w:hanging="3425"/>
    </w:pPr>
  </w:style>
  <w:style w:type="paragraph" w:customStyle="1" w:styleId="PenaltySymb">
    <w:name w:val="Penalty Symb"/>
    <w:basedOn w:val="AmainreturnSymb"/>
    <w:rsid w:val="00F1531F"/>
  </w:style>
  <w:style w:type="paragraph" w:customStyle="1" w:styleId="PenaltyParaSymb">
    <w:name w:val="PenaltyPara Symb"/>
    <w:basedOn w:val="Normal"/>
    <w:rsid w:val="00F1531F"/>
    <w:pPr>
      <w:tabs>
        <w:tab w:val="right" w:pos="1360"/>
      </w:tabs>
      <w:spacing w:before="60"/>
      <w:ind w:left="1599" w:hanging="2081"/>
      <w:jc w:val="both"/>
    </w:pPr>
  </w:style>
  <w:style w:type="paragraph" w:customStyle="1" w:styleId="FormulaSymb">
    <w:name w:val="Formula Symb"/>
    <w:basedOn w:val="BillBasic"/>
    <w:rsid w:val="00F1531F"/>
    <w:pPr>
      <w:tabs>
        <w:tab w:val="left" w:pos="-480"/>
      </w:tabs>
      <w:spacing w:line="260" w:lineRule="atLeast"/>
      <w:ind w:hanging="480"/>
      <w:jc w:val="center"/>
    </w:pPr>
  </w:style>
  <w:style w:type="paragraph" w:customStyle="1" w:styleId="NormalSymb">
    <w:name w:val="Normal Symb"/>
    <w:basedOn w:val="Normal"/>
    <w:qFormat/>
    <w:rsid w:val="00F1531F"/>
    <w:pPr>
      <w:ind w:hanging="482"/>
    </w:pPr>
  </w:style>
  <w:style w:type="character" w:styleId="PlaceholderText">
    <w:name w:val="Placeholder Text"/>
    <w:basedOn w:val="DefaultParagraphFont"/>
    <w:uiPriority w:val="99"/>
    <w:semiHidden/>
    <w:rsid w:val="00F1531F"/>
    <w:rPr>
      <w:color w:val="808080"/>
    </w:rPr>
  </w:style>
  <w:style w:type="character" w:customStyle="1" w:styleId="aNoteChar">
    <w:name w:val="aNote Char"/>
    <w:basedOn w:val="DefaultParagraphFont"/>
    <w:link w:val="aNote"/>
    <w:locked/>
    <w:rsid w:val="00FD252A"/>
    <w:rPr>
      <w:lang w:eastAsia="en-US"/>
    </w:rPr>
  </w:style>
  <w:style w:type="character" w:customStyle="1" w:styleId="AmainreturnChar">
    <w:name w:val="A main return Char"/>
    <w:basedOn w:val="DefaultParagraphFont"/>
    <w:link w:val="Amainreturn"/>
    <w:locked/>
    <w:rsid w:val="00E02D37"/>
    <w:rPr>
      <w:sz w:val="24"/>
      <w:lang w:eastAsia="en-US"/>
    </w:rPr>
  </w:style>
  <w:style w:type="character" w:styleId="UnresolvedMention">
    <w:name w:val="Unresolved Mention"/>
    <w:basedOn w:val="DefaultParagraphFont"/>
    <w:uiPriority w:val="99"/>
    <w:semiHidden/>
    <w:unhideWhenUsed/>
    <w:rsid w:val="00D838C8"/>
    <w:rPr>
      <w:color w:val="605E5C"/>
      <w:shd w:val="clear" w:color="auto" w:fill="E1DFDD"/>
    </w:rPr>
  </w:style>
  <w:style w:type="character" w:customStyle="1" w:styleId="HeaderChar">
    <w:name w:val="Header Char"/>
    <w:aliases w:val="cnvHeader Char"/>
    <w:basedOn w:val="DefaultParagraphFont"/>
    <w:link w:val="Header"/>
    <w:rsid w:val="008A218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14-17" TargetMode="External"/><Relationship Id="rId21" Type="http://schemas.openxmlformats.org/officeDocument/2006/relationships/footer" Target="footer3.xml"/><Relationship Id="rId42" Type="http://schemas.openxmlformats.org/officeDocument/2006/relationships/hyperlink" Target="http://www.legislation.act.gov.au/a/2008-35" TargetMode="External"/><Relationship Id="rId63" Type="http://schemas.openxmlformats.org/officeDocument/2006/relationships/hyperlink" Target="http://www.legislation.act.gov.au/a/1999-46/default.asp" TargetMode="External"/><Relationship Id="rId84" Type="http://schemas.openxmlformats.org/officeDocument/2006/relationships/header" Target="header10.xml"/><Relationship Id="rId138" Type="http://schemas.openxmlformats.org/officeDocument/2006/relationships/hyperlink" Target="http://www.legislation.act.gov.au/sl/2014-17" TargetMode="External"/><Relationship Id="rId159" Type="http://schemas.openxmlformats.org/officeDocument/2006/relationships/hyperlink" Target="http://www.legislation.act.gov.au/a/2006-2" TargetMode="External"/><Relationship Id="rId170" Type="http://schemas.openxmlformats.org/officeDocument/2006/relationships/hyperlink" Target="http://www.legislation.act.gov.au/sl/2019-10" TargetMode="External"/><Relationship Id="rId191" Type="http://schemas.openxmlformats.org/officeDocument/2006/relationships/hyperlink" Target="http://www.legislation.act.gov.au/sl/2019-10" TargetMode="External"/><Relationship Id="rId205" Type="http://schemas.openxmlformats.org/officeDocument/2006/relationships/hyperlink" Target="http://www.legislation.act.gov.au/sl/2004-31" TargetMode="External"/><Relationship Id="rId226" Type="http://schemas.openxmlformats.org/officeDocument/2006/relationships/footer" Target="footer14.xml"/><Relationship Id="rId107" Type="http://schemas.openxmlformats.org/officeDocument/2006/relationships/hyperlink" Target="http://www.legislation.act.gov.au/sl/2004-31"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14-4" TargetMode="External"/><Relationship Id="rId53" Type="http://schemas.openxmlformats.org/officeDocument/2006/relationships/footer" Target="footer9.xm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sl/2014-17" TargetMode="External"/><Relationship Id="rId149" Type="http://schemas.openxmlformats.org/officeDocument/2006/relationships/hyperlink" Target="http://www.legislation.act.gov.au/sl/2004-31" TargetMode="External"/><Relationship Id="rId5" Type="http://schemas.openxmlformats.org/officeDocument/2006/relationships/footnotes" Target="footnotes.xml"/><Relationship Id="rId95" Type="http://schemas.openxmlformats.org/officeDocument/2006/relationships/hyperlink" Target="http://www.legislation.act.gov.au/a/2007-16" TargetMode="External"/><Relationship Id="rId160" Type="http://schemas.openxmlformats.org/officeDocument/2006/relationships/hyperlink" Target="http://www.legislation.act.gov.au/sl/2019-10" TargetMode="External"/><Relationship Id="rId181" Type="http://schemas.openxmlformats.org/officeDocument/2006/relationships/hyperlink" Target="http://www.legislation.act.gov.au/sl/2015-27" TargetMode="External"/><Relationship Id="rId216" Type="http://schemas.openxmlformats.org/officeDocument/2006/relationships/hyperlink" Target="http://www.legislation.act.gov.au/a/2007-16" TargetMode="External"/><Relationship Id="rId237" Type="http://schemas.openxmlformats.org/officeDocument/2006/relationships/theme" Target="theme/theme1.xml"/><Relationship Id="rId22" Type="http://schemas.openxmlformats.org/officeDocument/2006/relationships/header" Target="header4.xml"/><Relationship Id="rId43" Type="http://schemas.openxmlformats.org/officeDocument/2006/relationships/hyperlink" Target="http://www.legislation.act.gov.au/a/2008-35" TargetMode="External"/><Relationship Id="rId64" Type="http://schemas.openxmlformats.org/officeDocument/2006/relationships/hyperlink" Target="http://www.legislation.act.gov.au/a/1999-46/default.asp" TargetMode="External"/><Relationship Id="rId118" Type="http://schemas.openxmlformats.org/officeDocument/2006/relationships/hyperlink" Target="http://www.legislation.act.gov.au/sl/2014-17" TargetMode="External"/><Relationship Id="rId139" Type="http://schemas.openxmlformats.org/officeDocument/2006/relationships/hyperlink" Target="http://www.legislation.act.gov.au/sl/2004-31" TargetMode="External"/><Relationship Id="rId80" Type="http://schemas.openxmlformats.org/officeDocument/2006/relationships/hyperlink" Target="http://www.legislation.act.gov.au/a/1964-13" TargetMode="External"/><Relationship Id="rId85" Type="http://schemas.openxmlformats.org/officeDocument/2006/relationships/header" Target="header11.xml"/><Relationship Id="rId150" Type="http://schemas.openxmlformats.org/officeDocument/2006/relationships/hyperlink" Target="http://www.legislation.act.gov.au/sl/2014-17" TargetMode="External"/><Relationship Id="rId155" Type="http://schemas.openxmlformats.org/officeDocument/2006/relationships/hyperlink" Target="http://www.legislation.act.gov.au/sl/2014-17" TargetMode="External"/><Relationship Id="rId171" Type="http://schemas.openxmlformats.org/officeDocument/2006/relationships/hyperlink" Target="http://www.legislation.act.gov.au/sl/2004-31" TargetMode="External"/><Relationship Id="rId176" Type="http://schemas.openxmlformats.org/officeDocument/2006/relationships/hyperlink" Target="http://www.legislation.act.gov.au/sl/2014-17" TargetMode="External"/><Relationship Id="rId192" Type="http://schemas.openxmlformats.org/officeDocument/2006/relationships/hyperlink" Target="http://www.legislation.act.gov.au/sl/2019-10" TargetMode="External"/><Relationship Id="rId197" Type="http://schemas.openxmlformats.org/officeDocument/2006/relationships/hyperlink" Target="http://www.legislation.act.gov.au/sl/2019-10" TargetMode="External"/><Relationship Id="rId206" Type="http://schemas.openxmlformats.org/officeDocument/2006/relationships/hyperlink" Target="http://www.legislation.act.gov.au/a/2007-16" TargetMode="External"/><Relationship Id="rId227" Type="http://schemas.openxmlformats.org/officeDocument/2006/relationships/footer" Target="footer15.xml"/><Relationship Id="rId201" Type="http://schemas.openxmlformats.org/officeDocument/2006/relationships/hyperlink" Target="http://www.legislation.act.gov.au/a/2006-2" TargetMode="External"/><Relationship Id="rId222" Type="http://schemas.openxmlformats.org/officeDocument/2006/relationships/hyperlink" Target="https://www.legislation.act.gov.au/sl/2019-10/"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1964-13" TargetMode="External"/><Relationship Id="rId38" Type="http://schemas.openxmlformats.org/officeDocument/2006/relationships/hyperlink" Target="http://www.legislation.act.gov.au/a/2001-49" TargetMode="External"/><Relationship Id="rId59" Type="http://schemas.openxmlformats.org/officeDocument/2006/relationships/hyperlink" Target="http://www.legislation.act.gov.au/a/1964-15" TargetMode="External"/><Relationship Id="rId103" Type="http://schemas.openxmlformats.org/officeDocument/2006/relationships/hyperlink" Target="http://www.legislation.act.gov.au/a/2015-21/default.asp" TargetMode="External"/><Relationship Id="rId108" Type="http://schemas.openxmlformats.org/officeDocument/2006/relationships/hyperlink" Target="http://www.legislation.act.gov.au/a/2007-16" TargetMode="External"/><Relationship Id="rId124" Type="http://schemas.openxmlformats.org/officeDocument/2006/relationships/hyperlink" Target="http://www.legislation.act.gov.au/sl/2004-31" TargetMode="External"/><Relationship Id="rId129" Type="http://schemas.openxmlformats.org/officeDocument/2006/relationships/hyperlink" Target="http://www.legislation.act.gov.au/sl/2014-17" TargetMode="External"/><Relationship Id="rId54" Type="http://schemas.openxmlformats.org/officeDocument/2006/relationships/hyperlink" Target="http://www.legislation.act.gov.au/a/2006-2" TargetMode="External"/><Relationship Id="rId70" Type="http://schemas.openxmlformats.org/officeDocument/2006/relationships/header" Target="header8.xml"/><Relationship Id="rId75" Type="http://schemas.openxmlformats.org/officeDocument/2006/relationships/hyperlink" Target="http://www.legislation.act.gov.au/a/2001-14" TargetMode="External"/><Relationship Id="rId91" Type="http://schemas.openxmlformats.org/officeDocument/2006/relationships/hyperlink" Target="http://www.legislation.act.gov.au/sl/2004-31" TargetMode="External"/><Relationship Id="rId96" Type="http://schemas.openxmlformats.org/officeDocument/2006/relationships/hyperlink" Target="http://www.legislation.act.gov.au/a/2008-37" TargetMode="External"/><Relationship Id="rId140" Type="http://schemas.openxmlformats.org/officeDocument/2006/relationships/hyperlink" Target="http://www.legislation.act.gov.au/a/2014-4" TargetMode="External"/><Relationship Id="rId145" Type="http://schemas.openxmlformats.org/officeDocument/2006/relationships/hyperlink" Target="http://www.legislation.act.gov.au/sl/2014-17" TargetMode="External"/><Relationship Id="rId161" Type="http://schemas.openxmlformats.org/officeDocument/2006/relationships/hyperlink" Target="http://www.legislation.act.gov.au/sl/2019-10" TargetMode="External"/><Relationship Id="rId166" Type="http://schemas.openxmlformats.org/officeDocument/2006/relationships/hyperlink" Target="http://www.legislation.act.gov.au/sl/2019-10" TargetMode="External"/><Relationship Id="rId182" Type="http://schemas.openxmlformats.org/officeDocument/2006/relationships/hyperlink" Target="http://www.legislation.act.gov.au/sl/2004-31" TargetMode="External"/><Relationship Id="rId187" Type="http://schemas.openxmlformats.org/officeDocument/2006/relationships/hyperlink" Target="http://www.legislation.act.gov.au/sl/2014-17" TargetMode="External"/><Relationship Id="rId217" Type="http://schemas.openxmlformats.org/officeDocument/2006/relationships/hyperlink" Target="http://www.legislation.act.gov.au/a/2008-37"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legislation.act.gov.au/sl/2014-17" TargetMode="External"/><Relationship Id="rId233" Type="http://schemas.openxmlformats.org/officeDocument/2006/relationships/footer" Target="footer18.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eader" Target="header6.xml"/><Relationship Id="rId114" Type="http://schemas.openxmlformats.org/officeDocument/2006/relationships/hyperlink" Target="http://www.legislation.act.gov.au/sl/2004-31" TargetMode="External"/><Relationship Id="rId119" Type="http://schemas.openxmlformats.org/officeDocument/2006/relationships/hyperlink" Target="http://www.legislation.act.gov.au/sl/2004-31" TargetMode="External"/><Relationship Id="rId44" Type="http://schemas.openxmlformats.org/officeDocument/2006/relationships/hyperlink" Target="http://www.legislation.act.gov.au/a/1998-24" TargetMode="External"/><Relationship Id="rId60" Type="http://schemas.openxmlformats.org/officeDocument/2006/relationships/hyperlink" Target="http://www.legislation.act.gov.au/a/2014-4" TargetMode="External"/><Relationship Id="rId65" Type="http://schemas.openxmlformats.org/officeDocument/2006/relationships/hyperlink" Target="http://www.legislation.act.gov.au/a/1999-46/default.asp" TargetMode="External"/><Relationship Id="rId81" Type="http://schemas.openxmlformats.org/officeDocument/2006/relationships/hyperlink" Target="http://www.legislation.act.gov.au/a/2004-34" TargetMode="External"/><Relationship Id="rId86" Type="http://schemas.openxmlformats.org/officeDocument/2006/relationships/footer" Target="footer12.xml"/><Relationship Id="rId130" Type="http://schemas.openxmlformats.org/officeDocument/2006/relationships/hyperlink" Target="http://www.legislation.act.gov.au/sl/2014-17" TargetMode="External"/><Relationship Id="rId135" Type="http://schemas.openxmlformats.org/officeDocument/2006/relationships/hyperlink" Target="http://www.legislation.act.gov.au/a/2006-2" TargetMode="External"/><Relationship Id="rId151" Type="http://schemas.openxmlformats.org/officeDocument/2006/relationships/hyperlink" Target="http://www.legislation.act.gov.au/sl/2014-17" TargetMode="External"/><Relationship Id="rId156" Type="http://schemas.openxmlformats.org/officeDocument/2006/relationships/hyperlink" Target="http://www.legislation.act.gov.au/sl/2014-17" TargetMode="External"/><Relationship Id="rId177" Type="http://schemas.openxmlformats.org/officeDocument/2006/relationships/hyperlink" Target="http://www.legislation.act.gov.au/sl/2014-17" TargetMode="External"/><Relationship Id="rId198" Type="http://schemas.openxmlformats.org/officeDocument/2006/relationships/hyperlink" Target="http://www.legislation.act.gov.au/sl/2004-31" TargetMode="External"/><Relationship Id="rId172" Type="http://schemas.openxmlformats.org/officeDocument/2006/relationships/hyperlink" Target="http://www.legislation.act.gov.au/a/2006-2" TargetMode="External"/><Relationship Id="rId193" Type="http://schemas.openxmlformats.org/officeDocument/2006/relationships/hyperlink" Target="http://www.legislation.act.gov.au/sl/2014-17" TargetMode="External"/><Relationship Id="rId202" Type="http://schemas.openxmlformats.org/officeDocument/2006/relationships/hyperlink" Target="http://www.legislation.act.gov.au/sl/2014-17" TargetMode="External"/><Relationship Id="rId207" Type="http://schemas.openxmlformats.org/officeDocument/2006/relationships/hyperlink" Target="http://www.legislation.act.gov.au/sl/2014-17" TargetMode="External"/><Relationship Id="rId223" Type="http://schemas.openxmlformats.org/officeDocument/2006/relationships/hyperlink" Target="http://www.legislation.act.gov.au/a/2001-14" TargetMode="External"/><Relationship Id="rId228" Type="http://schemas.openxmlformats.org/officeDocument/2006/relationships/header" Target="header14.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99-46/default.asp" TargetMode="External"/><Relationship Id="rId109" Type="http://schemas.openxmlformats.org/officeDocument/2006/relationships/hyperlink" Target="http://www.legislation.act.gov.au/sl/2004-31" TargetMode="External"/><Relationship Id="rId34" Type="http://schemas.openxmlformats.org/officeDocument/2006/relationships/hyperlink" Target="http://www.legislation.act.gov.au/a/1964-15" TargetMode="External"/><Relationship Id="rId50" Type="http://schemas.openxmlformats.org/officeDocument/2006/relationships/header" Target="header7.xml"/><Relationship Id="rId55" Type="http://schemas.openxmlformats.org/officeDocument/2006/relationships/hyperlink" Target="http://www.legislation.act.gov.au/a/1998-24" TargetMode="External"/><Relationship Id="rId76" Type="http://schemas.openxmlformats.org/officeDocument/2006/relationships/hyperlink" Target="http://www.legislation.act.gov.au/a/1999-46" TargetMode="External"/><Relationship Id="rId97" Type="http://schemas.openxmlformats.org/officeDocument/2006/relationships/hyperlink" Target="http://www.legislation.act.gov.au/a/2008-35" TargetMode="External"/><Relationship Id="rId104" Type="http://schemas.openxmlformats.org/officeDocument/2006/relationships/hyperlink" Target="http://www.legislation.act.gov.au/cn/2015-18/default.asp" TargetMode="External"/><Relationship Id="rId120" Type="http://schemas.openxmlformats.org/officeDocument/2006/relationships/hyperlink" Target="http://www.legislation.act.gov.au/sl/2004-31" TargetMode="External"/><Relationship Id="rId125" Type="http://schemas.openxmlformats.org/officeDocument/2006/relationships/hyperlink" Target="http://www.legislation.act.gov.au/sl/2014-17" TargetMode="External"/><Relationship Id="rId141" Type="http://schemas.openxmlformats.org/officeDocument/2006/relationships/hyperlink" Target="http://www.legislation.act.gov.au/sl/2014-17" TargetMode="External"/><Relationship Id="rId146" Type="http://schemas.openxmlformats.org/officeDocument/2006/relationships/hyperlink" Target="http://www.legislation.act.gov.au/sl/2014-17" TargetMode="External"/><Relationship Id="rId167" Type="http://schemas.openxmlformats.org/officeDocument/2006/relationships/hyperlink" Target="http://www.legislation.act.gov.au/sl/2019-10" TargetMode="External"/><Relationship Id="rId188" Type="http://schemas.openxmlformats.org/officeDocument/2006/relationships/hyperlink" Target="http://www.legislation.act.gov.au/sl/2019-10" TargetMode="External"/><Relationship Id="rId7" Type="http://schemas.openxmlformats.org/officeDocument/2006/relationships/image" Target="media/image1.png"/><Relationship Id="rId71" Type="http://schemas.openxmlformats.org/officeDocument/2006/relationships/header" Target="header9.xml"/><Relationship Id="rId92" Type="http://schemas.openxmlformats.org/officeDocument/2006/relationships/hyperlink" Target="http://www.legislation.act.gov.au/cn/2004-15/default.asp" TargetMode="External"/><Relationship Id="rId162" Type="http://schemas.openxmlformats.org/officeDocument/2006/relationships/hyperlink" Target="http://www.legislation.act.gov.au/sl/2019-10" TargetMode="External"/><Relationship Id="rId183" Type="http://schemas.openxmlformats.org/officeDocument/2006/relationships/hyperlink" Target="http://www.legislation.act.gov.au/sl/2004-31" TargetMode="External"/><Relationship Id="rId213" Type="http://schemas.openxmlformats.org/officeDocument/2006/relationships/hyperlink" Target="http://www.legislation.act.gov.au/sl/2004-31" TargetMode="External"/><Relationship Id="rId218" Type="http://schemas.openxmlformats.org/officeDocument/2006/relationships/hyperlink" Target="http://www.legislation.act.gov.au/a/2014-4" TargetMode="External"/><Relationship Id="rId234" Type="http://schemas.openxmlformats.org/officeDocument/2006/relationships/header" Target="header17.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1998-24" TargetMode="External"/><Relationship Id="rId66" Type="http://schemas.openxmlformats.org/officeDocument/2006/relationships/hyperlink" Target="http://www.legislation.act.gov.au/a/2001-14" TargetMode="External"/><Relationship Id="rId87" Type="http://schemas.openxmlformats.org/officeDocument/2006/relationships/footer" Target="footer13.xml"/><Relationship Id="rId110" Type="http://schemas.openxmlformats.org/officeDocument/2006/relationships/hyperlink" Target="http://www.legislation.act.gov.au/a/2014-4" TargetMode="External"/><Relationship Id="rId115" Type="http://schemas.openxmlformats.org/officeDocument/2006/relationships/hyperlink" Target="http://www.legislation.act.gov.au/sl/2004-31" TargetMode="External"/><Relationship Id="rId131" Type="http://schemas.openxmlformats.org/officeDocument/2006/relationships/hyperlink" Target="http://www.legislation.act.gov.au/sl/2014-17" TargetMode="External"/><Relationship Id="rId136" Type="http://schemas.openxmlformats.org/officeDocument/2006/relationships/hyperlink" Target="http://www.legislation.act.gov.au/a/2014-4" TargetMode="External"/><Relationship Id="rId157" Type="http://schemas.openxmlformats.org/officeDocument/2006/relationships/hyperlink" Target="http://www.legislation.act.gov.au/a/2006-2" TargetMode="External"/><Relationship Id="rId178" Type="http://schemas.openxmlformats.org/officeDocument/2006/relationships/hyperlink" Target="http://www.legislation.act.gov.au/sl/2004-31" TargetMode="External"/><Relationship Id="rId61" Type="http://schemas.openxmlformats.org/officeDocument/2006/relationships/hyperlink" Target="http://www.legislation.act.gov.au/a/1998-24" TargetMode="External"/><Relationship Id="rId82" Type="http://schemas.openxmlformats.org/officeDocument/2006/relationships/hyperlink" Target="http://www.legislation.act.gov.au/a/2001-49" TargetMode="External"/><Relationship Id="rId152" Type="http://schemas.openxmlformats.org/officeDocument/2006/relationships/hyperlink" Target="http://www.legislation.act.gov.au/sl/2014-17" TargetMode="External"/><Relationship Id="rId173" Type="http://schemas.openxmlformats.org/officeDocument/2006/relationships/hyperlink" Target="http://www.legislation.act.gov.au/sl/2014-17" TargetMode="External"/><Relationship Id="rId194" Type="http://schemas.openxmlformats.org/officeDocument/2006/relationships/hyperlink" Target="http://www.legislation.act.gov.au/sl/2019-10" TargetMode="External"/><Relationship Id="rId199" Type="http://schemas.openxmlformats.org/officeDocument/2006/relationships/hyperlink" Target="http://www.legislation.act.gov.au/a/2008-37" TargetMode="External"/><Relationship Id="rId203" Type="http://schemas.openxmlformats.org/officeDocument/2006/relationships/hyperlink" Target="http://www.legislation.act.gov.au/sl/2014-17" TargetMode="External"/><Relationship Id="rId208" Type="http://schemas.openxmlformats.org/officeDocument/2006/relationships/hyperlink" Target="http://www.legislation.act.gov.au/sl/2004-31" TargetMode="External"/><Relationship Id="rId229" Type="http://schemas.openxmlformats.org/officeDocument/2006/relationships/header" Target="header15.xml"/><Relationship Id="rId19" Type="http://schemas.openxmlformats.org/officeDocument/2006/relationships/footer" Target="footer2.xml"/><Relationship Id="rId224" Type="http://schemas.openxmlformats.org/officeDocument/2006/relationships/header" Target="header1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1998-24" TargetMode="External"/><Relationship Id="rId35" Type="http://schemas.openxmlformats.org/officeDocument/2006/relationships/hyperlink" Target="http://www.legislation.act.gov.au/a/1964-13" TargetMode="External"/><Relationship Id="rId56" Type="http://schemas.openxmlformats.org/officeDocument/2006/relationships/hyperlink" Target="http://www.legislation.act.gov.au/a/2001-49"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sl/2014-17" TargetMode="External"/><Relationship Id="rId105" Type="http://schemas.openxmlformats.org/officeDocument/2006/relationships/hyperlink" Target="http://www.legislation.act.gov.au/a/2015-41" TargetMode="External"/><Relationship Id="rId126" Type="http://schemas.openxmlformats.org/officeDocument/2006/relationships/hyperlink" Target="http://www.legislation.act.gov.au/a/2008-37" TargetMode="External"/><Relationship Id="rId147" Type="http://schemas.openxmlformats.org/officeDocument/2006/relationships/hyperlink" Target="http://www.legislation.act.gov.au/sl/2014-17" TargetMode="External"/><Relationship Id="rId168" Type="http://schemas.openxmlformats.org/officeDocument/2006/relationships/hyperlink" Target="http://www.legislation.act.gov.au/sl/2019-10" TargetMode="External"/><Relationship Id="rId8" Type="http://schemas.openxmlformats.org/officeDocument/2006/relationships/hyperlink" Target="http://www.legislation.act.gov.au/a/2001-14" TargetMode="External"/><Relationship Id="rId51" Type="http://schemas.openxmlformats.org/officeDocument/2006/relationships/footer" Target="footer7.xml"/><Relationship Id="rId72" Type="http://schemas.openxmlformats.org/officeDocument/2006/relationships/footer" Target="footer10.xml"/><Relationship Id="rId93" Type="http://schemas.openxmlformats.org/officeDocument/2006/relationships/hyperlink" Target="http://www.legislation.act.gov.au/a/2006-2" TargetMode="External"/><Relationship Id="rId98" Type="http://schemas.openxmlformats.org/officeDocument/2006/relationships/hyperlink" Target="http://www.legislation.act.gov.au/cn/2009-2/default.asp" TargetMode="External"/><Relationship Id="rId121" Type="http://schemas.openxmlformats.org/officeDocument/2006/relationships/hyperlink" Target="http://www.legislation.act.gov.au/sl/2014-17" TargetMode="External"/><Relationship Id="rId142" Type="http://schemas.openxmlformats.org/officeDocument/2006/relationships/hyperlink" Target="http://www.legislation.act.gov.au/sl/2014-17" TargetMode="External"/><Relationship Id="rId163" Type="http://schemas.openxmlformats.org/officeDocument/2006/relationships/hyperlink" Target="http://www.legislation.act.gov.au/sl/2019-10" TargetMode="External"/><Relationship Id="rId184" Type="http://schemas.openxmlformats.org/officeDocument/2006/relationships/hyperlink" Target="http://www.legislation.act.gov.au/a/2006-2" TargetMode="External"/><Relationship Id="rId189" Type="http://schemas.openxmlformats.org/officeDocument/2006/relationships/hyperlink" Target="http://www.legislation.act.gov.au/sl/2014-17" TargetMode="External"/><Relationship Id="rId219" Type="http://schemas.openxmlformats.org/officeDocument/2006/relationships/hyperlink" Target="http://www.legislation.act.gov.au/sl/2014-17/default.asp" TargetMode="External"/><Relationship Id="rId3" Type="http://schemas.openxmlformats.org/officeDocument/2006/relationships/settings" Target="settings.xml"/><Relationship Id="rId214" Type="http://schemas.openxmlformats.org/officeDocument/2006/relationships/hyperlink" Target="http://www.legislation.act.gov.au/sl/2004-31" TargetMode="External"/><Relationship Id="rId230" Type="http://schemas.openxmlformats.org/officeDocument/2006/relationships/footer" Target="footer16.xml"/><Relationship Id="rId235" Type="http://schemas.openxmlformats.org/officeDocument/2006/relationships/footer" Target="footer19.xml"/><Relationship Id="rId25" Type="http://schemas.openxmlformats.org/officeDocument/2006/relationships/footer" Target="footer5.xml"/><Relationship Id="rId46" Type="http://schemas.openxmlformats.org/officeDocument/2006/relationships/hyperlink" Target="http://www.legislation.act.gov.au/a/2008-35" TargetMode="External"/><Relationship Id="rId67" Type="http://schemas.openxmlformats.org/officeDocument/2006/relationships/hyperlink" Target="http://www.legislation.act.gov.au/a/2006-2" TargetMode="External"/><Relationship Id="rId116" Type="http://schemas.openxmlformats.org/officeDocument/2006/relationships/hyperlink" Target="http://www.legislation.act.gov.au/sl/2014-17" TargetMode="External"/><Relationship Id="rId137" Type="http://schemas.openxmlformats.org/officeDocument/2006/relationships/hyperlink" Target="http://www.legislation.act.gov.au/a/2015-41" TargetMode="External"/><Relationship Id="rId158" Type="http://schemas.openxmlformats.org/officeDocument/2006/relationships/hyperlink" Target="http://www.legislation.act.gov.au/sl/2004-31"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98-24" TargetMode="External"/><Relationship Id="rId83" Type="http://schemas.openxmlformats.org/officeDocument/2006/relationships/hyperlink" Target="http://www.legislation.act.gov.au/a/2014-4/default.asp"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15-41" TargetMode="External"/><Relationship Id="rId132" Type="http://schemas.openxmlformats.org/officeDocument/2006/relationships/hyperlink" Target="http://www.legislation.act.gov.au/sl/2014-17" TargetMode="External"/><Relationship Id="rId153" Type="http://schemas.openxmlformats.org/officeDocument/2006/relationships/hyperlink" Target="http://www.legislation.act.gov.au/sl/2004-31" TargetMode="External"/><Relationship Id="rId174" Type="http://schemas.openxmlformats.org/officeDocument/2006/relationships/hyperlink" Target="http://www.legislation.act.gov.au/sl/2004-31" TargetMode="External"/><Relationship Id="rId179" Type="http://schemas.openxmlformats.org/officeDocument/2006/relationships/hyperlink" Target="http://www.legislation.act.gov.au/sl/2014-17" TargetMode="External"/><Relationship Id="rId195" Type="http://schemas.openxmlformats.org/officeDocument/2006/relationships/hyperlink" Target="http://www.legislation.act.gov.au/sl/2019-10" TargetMode="External"/><Relationship Id="rId209" Type="http://schemas.openxmlformats.org/officeDocument/2006/relationships/hyperlink" Target="http://www.legislation.act.gov.au/sl/2014-17" TargetMode="External"/><Relationship Id="rId190" Type="http://schemas.openxmlformats.org/officeDocument/2006/relationships/hyperlink" Target="http://www.legislation.act.gov.au/sl/2019-10" TargetMode="External"/><Relationship Id="rId204" Type="http://schemas.openxmlformats.org/officeDocument/2006/relationships/hyperlink" Target="http://www.legislation.act.gov.au/sl/2014-17" TargetMode="External"/><Relationship Id="rId220" Type="http://schemas.openxmlformats.org/officeDocument/2006/relationships/hyperlink" Target="http://www.legislation.act.gov.au/sl/2015-27/default.asp" TargetMode="External"/><Relationship Id="rId225" Type="http://schemas.openxmlformats.org/officeDocument/2006/relationships/header" Target="header13.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64-13" TargetMode="External"/><Relationship Id="rId57" Type="http://schemas.openxmlformats.org/officeDocument/2006/relationships/hyperlink" Target="http://www.legislation.act.gov.au/a/2014-4" TargetMode="External"/><Relationship Id="rId106" Type="http://schemas.openxmlformats.org/officeDocument/2006/relationships/hyperlink" Target="http://www.legislation.act.gov.au/sl/2019-10" TargetMode="External"/><Relationship Id="rId127" Type="http://schemas.openxmlformats.org/officeDocument/2006/relationships/hyperlink" Target="http://www.legislation.act.gov.au/a/2008-3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49" TargetMode="External"/><Relationship Id="rId52" Type="http://schemas.openxmlformats.org/officeDocument/2006/relationships/footer" Target="footer8.xml"/><Relationship Id="rId73" Type="http://schemas.openxmlformats.org/officeDocument/2006/relationships/footer" Target="footer11.xml"/><Relationship Id="rId78" Type="http://schemas.openxmlformats.org/officeDocument/2006/relationships/hyperlink" Target="http://www.legislation.act.gov.au/a/1999-46" TargetMode="External"/><Relationship Id="rId94" Type="http://schemas.openxmlformats.org/officeDocument/2006/relationships/hyperlink" Target="http://www.legislation.act.gov.au/cn/2006-6/default.asp" TargetMode="External"/><Relationship Id="rId99" Type="http://schemas.openxmlformats.org/officeDocument/2006/relationships/hyperlink" Target="http://www.legislation.act.gov.au/a/2014-4" TargetMode="External"/><Relationship Id="rId101" Type="http://schemas.openxmlformats.org/officeDocument/2006/relationships/hyperlink" Target="http://www.legislation.act.gov.au/cn/2014-11/default.asp" TargetMode="External"/><Relationship Id="rId122" Type="http://schemas.openxmlformats.org/officeDocument/2006/relationships/hyperlink" Target="http://www.legislation.act.gov.au/sl/2014-17" TargetMode="External"/><Relationship Id="rId143" Type="http://schemas.openxmlformats.org/officeDocument/2006/relationships/hyperlink" Target="http://www.legislation.act.gov.au/sl/2014-17" TargetMode="External"/><Relationship Id="rId148" Type="http://schemas.openxmlformats.org/officeDocument/2006/relationships/hyperlink" Target="http://www.legislation.act.gov.au/a/2006-2" TargetMode="External"/><Relationship Id="rId164" Type="http://schemas.openxmlformats.org/officeDocument/2006/relationships/hyperlink" Target="http://www.legislation.act.gov.au/sl/2019-10" TargetMode="External"/><Relationship Id="rId169" Type="http://schemas.openxmlformats.org/officeDocument/2006/relationships/hyperlink" Target="http://www.legislation.act.gov.au/sl/2019-10" TargetMode="External"/><Relationship Id="rId185" Type="http://schemas.openxmlformats.org/officeDocument/2006/relationships/hyperlink" Target="http://www.legislation.act.gov.au/sl/2014-17"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sl/2014-17" TargetMode="External"/><Relationship Id="rId210" Type="http://schemas.openxmlformats.org/officeDocument/2006/relationships/hyperlink" Target="http://www.legislation.act.gov.au/sl/2014-17" TargetMode="External"/><Relationship Id="rId215" Type="http://schemas.openxmlformats.org/officeDocument/2006/relationships/hyperlink" Target="http://www.legislation.act.gov.au/a/2006-2" TargetMode="External"/><Relationship Id="rId236" Type="http://schemas.openxmlformats.org/officeDocument/2006/relationships/fontTable" Target="fontTable.xml"/><Relationship Id="rId26" Type="http://schemas.openxmlformats.org/officeDocument/2006/relationships/footer" Target="footer6.xml"/><Relationship Id="rId231" Type="http://schemas.openxmlformats.org/officeDocument/2006/relationships/footer" Target="footer17.xml"/><Relationship Id="rId47" Type="http://schemas.openxmlformats.org/officeDocument/2006/relationships/hyperlink" Target="http://www.legislation.act.gov.au/a/2008-35" TargetMode="External"/><Relationship Id="rId68" Type="http://schemas.openxmlformats.org/officeDocument/2006/relationships/hyperlink" Target="http://www.legislation.act.gov.au/a/2006-2" TargetMode="External"/><Relationship Id="rId89" Type="http://schemas.openxmlformats.org/officeDocument/2006/relationships/hyperlink" Target="http://www.legislation.act.gov.au/sl/2002-28" TargetMode="External"/><Relationship Id="rId112" Type="http://schemas.openxmlformats.org/officeDocument/2006/relationships/hyperlink" Target="http://www.legislation.act.gov.au/a/2014-4" TargetMode="External"/><Relationship Id="rId133" Type="http://schemas.openxmlformats.org/officeDocument/2006/relationships/hyperlink" Target="http://www.legislation.act.gov.au/sl/2014-17" TargetMode="External"/><Relationship Id="rId154" Type="http://schemas.openxmlformats.org/officeDocument/2006/relationships/hyperlink" Target="http://www.legislation.act.gov.au/a/2008-37" TargetMode="External"/><Relationship Id="rId175" Type="http://schemas.openxmlformats.org/officeDocument/2006/relationships/hyperlink" Target="http://www.legislation.act.gov.au/a/2014-4" TargetMode="External"/><Relationship Id="rId196" Type="http://schemas.openxmlformats.org/officeDocument/2006/relationships/hyperlink" Target="http://www.legislation.act.gov.au/sl/2019-10" TargetMode="External"/><Relationship Id="rId200" Type="http://schemas.openxmlformats.org/officeDocument/2006/relationships/hyperlink" Target="http://www.legislation.act.gov.au/sl/2014-17" TargetMode="External"/><Relationship Id="rId16" Type="http://schemas.openxmlformats.org/officeDocument/2006/relationships/header" Target="header1.xml"/><Relationship Id="rId221" Type="http://schemas.openxmlformats.org/officeDocument/2006/relationships/hyperlink" Target="http://www.legislation.act.gov.au/a/2015-41" TargetMode="External"/><Relationship Id="rId37" Type="http://schemas.openxmlformats.org/officeDocument/2006/relationships/hyperlink" Target="http://www.legislation.act.gov.au/a/1998-24" TargetMode="External"/><Relationship Id="rId58" Type="http://schemas.openxmlformats.org/officeDocument/2006/relationships/hyperlink" Target="http://www.legislation.act.gov.au/a/1964-13" TargetMode="External"/><Relationship Id="rId79" Type="http://schemas.openxmlformats.org/officeDocument/2006/relationships/hyperlink" Target="http://www.legislation.act.gov.au/a/2006-2" TargetMode="External"/><Relationship Id="rId102" Type="http://schemas.openxmlformats.org/officeDocument/2006/relationships/hyperlink" Target="http://www.legislation.act.gov.au/sl/2015-27" TargetMode="External"/><Relationship Id="rId123" Type="http://schemas.openxmlformats.org/officeDocument/2006/relationships/hyperlink" Target="http://www.legislation.act.gov.au/a/2006-2" TargetMode="External"/><Relationship Id="rId144" Type="http://schemas.openxmlformats.org/officeDocument/2006/relationships/hyperlink" Target="http://www.legislation.act.gov.au/sl/2004-31"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sl/2019-10" TargetMode="External"/><Relationship Id="rId186" Type="http://schemas.openxmlformats.org/officeDocument/2006/relationships/hyperlink" Target="http://www.legislation.act.gov.au/sl/2019-10" TargetMode="External"/><Relationship Id="rId211" Type="http://schemas.openxmlformats.org/officeDocument/2006/relationships/hyperlink" Target="http://www.legislation.act.gov.au/sl/2014-17" TargetMode="External"/><Relationship Id="rId232" Type="http://schemas.openxmlformats.org/officeDocument/2006/relationships/header" Target="header16.xml"/><Relationship Id="rId27" Type="http://schemas.openxmlformats.org/officeDocument/2006/relationships/hyperlink" Target="http://www.legislation.act.gov.au/a/1964-13" TargetMode="External"/><Relationship Id="rId48" Type="http://schemas.openxmlformats.org/officeDocument/2006/relationships/hyperlink" Target="http://www.legislation.act.gov.au/a/2008-35"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sl/2014-17" TargetMode="External"/><Relationship Id="rId134" Type="http://schemas.openxmlformats.org/officeDocument/2006/relationships/hyperlink" Target="http://www.legislation.act.gov.au/sl/200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13382</Words>
  <Characters>65591</Characters>
  <Application>Microsoft Office Word</Application>
  <DocSecurity>0</DocSecurity>
  <Lines>1818</Lines>
  <Paragraphs>1169</Paragraphs>
  <ScaleCrop>false</ScaleCrop>
  <HeadingPairs>
    <vt:vector size="2" baseType="variant">
      <vt:variant>
        <vt:lpstr>Title</vt:lpstr>
      </vt:variant>
      <vt:variant>
        <vt:i4>1</vt:i4>
      </vt:variant>
    </vt:vector>
  </HeadingPairs>
  <TitlesOfParts>
    <vt:vector size="1" baseType="lpstr">
      <vt:lpstr>Gambling and Racing Control (Code of Practice) Regulation 2002</vt:lpstr>
    </vt:vector>
  </TitlesOfParts>
  <Manager>regulation</Manager>
  <Company>Section</Company>
  <LinksUpToDate>false</LinksUpToDate>
  <CharactersWithSpaces>78411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and Racing Control (Code of Practice) Regulation 2002</dc:title>
  <dc:subject/>
  <dc:creator>rowena cornwell</dc:creator>
  <cp:keywords>R13</cp:keywords>
  <dc:description/>
  <cp:lastModifiedBy>PCODCS</cp:lastModifiedBy>
  <cp:revision>4</cp:revision>
  <cp:lastPrinted>2019-05-23T06:28:00Z</cp:lastPrinted>
  <dcterms:created xsi:type="dcterms:W3CDTF">2022-11-13T21:32:00Z</dcterms:created>
  <dcterms:modified xsi:type="dcterms:W3CDTF">2022-11-13T21:32:00Z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27/05/21</vt:lpwstr>
  </property>
  <property fmtid="{D5CDD505-2E9C-101B-9397-08002B2CF9AE}" pid="5" name="Eff">
    <vt:lpwstr>Effective:  </vt:lpwstr>
  </property>
  <property fmtid="{D5CDD505-2E9C-101B-9397-08002B2CF9AE}" pid="6" name="StartDt">
    <vt:lpwstr>27/05/21</vt:lpwstr>
  </property>
  <property fmtid="{D5CDD505-2E9C-101B-9397-08002B2CF9AE}" pid="7" name="EndDt">
    <vt:lpwstr>-13/11/22</vt:lpwstr>
  </property>
  <property fmtid="{D5CDD505-2E9C-101B-9397-08002B2CF9AE}" pid="8" name="DMSID">
    <vt:lpwstr>8464901</vt:lpwstr>
  </property>
  <property fmtid="{D5CDD505-2E9C-101B-9397-08002B2CF9AE}" pid="9" name="CHECKEDOUTFROMJMS">
    <vt:lpwstr/>
  </property>
  <property fmtid="{D5CDD505-2E9C-101B-9397-08002B2CF9AE}" pid="10" name="JMSREQUIREDCHECKIN">
    <vt:lpwstr/>
  </property>
</Properties>
</file>