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6A7B0" w14:textId="77777777" w:rsidR="00D838C8" w:rsidRDefault="00D838C8" w:rsidP="00991BFF">
      <w:pPr>
        <w:jc w:val="center"/>
      </w:pPr>
      <w:bookmarkStart w:id="0" w:name="_Hlk9583484"/>
      <w:r>
        <w:rPr>
          <w:noProof/>
          <w:lang w:eastAsia="en-AU"/>
        </w:rPr>
        <w:drawing>
          <wp:inline distT="0" distB="0" distL="0" distR="0" wp14:anchorId="4E616697" wp14:editId="09A97D62">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67C0A18" w14:textId="77777777" w:rsidR="00D838C8" w:rsidRDefault="00D838C8" w:rsidP="00991BFF">
      <w:pPr>
        <w:jc w:val="center"/>
        <w:rPr>
          <w:rFonts w:ascii="Arial" w:hAnsi="Arial"/>
        </w:rPr>
      </w:pPr>
      <w:r>
        <w:rPr>
          <w:rFonts w:ascii="Arial" w:hAnsi="Arial"/>
        </w:rPr>
        <w:t>Australian Capital Territory</w:t>
      </w:r>
    </w:p>
    <w:p w14:paraId="2F9BF790" w14:textId="535784BB" w:rsidR="00D838C8" w:rsidRDefault="00904E62" w:rsidP="00991BFF">
      <w:pPr>
        <w:pStyle w:val="Billname1"/>
      </w:pPr>
      <w:r>
        <w:fldChar w:fldCharType="begin"/>
      </w:r>
      <w:r>
        <w:instrText xml:space="preserve"> REF Citation \*charformat </w:instrText>
      </w:r>
      <w:r>
        <w:fldChar w:fldCharType="separate"/>
      </w:r>
      <w:r w:rsidR="00821D06">
        <w:t>Gambling and Racing Control (Code of Practice) Regulation 2002</w:t>
      </w:r>
      <w:r>
        <w:fldChar w:fldCharType="end"/>
      </w:r>
      <w:r w:rsidR="00D838C8">
        <w:t xml:space="preserve">    </w:t>
      </w:r>
    </w:p>
    <w:p w14:paraId="0D7515AC" w14:textId="202F63A8" w:rsidR="00D838C8" w:rsidRDefault="00DA06D4" w:rsidP="00991BFF">
      <w:pPr>
        <w:pStyle w:val="ActNo"/>
      </w:pPr>
      <w:bookmarkStart w:id="1" w:name="LawNo"/>
      <w:r>
        <w:t>SL2002-28</w:t>
      </w:r>
      <w:bookmarkEnd w:id="1"/>
    </w:p>
    <w:p w14:paraId="5FCD3077" w14:textId="77777777" w:rsidR="00D838C8" w:rsidRDefault="00D838C8" w:rsidP="00991BFF">
      <w:pPr>
        <w:pStyle w:val="CoverInForce"/>
      </w:pPr>
      <w:r>
        <w:t>made under the</w:t>
      </w:r>
    </w:p>
    <w:p w14:paraId="5DC91BEC" w14:textId="6F54CFD0" w:rsidR="00D838C8" w:rsidRDefault="00904E62" w:rsidP="00991BFF">
      <w:pPr>
        <w:pStyle w:val="CoverActName"/>
      </w:pPr>
      <w:r>
        <w:fldChar w:fldCharType="begin"/>
      </w:r>
      <w:r>
        <w:instrText xml:space="preserve"> REF ActName \*charformat </w:instrText>
      </w:r>
      <w:r>
        <w:fldChar w:fldCharType="separate"/>
      </w:r>
      <w:r w:rsidR="00821D06" w:rsidRPr="00821D06">
        <w:t>Gambling and Racing Control Act 1999</w:t>
      </w:r>
      <w:r>
        <w:fldChar w:fldCharType="end"/>
      </w:r>
    </w:p>
    <w:p w14:paraId="07410CA5" w14:textId="31A3569F" w:rsidR="00D838C8" w:rsidRDefault="00D838C8" w:rsidP="00991BFF">
      <w:pPr>
        <w:pStyle w:val="RepubNo"/>
      </w:pPr>
      <w:r>
        <w:t xml:space="preserve">Republication No </w:t>
      </w:r>
      <w:bookmarkStart w:id="2" w:name="RepubNo"/>
      <w:r w:rsidR="00DA06D4">
        <w:t>16</w:t>
      </w:r>
      <w:bookmarkEnd w:id="2"/>
    </w:p>
    <w:p w14:paraId="658EDC99" w14:textId="6E13BCC6" w:rsidR="00D838C8" w:rsidRDefault="00D838C8" w:rsidP="00991BFF">
      <w:pPr>
        <w:pStyle w:val="EffectiveDate"/>
      </w:pPr>
      <w:r>
        <w:t xml:space="preserve">Effective:  </w:t>
      </w:r>
      <w:bookmarkStart w:id="3" w:name="EffectiveDate"/>
      <w:r w:rsidR="00DA06D4">
        <w:t>7 January 2024</w:t>
      </w:r>
      <w:bookmarkEnd w:id="3"/>
      <w:r w:rsidR="00DA06D4">
        <w:t xml:space="preserve"> – </w:t>
      </w:r>
      <w:bookmarkStart w:id="4" w:name="EndEffDate"/>
      <w:r w:rsidR="00DA06D4">
        <w:t>15 December 2025</w:t>
      </w:r>
      <w:bookmarkEnd w:id="4"/>
    </w:p>
    <w:p w14:paraId="34B1BE70" w14:textId="39DAF4F2" w:rsidR="00D838C8" w:rsidRDefault="00D838C8" w:rsidP="00991BFF">
      <w:pPr>
        <w:pStyle w:val="CoverInForce"/>
      </w:pPr>
      <w:r>
        <w:t xml:space="preserve">Republication date: </w:t>
      </w:r>
      <w:bookmarkStart w:id="5" w:name="InForceDate"/>
      <w:r w:rsidR="00DA06D4">
        <w:t>7 January 2024</w:t>
      </w:r>
      <w:bookmarkEnd w:id="5"/>
    </w:p>
    <w:p w14:paraId="32D3F699" w14:textId="74ED75D5" w:rsidR="00D838C8" w:rsidRDefault="00D838C8" w:rsidP="0051286C">
      <w:pPr>
        <w:pStyle w:val="CoverInForce"/>
      </w:pPr>
      <w:r>
        <w:t xml:space="preserve">Last amendment made by </w:t>
      </w:r>
      <w:bookmarkStart w:id="6" w:name="LastAmdt"/>
      <w:r w:rsidRPr="00D838C8">
        <w:rPr>
          <w:rStyle w:val="charCitHyperlinkAbbrev"/>
        </w:rPr>
        <w:fldChar w:fldCharType="begin"/>
      </w:r>
      <w:r w:rsidR="00DA06D4">
        <w:rPr>
          <w:rStyle w:val="charCitHyperlinkAbbrev"/>
        </w:rPr>
        <w:instrText>HYPERLINK "http://www.legislation.act.gov.au/a/2023-28/" \o "Gaming Machine (Club Refuge) Amendment Act 2023"</w:instrText>
      </w:r>
      <w:r w:rsidRPr="00D838C8">
        <w:rPr>
          <w:rStyle w:val="charCitHyperlinkAbbrev"/>
        </w:rPr>
      </w:r>
      <w:r w:rsidRPr="00D838C8">
        <w:rPr>
          <w:rStyle w:val="charCitHyperlinkAbbrev"/>
        </w:rPr>
        <w:fldChar w:fldCharType="separate"/>
      </w:r>
      <w:r w:rsidR="00DA06D4">
        <w:rPr>
          <w:rStyle w:val="charCitHyperlinkAbbrev"/>
        </w:rPr>
        <w:t>A2023</w:t>
      </w:r>
      <w:r w:rsidR="00DA06D4">
        <w:rPr>
          <w:rStyle w:val="charCitHyperlinkAbbrev"/>
        </w:rPr>
        <w:noBreakHyphen/>
        <w:t>28</w:t>
      </w:r>
      <w:r w:rsidRPr="00D838C8">
        <w:rPr>
          <w:rStyle w:val="charCitHyperlinkAbbrev"/>
        </w:rPr>
        <w:fldChar w:fldCharType="end"/>
      </w:r>
      <w:bookmarkEnd w:id="6"/>
    </w:p>
    <w:p w14:paraId="17C2CB3D" w14:textId="77777777" w:rsidR="00D838C8" w:rsidRDefault="00D838C8" w:rsidP="00991BFF"/>
    <w:p w14:paraId="26FBA480" w14:textId="77777777" w:rsidR="00D838C8" w:rsidRDefault="00D838C8" w:rsidP="00991BFF">
      <w:pPr>
        <w:spacing w:after="240"/>
        <w:rPr>
          <w:rFonts w:ascii="Arial" w:hAnsi="Arial"/>
        </w:rPr>
      </w:pPr>
    </w:p>
    <w:p w14:paraId="1EE284F7" w14:textId="77777777" w:rsidR="00D838C8" w:rsidRPr="00797332" w:rsidRDefault="00D838C8" w:rsidP="00991BFF">
      <w:pPr>
        <w:pStyle w:val="PageBreak"/>
      </w:pPr>
      <w:r w:rsidRPr="00797332">
        <w:br w:type="page"/>
      </w:r>
    </w:p>
    <w:bookmarkEnd w:id="0"/>
    <w:p w14:paraId="7313AFA0" w14:textId="77777777" w:rsidR="00D838C8" w:rsidRDefault="00D838C8" w:rsidP="00991BFF">
      <w:pPr>
        <w:pStyle w:val="CoverHeading"/>
      </w:pPr>
      <w:r>
        <w:lastRenderedPageBreak/>
        <w:t>About this republication</w:t>
      </w:r>
    </w:p>
    <w:p w14:paraId="55457A4B" w14:textId="77777777" w:rsidR="00D838C8" w:rsidRDefault="00D838C8" w:rsidP="00991BFF">
      <w:pPr>
        <w:pStyle w:val="CoverSubHdg"/>
      </w:pPr>
      <w:r>
        <w:t>The republished law</w:t>
      </w:r>
    </w:p>
    <w:p w14:paraId="6571821C" w14:textId="33314A33" w:rsidR="00D838C8" w:rsidRDefault="00D838C8" w:rsidP="00991BFF">
      <w:pPr>
        <w:pStyle w:val="CoverText"/>
      </w:pPr>
      <w:r>
        <w:t xml:space="preserve">This is a republication of the </w:t>
      </w:r>
      <w:r w:rsidRPr="00DA06D4">
        <w:rPr>
          <w:i/>
        </w:rPr>
        <w:fldChar w:fldCharType="begin"/>
      </w:r>
      <w:r w:rsidRPr="00DA06D4">
        <w:rPr>
          <w:i/>
        </w:rPr>
        <w:instrText xml:space="preserve"> REF citation *\charformat  \* MERGEFORMAT </w:instrText>
      </w:r>
      <w:r w:rsidRPr="00DA06D4">
        <w:rPr>
          <w:i/>
        </w:rPr>
        <w:fldChar w:fldCharType="separate"/>
      </w:r>
      <w:r w:rsidR="00821D06" w:rsidRPr="00821D06">
        <w:rPr>
          <w:i/>
        </w:rPr>
        <w:t>Gambling and Racing Control (Code of Practice) Regulation 2002</w:t>
      </w:r>
      <w:r w:rsidRPr="00DA06D4">
        <w:rPr>
          <w:i/>
        </w:rPr>
        <w:fldChar w:fldCharType="end"/>
      </w:r>
      <w:r>
        <w:rPr>
          <w:iCs/>
        </w:rPr>
        <w:t>,</w:t>
      </w:r>
      <w:r>
        <w:t xml:space="preserve"> made under the </w:t>
      </w:r>
      <w:r w:rsidRPr="00DA06D4">
        <w:rPr>
          <w:i/>
        </w:rPr>
        <w:fldChar w:fldCharType="begin"/>
      </w:r>
      <w:r w:rsidRPr="00DA06D4">
        <w:rPr>
          <w:i/>
        </w:rPr>
        <w:instrText xml:space="preserve"> REF ActName \*charformat  \* MERGEFORMAT </w:instrText>
      </w:r>
      <w:r w:rsidRPr="00DA06D4">
        <w:rPr>
          <w:i/>
        </w:rPr>
        <w:fldChar w:fldCharType="separate"/>
      </w:r>
      <w:r w:rsidR="00821D06" w:rsidRPr="00821D06">
        <w:rPr>
          <w:i/>
        </w:rPr>
        <w:t>Gambling and Racing Control Act 1999</w:t>
      </w:r>
      <w:r w:rsidRPr="00DA06D4">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904E62">
        <w:fldChar w:fldCharType="begin"/>
      </w:r>
      <w:r w:rsidR="00904E62">
        <w:instrText xml:space="preserve"> REF InForceDate *\charformat </w:instrText>
      </w:r>
      <w:r w:rsidR="00904E62">
        <w:fldChar w:fldCharType="separate"/>
      </w:r>
      <w:r w:rsidR="00821D06">
        <w:t>7 January 2024</w:t>
      </w:r>
      <w:r w:rsidR="00904E62">
        <w:fldChar w:fldCharType="end"/>
      </w:r>
      <w:r w:rsidRPr="003D214E">
        <w:rPr>
          <w:rStyle w:val="charItals"/>
        </w:rPr>
        <w:t xml:space="preserve">.  </w:t>
      </w:r>
      <w:r>
        <w:t xml:space="preserve">It also includes any commencement, amendment, repeal or expiry affecting this republished law to </w:t>
      </w:r>
      <w:r w:rsidR="00904E62">
        <w:fldChar w:fldCharType="begin"/>
      </w:r>
      <w:r w:rsidR="00904E62">
        <w:instrText xml:space="preserve"> REF EffectiveDate *\charformat </w:instrText>
      </w:r>
      <w:r w:rsidR="00904E62">
        <w:fldChar w:fldCharType="separate"/>
      </w:r>
      <w:r w:rsidR="00821D06">
        <w:t>7 January 2024</w:t>
      </w:r>
      <w:r w:rsidR="00904E62">
        <w:fldChar w:fldCharType="end"/>
      </w:r>
      <w:r>
        <w:t xml:space="preserve">.  </w:t>
      </w:r>
    </w:p>
    <w:p w14:paraId="4E995778" w14:textId="77777777" w:rsidR="00D838C8" w:rsidRDefault="00D838C8" w:rsidP="00991BFF">
      <w:pPr>
        <w:pStyle w:val="CoverText"/>
      </w:pPr>
      <w:r>
        <w:t xml:space="preserve">The legislation history and amendment history of the republished law are set out in endnotes 3 and 4. </w:t>
      </w:r>
    </w:p>
    <w:p w14:paraId="6BBD74A0" w14:textId="77777777" w:rsidR="00D838C8" w:rsidRDefault="00D838C8" w:rsidP="00991BFF">
      <w:pPr>
        <w:pStyle w:val="CoverSubHdg"/>
      </w:pPr>
      <w:r>
        <w:t>Kinds of republications</w:t>
      </w:r>
    </w:p>
    <w:p w14:paraId="5E301CC1" w14:textId="4F090373" w:rsidR="00D838C8" w:rsidRDefault="00D838C8" w:rsidP="00991BFF">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76CBF10D" w14:textId="605D6558" w:rsidR="00D838C8" w:rsidRDefault="00D838C8" w:rsidP="00991BFF">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08EB70DE" w14:textId="77777777" w:rsidR="00D838C8" w:rsidRDefault="00D838C8" w:rsidP="00991BFF">
      <w:pPr>
        <w:pStyle w:val="CoverTextBullet"/>
      </w:pPr>
      <w:r>
        <w:t>unauthorised republications.</w:t>
      </w:r>
    </w:p>
    <w:p w14:paraId="4B55B2EA" w14:textId="77777777" w:rsidR="00D838C8" w:rsidRDefault="00D838C8" w:rsidP="00991BFF">
      <w:pPr>
        <w:pStyle w:val="CoverText"/>
      </w:pPr>
      <w:r>
        <w:t>The status of this republication appears on the bottom of each page.</w:t>
      </w:r>
    </w:p>
    <w:p w14:paraId="31BD92AD" w14:textId="77777777" w:rsidR="00D838C8" w:rsidRDefault="00D838C8" w:rsidP="00991BFF">
      <w:pPr>
        <w:pStyle w:val="CoverSubHdg"/>
      </w:pPr>
      <w:r>
        <w:t>Editorial changes</w:t>
      </w:r>
    </w:p>
    <w:p w14:paraId="50B0BE41" w14:textId="7BE7338F" w:rsidR="00D838C8" w:rsidRDefault="00D838C8" w:rsidP="00991BFF">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77FA16D" w14:textId="6DF5D52D" w:rsidR="00D838C8" w:rsidRDefault="00D838C8" w:rsidP="00991BFF">
      <w:pPr>
        <w:pStyle w:val="CoverText"/>
      </w:pPr>
      <w:r>
        <w:t>This republication</w:t>
      </w:r>
      <w:r w:rsidR="002F4768">
        <w:t xml:space="preserve"> does not</w:t>
      </w:r>
      <w:r w:rsidR="001D15C1">
        <w:t xml:space="preserve"> </w:t>
      </w:r>
      <w:r>
        <w:t>include amendments made under part 11.3 (see endnote 1).</w:t>
      </w:r>
    </w:p>
    <w:p w14:paraId="666095F5" w14:textId="77777777" w:rsidR="00D838C8" w:rsidRDefault="00D838C8" w:rsidP="00991BFF">
      <w:pPr>
        <w:pStyle w:val="CoverSubHdg"/>
      </w:pPr>
      <w:r>
        <w:t>Uncommenced provisions and amendments</w:t>
      </w:r>
    </w:p>
    <w:p w14:paraId="2265BD29" w14:textId="15901387" w:rsidR="00D838C8" w:rsidRDefault="00D838C8" w:rsidP="00991BFF">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3416899D" w14:textId="77777777" w:rsidR="00D838C8" w:rsidRDefault="00D838C8" w:rsidP="00991BFF">
      <w:pPr>
        <w:pStyle w:val="CoverSubHdg"/>
      </w:pPr>
      <w:r>
        <w:t>Modifications</w:t>
      </w:r>
    </w:p>
    <w:p w14:paraId="5FAA1CF5" w14:textId="52016774" w:rsidR="00D838C8" w:rsidRDefault="00D838C8" w:rsidP="00991BFF">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1C25C370" w14:textId="77777777" w:rsidR="00D838C8" w:rsidRDefault="00D838C8" w:rsidP="00991BFF">
      <w:pPr>
        <w:pStyle w:val="CoverSubHdg"/>
      </w:pPr>
      <w:r>
        <w:t>Penalties</w:t>
      </w:r>
    </w:p>
    <w:p w14:paraId="6FC770C2" w14:textId="3925A50F" w:rsidR="00D838C8" w:rsidRPr="003765DF" w:rsidRDefault="00D838C8" w:rsidP="00991BFF">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5E46C05C" w14:textId="77777777" w:rsidR="007659AE" w:rsidRDefault="007659AE">
      <w:pPr>
        <w:pStyle w:val="00SigningPage"/>
        <w:sectPr w:rsidR="007659AE">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46B63DBD" w14:textId="77777777" w:rsidR="00D838C8" w:rsidRDefault="00D838C8" w:rsidP="00991BFF">
      <w:pPr>
        <w:jc w:val="center"/>
      </w:pPr>
      <w:r>
        <w:rPr>
          <w:noProof/>
          <w:lang w:eastAsia="en-AU"/>
        </w:rPr>
        <w:lastRenderedPageBreak/>
        <w:drawing>
          <wp:inline distT="0" distB="0" distL="0" distR="0" wp14:anchorId="463BD9DD" wp14:editId="0121D525">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86B4B62" w14:textId="77777777" w:rsidR="00D838C8" w:rsidRDefault="00D838C8" w:rsidP="00991BFF">
      <w:pPr>
        <w:jc w:val="center"/>
        <w:rPr>
          <w:rFonts w:ascii="Arial" w:hAnsi="Arial"/>
        </w:rPr>
      </w:pPr>
      <w:r>
        <w:rPr>
          <w:rFonts w:ascii="Arial" w:hAnsi="Arial"/>
        </w:rPr>
        <w:t>Australian Capital Territory</w:t>
      </w:r>
    </w:p>
    <w:p w14:paraId="2737D2A2" w14:textId="72D18FD9" w:rsidR="00D838C8" w:rsidRDefault="00904E62" w:rsidP="00991BFF">
      <w:pPr>
        <w:pStyle w:val="Billname"/>
      </w:pPr>
      <w:r>
        <w:fldChar w:fldCharType="begin"/>
      </w:r>
      <w:r>
        <w:instrText xml:space="preserve"> REF Citation \*charformat  \* MERGEFORMAT </w:instrText>
      </w:r>
      <w:r>
        <w:fldChar w:fldCharType="separate"/>
      </w:r>
      <w:r w:rsidR="00821D06">
        <w:t>Gambling and Racing Control (Code of Practice) Regulation 2002</w:t>
      </w:r>
      <w:r>
        <w:fldChar w:fldCharType="end"/>
      </w:r>
    </w:p>
    <w:p w14:paraId="23985723" w14:textId="77777777" w:rsidR="00D838C8" w:rsidRDefault="00D838C8" w:rsidP="00991BFF">
      <w:pPr>
        <w:pStyle w:val="CoverInForce"/>
      </w:pPr>
      <w:r>
        <w:t>made under the</w:t>
      </w:r>
    </w:p>
    <w:p w14:paraId="26539BBB" w14:textId="5CF41946" w:rsidR="00D838C8" w:rsidRDefault="00904E62" w:rsidP="00991BFF">
      <w:pPr>
        <w:pStyle w:val="CoverActName"/>
      </w:pPr>
      <w:r>
        <w:fldChar w:fldCharType="begin"/>
      </w:r>
      <w:r>
        <w:instrText xml:space="preserve"> REF ActName \*charformat </w:instrText>
      </w:r>
      <w:r>
        <w:fldChar w:fldCharType="separate"/>
      </w:r>
      <w:r w:rsidR="00821D06" w:rsidRPr="00821D06">
        <w:t>Gambling and Racing Control Act 1999</w:t>
      </w:r>
      <w:r>
        <w:fldChar w:fldCharType="end"/>
      </w:r>
    </w:p>
    <w:p w14:paraId="708A0961" w14:textId="77777777" w:rsidR="00D838C8" w:rsidRDefault="00D838C8" w:rsidP="00991BFF">
      <w:pPr>
        <w:pStyle w:val="Placeholder"/>
      </w:pPr>
      <w:r>
        <w:rPr>
          <w:rStyle w:val="charContents"/>
          <w:sz w:val="16"/>
        </w:rPr>
        <w:t xml:space="preserve">  </w:t>
      </w:r>
      <w:r>
        <w:rPr>
          <w:rStyle w:val="charPage"/>
        </w:rPr>
        <w:t xml:space="preserve">  </w:t>
      </w:r>
    </w:p>
    <w:p w14:paraId="7A96D422" w14:textId="77777777" w:rsidR="00D838C8" w:rsidRDefault="00D838C8" w:rsidP="00991BFF">
      <w:pPr>
        <w:pStyle w:val="N-TOCheading"/>
      </w:pPr>
      <w:r>
        <w:rPr>
          <w:rStyle w:val="charContents"/>
        </w:rPr>
        <w:t>Contents</w:t>
      </w:r>
    </w:p>
    <w:p w14:paraId="07550CF9" w14:textId="77777777" w:rsidR="00D838C8" w:rsidRDefault="00D838C8" w:rsidP="00991BFF">
      <w:pPr>
        <w:pStyle w:val="N-9pt"/>
      </w:pPr>
      <w:r>
        <w:tab/>
      </w:r>
      <w:r>
        <w:rPr>
          <w:rStyle w:val="charPage"/>
        </w:rPr>
        <w:t>Page</w:t>
      </w:r>
    </w:p>
    <w:p w14:paraId="130C772D" w14:textId="6B9ABF2E" w:rsidR="004D57A4" w:rsidRDefault="004D57A4">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5080664" w:history="1">
        <w:r w:rsidRPr="0049025D">
          <w:t>Part 1</w:t>
        </w:r>
        <w:r>
          <w:rPr>
            <w:rFonts w:asciiTheme="minorHAnsi" w:eastAsiaTheme="minorEastAsia" w:hAnsiTheme="minorHAnsi" w:cstheme="minorBidi"/>
            <w:b w:val="0"/>
            <w:kern w:val="2"/>
            <w:sz w:val="22"/>
            <w:szCs w:val="22"/>
            <w:lang w:eastAsia="en-AU"/>
            <w14:ligatures w14:val="standardContextual"/>
          </w:rPr>
          <w:tab/>
        </w:r>
        <w:r w:rsidRPr="0049025D">
          <w:t>Preliminary</w:t>
        </w:r>
        <w:r w:rsidRPr="004D57A4">
          <w:rPr>
            <w:vanish/>
          </w:rPr>
          <w:tab/>
        </w:r>
        <w:r w:rsidRPr="004D57A4">
          <w:rPr>
            <w:vanish/>
          </w:rPr>
          <w:fldChar w:fldCharType="begin"/>
        </w:r>
        <w:r w:rsidRPr="004D57A4">
          <w:rPr>
            <w:vanish/>
          </w:rPr>
          <w:instrText xml:space="preserve"> PAGEREF _Toc155080664 \h </w:instrText>
        </w:r>
        <w:r w:rsidRPr="004D57A4">
          <w:rPr>
            <w:vanish/>
          </w:rPr>
        </w:r>
        <w:r w:rsidRPr="004D57A4">
          <w:rPr>
            <w:vanish/>
          </w:rPr>
          <w:fldChar w:fldCharType="separate"/>
        </w:r>
        <w:r w:rsidR="00821D06">
          <w:rPr>
            <w:vanish/>
          </w:rPr>
          <w:t>2</w:t>
        </w:r>
        <w:r w:rsidRPr="004D57A4">
          <w:rPr>
            <w:vanish/>
          </w:rPr>
          <w:fldChar w:fldCharType="end"/>
        </w:r>
      </w:hyperlink>
    </w:p>
    <w:p w14:paraId="6044BF08" w14:textId="20E197E6"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65" w:history="1">
        <w:r w:rsidRPr="0049025D">
          <w:t>1</w:t>
        </w:r>
        <w:r>
          <w:rPr>
            <w:rFonts w:asciiTheme="minorHAnsi" w:eastAsiaTheme="minorEastAsia" w:hAnsiTheme="minorHAnsi" w:cstheme="minorBidi"/>
            <w:kern w:val="2"/>
            <w:sz w:val="22"/>
            <w:szCs w:val="22"/>
            <w:lang w:eastAsia="en-AU"/>
            <w14:ligatures w14:val="standardContextual"/>
          </w:rPr>
          <w:tab/>
        </w:r>
        <w:r w:rsidRPr="0049025D">
          <w:t>Name of regulation</w:t>
        </w:r>
        <w:r>
          <w:tab/>
        </w:r>
        <w:r>
          <w:fldChar w:fldCharType="begin"/>
        </w:r>
        <w:r>
          <w:instrText xml:space="preserve"> PAGEREF _Toc155080665 \h </w:instrText>
        </w:r>
        <w:r>
          <w:fldChar w:fldCharType="separate"/>
        </w:r>
        <w:r w:rsidR="00821D06">
          <w:t>2</w:t>
        </w:r>
        <w:r>
          <w:fldChar w:fldCharType="end"/>
        </w:r>
      </w:hyperlink>
    </w:p>
    <w:p w14:paraId="48616CE6" w14:textId="04E7B328"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66" w:history="1">
        <w:r w:rsidRPr="0049025D">
          <w:t>3</w:t>
        </w:r>
        <w:r>
          <w:rPr>
            <w:rFonts w:asciiTheme="minorHAnsi" w:eastAsiaTheme="minorEastAsia" w:hAnsiTheme="minorHAnsi" w:cstheme="minorBidi"/>
            <w:kern w:val="2"/>
            <w:sz w:val="22"/>
            <w:szCs w:val="22"/>
            <w:lang w:eastAsia="en-AU"/>
            <w14:ligatures w14:val="standardContextual"/>
          </w:rPr>
          <w:tab/>
        </w:r>
        <w:r w:rsidRPr="0049025D">
          <w:t>Dictionary</w:t>
        </w:r>
        <w:r>
          <w:tab/>
        </w:r>
        <w:r>
          <w:fldChar w:fldCharType="begin"/>
        </w:r>
        <w:r>
          <w:instrText xml:space="preserve"> PAGEREF _Toc155080666 \h </w:instrText>
        </w:r>
        <w:r>
          <w:fldChar w:fldCharType="separate"/>
        </w:r>
        <w:r w:rsidR="00821D06">
          <w:t>2</w:t>
        </w:r>
        <w:r>
          <w:fldChar w:fldCharType="end"/>
        </w:r>
      </w:hyperlink>
    </w:p>
    <w:p w14:paraId="5C9B88F9" w14:textId="2CACBB08"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67" w:history="1">
        <w:r w:rsidRPr="0049025D">
          <w:t>4</w:t>
        </w:r>
        <w:r>
          <w:rPr>
            <w:rFonts w:asciiTheme="minorHAnsi" w:eastAsiaTheme="minorEastAsia" w:hAnsiTheme="minorHAnsi" w:cstheme="minorBidi"/>
            <w:kern w:val="2"/>
            <w:sz w:val="22"/>
            <w:szCs w:val="22"/>
            <w:lang w:eastAsia="en-AU"/>
            <w14:ligatures w14:val="standardContextual"/>
          </w:rPr>
          <w:tab/>
        </w:r>
        <w:r w:rsidRPr="0049025D">
          <w:t>Notes</w:t>
        </w:r>
        <w:r>
          <w:tab/>
        </w:r>
        <w:r>
          <w:fldChar w:fldCharType="begin"/>
        </w:r>
        <w:r>
          <w:instrText xml:space="preserve"> PAGEREF _Toc155080667 \h </w:instrText>
        </w:r>
        <w:r>
          <w:fldChar w:fldCharType="separate"/>
        </w:r>
        <w:r w:rsidR="00821D06">
          <w:t>2</w:t>
        </w:r>
        <w:r>
          <w:fldChar w:fldCharType="end"/>
        </w:r>
      </w:hyperlink>
    </w:p>
    <w:p w14:paraId="55E294FE" w14:textId="1FD9ECAE"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68" w:history="1">
        <w:r w:rsidRPr="0049025D">
          <w:t>5</w:t>
        </w:r>
        <w:r>
          <w:rPr>
            <w:rFonts w:asciiTheme="minorHAnsi" w:eastAsiaTheme="minorEastAsia" w:hAnsiTheme="minorHAnsi" w:cstheme="minorBidi"/>
            <w:kern w:val="2"/>
            <w:sz w:val="22"/>
            <w:szCs w:val="22"/>
            <w:lang w:eastAsia="en-AU"/>
            <w14:ligatures w14:val="standardContextual"/>
          </w:rPr>
          <w:tab/>
        </w:r>
        <w:r w:rsidRPr="0049025D">
          <w:t xml:space="preserve">Meaning of </w:t>
        </w:r>
        <w:r w:rsidRPr="0049025D">
          <w:rPr>
            <w:i/>
          </w:rPr>
          <w:t>licensee</w:t>
        </w:r>
        <w:r>
          <w:tab/>
        </w:r>
        <w:r>
          <w:fldChar w:fldCharType="begin"/>
        </w:r>
        <w:r>
          <w:instrText xml:space="preserve"> PAGEREF _Toc155080668 \h </w:instrText>
        </w:r>
        <w:r>
          <w:fldChar w:fldCharType="separate"/>
        </w:r>
        <w:r w:rsidR="00821D06">
          <w:t>2</w:t>
        </w:r>
        <w:r>
          <w:fldChar w:fldCharType="end"/>
        </w:r>
      </w:hyperlink>
    </w:p>
    <w:p w14:paraId="707ABA9F" w14:textId="3342283F" w:rsidR="004D57A4" w:rsidRDefault="004D57A4">
      <w:pPr>
        <w:pStyle w:val="TOC2"/>
        <w:rPr>
          <w:rFonts w:asciiTheme="minorHAnsi" w:eastAsiaTheme="minorEastAsia" w:hAnsiTheme="minorHAnsi" w:cstheme="minorBidi"/>
          <w:b w:val="0"/>
          <w:kern w:val="2"/>
          <w:sz w:val="22"/>
          <w:szCs w:val="22"/>
          <w:lang w:eastAsia="en-AU"/>
          <w14:ligatures w14:val="standardContextual"/>
        </w:rPr>
      </w:pPr>
      <w:hyperlink w:anchor="_Toc155080669" w:history="1">
        <w:r w:rsidRPr="0049025D">
          <w:t>Part 2</w:t>
        </w:r>
        <w:r>
          <w:rPr>
            <w:rFonts w:asciiTheme="minorHAnsi" w:eastAsiaTheme="minorEastAsia" w:hAnsiTheme="minorHAnsi" w:cstheme="minorBidi"/>
            <w:b w:val="0"/>
            <w:kern w:val="2"/>
            <w:sz w:val="22"/>
            <w:szCs w:val="22"/>
            <w:lang w:eastAsia="en-AU"/>
            <w14:ligatures w14:val="standardContextual"/>
          </w:rPr>
          <w:tab/>
        </w:r>
        <w:r w:rsidRPr="0049025D">
          <w:t>Code of practice</w:t>
        </w:r>
        <w:r w:rsidRPr="004D57A4">
          <w:rPr>
            <w:vanish/>
          </w:rPr>
          <w:tab/>
        </w:r>
        <w:r w:rsidRPr="004D57A4">
          <w:rPr>
            <w:vanish/>
          </w:rPr>
          <w:fldChar w:fldCharType="begin"/>
        </w:r>
        <w:r w:rsidRPr="004D57A4">
          <w:rPr>
            <w:vanish/>
          </w:rPr>
          <w:instrText xml:space="preserve"> PAGEREF _Toc155080669 \h </w:instrText>
        </w:r>
        <w:r w:rsidRPr="004D57A4">
          <w:rPr>
            <w:vanish/>
          </w:rPr>
        </w:r>
        <w:r w:rsidRPr="004D57A4">
          <w:rPr>
            <w:vanish/>
          </w:rPr>
          <w:fldChar w:fldCharType="separate"/>
        </w:r>
        <w:r w:rsidR="00821D06">
          <w:rPr>
            <w:vanish/>
          </w:rPr>
          <w:t>5</w:t>
        </w:r>
        <w:r w:rsidRPr="004D57A4">
          <w:rPr>
            <w:vanish/>
          </w:rPr>
          <w:fldChar w:fldCharType="end"/>
        </w:r>
      </w:hyperlink>
    </w:p>
    <w:p w14:paraId="2F566A9C" w14:textId="30D66E50" w:rsidR="004D57A4" w:rsidRDefault="004D57A4">
      <w:pPr>
        <w:pStyle w:val="TOC3"/>
        <w:rPr>
          <w:rFonts w:asciiTheme="minorHAnsi" w:eastAsiaTheme="minorEastAsia" w:hAnsiTheme="minorHAnsi" w:cstheme="minorBidi"/>
          <w:b w:val="0"/>
          <w:kern w:val="2"/>
          <w:sz w:val="22"/>
          <w:szCs w:val="22"/>
          <w:lang w:eastAsia="en-AU"/>
          <w14:ligatures w14:val="standardContextual"/>
        </w:rPr>
      </w:pPr>
      <w:hyperlink w:anchor="_Toc155080670" w:history="1">
        <w:r w:rsidRPr="0049025D">
          <w:t>Division 2.1</w:t>
        </w:r>
        <w:r>
          <w:rPr>
            <w:rFonts w:asciiTheme="minorHAnsi" w:eastAsiaTheme="minorEastAsia" w:hAnsiTheme="minorHAnsi" w:cstheme="minorBidi"/>
            <w:b w:val="0"/>
            <w:kern w:val="2"/>
            <w:sz w:val="22"/>
            <w:szCs w:val="22"/>
            <w:lang w:eastAsia="en-AU"/>
            <w14:ligatures w14:val="standardContextual"/>
          </w:rPr>
          <w:tab/>
        </w:r>
        <w:r w:rsidRPr="0049025D">
          <w:t>General</w:t>
        </w:r>
        <w:r w:rsidRPr="004D57A4">
          <w:rPr>
            <w:vanish/>
          </w:rPr>
          <w:tab/>
        </w:r>
        <w:r w:rsidRPr="004D57A4">
          <w:rPr>
            <w:vanish/>
          </w:rPr>
          <w:fldChar w:fldCharType="begin"/>
        </w:r>
        <w:r w:rsidRPr="004D57A4">
          <w:rPr>
            <w:vanish/>
          </w:rPr>
          <w:instrText xml:space="preserve"> PAGEREF _Toc155080670 \h </w:instrText>
        </w:r>
        <w:r w:rsidRPr="004D57A4">
          <w:rPr>
            <w:vanish/>
          </w:rPr>
        </w:r>
        <w:r w:rsidRPr="004D57A4">
          <w:rPr>
            <w:vanish/>
          </w:rPr>
          <w:fldChar w:fldCharType="separate"/>
        </w:r>
        <w:r w:rsidR="00821D06">
          <w:rPr>
            <w:vanish/>
          </w:rPr>
          <w:t>5</w:t>
        </w:r>
        <w:r w:rsidRPr="004D57A4">
          <w:rPr>
            <w:vanish/>
          </w:rPr>
          <w:fldChar w:fldCharType="end"/>
        </w:r>
      </w:hyperlink>
    </w:p>
    <w:p w14:paraId="2144BE76" w14:textId="5835FD82"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71" w:history="1">
        <w:r w:rsidRPr="0049025D">
          <w:t>6</w:t>
        </w:r>
        <w:r>
          <w:rPr>
            <w:rFonts w:asciiTheme="minorHAnsi" w:eastAsiaTheme="minorEastAsia" w:hAnsiTheme="minorHAnsi" w:cstheme="minorBidi"/>
            <w:kern w:val="2"/>
            <w:sz w:val="22"/>
            <w:szCs w:val="22"/>
            <w:lang w:eastAsia="en-AU"/>
            <w14:ligatures w14:val="standardContextual"/>
          </w:rPr>
          <w:tab/>
        </w:r>
        <w:r w:rsidRPr="0049025D">
          <w:t>Code of practice</w:t>
        </w:r>
        <w:r>
          <w:tab/>
        </w:r>
        <w:r>
          <w:fldChar w:fldCharType="begin"/>
        </w:r>
        <w:r>
          <w:instrText xml:space="preserve"> PAGEREF _Toc155080671 \h </w:instrText>
        </w:r>
        <w:r>
          <w:fldChar w:fldCharType="separate"/>
        </w:r>
        <w:r w:rsidR="00821D06">
          <w:t>5</w:t>
        </w:r>
        <w:r>
          <w:fldChar w:fldCharType="end"/>
        </w:r>
      </w:hyperlink>
    </w:p>
    <w:p w14:paraId="654B7BE6" w14:textId="2633C5D9"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72" w:history="1">
        <w:r w:rsidRPr="0049025D">
          <w:t>7</w:t>
        </w:r>
        <w:r>
          <w:rPr>
            <w:rFonts w:asciiTheme="minorHAnsi" w:eastAsiaTheme="minorEastAsia" w:hAnsiTheme="minorHAnsi" w:cstheme="minorBidi"/>
            <w:kern w:val="2"/>
            <w:sz w:val="22"/>
            <w:szCs w:val="22"/>
            <w:lang w:eastAsia="en-AU"/>
            <w14:ligatures w14:val="standardContextual"/>
          </w:rPr>
          <w:tab/>
        </w:r>
        <w:r w:rsidRPr="0049025D">
          <w:t>Offences under pt 2</w:t>
        </w:r>
        <w:r>
          <w:tab/>
        </w:r>
        <w:r>
          <w:fldChar w:fldCharType="begin"/>
        </w:r>
        <w:r>
          <w:instrText xml:space="preserve"> PAGEREF _Toc155080672 \h </w:instrText>
        </w:r>
        <w:r>
          <w:fldChar w:fldCharType="separate"/>
        </w:r>
        <w:r w:rsidR="00821D06">
          <w:t>5</w:t>
        </w:r>
        <w:r>
          <w:fldChar w:fldCharType="end"/>
        </w:r>
      </w:hyperlink>
    </w:p>
    <w:p w14:paraId="1BDD07E4" w14:textId="634E68F9" w:rsidR="004D57A4" w:rsidRDefault="004D57A4">
      <w:pPr>
        <w:pStyle w:val="TOC3"/>
        <w:rPr>
          <w:rFonts w:asciiTheme="minorHAnsi" w:eastAsiaTheme="minorEastAsia" w:hAnsiTheme="minorHAnsi" w:cstheme="minorBidi"/>
          <w:b w:val="0"/>
          <w:kern w:val="2"/>
          <w:sz w:val="22"/>
          <w:szCs w:val="22"/>
          <w:lang w:eastAsia="en-AU"/>
          <w14:ligatures w14:val="standardContextual"/>
        </w:rPr>
      </w:pPr>
      <w:hyperlink w:anchor="_Toc155080673" w:history="1">
        <w:r w:rsidRPr="0049025D">
          <w:t>Division 2.2</w:t>
        </w:r>
        <w:r>
          <w:rPr>
            <w:rFonts w:asciiTheme="minorHAnsi" w:eastAsiaTheme="minorEastAsia" w:hAnsiTheme="minorHAnsi" w:cstheme="minorBidi"/>
            <w:b w:val="0"/>
            <w:kern w:val="2"/>
            <w:sz w:val="22"/>
            <w:szCs w:val="22"/>
            <w:lang w:eastAsia="en-AU"/>
            <w14:ligatures w14:val="standardContextual"/>
          </w:rPr>
          <w:tab/>
        </w:r>
        <w:r w:rsidRPr="0049025D">
          <w:t>Conduct of gambling</w:t>
        </w:r>
        <w:r w:rsidRPr="004D57A4">
          <w:rPr>
            <w:vanish/>
          </w:rPr>
          <w:tab/>
        </w:r>
        <w:r w:rsidRPr="004D57A4">
          <w:rPr>
            <w:vanish/>
          </w:rPr>
          <w:fldChar w:fldCharType="begin"/>
        </w:r>
        <w:r w:rsidRPr="004D57A4">
          <w:rPr>
            <w:vanish/>
          </w:rPr>
          <w:instrText xml:space="preserve"> PAGEREF _Toc155080673 \h </w:instrText>
        </w:r>
        <w:r w:rsidRPr="004D57A4">
          <w:rPr>
            <w:vanish/>
          </w:rPr>
        </w:r>
        <w:r w:rsidRPr="004D57A4">
          <w:rPr>
            <w:vanish/>
          </w:rPr>
          <w:fldChar w:fldCharType="separate"/>
        </w:r>
        <w:r w:rsidR="00821D06">
          <w:rPr>
            <w:vanish/>
          </w:rPr>
          <w:t>6</w:t>
        </w:r>
        <w:r w:rsidRPr="004D57A4">
          <w:rPr>
            <w:vanish/>
          </w:rPr>
          <w:fldChar w:fldCharType="end"/>
        </w:r>
      </w:hyperlink>
    </w:p>
    <w:p w14:paraId="0984676F" w14:textId="63D38909"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74" w:history="1">
        <w:r w:rsidRPr="0049025D">
          <w:t>8</w:t>
        </w:r>
        <w:r>
          <w:rPr>
            <w:rFonts w:asciiTheme="minorHAnsi" w:eastAsiaTheme="minorEastAsia" w:hAnsiTheme="minorHAnsi" w:cstheme="minorBidi"/>
            <w:kern w:val="2"/>
            <w:sz w:val="22"/>
            <w:szCs w:val="22"/>
            <w:lang w:eastAsia="en-AU"/>
            <w14:ligatures w14:val="standardContextual"/>
          </w:rPr>
          <w:tab/>
        </w:r>
        <w:r w:rsidRPr="0049025D">
          <w:t>Licensees obligations generally</w:t>
        </w:r>
        <w:r>
          <w:tab/>
        </w:r>
        <w:r>
          <w:fldChar w:fldCharType="begin"/>
        </w:r>
        <w:r>
          <w:instrText xml:space="preserve"> PAGEREF _Toc155080674 \h </w:instrText>
        </w:r>
        <w:r>
          <w:fldChar w:fldCharType="separate"/>
        </w:r>
        <w:r w:rsidR="00821D06">
          <w:t>6</w:t>
        </w:r>
        <w:r>
          <w:fldChar w:fldCharType="end"/>
        </w:r>
      </w:hyperlink>
    </w:p>
    <w:p w14:paraId="3780CA3E" w14:textId="51F839F6"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75" w:history="1">
        <w:r w:rsidRPr="0049025D">
          <w:t>9</w:t>
        </w:r>
        <w:r>
          <w:rPr>
            <w:rFonts w:asciiTheme="minorHAnsi" w:eastAsiaTheme="minorEastAsia" w:hAnsiTheme="minorHAnsi" w:cstheme="minorBidi"/>
            <w:kern w:val="2"/>
            <w:sz w:val="22"/>
            <w:szCs w:val="22"/>
            <w:lang w:eastAsia="en-AU"/>
            <w14:ligatures w14:val="standardContextual"/>
          </w:rPr>
          <w:tab/>
        </w:r>
        <w:r w:rsidRPr="0049025D">
          <w:t>Approved training programs</w:t>
        </w:r>
        <w:r>
          <w:tab/>
        </w:r>
        <w:r>
          <w:fldChar w:fldCharType="begin"/>
        </w:r>
        <w:r>
          <w:instrText xml:space="preserve"> PAGEREF _Toc155080675 \h </w:instrText>
        </w:r>
        <w:r>
          <w:fldChar w:fldCharType="separate"/>
        </w:r>
        <w:r w:rsidR="00821D06">
          <w:t>6</w:t>
        </w:r>
        <w:r>
          <w:fldChar w:fldCharType="end"/>
        </w:r>
      </w:hyperlink>
    </w:p>
    <w:p w14:paraId="62DB79D9" w14:textId="01620947" w:rsidR="004D57A4" w:rsidRDefault="004D57A4">
      <w:pPr>
        <w:pStyle w:val="TOC3"/>
        <w:rPr>
          <w:rFonts w:asciiTheme="minorHAnsi" w:eastAsiaTheme="minorEastAsia" w:hAnsiTheme="minorHAnsi" w:cstheme="minorBidi"/>
          <w:b w:val="0"/>
          <w:kern w:val="2"/>
          <w:sz w:val="22"/>
          <w:szCs w:val="22"/>
          <w:lang w:eastAsia="en-AU"/>
          <w14:ligatures w14:val="standardContextual"/>
        </w:rPr>
      </w:pPr>
      <w:hyperlink w:anchor="_Toc155080676" w:history="1">
        <w:r w:rsidRPr="0049025D">
          <w:t>Division 2.3</w:t>
        </w:r>
        <w:r>
          <w:rPr>
            <w:rFonts w:asciiTheme="minorHAnsi" w:eastAsiaTheme="minorEastAsia" w:hAnsiTheme="minorHAnsi" w:cstheme="minorBidi"/>
            <w:b w:val="0"/>
            <w:kern w:val="2"/>
            <w:sz w:val="22"/>
            <w:szCs w:val="22"/>
            <w:lang w:eastAsia="en-AU"/>
            <w14:ligatures w14:val="standardContextual"/>
          </w:rPr>
          <w:tab/>
        </w:r>
        <w:r w:rsidRPr="0049025D">
          <w:t>Problem gambling</w:t>
        </w:r>
        <w:r w:rsidRPr="004D57A4">
          <w:rPr>
            <w:vanish/>
          </w:rPr>
          <w:tab/>
        </w:r>
        <w:r w:rsidRPr="004D57A4">
          <w:rPr>
            <w:vanish/>
          </w:rPr>
          <w:fldChar w:fldCharType="begin"/>
        </w:r>
        <w:r w:rsidRPr="004D57A4">
          <w:rPr>
            <w:vanish/>
          </w:rPr>
          <w:instrText xml:space="preserve"> PAGEREF _Toc155080676 \h </w:instrText>
        </w:r>
        <w:r w:rsidRPr="004D57A4">
          <w:rPr>
            <w:vanish/>
          </w:rPr>
        </w:r>
        <w:r w:rsidRPr="004D57A4">
          <w:rPr>
            <w:vanish/>
          </w:rPr>
          <w:fldChar w:fldCharType="separate"/>
        </w:r>
        <w:r w:rsidR="00821D06">
          <w:rPr>
            <w:vanish/>
          </w:rPr>
          <w:t>7</w:t>
        </w:r>
        <w:r w:rsidRPr="004D57A4">
          <w:rPr>
            <w:vanish/>
          </w:rPr>
          <w:fldChar w:fldCharType="end"/>
        </w:r>
      </w:hyperlink>
    </w:p>
    <w:p w14:paraId="18DE650F" w14:textId="14B2B06B"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77" w:history="1">
        <w:r w:rsidRPr="0049025D">
          <w:t>10</w:t>
        </w:r>
        <w:r>
          <w:rPr>
            <w:rFonts w:asciiTheme="minorHAnsi" w:eastAsiaTheme="minorEastAsia" w:hAnsiTheme="minorHAnsi" w:cstheme="minorBidi"/>
            <w:kern w:val="2"/>
            <w:sz w:val="22"/>
            <w:szCs w:val="22"/>
            <w:lang w:eastAsia="en-AU"/>
            <w14:ligatures w14:val="standardContextual"/>
          </w:rPr>
          <w:tab/>
        </w:r>
        <w:r w:rsidRPr="0049025D">
          <w:t>Recording problem gambling incidents</w:t>
        </w:r>
        <w:r>
          <w:tab/>
        </w:r>
        <w:r>
          <w:fldChar w:fldCharType="begin"/>
        </w:r>
        <w:r>
          <w:instrText xml:space="preserve"> PAGEREF _Toc155080677 \h </w:instrText>
        </w:r>
        <w:r>
          <w:fldChar w:fldCharType="separate"/>
        </w:r>
        <w:r w:rsidR="00821D06">
          <w:t>7</w:t>
        </w:r>
        <w:r>
          <w:fldChar w:fldCharType="end"/>
        </w:r>
      </w:hyperlink>
    </w:p>
    <w:p w14:paraId="26D7A128" w14:textId="364561B5"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78" w:history="1">
        <w:r w:rsidRPr="0049025D">
          <w:t>11</w:t>
        </w:r>
        <w:r>
          <w:rPr>
            <w:rFonts w:asciiTheme="minorHAnsi" w:eastAsiaTheme="minorEastAsia" w:hAnsiTheme="minorHAnsi" w:cstheme="minorBidi"/>
            <w:kern w:val="2"/>
            <w:sz w:val="22"/>
            <w:szCs w:val="22"/>
            <w:lang w:eastAsia="en-AU"/>
            <w14:ligatures w14:val="standardContextual"/>
          </w:rPr>
          <w:tab/>
        </w:r>
        <w:r w:rsidRPr="0049025D">
          <w:t>Gambling facility to have gambling contact officer</w:t>
        </w:r>
        <w:r>
          <w:tab/>
        </w:r>
        <w:r>
          <w:fldChar w:fldCharType="begin"/>
        </w:r>
        <w:r>
          <w:instrText xml:space="preserve"> PAGEREF _Toc155080678 \h </w:instrText>
        </w:r>
        <w:r>
          <w:fldChar w:fldCharType="separate"/>
        </w:r>
        <w:r w:rsidR="00821D06">
          <w:t>8</w:t>
        </w:r>
        <w:r>
          <w:fldChar w:fldCharType="end"/>
        </w:r>
      </w:hyperlink>
    </w:p>
    <w:p w14:paraId="394E318E" w14:textId="179D7612"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79" w:history="1">
        <w:r w:rsidRPr="0049025D">
          <w:t>12</w:t>
        </w:r>
        <w:r>
          <w:rPr>
            <w:rFonts w:asciiTheme="minorHAnsi" w:eastAsiaTheme="minorEastAsia" w:hAnsiTheme="minorHAnsi" w:cstheme="minorBidi"/>
            <w:kern w:val="2"/>
            <w:sz w:val="22"/>
            <w:szCs w:val="22"/>
            <w:lang w:eastAsia="en-AU"/>
            <w14:ligatures w14:val="standardContextual"/>
          </w:rPr>
          <w:tab/>
        </w:r>
        <w:r w:rsidRPr="0049025D">
          <w:t>Dealing with people with gambling problem</w:t>
        </w:r>
        <w:r>
          <w:tab/>
        </w:r>
        <w:r>
          <w:fldChar w:fldCharType="begin"/>
        </w:r>
        <w:r>
          <w:instrText xml:space="preserve"> PAGEREF _Toc155080679 \h </w:instrText>
        </w:r>
        <w:r>
          <w:fldChar w:fldCharType="separate"/>
        </w:r>
        <w:r w:rsidR="00821D06">
          <w:t>8</w:t>
        </w:r>
        <w:r>
          <w:fldChar w:fldCharType="end"/>
        </w:r>
      </w:hyperlink>
    </w:p>
    <w:p w14:paraId="07CFED01" w14:textId="0EE20F9C" w:rsidR="004D57A4" w:rsidRDefault="004D57A4">
      <w:pPr>
        <w:pStyle w:val="TOC3"/>
        <w:rPr>
          <w:rFonts w:asciiTheme="minorHAnsi" w:eastAsiaTheme="minorEastAsia" w:hAnsiTheme="minorHAnsi" w:cstheme="minorBidi"/>
          <w:b w:val="0"/>
          <w:kern w:val="2"/>
          <w:sz w:val="22"/>
          <w:szCs w:val="22"/>
          <w:lang w:eastAsia="en-AU"/>
          <w14:ligatures w14:val="standardContextual"/>
        </w:rPr>
      </w:pPr>
      <w:hyperlink w:anchor="_Toc155080680" w:history="1">
        <w:r w:rsidRPr="0049025D">
          <w:t>Division 2.4</w:t>
        </w:r>
        <w:r>
          <w:rPr>
            <w:rFonts w:asciiTheme="minorHAnsi" w:eastAsiaTheme="minorEastAsia" w:hAnsiTheme="minorHAnsi" w:cstheme="minorBidi"/>
            <w:b w:val="0"/>
            <w:kern w:val="2"/>
            <w:sz w:val="22"/>
            <w:szCs w:val="22"/>
            <w:lang w:eastAsia="en-AU"/>
            <w14:ligatures w14:val="standardContextual"/>
          </w:rPr>
          <w:tab/>
        </w:r>
        <w:r w:rsidRPr="0049025D">
          <w:t>Exclusion from gambling</w:t>
        </w:r>
        <w:r w:rsidRPr="004D57A4">
          <w:rPr>
            <w:vanish/>
          </w:rPr>
          <w:tab/>
        </w:r>
        <w:r w:rsidRPr="004D57A4">
          <w:rPr>
            <w:vanish/>
          </w:rPr>
          <w:fldChar w:fldCharType="begin"/>
        </w:r>
        <w:r w:rsidRPr="004D57A4">
          <w:rPr>
            <w:vanish/>
          </w:rPr>
          <w:instrText xml:space="preserve"> PAGEREF _Toc155080680 \h </w:instrText>
        </w:r>
        <w:r w:rsidRPr="004D57A4">
          <w:rPr>
            <w:vanish/>
          </w:rPr>
        </w:r>
        <w:r w:rsidRPr="004D57A4">
          <w:rPr>
            <w:vanish/>
          </w:rPr>
          <w:fldChar w:fldCharType="separate"/>
        </w:r>
        <w:r w:rsidR="00821D06">
          <w:rPr>
            <w:vanish/>
          </w:rPr>
          <w:t>9</w:t>
        </w:r>
        <w:r w:rsidRPr="004D57A4">
          <w:rPr>
            <w:vanish/>
          </w:rPr>
          <w:fldChar w:fldCharType="end"/>
        </w:r>
      </w:hyperlink>
    </w:p>
    <w:p w14:paraId="4EC3FFBA" w14:textId="18464803"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81" w:history="1">
        <w:r w:rsidRPr="0049025D">
          <w:t>13</w:t>
        </w:r>
        <w:r>
          <w:rPr>
            <w:rFonts w:asciiTheme="minorHAnsi" w:eastAsiaTheme="minorEastAsia" w:hAnsiTheme="minorHAnsi" w:cstheme="minorBidi"/>
            <w:kern w:val="2"/>
            <w:sz w:val="22"/>
            <w:szCs w:val="22"/>
            <w:lang w:eastAsia="en-AU"/>
            <w14:ligatures w14:val="standardContextual"/>
          </w:rPr>
          <w:tab/>
        </w:r>
        <w:r w:rsidRPr="0049025D">
          <w:t>Application of div 2.4</w:t>
        </w:r>
        <w:r>
          <w:tab/>
        </w:r>
        <w:r>
          <w:fldChar w:fldCharType="begin"/>
        </w:r>
        <w:r>
          <w:instrText xml:space="preserve"> PAGEREF _Toc155080681 \h </w:instrText>
        </w:r>
        <w:r>
          <w:fldChar w:fldCharType="separate"/>
        </w:r>
        <w:r w:rsidR="00821D06">
          <w:t>9</w:t>
        </w:r>
        <w:r>
          <w:fldChar w:fldCharType="end"/>
        </w:r>
      </w:hyperlink>
    </w:p>
    <w:p w14:paraId="50365D88" w14:textId="1070397C"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82" w:history="1">
        <w:r w:rsidRPr="0049025D">
          <w:t>14</w:t>
        </w:r>
        <w:r>
          <w:rPr>
            <w:rFonts w:asciiTheme="minorHAnsi" w:eastAsiaTheme="minorEastAsia" w:hAnsiTheme="minorHAnsi" w:cstheme="minorBidi"/>
            <w:kern w:val="2"/>
            <w:sz w:val="22"/>
            <w:szCs w:val="22"/>
            <w:lang w:eastAsia="en-AU"/>
            <w14:ligatures w14:val="standardContextual"/>
          </w:rPr>
          <w:tab/>
        </w:r>
        <w:r w:rsidRPr="0049025D">
          <w:t>Deeds of exclusion</w:t>
        </w:r>
        <w:r>
          <w:tab/>
        </w:r>
        <w:r>
          <w:fldChar w:fldCharType="begin"/>
        </w:r>
        <w:r>
          <w:instrText xml:space="preserve"> PAGEREF _Toc155080682 \h </w:instrText>
        </w:r>
        <w:r>
          <w:fldChar w:fldCharType="separate"/>
        </w:r>
        <w:r w:rsidR="00821D06">
          <w:t>9</w:t>
        </w:r>
        <w:r>
          <w:fldChar w:fldCharType="end"/>
        </w:r>
      </w:hyperlink>
    </w:p>
    <w:p w14:paraId="50AF17E0" w14:textId="639F0C81"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83" w:history="1">
        <w:r w:rsidRPr="0049025D">
          <w:t>15</w:t>
        </w:r>
        <w:r>
          <w:rPr>
            <w:rFonts w:asciiTheme="minorHAnsi" w:eastAsiaTheme="minorEastAsia" w:hAnsiTheme="minorHAnsi" w:cstheme="minorBidi"/>
            <w:kern w:val="2"/>
            <w:sz w:val="22"/>
            <w:szCs w:val="22"/>
            <w:lang w:eastAsia="en-AU"/>
            <w14:ligatures w14:val="standardContextual"/>
          </w:rPr>
          <w:tab/>
        </w:r>
        <w:r w:rsidRPr="0049025D">
          <w:t>Exclusion of people at risk or excluded under deed</w:t>
        </w:r>
        <w:r>
          <w:tab/>
        </w:r>
        <w:r>
          <w:fldChar w:fldCharType="begin"/>
        </w:r>
        <w:r>
          <w:instrText xml:space="preserve"> PAGEREF _Toc155080683 \h </w:instrText>
        </w:r>
        <w:r>
          <w:fldChar w:fldCharType="separate"/>
        </w:r>
        <w:r w:rsidR="00821D06">
          <w:t>9</w:t>
        </w:r>
        <w:r>
          <w:fldChar w:fldCharType="end"/>
        </w:r>
      </w:hyperlink>
    </w:p>
    <w:p w14:paraId="6833D4AC" w14:textId="5800C3AD"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84" w:history="1">
        <w:r w:rsidRPr="0049025D">
          <w:t>16</w:t>
        </w:r>
        <w:r>
          <w:rPr>
            <w:rFonts w:asciiTheme="minorHAnsi" w:eastAsiaTheme="minorEastAsia" w:hAnsiTheme="minorHAnsi" w:cstheme="minorBidi"/>
            <w:kern w:val="2"/>
            <w:sz w:val="22"/>
            <w:szCs w:val="22"/>
            <w:lang w:eastAsia="en-AU"/>
            <w14:ligatures w14:val="standardContextual"/>
          </w:rPr>
          <w:tab/>
        </w:r>
        <w:r w:rsidRPr="0049025D">
          <w:t>Commission’s review of exclusion decision</w:t>
        </w:r>
        <w:r>
          <w:tab/>
        </w:r>
        <w:r>
          <w:fldChar w:fldCharType="begin"/>
        </w:r>
        <w:r>
          <w:instrText xml:space="preserve"> PAGEREF _Toc155080684 \h </w:instrText>
        </w:r>
        <w:r>
          <w:fldChar w:fldCharType="separate"/>
        </w:r>
        <w:r w:rsidR="00821D06">
          <w:t>10</w:t>
        </w:r>
        <w:r>
          <w:fldChar w:fldCharType="end"/>
        </w:r>
      </w:hyperlink>
    </w:p>
    <w:p w14:paraId="2772C4B2" w14:textId="62B7D200"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85" w:history="1">
        <w:r w:rsidRPr="0049025D">
          <w:t>17</w:t>
        </w:r>
        <w:r>
          <w:rPr>
            <w:rFonts w:asciiTheme="minorHAnsi" w:eastAsiaTheme="minorEastAsia" w:hAnsiTheme="minorHAnsi" w:cstheme="minorBidi"/>
            <w:kern w:val="2"/>
            <w:sz w:val="22"/>
            <w:szCs w:val="22"/>
            <w:lang w:eastAsia="en-AU"/>
            <w14:ligatures w14:val="standardContextual"/>
          </w:rPr>
          <w:tab/>
        </w:r>
        <w:r w:rsidRPr="0049025D">
          <w:t>Review by ACAT of commission’s decision under s 16</w:t>
        </w:r>
        <w:r>
          <w:tab/>
        </w:r>
        <w:r>
          <w:fldChar w:fldCharType="begin"/>
        </w:r>
        <w:r>
          <w:instrText xml:space="preserve"> PAGEREF _Toc155080685 \h </w:instrText>
        </w:r>
        <w:r>
          <w:fldChar w:fldCharType="separate"/>
        </w:r>
        <w:r w:rsidR="00821D06">
          <w:t>11</w:t>
        </w:r>
        <w:r>
          <w:fldChar w:fldCharType="end"/>
        </w:r>
      </w:hyperlink>
    </w:p>
    <w:p w14:paraId="78F09DF4" w14:textId="3EE72FB5"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86" w:history="1">
        <w:r w:rsidRPr="0049025D">
          <w:t>18</w:t>
        </w:r>
        <w:r>
          <w:rPr>
            <w:rFonts w:asciiTheme="minorHAnsi" w:eastAsiaTheme="minorEastAsia" w:hAnsiTheme="minorHAnsi" w:cstheme="minorBidi"/>
            <w:kern w:val="2"/>
            <w:sz w:val="22"/>
            <w:szCs w:val="22"/>
            <w:lang w:eastAsia="en-AU"/>
            <w14:ligatures w14:val="standardContextual"/>
          </w:rPr>
          <w:tab/>
        </w:r>
        <w:r w:rsidRPr="0049025D">
          <w:t>Compliance with decision to revoke or amend</w:t>
        </w:r>
        <w:r>
          <w:tab/>
        </w:r>
        <w:r>
          <w:fldChar w:fldCharType="begin"/>
        </w:r>
        <w:r>
          <w:instrText xml:space="preserve"> PAGEREF _Toc155080686 \h </w:instrText>
        </w:r>
        <w:r>
          <w:fldChar w:fldCharType="separate"/>
        </w:r>
        <w:r w:rsidR="00821D06">
          <w:t>11</w:t>
        </w:r>
        <w:r>
          <w:fldChar w:fldCharType="end"/>
        </w:r>
      </w:hyperlink>
    </w:p>
    <w:p w14:paraId="41E889CF" w14:textId="08BC4191"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87" w:history="1">
        <w:r w:rsidRPr="0049025D">
          <w:t>19</w:t>
        </w:r>
        <w:r>
          <w:rPr>
            <w:rFonts w:asciiTheme="minorHAnsi" w:eastAsiaTheme="minorEastAsia" w:hAnsiTheme="minorHAnsi" w:cstheme="minorBidi"/>
            <w:kern w:val="2"/>
            <w:sz w:val="22"/>
            <w:szCs w:val="22"/>
            <w:lang w:eastAsia="en-AU"/>
            <w14:ligatures w14:val="standardContextual"/>
          </w:rPr>
          <w:tab/>
        </w:r>
        <w:r w:rsidRPr="0049025D">
          <w:t>Exclusion procedures</w:t>
        </w:r>
        <w:r>
          <w:tab/>
        </w:r>
        <w:r>
          <w:fldChar w:fldCharType="begin"/>
        </w:r>
        <w:r>
          <w:instrText xml:space="preserve"> PAGEREF _Toc155080687 \h </w:instrText>
        </w:r>
        <w:r>
          <w:fldChar w:fldCharType="separate"/>
        </w:r>
        <w:r w:rsidR="00821D06">
          <w:t>11</w:t>
        </w:r>
        <w:r>
          <w:fldChar w:fldCharType="end"/>
        </w:r>
      </w:hyperlink>
    </w:p>
    <w:p w14:paraId="10FBA0E5" w14:textId="6CAB86B2"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88" w:history="1">
        <w:r w:rsidRPr="0049025D">
          <w:t>20</w:t>
        </w:r>
        <w:r>
          <w:rPr>
            <w:rFonts w:asciiTheme="minorHAnsi" w:eastAsiaTheme="minorEastAsia" w:hAnsiTheme="minorHAnsi" w:cstheme="minorBidi"/>
            <w:kern w:val="2"/>
            <w:sz w:val="22"/>
            <w:szCs w:val="22"/>
            <w:lang w:eastAsia="en-AU"/>
            <w14:ligatures w14:val="standardContextual"/>
          </w:rPr>
          <w:tab/>
        </w:r>
        <w:r w:rsidRPr="0049025D">
          <w:t>Exclusion register</w:t>
        </w:r>
        <w:r>
          <w:tab/>
        </w:r>
        <w:r>
          <w:fldChar w:fldCharType="begin"/>
        </w:r>
        <w:r>
          <w:instrText xml:space="preserve"> PAGEREF _Toc155080688 \h </w:instrText>
        </w:r>
        <w:r>
          <w:fldChar w:fldCharType="separate"/>
        </w:r>
        <w:r w:rsidR="00821D06">
          <w:t>12</w:t>
        </w:r>
        <w:r>
          <w:fldChar w:fldCharType="end"/>
        </w:r>
      </w:hyperlink>
    </w:p>
    <w:p w14:paraId="20582ABD" w14:textId="4897A0F8"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89" w:history="1">
        <w:r w:rsidRPr="0049025D">
          <w:t>20A</w:t>
        </w:r>
        <w:r>
          <w:rPr>
            <w:rFonts w:asciiTheme="minorHAnsi" w:eastAsiaTheme="minorEastAsia" w:hAnsiTheme="minorHAnsi" w:cstheme="minorBidi"/>
            <w:kern w:val="2"/>
            <w:sz w:val="22"/>
            <w:szCs w:val="22"/>
            <w:lang w:eastAsia="en-AU"/>
            <w14:ligatures w14:val="standardContextual"/>
          </w:rPr>
          <w:tab/>
        </w:r>
        <w:r w:rsidRPr="0049025D">
          <w:t>Exclusion register—offences</w:t>
        </w:r>
        <w:r>
          <w:tab/>
        </w:r>
        <w:r>
          <w:fldChar w:fldCharType="begin"/>
        </w:r>
        <w:r>
          <w:instrText xml:space="preserve"> PAGEREF _Toc155080689 \h </w:instrText>
        </w:r>
        <w:r>
          <w:fldChar w:fldCharType="separate"/>
        </w:r>
        <w:r w:rsidR="00821D06">
          <w:t>13</w:t>
        </w:r>
        <w:r>
          <w:fldChar w:fldCharType="end"/>
        </w:r>
      </w:hyperlink>
    </w:p>
    <w:p w14:paraId="716C5B51" w14:textId="3690554D"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90" w:history="1">
        <w:r w:rsidRPr="0049025D">
          <w:t>21</w:t>
        </w:r>
        <w:r>
          <w:rPr>
            <w:rFonts w:asciiTheme="minorHAnsi" w:eastAsiaTheme="minorEastAsia" w:hAnsiTheme="minorHAnsi" w:cstheme="minorBidi"/>
            <w:kern w:val="2"/>
            <w:sz w:val="22"/>
            <w:szCs w:val="22"/>
            <w:lang w:eastAsia="en-AU"/>
            <w14:ligatures w14:val="standardContextual"/>
          </w:rPr>
          <w:tab/>
        </w:r>
        <w:r w:rsidRPr="0049025D">
          <w:t>Accounts of certain excluded people</w:t>
        </w:r>
        <w:r>
          <w:tab/>
        </w:r>
        <w:r>
          <w:fldChar w:fldCharType="begin"/>
        </w:r>
        <w:r>
          <w:instrText xml:space="preserve"> PAGEREF _Toc155080690 \h </w:instrText>
        </w:r>
        <w:r>
          <w:fldChar w:fldCharType="separate"/>
        </w:r>
        <w:r w:rsidR="00821D06">
          <w:t>15</w:t>
        </w:r>
        <w:r>
          <w:fldChar w:fldCharType="end"/>
        </w:r>
      </w:hyperlink>
    </w:p>
    <w:p w14:paraId="64F81747" w14:textId="634C2B8B"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91" w:history="1">
        <w:r w:rsidRPr="0049025D">
          <w:t>22</w:t>
        </w:r>
        <w:r>
          <w:rPr>
            <w:rFonts w:asciiTheme="minorHAnsi" w:eastAsiaTheme="minorEastAsia" w:hAnsiTheme="minorHAnsi" w:cstheme="minorBidi"/>
            <w:kern w:val="2"/>
            <w:sz w:val="22"/>
            <w:szCs w:val="22"/>
            <w:lang w:eastAsia="en-AU"/>
            <w14:ligatures w14:val="standardContextual"/>
          </w:rPr>
          <w:tab/>
        </w:r>
        <w:r w:rsidRPr="0049025D">
          <w:t>Promotional material not to be sent to certain excluded people</w:t>
        </w:r>
        <w:r>
          <w:tab/>
        </w:r>
        <w:r>
          <w:fldChar w:fldCharType="begin"/>
        </w:r>
        <w:r>
          <w:instrText xml:space="preserve"> PAGEREF _Toc155080691 \h </w:instrText>
        </w:r>
        <w:r>
          <w:fldChar w:fldCharType="separate"/>
        </w:r>
        <w:r w:rsidR="00821D06">
          <w:t>15</w:t>
        </w:r>
        <w:r>
          <w:fldChar w:fldCharType="end"/>
        </w:r>
      </w:hyperlink>
    </w:p>
    <w:p w14:paraId="1CA1EB84" w14:textId="3F37DC96" w:rsidR="004D57A4" w:rsidRDefault="004D57A4">
      <w:pPr>
        <w:pStyle w:val="TOC3"/>
        <w:rPr>
          <w:rFonts w:asciiTheme="minorHAnsi" w:eastAsiaTheme="minorEastAsia" w:hAnsiTheme="minorHAnsi" w:cstheme="minorBidi"/>
          <w:b w:val="0"/>
          <w:kern w:val="2"/>
          <w:sz w:val="22"/>
          <w:szCs w:val="22"/>
          <w:lang w:eastAsia="en-AU"/>
          <w14:ligatures w14:val="standardContextual"/>
        </w:rPr>
      </w:pPr>
      <w:hyperlink w:anchor="_Toc155080692" w:history="1">
        <w:r w:rsidRPr="0049025D">
          <w:t>Division 2.5</w:t>
        </w:r>
        <w:r>
          <w:rPr>
            <w:rFonts w:asciiTheme="minorHAnsi" w:eastAsiaTheme="minorEastAsia" w:hAnsiTheme="minorHAnsi" w:cstheme="minorBidi"/>
            <w:b w:val="0"/>
            <w:kern w:val="2"/>
            <w:sz w:val="22"/>
            <w:szCs w:val="22"/>
            <w:lang w:eastAsia="en-AU"/>
            <w14:ligatures w14:val="standardContextual"/>
          </w:rPr>
          <w:tab/>
        </w:r>
        <w:r w:rsidRPr="0049025D">
          <w:t>Financial controls and gambling environment</w:t>
        </w:r>
        <w:r w:rsidRPr="004D57A4">
          <w:rPr>
            <w:vanish/>
          </w:rPr>
          <w:tab/>
        </w:r>
        <w:r w:rsidRPr="004D57A4">
          <w:rPr>
            <w:vanish/>
          </w:rPr>
          <w:fldChar w:fldCharType="begin"/>
        </w:r>
        <w:r w:rsidRPr="004D57A4">
          <w:rPr>
            <w:vanish/>
          </w:rPr>
          <w:instrText xml:space="preserve"> PAGEREF _Toc155080692 \h </w:instrText>
        </w:r>
        <w:r w:rsidRPr="004D57A4">
          <w:rPr>
            <w:vanish/>
          </w:rPr>
        </w:r>
        <w:r w:rsidRPr="004D57A4">
          <w:rPr>
            <w:vanish/>
          </w:rPr>
          <w:fldChar w:fldCharType="separate"/>
        </w:r>
        <w:r w:rsidR="00821D06">
          <w:rPr>
            <w:vanish/>
          </w:rPr>
          <w:t>15</w:t>
        </w:r>
        <w:r w:rsidRPr="004D57A4">
          <w:rPr>
            <w:vanish/>
          </w:rPr>
          <w:fldChar w:fldCharType="end"/>
        </w:r>
      </w:hyperlink>
    </w:p>
    <w:p w14:paraId="0AD4EFF0" w14:textId="3758E974"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93" w:history="1">
        <w:r w:rsidRPr="0049025D">
          <w:t>23</w:t>
        </w:r>
        <w:r>
          <w:rPr>
            <w:rFonts w:asciiTheme="minorHAnsi" w:eastAsiaTheme="minorEastAsia" w:hAnsiTheme="minorHAnsi" w:cstheme="minorBidi"/>
            <w:kern w:val="2"/>
            <w:sz w:val="22"/>
            <w:szCs w:val="22"/>
            <w:lang w:eastAsia="en-AU"/>
            <w14:ligatures w14:val="standardContextual"/>
          </w:rPr>
          <w:tab/>
        </w:r>
        <w:r w:rsidRPr="0049025D">
          <w:t>Other cash payment limits</w:t>
        </w:r>
        <w:r>
          <w:tab/>
        </w:r>
        <w:r>
          <w:fldChar w:fldCharType="begin"/>
        </w:r>
        <w:r>
          <w:instrText xml:space="preserve"> PAGEREF _Toc155080693 \h </w:instrText>
        </w:r>
        <w:r>
          <w:fldChar w:fldCharType="separate"/>
        </w:r>
        <w:r w:rsidR="00821D06">
          <w:t>15</w:t>
        </w:r>
        <w:r>
          <w:fldChar w:fldCharType="end"/>
        </w:r>
      </w:hyperlink>
    </w:p>
    <w:p w14:paraId="26057A85" w14:textId="5DECBB15"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94" w:history="1">
        <w:r w:rsidRPr="0049025D">
          <w:t>24</w:t>
        </w:r>
        <w:r>
          <w:rPr>
            <w:rFonts w:asciiTheme="minorHAnsi" w:eastAsiaTheme="minorEastAsia" w:hAnsiTheme="minorHAnsi" w:cstheme="minorBidi"/>
            <w:kern w:val="2"/>
            <w:sz w:val="22"/>
            <w:szCs w:val="22"/>
            <w:lang w:eastAsia="en-AU"/>
            <w14:ligatures w14:val="standardContextual"/>
          </w:rPr>
          <w:tab/>
        </w:r>
        <w:r w:rsidRPr="0049025D">
          <w:t>Directions about information, clocks and lighting</w:t>
        </w:r>
        <w:r>
          <w:tab/>
        </w:r>
        <w:r>
          <w:fldChar w:fldCharType="begin"/>
        </w:r>
        <w:r>
          <w:instrText xml:space="preserve"> PAGEREF _Toc155080694 \h </w:instrText>
        </w:r>
        <w:r>
          <w:fldChar w:fldCharType="separate"/>
        </w:r>
        <w:r w:rsidR="00821D06">
          <w:t>16</w:t>
        </w:r>
        <w:r>
          <w:fldChar w:fldCharType="end"/>
        </w:r>
      </w:hyperlink>
    </w:p>
    <w:p w14:paraId="3B39F9DD" w14:textId="5DE39328" w:rsidR="004D57A4" w:rsidRDefault="004D57A4">
      <w:pPr>
        <w:pStyle w:val="TOC3"/>
        <w:rPr>
          <w:rFonts w:asciiTheme="minorHAnsi" w:eastAsiaTheme="minorEastAsia" w:hAnsiTheme="minorHAnsi" w:cstheme="minorBidi"/>
          <w:b w:val="0"/>
          <w:kern w:val="2"/>
          <w:sz w:val="22"/>
          <w:szCs w:val="22"/>
          <w:lang w:eastAsia="en-AU"/>
          <w14:ligatures w14:val="standardContextual"/>
        </w:rPr>
      </w:pPr>
      <w:hyperlink w:anchor="_Toc155080695" w:history="1">
        <w:r w:rsidRPr="0049025D">
          <w:t>Division 2.6</w:t>
        </w:r>
        <w:r>
          <w:rPr>
            <w:rFonts w:asciiTheme="minorHAnsi" w:eastAsiaTheme="minorEastAsia" w:hAnsiTheme="minorHAnsi" w:cstheme="minorBidi"/>
            <w:b w:val="0"/>
            <w:kern w:val="2"/>
            <w:sz w:val="22"/>
            <w:szCs w:val="22"/>
            <w:lang w:eastAsia="en-AU"/>
            <w14:ligatures w14:val="standardContextual"/>
          </w:rPr>
          <w:tab/>
        </w:r>
        <w:r w:rsidRPr="0049025D">
          <w:t>Advertising, promotions and inducements</w:t>
        </w:r>
        <w:r w:rsidRPr="004D57A4">
          <w:rPr>
            <w:vanish/>
          </w:rPr>
          <w:tab/>
        </w:r>
        <w:r w:rsidRPr="004D57A4">
          <w:rPr>
            <w:vanish/>
          </w:rPr>
          <w:fldChar w:fldCharType="begin"/>
        </w:r>
        <w:r w:rsidRPr="004D57A4">
          <w:rPr>
            <w:vanish/>
          </w:rPr>
          <w:instrText xml:space="preserve"> PAGEREF _Toc155080695 \h </w:instrText>
        </w:r>
        <w:r w:rsidRPr="004D57A4">
          <w:rPr>
            <w:vanish/>
          </w:rPr>
        </w:r>
        <w:r w:rsidRPr="004D57A4">
          <w:rPr>
            <w:vanish/>
          </w:rPr>
          <w:fldChar w:fldCharType="separate"/>
        </w:r>
        <w:r w:rsidR="00821D06">
          <w:rPr>
            <w:vanish/>
          </w:rPr>
          <w:t>16</w:t>
        </w:r>
        <w:r w:rsidRPr="004D57A4">
          <w:rPr>
            <w:vanish/>
          </w:rPr>
          <w:fldChar w:fldCharType="end"/>
        </w:r>
      </w:hyperlink>
    </w:p>
    <w:p w14:paraId="3A3359F1" w14:textId="25612F60"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96" w:history="1">
        <w:r w:rsidRPr="0049025D">
          <w:t>25</w:t>
        </w:r>
        <w:r>
          <w:rPr>
            <w:rFonts w:asciiTheme="minorHAnsi" w:eastAsiaTheme="minorEastAsia" w:hAnsiTheme="minorHAnsi" w:cstheme="minorBidi"/>
            <w:kern w:val="2"/>
            <w:sz w:val="22"/>
            <w:szCs w:val="22"/>
            <w:lang w:eastAsia="en-AU"/>
            <w14:ligatures w14:val="standardContextual"/>
          </w:rPr>
          <w:tab/>
        </w:r>
        <w:r w:rsidRPr="0049025D">
          <w:t>Directions about advertising, promotions and inducements</w:t>
        </w:r>
        <w:r>
          <w:tab/>
        </w:r>
        <w:r>
          <w:fldChar w:fldCharType="begin"/>
        </w:r>
        <w:r>
          <w:instrText xml:space="preserve"> PAGEREF _Toc155080696 \h </w:instrText>
        </w:r>
        <w:r>
          <w:fldChar w:fldCharType="separate"/>
        </w:r>
        <w:r w:rsidR="00821D06">
          <w:t>16</w:t>
        </w:r>
        <w:r>
          <w:fldChar w:fldCharType="end"/>
        </w:r>
      </w:hyperlink>
    </w:p>
    <w:p w14:paraId="5F0E5767" w14:textId="25FF134C" w:rsidR="004D57A4" w:rsidRDefault="004D57A4">
      <w:pPr>
        <w:pStyle w:val="TOC2"/>
        <w:rPr>
          <w:rFonts w:asciiTheme="minorHAnsi" w:eastAsiaTheme="minorEastAsia" w:hAnsiTheme="minorHAnsi" w:cstheme="minorBidi"/>
          <w:b w:val="0"/>
          <w:kern w:val="2"/>
          <w:sz w:val="22"/>
          <w:szCs w:val="22"/>
          <w:lang w:eastAsia="en-AU"/>
          <w14:ligatures w14:val="standardContextual"/>
        </w:rPr>
      </w:pPr>
      <w:hyperlink w:anchor="_Toc155080697" w:history="1">
        <w:r w:rsidRPr="0049025D">
          <w:t>Part 3</w:t>
        </w:r>
        <w:r>
          <w:rPr>
            <w:rFonts w:asciiTheme="minorHAnsi" w:eastAsiaTheme="minorEastAsia" w:hAnsiTheme="minorHAnsi" w:cstheme="minorBidi"/>
            <w:b w:val="0"/>
            <w:kern w:val="2"/>
            <w:sz w:val="22"/>
            <w:szCs w:val="22"/>
            <w:lang w:eastAsia="en-AU"/>
            <w14:ligatures w14:val="standardContextual"/>
          </w:rPr>
          <w:tab/>
        </w:r>
        <w:r w:rsidRPr="0049025D">
          <w:t>Miscellaneous</w:t>
        </w:r>
        <w:r w:rsidRPr="004D57A4">
          <w:rPr>
            <w:vanish/>
          </w:rPr>
          <w:tab/>
        </w:r>
        <w:r w:rsidRPr="004D57A4">
          <w:rPr>
            <w:vanish/>
          </w:rPr>
          <w:fldChar w:fldCharType="begin"/>
        </w:r>
        <w:r w:rsidRPr="004D57A4">
          <w:rPr>
            <w:vanish/>
          </w:rPr>
          <w:instrText xml:space="preserve"> PAGEREF _Toc155080697 \h </w:instrText>
        </w:r>
        <w:r w:rsidRPr="004D57A4">
          <w:rPr>
            <w:vanish/>
          </w:rPr>
        </w:r>
        <w:r w:rsidRPr="004D57A4">
          <w:rPr>
            <w:vanish/>
          </w:rPr>
          <w:fldChar w:fldCharType="separate"/>
        </w:r>
        <w:r w:rsidR="00821D06">
          <w:rPr>
            <w:vanish/>
          </w:rPr>
          <w:t>17</w:t>
        </w:r>
        <w:r w:rsidRPr="004D57A4">
          <w:rPr>
            <w:vanish/>
          </w:rPr>
          <w:fldChar w:fldCharType="end"/>
        </w:r>
      </w:hyperlink>
    </w:p>
    <w:p w14:paraId="443BF6FD" w14:textId="5B870CA5"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698" w:history="1">
        <w:r w:rsidRPr="0049025D">
          <w:t>26</w:t>
        </w:r>
        <w:r>
          <w:rPr>
            <w:rFonts w:asciiTheme="minorHAnsi" w:eastAsiaTheme="minorEastAsia" w:hAnsiTheme="minorHAnsi" w:cstheme="minorBidi"/>
            <w:kern w:val="2"/>
            <w:sz w:val="22"/>
            <w:szCs w:val="22"/>
            <w:lang w:eastAsia="en-AU"/>
            <w14:ligatures w14:val="standardContextual"/>
          </w:rPr>
          <w:tab/>
        </w:r>
        <w:r w:rsidRPr="0049025D">
          <w:t>Reasonable excuse available as defence</w:t>
        </w:r>
        <w:r>
          <w:tab/>
        </w:r>
        <w:r>
          <w:fldChar w:fldCharType="begin"/>
        </w:r>
        <w:r>
          <w:instrText xml:space="preserve"> PAGEREF _Toc155080698 \h </w:instrText>
        </w:r>
        <w:r>
          <w:fldChar w:fldCharType="separate"/>
        </w:r>
        <w:r w:rsidR="00821D06">
          <w:t>17</w:t>
        </w:r>
        <w:r>
          <w:fldChar w:fldCharType="end"/>
        </w:r>
      </w:hyperlink>
    </w:p>
    <w:p w14:paraId="4B7F2951" w14:textId="0FC42620" w:rsidR="004D57A4" w:rsidRDefault="004D57A4">
      <w:pPr>
        <w:pStyle w:val="TOC6"/>
        <w:rPr>
          <w:rFonts w:asciiTheme="minorHAnsi" w:eastAsiaTheme="minorEastAsia" w:hAnsiTheme="minorHAnsi" w:cstheme="minorBidi"/>
          <w:b w:val="0"/>
          <w:kern w:val="2"/>
          <w:sz w:val="22"/>
          <w:szCs w:val="22"/>
          <w:lang w:eastAsia="en-AU"/>
          <w14:ligatures w14:val="standardContextual"/>
        </w:rPr>
      </w:pPr>
      <w:hyperlink w:anchor="_Toc155080699" w:history="1">
        <w:r w:rsidRPr="0049025D">
          <w:t>Schedule 1</w:t>
        </w:r>
        <w:r>
          <w:rPr>
            <w:rFonts w:asciiTheme="minorHAnsi" w:eastAsiaTheme="minorEastAsia" w:hAnsiTheme="minorHAnsi" w:cstheme="minorBidi"/>
            <w:b w:val="0"/>
            <w:kern w:val="2"/>
            <w:sz w:val="22"/>
            <w:szCs w:val="22"/>
            <w:lang w:eastAsia="en-AU"/>
            <w14:ligatures w14:val="standardContextual"/>
          </w:rPr>
          <w:tab/>
        </w:r>
        <w:r w:rsidRPr="0049025D">
          <w:t>Code of practice</w:t>
        </w:r>
        <w:r>
          <w:tab/>
        </w:r>
        <w:r w:rsidRPr="004D57A4">
          <w:rPr>
            <w:b w:val="0"/>
            <w:sz w:val="20"/>
          </w:rPr>
          <w:fldChar w:fldCharType="begin"/>
        </w:r>
        <w:r w:rsidRPr="004D57A4">
          <w:rPr>
            <w:b w:val="0"/>
            <w:sz w:val="20"/>
          </w:rPr>
          <w:instrText xml:space="preserve"> PAGEREF _Toc155080699 \h </w:instrText>
        </w:r>
        <w:r w:rsidRPr="004D57A4">
          <w:rPr>
            <w:b w:val="0"/>
            <w:sz w:val="20"/>
          </w:rPr>
        </w:r>
        <w:r w:rsidRPr="004D57A4">
          <w:rPr>
            <w:b w:val="0"/>
            <w:sz w:val="20"/>
          </w:rPr>
          <w:fldChar w:fldCharType="separate"/>
        </w:r>
        <w:r w:rsidR="00821D06">
          <w:rPr>
            <w:b w:val="0"/>
            <w:sz w:val="20"/>
          </w:rPr>
          <w:t>18</w:t>
        </w:r>
        <w:r w:rsidRPr="004D57A4">
          <w:rPr>
            <w:b w:val="0"/>
            <w:sz w:val="20"/>
          </w:rPr>
          <w:fldChar w:fldCharType="end"/>
        </w:r>
      </w:hyperlink>
    </w:p>
    <w:p w14:paraId="6860E75C" w14:textId="1604DCB9" w:rsidR="004D57A4" w:rsidRDefault="004D57A4">
      <w:pPr>
        <w:pStyle w:val="TOC7"/>
        <w:rPr>
          <w:rFonts w:asciiTheme="minorHAnsi" w:eastAsiaTheme="minorEastAsia" w:hAnsiTheme="minorHAnsi" w:cstheme="minorBidi"/>
          <w:b w:val="0"/>
          <w:kern w:val="2"/>
          <w:sz w:val="22"/>
          <w:szCs w:val="22"/>
          <w:lang w:eastAsia="en-AU"/>
          <w14:ligatures w14:val="standardContextual"/>
        </w:rPr>
      </w:pPr>
      <w:hyperlink w:anchor="_Toc155080700" w:history="1">
        <w:r w:rsidRPr="0049025D">
          <w:t>Part 1.1</w:t>
        </w:r>
        <w:r>
          <w:rPr>
            <w:rFonts w:asciiTheme="minorHAnsi" w:eastAsiaTheme="minorEastAsia" w:hAnsiTheme="minorHAnsi" w:cstheme="minorBidi"/>
            <w:b w:val="0"/>
            <w:kern w:val="2"/>
            <w:sz w:val="22"/>
            <w:szCs w:val="22"/>
            <w:lang w:eastAsia="en-AU"/>
            <w14:ligatures w14:val="standardContextual"/>
          </w:rPr>
          <w:tab/>
        </w:r>
        <w:r w:rsidRPr="0049025D">
          <w:t>Key concepts</w:t>
        </w:r>
        <w:r>
          <w:tab/>
        </w:r>
        <w:r w:rsidRPr="004D57A4">
          <w:rPr>
            <w:b w:val="0"/>
          </w:rPr>
          <w:fldChar w:fldCharType="begin"/>
        </w:r>
        <w:r w:rsidRPr="004D57A4">
          <w:rPr>
            <w:b w:val="0"/>
          </w:rPr>
          <w:instrText xml:space="preserve"> PAGEREF _Toc155080700 \h </w:instrText>
        </w:r>
        <w:r w:rsidRPr="004D57A4">
          <w:rPr>
            <w:b w:val="0"/>
          </w:rPr>
        </w:r>
        <w:r w:rsidRPr="004D57A4">
          <w:rPr>
            <w:b w:val="0"/>
          </w:rPr>
          <w:fldChar w:fldCharType="separate"/>
        </w:r>
        <w:r w:rsidR="00821D06">
          <w:rPr>
            <w:b w:val="0"/>
          </w:rPr>
          <w:t>18</w:t>
        </w:r>
        <w:r w:rsidRPr="004D57A4">
          <w:rPr>
            <w:b w:val="0"/>
          </w:rPr>
          <w:fldChar w:fldCharType="end"/>
        </w:r>
      </w:hyperlink>
    </w:p>
    <w:p w14:paraId="68989394" w14:textId="7C630B85"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01" w:history="1">
        <w:r w:rsidRPr="0049025D">
          <w:t>1.1A</w:t>
        </w:r>
        <w:r>
          <w:rPr>
            <w:rFonts w:asciiTheme="minorHAnsi" w:eastAsiaTheme="minorEastAsia" w:hAnsiTheme="minorHAnsi" w:cstheme="minorBidi"/>
            <w:kern w:val="2"/>
            <w:sz w:val="22"/>
            <w:szCs w:val="22"/>
            <w:lang w:eastAsia="en-AU"/>
            <w14:ligatures w14:val="standardContextual"/>
          </w:rPr>
          <w:tab/>
        </w:r>
        <w:r w:rsidRPr="0049025D">
          <w:t>Definitions—code of practice</w:t>
        </w:r>
        <w:r>
          <w:tab/>
        </w:r>
        <w:r>
          <w:fldChar w:fldCharType="begin"/>
        </w:r>
        <w:r>
          <w:instrText xml:space="preserve"> PAGEREF _Toc155080701 \h </w:instrText>
        </w:r>
        <w:r>
          <w:fldChar w:fldCharType="separate"/>
        </w:r>
        <w:r w:rsidR="00821D06">
          <w:t>18</w:t>
        </w:r>
        <w:r>
          <w:fldChar w:fldCharType="end"/>
        </w:r>
      </w:hyperlink>
    </w:p>
    <w:p w14:paraId="406288D4" w14:textId="5684A21D"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02" w:history="1">
        <w:r w:rsidRPr="0049025D">
          <w:t>1.1</w:t>
        </w:r>
        <w:r>
          <w:rPr>
            <w:rFonts w:asciiTheme="minorHAnsi" w:eastAsiaTheme="minorEastAsia" w:hAnsiTheme="minorHAnsi" w:cstheme="minorBidi"/>
            <w:kern w:val="2"/>
            <w:sz w:val="22"/>
            <w:szCs w:val="22"/>
            <w:lang w:eastAsia="en-AU"/>
            <w14:ligatures w14:val="standardContextual"/>
          </w:rPr>
          <w:tab/>
        </w:r>
        <w:r w:rsidRPr="0049025D">
          <w:t xml:space="preserve">Meaning of </w:t>
        </w:r>
        <w:r w:rsidRPr="0049025D">
          <w:rPr>
            <w:i/>
          </w:rPr>
          <w:t>licensee</w:t>
        </w:r>
        <w:r>
          <w:tab/>
        </w:r>
        <w:r>
          <w:fldChar w:fldCharType="begin"/>
        </w:r>
        <w:r>
          <w:instrText xml:space="preserve"> PAGEREF _Toc155080702 \h </w:instrText>
        </w:r>
        <w:r>
          <w:fldChar w:fldCharType="separate"/>
        </w:r>
        <w:r w:rsidR="00821D06">
          <w:t>19</w:t>
        </w:r>
        <w:r>
          <w:fldChar w:fldCharType="end"/>
        </w:r>
      </w:hyperlink>
    </w:p>
    <w:p w14:paraId="1F2814B8" w14:textId="397D22C4"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03" w:history="1">
        <w:r w:rsidRPr="0049025D">
          <w:t>1.2</w:t>
        </w:r>
        <w:r>
          <w:rPr>
            <w:rFonts w:asciiTheme="minorHAnsi" w:eastAsiaTheme="minorEastAsia" w:hAnsiTheme="minorHAnsi" w:cstheme="minorBidi"/>
            <w:kern w:val="2"/>
            <w:sz w:val="22"/>
            <w:szCs w:val="22"/>
            <w:lang w:eastAsia="en-AU"/>
            <w14:ligatures w14:val="standardContextual"/>
          </w:rPr>
          <w:tab/>
        </w:r>
        <w:r w:rsidRPr="0049025D">
          <w:t xml:space="preserve">Meaning of </w:t>
        </w:r>
        <w:r w:rsidRPr="0049025D">
          <w:rPr>
            <w:i/>
          </w:rPr>
          <w:t>gambling problem</w:t>
        </w:r>
        <w:r>
          <w:tab/>
        </w:r>
        <w:r>
          <w:fldChar w:fldCharType="begin"/>
        </w:r>
        <w:r>
          <w:instrText xml:space="preserve"> PAGEREF _Toc155080703 \h </w:instrText>
        </w:r>
        <w:r>
          <w:fldChar w:fldCharType="separate"/>
        </w:r>
        <w:r w:rsidR="00821D06">
          <w:t>20</w:t>
        </w:r>
        <w:r>
          <w:fldChar w:fldCharType="end"/>
        </w:r>
      </w:hyperlink>
    </w:p>
    <w:p w14:paraId="5FAF994E" w14:textId="20FB6142" w:rsidR="004D57A4" w:rsidRDefault="004D57A4">
      <w:pPr>
        <w:pStyle w:val="TOC7"/>
        <w:rPr>
          <w:rFonts w:asciiTheme="minorHAnsi" w:eastAsiaTheme="minorEastAsia" w:hAnsiTheme="minorHAnsi" w:cstheme="minorBidi"/>
          <w:b w:val="0"/>
          <w:kern w:val="2"/>
          <w:sz w:val="22"/>
          <w:szCs w:val="22"/>
          <w:lang w:eastAsia="en-AU"/>
          <w14:ligatures w14:val="standardContextual"/>
        </w:rPr>
      </w:pPr>
      <w:hyperlink w:anchor="_Toc155080704" w:history="1">
        <w:r w:rsidRPr="0049025D">
          <w:t>Part 1.2</w:t>
        </w:r>
        <w:r>
          <w:rPr>
            <w:rFonts w:asciiTheme="minorHAnsi" w:eastAsiaTheme="minorEastAsia" w:hAnsiTheme="minorHAnsi" w:cstheme="minorBidi"/>
            <w:b w:val="0"/>
            <w:kern w:val="2"/>
            <w:sz w:val="22"/>
            <w:szCs w:val="22"/>
            <w:lang w:eastAsia="en-AU"/>
            <w14:ligatures w14:val="standardContextual"/>
          </w:rPr>
          <w:tab/>
        </w:r>
        <w:r w:rsidRPr="0049025D">
          <w:t>Conduct of gambling</w:t>
        </w:r>
        <w:r>
          <w:tab/>
        </w:r>
        <w:r w:rsidRPr="004D57A4">
          <w:rPr>
            <w:b w:val="0"/>
          </w:rPr>
          <w:fldChar w:fldCharType="begin"/>
        </w:r>
        <w:r w:rsidRPr="004D57A4">
          <w:rPr>
            <w:b w:val="0"/>
          </w:rPr>
          <w:instrText xml:space="preserve"> PAGEREF _Toc155080704 \h </w:instrText>
        </w:r>
        <w:r w:rsidRPr="004D57A4">
          <w:rPr>
            <w:b w:val="0"/>
          </w:rPr>
        </w:r>
        <w:r w:rsidRPr="004D57A4">
          <w:rPr>
            <w:b w:val="0"/>
          </w:rPr>
          <w:fldChar w:fldCharType="separate"/>
        </w:r>
        <w:r w:rsidR="00821D06">
          <w:rPr>
            <w:b w:val="0"/>
          </w:rPr>
          <w:t>21</w:t>
        </w:r>
        <w:r w:rsidRPr="004D57A4">
          <w:rPr>
            <w:b w:val="0"/>
          </w:rPr>
          <w:fldChar w:fldCharType="end"/>
        </w:r>
      </w:hyperlink>
    </w:p>
    <w:p w14:paraId="6E992398" w14:textId="28826EC3" w:rsidR="004D57A4" w:rsidRDefault="004D57A4">
      <w:pPr>
        <w:pStyle w:val="TOC8"/>
        <w:rPr>
          <w:rFonts w:asciiTheme="minorHAnsi" w:eastAsiaTheme="minorEastAsia" w:hAnsiTheme="minorHAnsi" w:cstheme="minorBidi"/>
          <w:b w:val="0"/>
          <w:kern w:val="2"/>
          <w:sz w:val="22"/>
          <w:szCs w:val="22"/>
          <w:lang w:eastAsia="en-AU"/>
          <w14:ligatures w14:val="standardContextual"/>
        </w:rPr>
      </w:pPr>
      <w:hyperlink w:anchor="_Toc155080705" w:history="1">
        <w:r w:rsidRPr="0049025D">
          <w:t>Division 1.2.1</w:t>
        </w:r>
        <w:r>
          <w:rPr>
            <w:rFonts w:asciiTheme="minorHAnsi" w:eastAsiaTheme="minorEastAsia" w:hAnsiTheme="minorHAnsi" w:cstheme="minorBidi"/>
            <w:b w:val="0"/>
            <w:kern w:val="2"/>
            <w:sz w:val="22"/>
            <w:szCs w:val="22"/>
            <w:lang w:eastAsia="en-AU"/>
            <w14:ligatures w14:val="standardContextual"/>
          </w:rPr>
          <w:tab/>
        </w:r>
        <w:r w:rsidRPr="0049025D">
          <w:t>General</w:t>
        </w:r>
        <w:r>
          <w:tab/>
        </w:r>
        <w:r w:rsidRPr="004D57A4">
          <w:rPr>
            <w:b w:val="0"/>
          </w:rPr>
          <w:fldChar w:fldCharType="begin"/>
        </w:r>
        <w:r w:rsidRPr="004D57A4">
          <w:rPr>
            <w:b w:val="0"/>
          </w:rPr>
          <w:instrText xml:space="preserve"> PAGEREF _Toc155080705 \h </w:instrText>
        </w:r>
        <w:r w:rsidRPr="004D57A4">
          <w:rPr>
            <w:b w:val="0"/>
          </w:rPr>
        </w:r>
        <w:r w:rsidRPr="004D57A4">
          <w:rPr>
            <w:b w:val="0"/>
          </w:rPr>
          <w:fldChar w:fldCharType="separate"/>
        </w:r>
        <w:r w:rsidR="00821D06">
          <w:rPr>
            <w:b w:val="0"/>
          </w:rPr>
          <w:t>21</w:t>
        </w:r>
        <w:r w:rsidRPr="004D57A4">
          <w:rPr>
            <w:b w:val="0"/>
          </w:rPr>
          <w:fldChar w:fldCharType="end"/>
        </w:r>
      </w:hyperlink>
    </w:p>
    <w:p w14:paraId="03F76B65" w14:textId="60ABF00F"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06" w:history="1">
        <w:r w:rsidRPr="0049025D">
          <w:t>1.3</w:t>
        </w:r>
        <w:r>
          <w:rPr>
            <w:rFonts w:asciiTheme="minorHAnsi" w:eastAsiaTheme="minorEastAsia" w:hAnsiTheme="minorHAnsi" w:cstheme="minorBidi"/>
            <w:kern w:val="2"/>
            <w:sz w:val="22"/>
            <w:szCs w:val="22"/>
            <w:lang w:eastAsia="en-AU"/>
            <w14:ligatures w14:val="standardContextual"/>
          </w:rPr>
          <w:tab/>
        </w:r>
        <w:r w:rsidRPr="0049025D">
          <w:t>Licensees obligations generally</w:t>
        </w:r>
        <w:r>
          <w:tab/>
        </w:r>
        <w:r>
          <w:fldChar w:fldCharType="begin"/>
        </w:r>
        <w:r>
          <w:instrText xml:space="preserve"> PAGEREF _Toc155080706 \h </w:instrText>
        </w:r>
        <w:r>
          <w:fldChar w:fldCharType="separate"/>
        </w:r>
        <w:r w:rsidR="00821D06">
          <w:t>21</w:t>
        </w:r>
        <w:r>
          <w:fldChar w:fldCharType="end"/>
        </w:r>
      </w:hyperlink>
    </w:p>
    <w:p w14:paraId="45DFA7D4" w14:textId="15AA1FD9"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07" w:history="1">
        <w:r w:rsidRPr="0049025D">
          <w:t>1.4</w:t>
        </w:r>
        <w:r>
          <w:rPr>
            <w:rFonts w:asciiTheme="minorHAnsi" w:eastAsiaTheme="minorEastAsia" w:hAnsiTheme="minorHAnsi" w:cstheme="minorBidi"/>
            <w:kern w:val="2"/>
            <w:sz w:val="22"/>
            <w:szCs w:val="22"/>
            <w:lang w:eastAsia="en-AU"/>
            <w14:ligatures w14:val="standardContextual"/>
          </w:rPr>
          <w:tab/>
        </w:r>
        <w:r w:rsidRPr="0049025D">
          <w:t>Staff care and training</w:t>
        </w:r>
        <w:r>
          <w:tab/>
        </w:r>
        <w:r>
          <w:fldChar w:fldCharType="begin"/>
        </w:r>
        <w:r>
          <w:instrText xml:space="preserve"> PAGEREF _Toc155080707 \h </w:instrText>
        </w:r>
        <w:r>
          <w:fldChar w:fldCharType="separate"/>
        </w:r>
        <w:r w:rsidR="00821D06">
          <w:t>21</w:t>
        </w:r>
        <w:r>
          <w:fldChar w:fldCharType="end"/>
        </w:r>
      </w:hyperlink>
    </w:p>
    <w:p w14:paraId="30365B50" w14:textId="70C0AF89"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08" w:history="1">
        <w:r w:rsidRPr="0049025D">
          <w:t>1.5</w:t>
        </w:r>
        <w:r>
          <w:rPr>
            <w:rFonts w:asciiTheme="minorHAnsi" w:eastAsiaTheme="minorEastAsia" w:hAnsiTheme="minorHAnsi" w:cstheme="minorBidi"/>
            <w:kern w:val="2"/>
            <w:sz w:val="22"/>
            <w:szCs w:val="22"/>
            <w:lang w:eastAsia="en-AU"/>
            <w14:ligatures w14:val="standardContextual"/>
          </w:rPr>
          <w:tab/>
        </w:r>
        <w:r w:rsidRPr="0049025D">
          <w:t>Exemptions in relation to approved training courses</w:t>
        </w:r>
        <w:r>
          <w:tab/>
        </w:r>
        <w:r>
          <w:fldChar w:fldCharType="begin"/>
        </w:r>
        <w:r>
          <w:instrText xml:space="preserve"> PAGEREF _Toc155080708 \h </w:instrText>
        </w:r>
        <w:r>
          <w:fldChar w:fldCharType="separate"/>
        </w:r>
        <w:r w:rsidR="00821D06">
          <w:t>23</w:t>
        </w:r>
        <w:r>
          <w:fldChar w:fldCharType="end"/>
        </w:r>
      </w:hyperlink>
    </w:p>
    <w:p w14:paraId="3059EA19" w14:textId="4956DAAB"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09" w:history="1">
        <w:r w:rsidRPr="0049025D">
          <w:t>1.5A</w:t>
        </w:r>
        <w:r>
          <w:rPr>
            <w:rFonts w:asciiTheme="minorHAnsi" w:eastAsiaTheme="minorEastAsia" w:hAnsiTheme="minorHAnsi" w:cstheme="minorBidi"/>
            <w:kern w:val="2"/>
            <w:sz w:val="22"/>
            <w:szCs w:val="22"/>
            <w:lang w:eastAsia="en-AU"/>
            <w14:ligatures w14:val="standardContextual"/>
          </w:rPr>
          <w:tab/>
        </w:r>
        <w:r w:rsidRPr="0049025D">
          <w:t>Training for responsible service of interactive wagering and betting services</w:t>
        </w:r>
        <w:r>
          <w:tab/>
        </w:r>
        <w:r>
          <w:fldChar w:fldCharType="begin"/>
        </w:r>
        <w:r>
          <w:instrText xml:space="preserve"> PAGEREF _Toc155080709 \h </w:instrText>
        </w:r>
        <w:r>
          <w:fldChar w:fldCharType="separate"/>
        </w:r>
        <w:r w:rsidR="00821D06">
          <w:t>23</w:t>
        </w:r>
        <w:r>
          <w:fldChar w:fldCharType="end"/>
        </w:r>
      </w:hyperlink>
    </w:p>
    <w:p w14:paraId="0476995A" w14:textId="0B610A38"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10" w:history="1">
        <w:r w:rsidRPr="0049025D">
          <w:t>1.5B</w:t>
        </w:r>
        <w:r>
          <w:rPr>
            <w:rFonts w:asciiTheme="minorHAnsi" w:eastAsiaTheme="minorEastAsia" w:hAnsiTheme="minorHAnsi" w:cstheme="minorBidi"/>
            <w:kern w:val="2"/>
            <w:sz w:val="22"/>
            <w:szCs w:val="22"/>
            <w:lang w:eastAsia="en-AU"/>
            <w14:ligatures w14:val="standardContextual"/>
          </w:rPr>
          <w:tab/>
        </w:r>
        <w:r w:rsidRPr="0049025D">
          <w:t>Independent audit of required training and refresher training</w:t>
        </w:r>
        <w:r>
          <w:tab/>
        </w:r>
        <w:r>
          <w:fldChar w:fldCharType="begin"/>
        </w:r>
        <w:r>
          <w:instrText xml:space="preserve"> PAGEREF _Toc155080710 \h </w:instrText>
        </w:r>
        <w:r>
          <w:fldChar w:fldCharType="separate"/>
        </w:r>
        <w:r w:rsidR="00821D06">
          <w:t>25</w:t>
        </w:r>
        <w:r>
          <w:fldChar w:fldCharType="end"/>
        </w:r>
      </w:hyperlink>
    </w:p>
    <w:p w14:paraId="54E5C41F" w14:textId="1E288F93" w:rsidR="004D57A4" w:rsidRDefault="004D57A4">
      <w:pPr>
        <w:pStyle w:val="TOC8"/>
        <w:rPr>
          <w:rFonts w:asciiTheme="minorHAnsi" w:eastAsiaTheme="minorEastAsia" w:hAnsiTheme="minorHAnsi" w:cstheme="minorBidi"/>
          <w:b w:val="0"/>
          <w:kern w:val="2"/>
          <w:sz w:val="22"/>
          <w:szCs w:val="22"/>
          <w:lang w:eastAsia="en-AU"/>
          <w14:ligatures w14:val="standardContextual"/>
        </w:rPr>
      </w:pPr>
      <w:hyperlink w:anchor="_Toc155080711" w:history="1">
        <w:r w:rsidRPr="0049025D">
          <w:t>Division 1.2.2</w:t>
        </w:r>
        <w:r>
          <w:rPr>
            <w:rFonts w:asciiTheme="minorHAnsi" w:eastAsiaTheme="minorEastAsia" w:hAnsiTheme="minorHAnsi" w:cstheme="minorBidi"/>
            <w:b w:val="0"/>
            <w:kern w:val="2"/>
            <w:sz w:val="22"/>
            <w:szCs w:val="22"/>
            <w:lang w:eastAsia="en-AU"/>
            <w14:ligatures w14:val="standardContextual"/>
          </w:rPr>
          <w:tab/>
        </w:r>
        <w:r w:rsidRPr="0049025D">
          <w:t>Problem gambling</w:t>
        </w:r>
        <w:r>
          <w:tab/>
        </w:r>
        <w:r w:rsidRPr="004D57A4">
          <w:rPr>
            <w:b w:val="0"/>
          </w:rPr>
          <w:fldChar w:fldCharType="begin"/>
        </w:r>
        <w:r w:rsidRPr="004D57A4">
          <w:rPr>
            <w:b w:val="0"/>
          </w:rPr>
          <w:instrText xml:space="preserve"> PAGEREF _Toc155080711 \h </w:instrText>
        </w:r>
        <w:r w:rsidRPr="004D57A4">
          <w:rPr>
            <w:b w:val="0"/>
          </w:rPr>
        </w:r>
        <w:r w:rsidRPr="004D57A4">
          <w:rPr>
            <w:b w:val="0"/>
          </w:rPr>
          <w:fldChar w:fldCharType="separate"/>
        </w:r>
        <w:r w:rsidR="00821D06">
          <w:rPr>
            <w:b w:val="0"/>
          </w:rPr>
          <w:t>26</w:t>
        </w:r>
        <w:r w:rsidRPr="004D57A4">
          <w:rPr>
            <w:b w:val="0"/>
          </w:rPr>
          <w:fldChar w:fldCharType="end"/>
        </w:r>
      </w:hyperlink>
    </w:p>
    <w:p w14:paraId="0DA1BC78" w14:textId="700134D4"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12" w:history="1">
        <w:r w:rsidRPr="0049025D">
          <w:t>1.6</w:t>
        </w:r>
        <w:r>
          <w:rPr>
            <w:rFonts w:asciiTheme="minorHAnsi" w:eastAsiaTheme="minorEastAsia" w:hAnsiTheme="minorHAnsi" w:cstheme="minorBidi"/>
            <w:kern w:val="2"/>
            <w:sz w:val="22"/>
            <w:szCs w:val="22"/>
            <w:lang w:eastAsia="en-AU"/>
            <w14:ligatures w14:val="standardContextual"/>
          </w:rPr>
          <w:tab/>
        </w:r>
        <w:r w:rsidRPr="0049025D">
          <w:t>Problem gambling incident register</w:t>
        </w:r>
        <w:r>
          <w:tab/>
        </w:r>
        <w:r>
          <w:fldChar w:fldCharType="begin"/>
        </w:r>
        <w:r>
          <w:instrText xml:space="preserve"> PAGEREF _Toc155080712 \h </w:instrText>
        </w:r>
        <w:r>
          <w:fldChar w:fldCharType="separate"/>
        </w:r>
        <w:r w:rsidR="00821D06">
          <w:t>26</w:t>
        </w:r>
        <w:r>
          <w:fldChar w:fldCharType="end"/>
        </w:r>
      </w:hyperlink>
    </w:p>
    <w:p w14:paraId="10C80DF4" w14:textId="3E404E6F"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13" w:history="1">
        <w:r w:rsidRPr="0049025D">
          <w:t>1.6A</w:t>
        </w:r>
        <w:r>
          <w:rPr>
            <w:rFonts w:asciiTheme="minorHAnsi" w:eastAsiaTheme="minorEastAsia" w:hAnsiTheme="minorHAnsi" w:cstheme="minorBidi"/>
            <w:kern w:val="2"/>
            <w:sz w:val="22"/>
            <w:szCs w:val="22"/>
            <w:lang w:eastAsia="en-AU"/>
            <w14:ligatures w14:val="standardContextual"/>
          </w:rPr>
          <w:tab/>
        </w:r>
        <w:r w:rsidRPr="0049025D">
          <w:t>Recording problem gambling incidents</w:t>
        </w:r>
        <w:r>
          <w:tab/>
        </w:r>
        <w:r>
          <w:fldChar w:fldCharType="begin"/>
        </w:r>
        <w:r>
          <w:instrText xml:space="preserve"> PAGEREF _Toc155080713 \h </w:instrText>
        </w:r>
        <w:r>
          <w:fldChar w:fldCharType="separate"/>
        </w:r>
        <w:r w:rsidR="00821D06">
          <w:t>26</w:t>
        </w:r>
        <w:r>
          <w:fldChar w:fldCharType="end"/>
        </w:r>
      </w:hyperlink>
    </w:p>
    <w:p w14:paraId="65CC129E" w14:textId="63554F22"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14" w:history="1">
        <w:r w:rsidRPr="0049025D">
          <w:t>1.7</w:t>
        </w:r>
        <w:r>
          <w:rPr>
            <w:rFonts w:asciiTheme="minorHAnsi" w:eastAsiaTheme="minorEastAsia" w:hAnsiTheme="minorHAnsi" w:cstheme="minorBidi"/>
            <w:kern w:val="2"/>
            <w:sz w:val="22"/>
            <w:szCs w:val="22"/>
            <w:lang w:eastAsia="en-AU"/>
            <w14:ligatures w14:val="standardContextual"/>
          </w:rPr>
          <w:tab/>
        </w:r>
        <w:r w:rsidRPr="0049025D">
          <w:t>Gambling beyond means</w:t>
        </w:r>
        <w:r>
          <w:tab/>
        </w:r>
        <w:r>
          <w:fldChar w:fldCharType="begin"/>
        </w:r>
        <w:r>
          <w:instrText xml:space="preserve"> PAGEREF _Toc155080714 \h </w:instrText>
        </w:r>
        <w:r>
          <w:fldChar w:fldCharType="separate"/>
        </w:r>
        <w:r w:rsidR="00821D06">
          <w:t>28</w:t>
        </w:r>
        <w:r>
          <w:fldChar w:fldCharType="end"/>
        </w:r>
      </w:hyperlink>
    </w:p>
    <w:p w14:paraId="60F33474" w14:textId="061ACBBC"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15" w:history="1">
        <w:r w:rsidRPr="0049025D">
          <w:t>1.8</w:t>
        </w:r>
        <w:r>
          <w:rPr>
            <w:rFonts w:asciiTheme="minorHAnsi" w:eastAsiaTheme="minorEastAsia" w:hAnsiTheme="minorHAnsi" w:cstheme="minorBidi"/>
            <w:kern w:val="2"/>
            <w:sz w:val="22"/>
            <w:szCs w:val="22"/>
            <w:lang w:eastAsia="en-AU"/>
            <w14:ligatures w14:val="standardContextual"/>
          </w:rPr>
          <w:tab/>
        </w:r>
        <w:r w:rsidRPr="0049025D">
          <w:t>Help in relation to gambling problems</w:t>
        </w:r>
        <w:r>
          <w:tab/>
        </w:r>
        <w:r>
          <w:fldChar w:fldCharType="begin"/>
        </w:r>
        <w:r>
          <w:instrText xml:space="preserve"> PAGEREF _Toc155080715 \h </w:instrText>
        </w:r>
        <w:r>
          <w:fldChar w:fldCharType="separate"/>
        </w:r>
        <w:r w:rsidR="00821D06">
          <w:t>28</w:t>
        </w:r>
        <w:r>
          <w:fldChar w:fldCharType="end"/>
        </w:r>
      </w:hyperlink>
    </w:p>
    <w:p w14:paraId="6D30260C" w14:textId="108A74AD"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16" w:history="1">
        <w:r w:rsidRPr="0049025D">
          <w:t>1.9</w:t>
        </w:r>
        <w:r>
          <w:rPr>
            <w:rFonts w:asciiTheme="minorHAnsi" w:eastAsiaTheme="minorEastAsia" w:hAnsiTheme="minorHAnsi" w:cstheme="minorBidi"/>
            <w:kern w:val="2"/>
            <w:sz w:val="22"/>
            <w:szCs w:val="22"/>
            <w:lang w:eastAsia="en-AU"/>
            <w14:ligatures w14:val="standardContextual"/>
          </w:rPr>
          <w:tab/>
        </w:r>
        <w:r w:rsidRPr="0049025D">
          <w:t>Gambling contact officers</w:t>
        </w:r>
        <w:r>
          <w:tab/>
        </w:r>
        <w:r>
          <w:fldChar w:fldCharType="begin"/>
        </w:r>
        <w:r>
          <w:instrText xml:space="preserve"> PAGEREF _Toc155080716 \h </w:instrText>
        </w:r>
        <w:r>
          <w:fldChar w:fldCharType="separate"/>
        </w:r>
        <w:r w:rsidR="00821D06">
          <w:t>28</w:t>
        </w:r>
        <w:r>
          <w:fldChar w:fldCharType="end"/>
        </w:r>
      </w:hyperlink>
    </w:p>
    <w:p w14:paraId="6B308761" w14:textId="7531AAB3"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17" w:history="1">
        <w:r w:rsidRPr="0049025D">
          <w:t>1.10</w:t>
        </w:r>
        <w:r>
          <w:rPr>
            <w:rFonts w:asciiTheme="minorHAnsi" w:eastAsiaTheme="minorEastAsia" w:hAnsiTheme="minorHAnsi" w:cstheme="minorBidi"/>
            <w:kern w:val="2"/>
            <w:sz w:val="22"/>
            <w:szCs w:val="22"/>
            <w:lang w:eastAsia="en-AU"/>
            <w14:ligatures w14:val="standardContextual"/>
          </w:rPr>
          <w:tab/>
        </w:r>
        <w:r w:rsidRPr="0049025D">
          <w:t>Gambling contact officers functions</w:t>
        </w:r>
        <w:r>
          <w:tab/>
        </w:r>
        <w:r>
          <w:fldChar w:fldCharType="begin"/>
        </w:r>
        <w:r>
          <w:instrText xml:space="preserve"> PAGEREF _Toc155080717 \h </w:instrText>
        </w:r>
        <w:r>
          <w:fldChar w:fldCharType="separate"/>
        </w:r>
        <w:r w:rsidR="00821D06">
          <w:t>29</w:t>
        </w:r>
        <w:r>
          <w:fldChar w:fldCharType="end"/>
        </w:r>
      </w:hyperlink>
    </w:p>
    <w:p w14:paraId="3FC6792B" w14:textId="64EFDABB"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18" w:history="1">
        <w:r w:rsidRPr="0049025D">
          <w:t>1.11</w:t>
        </w:r>
        <w:r>
          <w:rPr>
            <w:rFonts w:asciiTheme="minorHAnsi" w:eastAsiaTheme="minorEastAsia" w:hAnsiTheme="minorHAnsi" w:cstheme="minorBidi"/>
            <w:kern w:val="2"/>
            <w:sz w:val="22"/>
            <w:szCs w:val="22"/>
            <w:lang w:eastAsia="en-AU"/>
            <w14:ligatures w14:val="standardContextual"/>
          </w:rPr>
          <w:tab/>
        </w:r>
        <w:r w:rsidRPr="0049025D">
          <w:t>Dealing with people with gambling problem</w:t>
        </w:r>
        <w:r>
          <w:tab/>
        </w:r>
        <w:r>
          <w:fldChar w:fldCharType="begin"/>
        </w:r>
        <w:r>
          <w:instrText xml:space="preserve"> PAGEREF _Toc155080718 \h </w:instrText>
        </w:r>
        <w:r>
          <w:fldChar w:fldCharType="separate"/>
        </w:r>
        <w:r w:rsidR="00821D06">
          <w:t>30</w:t>
        </w:r>
        <w:r>
          <w:fldChar w:fldCharType="end"/>
        </w:r>
      </w:hyperlink>
    </w:p>
    <w:p w14:paraId="3C2333DF" w14:textId="09AB8DB1" w:rsidR="004D57A4" w:rsidRDefault="004D57A4">
      <w:pPr>
        <w:pStyle w:val="TOC8"/>
        <w:rPr>
          <w:rFonts w:asciiTheme="minorHAnsi" w:eastAsiaTheme="minorEastAsia" w:hAnsiTheme="minorHAnsi" w:cstheme="minorBidi"/>
          <w:b w:val="0"/>
          <w:kern w:val="2"/>
          <w:sz w:val="22"/>
          <w:szCs w:val="22"/>
          <w:lang w:eastAsia="en-AU"/>
          <w14:ligatures w14:val="standardContextual"/>
        </w:rPr>
      </w:pPr>
      <w:hyperlink w:anchor="_Toc155080719" w:history="1">
        <w:r w:rsidRPr="0049025D">
          <w:t>Division 1.2.3</w:t>
        </w:r>
        <w:r>
          <w:rPr>
            <w:rFonts w:asciiTheme="minorHAnsi" w:eastAsiaTheme="minorEastAsia" w:hAnsiTheme="minorHAnsi" w:cstheme="minorBidi"/>
            <w:b w:val="0"/>
            <w:kern w:val="2"/>
            <w:sz w:val="22"/>
            <w:szCs w:val="22"/>
            <w:lang w:eastAsia="en-AU"/>
            <w14:ligatures w14:val="standardContextual"/>
          </w:rPr>
          <w:tab/>
        </w:r>
        <w:r w:rsidRPr="0049025D">
          <w:t>Exclusion from gambling generally</w:t>
        </w:r>
        <w:r>
          <w:tab/>
        </w:r>
        <w:r w:rsidRPr="004D57A4">
          <w:rPr>
            <w:b w:val="0"/>
          </w:rPr>
          <w:fldChar w:fldCharType="begin"/>
        </w:r>
        <w:r w:rsidRPr="004D57A4">
          <w:rPr>
            <w:b w:val="0"/>
          </w:rPr>
          <w:instrText xml:space="preserve"> PAGEREF _Toc155080719 \h </w:instrText>
        </w:r>
        <w:r w:rsidRPr="004D57A4">
          <w:rPr>
            <w:b w:val="0"/>
          </w:rPr>
        </w:r>
        <w:r w:rsidRPr="004D57A4">
          <w:rPr>
            <w:b w:val="0"/>
          </w:rPr>
          <w:fldChar w:fldCharType="separate"/>
        </w:r>
        <w:r w:rsidR="00821D06">
          <w:rPr>
            <w:b w:val="0"/>
          </w:rPr>
          <w:t>31</w:t>
        </w:r>
        <w:r w:rsidRPr="004D57A4">
          <w:rPr>
            <w:b w:val="0"/>
          </w:rPr>
          <w:fldChar w:fldCharType="end"/>
        </w:r>
      </w:hyperlink>
    </w:p>
    <w:p w14:paraId="2D89D644" w14:textId="3EECD3F8"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20" w:history="1">
        <w:r w:rsidRPr="0049025D">
          <w:t>1.12</w:t>
        </w:r>
        <w:r>
          <w:rPr>
            <w:rFonts w:asciiTheme="minorHAnsi" w:eastAsiaTheme="minorEastAsia" w:hAnsiTheme="minorHAnsi" w:cstheme="minorBidi"/>
            <w:kern w:val="2"/>
            <w:sz w:val="22"/>
            <w:szCs w:val="22"/>
            <w:lang w:eastAsia="en-AU"/>
            <w14:ligatures w14:val="standardContextual"/>
          </w:rPr>
          <w:tab/>
        </w:r>
        <w:r w:rsidRPr="0049025D">
          <w:t>Application of div 1.2.3</w:t>
        </w:r>
        <w:r>
          <w:tab/>
        </w:r>
        <w:r>
          <w:fldChar w:fldCharType="begin"/>
        </w:r>
        <w:r>
          <w:instrText xml:space="preserve"> PAGEREF _Toc155080720 \h </w:instrText>
        </w:r>
        <w:r>
          <w:fldChar w:fldCharType="separate"/>
        </w:r>
        <w:r w:rsidR="00821D06">
          <w:t>31</w:t>
        </w:r>
        <w:r>
          <w:fldChar w:fldCharType="end"/>
        </w:r>
      </w:hyperlink>
    </w:p>
    <w:p w14:paraId="1BEDC9E5" w14:textId="17CDEA3F"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21" w:history="1">
        <w:r w:rsidRPr="0049025D">
          <w:t>1.13</w:t>
        </w:r>
        <w:r>
          <w:rPr>
            <w:rFonts w:asciiTheme="minorHAnsi" w:eastAsiaTheme="minorEastAsia" w:hAnsiTheme="minorHAnsi" w:cstheme="minorBidi"/>
            <w:kern w:val="2"/>
            <w:sz w:val="22"/>
            <w:szCs w:val="22"/>
            <w:lang w:eastAsia="en-AU"/>
            <w14:ligatures w14:val="standardContextual"/>
          </w:rPr>
          <w:tab/>
        </w:r>
        <w:r w:rsidRPr="0049025D">
          <w:t>Deeds of exclusion</w:t>
        </w:r>
        <w:r>
          <w:tab/>
        </w:r>
        <w:r>
          <w:fldChar w:fldCharType="begin"/>
        </w:r>
        <w:r>
          <w:instrText xml:space="preserve"> PAGEREF _Toc155080721 \h </w:instrText>
        </w:r>
        <w:r>
          <w:fldChar w:fldCharType="separate"/>
        </w:r>
        <w:r w:rsidR="00821D06">
          <w:t>32</w:t>
        </w:r>
        <w:r>
          <w:fldChar w:fldCharType="end"/>
        </w:r>
      </w:hyperlink>
    </w:p>
    <w:p w14:paraId="0C670BD8" w14:textId="08F7E36F"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22" w:history="1">
        <w:r w:rsidRPr="0049025D">
          <w:t>1.13A</w:t>
        </w:r>
        <w:r>
          <w:rPr>
            <w:rFonts w:asciiTheme="minorHAnsi" w:eastAsiaTheme="minorEastAsia" w:hAnsiTheme="minorHAnsi" w:cstheme="minorBidi"/>
            <w:kern w:val="2"/>
            <w:sz w:val="22"/>
            <w:szCs w:val="22"/>
            <w:lang w:eastAsia="en-AU"/>
            <w14:ligatures w14:val="standardContextual"/>
          </w:rPr>
          <w:tab/>
        </w:r>
        <w:r w:rsidRPr="0049025D">
          <w:t>Deeds of exclusion—revocation</w:t>
        </w:r>
        <w:r>
          <w:tab/>
        </w:r>
        <w:r>
          <w:fldChar w:fldCharType="begin"/>
        </w:r>
        <w:r>
          <w:instrText xml:space="preserve"> PAGEREF _Toc155080722 \h </w:instrText>
        </w:r>
        <w:r>
          <w:fldChar w:fldCharType="separate"/>
        </w:r>
        <w:r w:rsidR="00821D06">
          <w:t>33</w:t>
        </w:r>
        <w:r>
          <w:fldChar w:fldCharType="end"/>
        </w:r>
      </w:hyperlink>
    </w:p>
    <w:p w14:paraId="683E130A" w14:textId="39A6C646"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23" w:history="1">
        <w:r w:rsidRPr="0049025D">
          <w:t>1.14</w:t>
        </w:r>
        <w:r>
          <w:rPr>
            <w:rFonts w:asciiTheme="minorHAnsi" w:eastAsiaTheme="minorEastAsia" w:hAnsiTheme="minorHAnsi" w:cstheme="minorBidi"/>
            <w:kern w:val="2"/>
            <w:sz w:val="22"/>
            <w:szCs w:val="22"/>
            <w:lang w:eastAsia="en-AU"/>
            <w14:ligatures w14:val="standardContextual"/>
          </w:rPr>
          <w:tab/>
        </w:r>
        <w:r w:rsidRPr="0049025D">
          <w:t>Exclusion of people at risk or excluded under deed</w:t>
        </w:r>
        <w:r>
          <w:tab/>
        </w:r>
        <w:r>
          <w:fldChar w:fldCharType="begin"/>
        </w:r>
        <w:r>
          <w:instrText xml:space="preserve"> PAGEREF _Toc155080723 \h </w:instrText>
        </w:r>
        <w:r>
          <w:fldChar w:fldCharType="separate"/>
        </w:r>
        <w:r w:rsidR="00821D06">
          <w:t>34</w:t>
        </w:r>
        <w:r>
          <w:fldChar w:fldCharType="end"/>
        </w:r>
      </w:hyperlink>
    </w:p>
    <w:p w14:paraId="306D61F7" w14:textId="08281368"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24" w:history="1">
        <w:r w:rsidRPr="0049025D">
          <w:t>1.15</w:t>
        </w:r>
        <w:r>
          <w:rPr>
            <w:rFonts w:asciiTheme="minorHAnsi" w:eastAsiaTheme="minorEastAsia" w:hAnsiTheme="minorHAnsi" w:cstheme="minorBidi"/>
            <w:kern w:val="2"/>
            <w:sz w:val="22"/>
            <w:szCs w:val="22"/>
            <w:lang w:eastAsia="en-AU"/>
            <w14:ligatures w14:val="standardContextual"/>
          </w:rPr>
          <w:tab/>
        </w:r>
        <w:r w:rsidRPr="0049025D">
          <w:t>Matters to which licensee to have regard when deciding whether to exclude</w:t>
        </w:r>
        <w:r>
          <w:tab/>
        </w:r>
        <w:r>
          <w:fldChar w:fldCharType="begin"/>
        </w:r>
        <w:r>
          <w:instrText xml:space="preserve"> PAGEREF _Toc155080724 \h </w:instrText>
        </w:r>
        <w:r>
          <w:fldChar w:fldCharType="separate"/>
        </w:r>
        <w:r w:rsidR="00821D06">
          <w:t>35</w:t>
        </w:r>
        <w:r>
          <w:fldChar w:fldCharType="end"/>
        </w:r>
      </w:hyperlink>
    </w:p>
    <w:p w14:paraId="6F5419D1" w14:textId="501BD7E2"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25" w:history="1">
        <w:r w:rsidRPr="0049025D">
          <w:t>1.16</w:t>
        </w:r>
        <w:r>
          <w:rPr>
            <w:rFonts w:asciiTheme="minorHAnsi" w:eastAsiaTheme="minorEastAsia" w:hAnsiTheme="minorHAnsi" w:cstheme="minorBidi"/>
            <w:kern w:val="2"/>
            <w:sz w:val="22"/>
            <w:szCs w:val="22"/>
            <w:lang w:eastAsia="en-AU"/>
            <w14:ligatures w14:val="standardContextual"/>
          </w:rPr>
          <w:tab/>
        </w:r>
        <w:r w:rsidRPr="0049025D">
          <w:t>Commission’s review of exclusion decisions</w:t>
        </w:r>
        <w:r>
          <w:tab/>
        </w:r>
        <w:r>
          <w:fldChar w:fldCharType="begin"/>
        </w:r>
        <w:r>
          <w:instrText xml:space="preserve"> PAGEREF _Toc155080725 \h </w:instrText>
        </w:r>
        <w:r>
          <w:fldChar w:fldCharType="separate"/>
        </w:r>
        <w:r w:rsidR="00821D06">
          <w:t>35</w:t>
        </w:r>
        <w:r>
          <w:fldChar w:fldCharType="end"/>
        </w:r>
      </w:hyperlink>
    </w:p>
    <w:p w14:paraId="086F6602" w14:textId="47B0904D"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26" w:history="1">
        <w:r w:rsidRPr="0049025D">
          <w:t>1.17</w:t>
        </w:r>
        <w:r>
          <w:rPr>
            <w:rFonts w:asciiTheme="minorHAnsi" w:eastAsiaTheme="minorEastAsia" w:hAnsiTheme="minorHAnsi" w:cstheme="minorBidi"/>
            <w:kern w:val="2"/>
            <w:sz w:val="22"/>
            <w:szCs w:val="22"/>
            <w:lang w:eastAsia="en-AU"/>
            <w14:ligatures w14:val="standardContextual"/>
          </w:rPr>
          <w:tab/>
        </w:r>
        <w:r w:rsidRPr="0049025D">
          <w:t>Exclusion procedures</w:t>
        </w:r>
        <w:r>
          <w:tab/>
        </w:r>
        <w:r>
          <w:fldChar w:fldCharType="begin"/>
        </w:r>
        <w:r>
          <w:instrText xml:space="preserve"> PAGEREF _Toc155080726 \h </w:instrText>
        </w:r>
        <w:r>
          <w:fldChar w:fldCharType="separate"/>
        </w:r>
        <w:r w:rsidR="00821D06">
          <w:t>35</w:t>
        </w:r>
        <w:r>
          <w:fldChar w:fldCharType="end"/>
        </w:r>
      </w:hyperlink>
    </w:p>
    <w:p w14:paraId="34A9109A" w14:textId="233B404D"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27" w:history="1">
        <w:r w:rsidRPr="0049025D">
          <w:t>1.18</w:t>
        </w:r>
        <w:r>
          <w:rPr>
            <w:rFonts w:asciiTheme="minorHAnsi" w:eastAsiaTheme="minorEastAsia" w:hAnsiTheme="minorHAnsi" w:cstheme="minorBidi"/>
            <w:kern w:val="2"/>
            <w:sz w:val="22"/>
            <w:szCs w:val="22"/>
            <w:lang w:eastAsia="en-AU"/>
            <w14:ligatures w14:val="standardContextual"/>
          </w:rPr>
          <w:tab/>
        </w:r>
        <w:r w:rsidRPr="0049025D">
          <w:t>Licensee must keep deeds and notices of exclusion</w:t>
        </w:r>
        <w:r>
          <w:tab/>
        </w:r>
        <w:r>
          <w:fldChar w:fldCharType="begin"/>
        </w:r>
        <w:r>
          <w:instrText xml:space="preserve"> PAGEREF _Toc155080727 \h </w:instrText>
        </w:r>
        <w:r>
          <w:fldChar w:fldCharType="separate"/>
        </w:r>
        <w:r w:rsidR="00821D06">
          <w:t>36</w:t>
        </w:r>
        <w:r>
          <w:fldChar w:fldCharType="end"/>
        </w:r>
      </w:hyperlink>
    </w:p>
    <w:p w14:paraId="54EEAE6C" w14:textId="357742AA"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28" w:history="1">
        <w:r w:rsidRPr="0049025D">
          <w:t>1.19</w:t>
        </w:r>
        <w:r>
          <w:rPr>
            <w:rFonts w:asciiTheme="minorHAnsi" w:eastAsiaTheme="minorEastAsia" w:hAnsiTheme="minorHAnsi" w:cstheme="minorBidi"/>
            <w:kern w:val="2"/>
            <w:sz w:val="22"/>
            <w:szCs w:val="22"/>
            <w:lang w:eastAsia="en-AU"/>
            <w14:ligatures w14:val="standardContextual"/>
          </w:rPr>
          <w:tab/>
        </w:r>
        <w:r w:rsidRPr="0049025D">
          <w:t>Accounts of excluded people</w:t>
        </w:r>
        <w:r>
          <w:tab/>
        </w:r>
        <w:r>
          <w:fldChar w:fldCharType="begin"/>
        </w:r>
        <w:r>
          <w:instrText xml:space="preserve"> PAGEREF _Toc155080728 \h </w:instrText>
        </w:r>
        <w:r>
          <w:fldChar w:fldCharType="separate"/>
        </w:r>
        <w:r w:rsidR="00821D06">
          <w:t>36</w:t>
        </w:r>
        <w:r>
          <w:fldChar w:fldCharType="end"/>
        </w:r>
      </w:hyperlink>
    </w:p>
    <w:p w14:paraId="63A65434" w14:textId="6A2C75DE" w:rsidR="004D57A4" w:rsidRDefault="004D57A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5080729" w:history="1">
        <w:r w:rsidRPr="0049025D">
          <w:t>1.20</w:t>
        </w:r>
        <w:r>
          <w:rPr>
            <w:rFonts w:asciiTheme="minorHAnsi" w:eastAsiaTheme="minorEastAsia" w:hAnsiTheme="minorHAnsi" w:cstheme="minorBidi"/>
            <w:kern w:val="2"/>
            <w:sz w:val="22"/>
            <w:szCs w:val="22"/>
            <w:lang w:eastAsia="en-AU"/>
            <w14:ligatures w14:val="standardContextual"/>
          </w:rPr>
          <w:tab/>
        </w:r>
        <w:r w:rsidRPr="0049025D">
          <w:t>Promotional material not to be given to certain excluded people</w:t>
        </w:r>
        <w:r>
          <w:tab/>
        </w:r>
        <w:r>
          <w:fldChar w:fldCharType="begin"/>
        </w:r>
        <w:r>
          <w:instrText xml:space="preserve"> PAGEREF _Toc155080729 \h </w:instrText>
        </w:r>
        <w:r>
          <w:fldChar w:fldCharType="separate"/>
        </w:r>
        <w:r w:rsidR="00821D06">
          <w:t>37</w:t>
        </w:r>
        <w:r>
          <w:fldChar w:fldCharType="end"/>
        </w:r>
      </w:hyperlink>
    </w:p>
    <w:p w14:paraId="7EF9291A" w14:textId="50FE8927" w:rsidR="004D57A4" w:rsidRDefault="004D57A4">
      <w:pPr>
        <w:pStyle w:val="TOC8"/>
        <w:rPr>
          <w:rFonts w:asciiTheme="minorHAnsi" w:eastAsiaTheme="minorEastAsia" w:hAnsiTheme="minorHAnsi" w:cstheme="minorBidi"/>
          <w:b w:val="0"/>
          <w:kern w:val="2"/>
          <w:sz w:val="22"/>
          <w:szCs w:val="22"/>
          <w:lang w:eastAsia="en-AU"/>
          <w14:ligatures w14:val="standardContextual"/>
        </w:rPr>
      </w:pPr>
      <w:hyperlink w:anchor="_Toc155080730" w:history="1">
        <w:r w:rsidRPr="0049025D">
          <w:t>Division 1.2.4</w:t>
        </w:r>
        <w:r>
          <w:rPr>
            <w:rFonts w:asciiTheme="minorHAnsi" w:eastAsiaTheme="minorEastAsia" w:hAnsiTheme="minorHAnsi" w:cstheme="minorBidi"/>
            <w:b w:val="0"/>
            <w:kern w:val="2"/>
            <w:sz w:val="22"/>
            <w:szCs w:val="22"/>
            <w:lang w:eastAsia="en-AU"/>
            <w14:ligatures w14:val="standardContextual"/>
          </w:rPr>
          <w:tab/>
        </w:r>
        <w:r w:rsidRPr="0049025D">
          <w:t>Betting accounts—electronic race bookmaking, sports bookmaking and totalisator licensees</w:t>
        </w:r>
        <w:r>
          <w:tab/>
        </w:r>
        <w:r w:rsidRPr="004D57A4">
          <w:rPr>
            <w:b w:val="0"/>
          </w:rPr>
          <w:fldChar w:fldCharType="begin"/>
        </w:r>
        <w:r w:rsidRPr="004D57A4">
          <w:rPr>
            <w:b w:val="0"/>
          </w:rPr>
          <w:instrText xml:space="preserve"> PAGEREF _Toc155080730 \h </w:instrText>
        </w:r>
        <w:r w:rsidRPr="004D57A4">
          <w:rPr>
            <w:b w:val="0"/>
          </w:rPr>
        </w:r>
        <w:r w:rsidRPr="004D57A4">
          <w:rPr>
            <w:b w:val="0"/>
          </w:rPr>
          <w:fldChar w:fldCharType="separate"/>
        </w:r>
        <w:r w:rsidR="00821D06">
          <w:rPr>
            <w:b w:val="0"/>
          </w:rPr>
          <w:t>37</w:t>
        </w:r>
        <w:r w:rsidRPr="004D57A4">
          <w:rPr>
            <w:b w:val="0"/>
          </w:rPr>
          <w:fldChar w:fldCharType="end"/>
        </w:r>
      </w:hyperlink>
    </w:p>
    <w:p w14:paraId="37AABEF6" w14:textId="75054E12"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31" w:history="1">
        <w:r w:rsidRPr="0049025D">
          <w:t>1.20A</w:t>
        </w:r>
        <w:r>
          <w:rPr>
            <w:rFonts w:asciiTheme="minorHAnsi" w:eastAsiaTheme="minorEastAsia" w:hAnsiTheme="minorHAnsi" w:cstheme="minorBidi"/>
            <w:kern w:val="2"/>
            <w:sz w:val="22"/>
            <w:szCs w:val="22"/>
            <w:lang w:eastAsia="en-AU"/>
            <w14:ligatures w14:val="standardContextual"/>
          </w:rPr>
          <w:tab/>
        </w:r>
        <w:r w:rsidRPr="0049025D">
          <w:rPr>
            <w:shd w:val="clear" w:color="auto" w:fill="FFFFFF"/>
          </w:rPr>
          <w:t>Application</w:t>
        </w:r>
        <w:r w:rsidRPr="0049025D">
          <w:t>—div 1.2.4</w:t>
        </w:r>
        <w:r>
          <w:tab/>
        </w:r>
        <w:r>
          <w:fldChar w:fldCharType="begin"/>
        </w:r>
        <w:r>
          <w:instrText xml:space="preserve"> PAGEREF _Toc155080731 \h </w:instrText>
        </w:r>
        <w:r>
          <w:fldChar w:fldCharType="separate"/>
        </w:r>
        <w:r w:rsidR="00821D06">
          <w:t>37</w:t>
        </w:r>
        <w:r>
          <w:fldChar w:fldCharType="end"/>
        </w:r>
      </w:hyperlink>
    </w:p>
    <w:p w14:paraId="2C6CA83A" w14:textId="420C1291"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32" w:history="1">
        <w:r w:rsidRPr="0049025D">
          <w:t>1.20B</w:t>
        </w:r>
        <w:r>
          <w:rPr>
            <w:rFonts w:asciiTheme="minorHAnsi" w:eastAsiaTheme="minorEastAsia" w:hAnsiTheme="minorHAnsi" w:cstheme="minorBidi"/>
            <w:kern w:val="2"/>
            <w:sz w:val="22"/>
            <w:szCs w:val="22"/>
            <w:lang w:eastAsia="en-AU"/>
            <w14:ligatures w14:val="standardContextual"/>
          </w:rPr>
          <w:tab/>
        </w:r>
        <w:r w:rsidRPr="0049025D">
          <w:t xml:space="preserve">Meaning of </w:t>
        </w:r>
        <w:r w:rsidRPr="0049025D">
          <w:rPr>
            <w:i/>
          </w:rPr>
          <w:t>deposit limit</w:t>
        </w:r>
        <w:r w:rsidRPr="0049025D">
          <w:t>—div 1.2.4</w:t>
        </w:r>
        <w:r>
          <w:tab/>
        </w:r>
        <w:r>
          <w:fldChar w:fldCharType="begin"/>
        </w:r>
        <w:r>
          <w:instrText xml:space="preserve"> PAGEREF _Toc155080732 \h </w:instrText>
        </w:r>
        <w:r>
          <w:fldChar w:fldCharType="separate"/>
        </w:r>
        <w:r w:rsidR="00821D06">
          <w:t>38</w:t>
        </w:r>
        <w:r>
          <w:fldChar w:fldCharType="end"/>
        </w:r>
      </w:hyperlink>
    </w:p>
    <w:p w14:paraId="5F7E9023" w14:textId="4ABD2783"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33" w:history="1">
        <w:r w:rsidRPr="0049025D">
          <w:t>1.20C</w:t>
        </w:r>
        <w:r>
          <w:rPr>
            <w:rFonts w:asciiTheme="minorHAnsi" w:eastAsiaTheme="minorEastAsia" w:hAnsiTheme="minorHAnsi" w:cstheme="minorBidi"/>
            <w:kern w:val="2"/>
            <w:sz w:val="22"/>
            <w:szCs w:val="22"/>
            <w:lang w:eastAsia="en-AU"/>
            <w14:ligatures w14:val="standardContextual"/>
          </w:rPr>
          <w:tab/>
        </w:r>
        <w:r w:rsidRPr="0049025D">
          <w:t>Information about deposit limits</w:t>
        </w:r>
        <w:r>
          <w:tab/>
        </w:r>
        <w:r>
          <w:fldChar w:fldCharType="begin"/>
        </w:r>
        <w:r>
          <w:instrText xml:space="preserve"> PAGEREF _Toc155080733 \h </w:instrText>
        </w:r>
        <w:r>
          <w:fldChar w:fldCharType="separate"/>
        </w:r>
        <w:r w:rsidR="00821D06">
          <w:t>38</w:t>
        </w:r>
        <w:r>
          <w:fldChar w:fldCharType="end"/>
        </w:r>
      </w:hyperlink>
    </w:p>
    <w:p w14:paraId="156C6B1B" w14:textId="3896D7CF"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34" w:history="1">
        <w:r w:rsidRPr="0049025D">
          <w:t>1.20D</w:t>
        </w:r>
        <w:r>
          <w:rPr>
            <w:rFonts w:asciiTheme="minorHAnsi" w:eastAsiaTheme="minorEastAsia" w:hAnsiTheme="minorHAnsi" w:cstheme="minorBidi"/>
            <w:kern w:val="2"/>
            <w:sz w:val="22"/>
            <w:szCs w:val="22"/>
            <w:lang w:eastAsia="en-AU"/>
            <w14:ligatures w14:val="standardContextual"/>
          </w:rPr>
          <w:tab/>
        </w:r>
        <w:r w:rsidRPr="0049025D">
          <w:t>No deposits over deposit limit</w:t>
        </w:r>
        <w:r>
          <w:tab/>
        </w:r>
        <w:r>
          <w:fldChar w:fldCharType="begin"/>
        </w:r>
        <w:r>
          <w:instrText xml:space="preserve"> PAGEREF _Toc155080734 \h </w:instrText>
        </w:r>
        <w:r>
          <w:fldChar w:fldCharType="separate"/>
        </w:r>
        <w:r w:rsidR="00821D06">
          <w:t>39</w:t>
        </w:r>
        <w:r>
          <w:fldChar w:fldCharType="end"/>
        </w:r>
      </w:hyperlink>
    </w:p>
    <w:p w14:paraId="7B559CDB" w14:textId="329833EB"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35" w:history="1">
        <w:r w:rsidRPr="0049025D">
          <w:t>1.20E</w:t>
        </w:r>
        <w:r>
          <w:rPr>
            <w:rFonts w:asciiTheme="minorHAnsi" w:eastAsiaTheme="minorEastAsia" w:hAnsiTheme="minorHAnsi" w:cstheme="minorBidi"/>
            <w:kern w:val="2"/>
            <w:sz w:val="22"/>
            <w:szCs w:val="22"/>
            <w:lang w:eastAsia="en-AU"/>
            <w14:ligatures w14:val="standardContextual"/>
          </w:rPr>
          <w:tab/>
        </w:r>
        <w:r w:rsidRPr="0049025D">
          <w:t>Setting and changing deposit limits</w:t>
        </w:r>
        <w:r>
          <w:tab/>
        </w:r>
        <w:r>
          <w:fldChar w:fldCharType="begin"/>
        </w:r>
        <w:r>
          <w:instrText xml:space="preserve"> PAGEREF _Toc155080735 \h </w:instrText>
        </w:r>
        <w:r>
          <w:fldChar w:fldCharType="separate"/>
        </w:r>
        <w:r w:rsidR="00821D06">
          <w:t>39</w:t>
        </w:r>
        <w:r>
          <w:fldChar w:fldCharType="end"/>
        </w:r>
      </w:hyperlink>
    </w:p>
    <w:p w14:paraId="1E6F8AA7" w14:textId="3DA635ED"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36" w:history="1">
        <w:r w:rsidRPr="0049025D">
          <w:t>1.20F</w:t>
        </w:r>
        <w:r>
          <w:rPr>
            <w:rFonts w:asciiTheme="minorHAnsi" w:eastAsiaTheme="minorEastAsia" w:hAnsiTheme="minorHAnsi" w:cstheme="minorBidi"/>
            <w:kern w:val="2"/>
            <w:sz w:val="22"/>
            <w:szCs w:val="22"/>
            <w:lang w:eastAsia="en-AU"/>
            <w14:ligatures w14:val="standardContextual"/>
          </w:rPr>
          <w:tab/>
        </w:r>
        <w:r w:rsidRPr="0049025D">
          <w:t>Closing betting accounts</w:t>
        </w:r>
        <w:r>
          <w:tab/>
        </w:r>
        <w:r>
          <w:fldChar w:fldCharType="begin"/>
        </w:r>
        <w:r>
          <w:instrText xml:space="preserve"> PAGEREF _Toc155080736 \h </w:instrText>
        </w:r>
        <w:r>
          <w:fldChar w:fldCharType="separate"/>
        </w:r>
        <w:r w:rsidR="00821D06">
          <w:t>40</w:t>
        </w:r>
        <w:r>
          <w:fldChar w:fldCharType="end"/>
        </w:r>
      </w:hyperlink>
    </w:p>
    <w:p w14:paraId="3826DD58" w14:textId="4F84E221"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37" w:history="1">
        <w:r w:rsidRPr="0049025D">
          <w:t>1.20G</w:t>
        </w:r>
        <w:r>
          <w:rPr>
            <w:rFonts w:asciiTheme="minorHAnsi" w:eastAsiaTheme="minorEastAsia" w:hAnsiTheme="minorHAnsi" w:cstheme="minorBidi"/>
            <w:kern w:val="2"/>
            <w:sz w:val="22"/>
            <w:szCs w:val="22"/>
            <w:lang w:eastAsia="en-AU"/>
            <w14:ligatures w14:val="standardContextual"/>
          </w:rPr>
          <w:tab/>
        </w:r>
        <w:r w:rsidRPr="0049025D">
          <w:t>Guidelines about betting accounts</w:t>
        </w:r>
        <w:r>
          <w:tab/>
        </w:r>
        <w:r>
          <w:fldChar w:fldCharType="begin"/>
        </w:r>
        <w:r>
          <w:instrText xml:space="preserve"> PAGEREF _Toc155080737 \h </w:instrText>
        </w:r>
        <w:r>
          <w:fldChar w:fldCharType="separate"/>
        </w:r>
        <w:r w:rsidR="00821D06">
          <w:t>41</w:t>
        </w:r>
        <w:r>
          <w:fldChar w:fldCharType="end"/>
        </w:r>
      </w:hyperlink>
    </w:p>
    <w:p w14:paraId="4606470B" w14:textId="3CEC2813"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38" w:history="1">
        <w:r w:rsidRPr="0049025D">
          <w:t>1.20H</w:t>
        </w:r>
        <w:r>
          <w:rPr>
            <w:rFonts w:asciiTheme="minorHAnsi" w:eastAsiaTheme="minorEastAsia" w:hAnsiTheme="minorHAnsi" w:cstheme="minorBidi"/>
            <w:kern w:val="2"/>
            <w:sz w:val="22"/>
            <w:szCs w:val="22"/>
            <w:lang w:eastAsia="en-AU"/>
            <w14:ligatures w14:val="standardContextual"/>
          </w:rPr>
          <w:tab/>
        </w:r>
        <w:r w:rsidRPr="0049025D">
          <w:t>Directions about betting accounts</w:t>
        </w:r>
        <w:r>
          <w:tab/>
        </w:r>
        <w:r>
          <w:fldChar w:fldCharType="begin"/>
        </w:r>
        <w:r>
          <w:instrText xml:space="preserve"> PAGEREF _Toc155080738 \h </w:instrText>
        </w:r>
        <w:r>
          <w:fldChar w:fldCharType="separate"/>
        </w:r>
        <w:r w:rsidR="00821D06">
          <w:t>41</w:t>
        </w:r>
        <w:r>
          <w:fldChar w:fldCharType="end"/>
        </w:r>
      </w:hyperlink>
    </w:p>
    <w:p w14:paraId="79E0552C" w14:textId="4D056822" w:rsidR="004D57A4" w:rsidRDefault="004D57A4">
      <w:pPr>
        <w:pStyle w:val="TOC8"/>
        <w:rPr>
          <w:rFonts w:asciiTheme="minorHAnsi" w:eastAsiaTheme="minorEastAsia" w:hAnsiTheme="minorHAnsi" w:cstheme="minorBidi"/>
          <w:b w:val="0"/>
          <w:kern w:val="2"/>
          <w:sz w:val="22"/>
          <w:szCs w:val="22"/>
          <w:lang w:eastAsia="en-AU"/>
          <w14:ligatures w14:val="standardContextual"/>
        </w:rPr>
      </w:pPr>
      <w:hyperlink w:anchor="_Toc155080739" w:history="1">
        <w:r w:rsidRPr="0049025D">
          <w:t>Division 1.2.5</w:t>
        </w:r>
        <w:r>
          <w:rPr>
            <w:rFonts w:asciiTheme="minorHAnsi" w:eastAsiaTheme="minorEastAsia" w:hAnsiTheme="minorHAnsi" w:cstheme="minorBidi"/>
            <w:b w:val="0"/>
            <w:kern w:val="2"/>
            <w:sz w:val="22"/>
            <w:szCs w:val="22"/>
            <w:lang w:eastAsia="en-AU"/>
            <w14:ligatures w14:val="standardContextual"/>
          </w:rPr>
          <w:tab/>
        </w:r>
        <w:r w:rsidRPr="0049025D">
          <w:t>Betting accounts—activity statements</w:t>
        </w:r>
        <w:r>
          <w:tab/>
        </w:r>
        <w:r w:rsidRPr="004D57A4">
          <w:rPr>
            <w:b w:val="0"/>
          </w:rPr>
          <w:fldChar w:fldCharType="begin"/>
        </w:r>
        <w:r w:rsidRPr="004D57A4">
          <w:rPr>
            <w:b w:val="0"/>
          </w:rPr>
          <w:instrText xml:space="preserve"> PAGEREF _Toc155080739 \h </w:instrText>
        </w:r>
        <w:r w:rsidRPr="004D57A4">
          <w:rPr>
            <w:b w:val="0"/>
          </w:rPr>
        </w:r>
        <w:r w:rsidRPr="004D57A4">
          <w:rPr>
            <w:b w:val="0"/>
          </w:rPr>
          <w:fldChar w:fldCharType="separate"/>
        </w:r>
        <w:r w:rsidR="00821D06">
          <w:rPr>
            <w:b w:val="0"/>
          </w:rPr>
          <w:t>41</w:t>
        </w:r>
        <w:r w:rsidRPr="004D57A4">
          <w:rPr>
            <w:b w:val="0"/>
          </w:rPr>
          <w:fldChar w:fldCharType="end"/>
        </w:r>
      </w:hyperlink>
    </w:p>
    <w:p w14:paraId="2E307392" w14:textId="2904A18D"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40" w:history="1">
        <w:r w:rsidRPr="0049025D">
          <w:t>1.20I</w:t>
        </w:r>
        <w:r>
          <w:rPr>
            <w:rFonts w:asciiTheme="minorHAnsi" w:eastAsiaTheme="minorEastAsia" w:hAnsiTheme="minorHAnsi" w:cstheme="minorBidi"/>
            <w:kern w:val="2"/>
            <w:sz w:val="22"/>
            <w:szCs w:val="22"/>
            <w:lang w:eastAsia="en-AU"/>
            <w14:ligatures w14:val="standardContextual"/>
          </w:rPr>
          <w:tab/>
        </w:r>
        <w:r w:rsidRPr="0049025D">
          <w:t>Application</w:t>
        </w:r>
        <w:r w:rsidRPr="0049025D">
          <w:rPr>
            <w:rFonts w:cs="Arial"/>
            <w:shd w:val="clear" w:color="auto" w:fill="FFFFFF"/>
          </w:rPr>
          <w:t>—</w:t>
        </w:r>
        <w:r w:rsidRPr="0049025D">
          <w:t>div 1.2.5</w:t>
        </w:r>
        <w:r>
          <w:tab/>
        </w:r>
        <w:r>
          <w:fldChar w:fldCharType="begin"/>
        </w:r>
        <w:r>
          <w:instrText xml:space="preserve"> PAGEREF _Toc155080740 \h </w:instrText>
        </w:r>
        <w:r>
          <w:fldChar w:fldCharType="separate"/>
        </w:r>
        <w:r w:rsidR="00821D06">
          <w:t>41</w:t>
        </w:r>
        <w:r>
          <w:fldChar w:fldCharType="end"/>
        </w:r>
      </w:hyperlink>
    </w:p>
    <w:p w14:paraId="13CE61D0" w14:textId="405F6D07"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41" w:history="1">
        <w:r w:rsidRPr="0049025D">
          <w:t>1.20J</w:t>
        </w:r>
        <w:r>
          <w:rPr>
            <w:rFonts w:asciiTheme="minorHAnsi" w:eastAsiaTheme="minorEastAsia" w:hAnsiTheme="minorHAnsi" w:cstheme="minorBidi"/>
            <w:kern w:val="2"/>
            <w:sz w:val="22"/>
            <w:szCs w:val="22"/>
            <w:lang w:eastAsia="en-AU"/>
            <w14:ligatures w14:val="standardContextual"/>
          </w:rPr>
          <w:tab/>
        </w:r>
        <w:r w:rsidRPr="0049025D">
          <w:t>Definitions</w:t>
        </w:r>
        <w:r w:rsidRPr="0049025D">
          <w:rPr>
            <w:rFonts w:cs="Arial"/>
            <w:bCs/>
            <w:shd w:val="clear" w:color="auto" w:fill="FFFFFF"/>
          </w:rPr>
          <w:t>—</w:t>
        </w:r>
        <w:r w:rsidRPr="0049025D">
          <w:t>div 1.2.5</w:t>
        </w:r>
        <w:r>
          <w:tab/>
        </w:r>
        <w:r>
          <w:fldChar w:fldCharType="begin"/>
        </w:r>
        <w:r>
          <w:instrText xml:space="preserve"> PAGEREF _Toc155080741 \h </w:instrText>
        </w:r>
        <w:r>
          <w:fldChar w:fldCharType="separate"/>
        </w:r>
        <w:r w:rsidR="00821D06">
          <w:t>42</w:t>
        </w:r>
        <w:r>
          <w:fldChar w:fldCharType="end"/>
        </w:r>
      </w:hyperlink>
    </w:p>
    <w:p w14:paraId="6F8B1DC2" w14:textId="506407C4"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42" w:history="1">
        <w:r w:rsidRPr="0049025D">
          <w:t>1.20K</w:t>
        </w:r>
        <w:r>
          <w:rPr>
            <w:rFonts w:asciiTheme="minorHAnsi" w:eastAsiaTheme="minorEastAsia" w:hAnsiTheme="minorHAnsi" w:cstheme="minorBidi"/>
            <w:kern w:val="2"/>
            <w:sz w:val="22"/>
            <w:szCs w:val="22"/>
            <w:lang w:eastAsia="en-AU"/>
            <w14:ligatures w14:val="standardContextual"/>
          </w:rPr>
          <w:tab/>
        </w:r>
        <w:r w:rsidRPr="0049025D">
          <w:t>Activity statements for betting accounts</w:t>
        </w:r>
        <w:r>
          <w:tab/>
        </w:r>
        <w:r>
          <w:fldChar w:fldCharType="begin"/>
        </w:r>
        <w:r>
          <w:instrText xml:space="preserve"> PAGEREF _Toc155080742 \h </w:instrText>
        </w:r>
        <w:r>
          <w:fldChar w:fldCharType="separate"/>
        </w:r>
        <w:r w:rsidR="00821D06">
          <w:t>42</w:t>
        </w:r>
        <w:r>
          <w:fldChar w:fldCharType="end"/>
        </w:r>
      </w:hyperlink>
    </w:p>
    <w:p w14:paraId="47019A54" w14:textId="6DEBD309"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43" w:history="1">
        <w:r w:rsidRPr="0049025D">
          <w:t>1.20L</w:t>
        </w:r>
        <w:r>
          <w:rPr>
            <w:rFonts w:asciiTheme="minorHAnsi" w:eastAsiaTheme="minorEastAsia" w:hAnsiTheme="minorHAnsi" w:cstheme="minorBidi"/>
            <w:kern w:val="2"/>
            <w:sz w:val="22"/>
            <w:szCs w:val="22"/>
            <w:lang w:eastAsia="en-AU"/>
            <w14:ligatures w14:val="standardContextual"/>
          </w:rPr>
          <w:tab/>
        </w:r>
        <w:r w:rsidRPr="0049025D">
          <w:t>Requests for activity statements</w:t>
        </w:r>
        <w:r>
          <w:tab/>
        </w:r>
        <w:r>
          <w:fldChar w:fldCharType="begin"/>
        </w:r>
        <w:r>
          <w:instrText xml:space="preserve"> PAGEREF _Toc155080743 \h </w:instrText>
        </w:r>
        <w:r>
          <w:fldChar w:fldCharType="separate"/>
        </w:r>
        <w:r w:rsidR="00821D06">
          <w:t>43</w:t>
        </w:r>
        <w:r>
          <w:fldChar w:fldCharType="end"/>
        </w:r>
      </w:hyperlink>
    </w:p>
    <w:p w14:paraId="238A764A" w14:textId="671ECC41"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44" w:history="1">
        <w:r w:rsidRPr="0049025D">
          <w:t>1.20M</w:t>
        </w:r>
        <w:r>
          <w:rPr>
            <w:rFonts w:asciiTheme="minorHAnsi" w:eastAsiaTheme="minorEastAsia" w:hAnsiTheme="minorHAnsi" w:cstheme="minorBidi"/>
            <w:kern w:val="2"/>
            <w:sz w:val="22"/>
            <w:szCs w:val="22"/>
            <w:lang w:eastAsia="en-AU"/>
            <w14:ligatures w14:val="standardContextual"/>
          </w:rPr>
          <w:tab/>
        </w:r>
        <w:r w:rsidRPr="0049025D">
          <w:t>Contents of activity statements</w:t>
        </w:r>
        <w:r>
          <w:tab/>
        </w:r>
        <w:r>
          <w:fldChar w:fldCharType="begin"/>
        </w:r>
        <w:r>
          <w:instrText xml:space="preserve"> PAGEREF _Toc155080744 \h </w:instrText>
        </w:r>
        <w:r>
          <w:fldChar w:fldCharType="separate"/>
        </w:r>
        <w:r w:rsidR="00821D06">
          <w:t>44</w:t>
        </w:r>
        <w:r>
          <w:fldChar w:fldCharType="end"/>
        </w:r>
      </w:hyperlink>
    </w:p>
    <w:p w14:paraId="11E8AC55" w14:textId="3980A186"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45" w:history="1">
        <w:r w:rsidRPr="0049025D">
          <w:t>1.20N</w:t>
        </w:r>
        <w:r>
          <w:rPr>
            <w:rFonts w:asciiTheme="minorHAnsi" w:eastAsiaTheme="minorEastAsia" w:hAnsiTheme="minorHAnsi" w:cstheme="minorBidi"/>
            <w:kern w:val="2"/>
            <w:sz w:val="22"/>
            <w:szCs w:val="22"/>
            <w:lang w:eastAsia="en-AU"/>
            <w14:ligatures w14:val="standardContextual"/>
          </w:rPr>
          <w:tab/>
        </w:r>
        <w:r w:rsidRPr="0049025D">
          <w:t>Form of activity statements</w:t>
        </w:r>
        <w:r>
          <w:tab/>
        </w:r>
        <w:r>
          <w:fldChar w:fldCharType="begin"/>
        </w:r>
        <w:r>
          <w:instrText xml:space="preserve"> PAGEREF _Toc155080745 \h </w:instrText>
        </w:r>
        <w:r>
          <w:fldChar w:fldCharType="separate"/>
        </w:r>
        <w:r w:rsidR="00821D06">
          <w:t>45</w:t>
        </w:r>
        <w:r>
          <w:fldChar w:fldCharType="end"/>
        </w:r>
      </w:hyperlink>
    </w:p>
    <w:p w14:paraId="2627FC3E" w14:textId="11D426B2"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46" w:history="1">
        <w:r w:rsidRPr="0049025D">
          <w:t>1.20O</w:t>
        </w:r>
        <w:r>
          <w:rPr>
            <w:rFonts w:asciiTheme="minorHAnsi" w:eastAsiaTheme="minorEastAsia" w:hAnsiTheme="minorHAnsi" w:cstheme="minorBidi"/>
            <w:kern w:val="2"/>
            <w:sz w:val="22"/>
            <w:szCs w:val="22"/>
            <w:lang w:eastAsia="en-AU"/>
            <w14:ligatures w14:val="standardContextual"/>
          </w:rPr>
          <w:tab/>
        </w:r>
        <w:r w:rsidRPr="0049025D">
          <w:t>Access to activity statements and transaction records for online betting accounts</w:t>
        </w:r>
        <w:r>
          <w:tab/>
        </w:r>
        <w:r>
          <w:fldChar w:fldCharType="begin"/>
        </w:r>
        <w:r>
          <w:instrText xml:space="preserve"> PAGEREF _Toc155080746 \h </w:instrText>
        </w:r>
        <w:r>
          <w:fldChar w:fldCharType="separate"/>
        </w:r>
        <w:r w:rsidR="00821D06">
          <w:t>46</w:t>
        </w:r>
        <w:r>
          <w:fldChar w:fldCharType="end"/>
        </w:r>
      </w:hyperlink>
    </w:p>
    <w:p w14:paraId="67049550" w14:textId="4A0F0EF3"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47" w:history="1">
        <w:r w:rsidRPr="0049025D">
          <w:t>1.20P</w:t>
        </w:r>
        <w:r>
          <w:rPr>
            <w:rFonts w:asciiTheme="minorHAnsi" w:eastAsiaTheme="minorEastAsia" w:hAnsiTheme="minorHAnsi" w:cstheme="minorBidi"/>
            <w:kern w:val="2"/>
            <w:sz w:val="22"/>
            <w:szCs w:val="22"/>
            <w:lang w:eastAsia="en-AU"/>
            <w14:ligatures w14:val="standardContextual"/>
          </w:rPr>
          <w:tab/>
        </w:r>
        <w:r w:rsidRPr="0049025D">
          <w:t>Requests for transaction records for accounts other than online betting accounts</w:t>
        </w:r>
        <w:r>
          <w:tab/>
        </w:r>
        <w:r>
          <w:fldChar w:fldCharType="begin"/>
        </w:r>
        <w:r>
          <w:instrText xml:space="preserve"> PAGEREF _Toc155080747 \h </w:instrText>
        </w:r>
        <w:r>
          <w:fldChar w:fldCharType="separate"/>
        </w:r>
        <w:r w:rsidR="00821D06">
          <w:t>47</w:t>
        </w:r>
        <w:r>
          <w:fldChar w:fldCharType="end"/>
        </w:r>
      </w:hyperlink>
    </w:p>
    <w:p w14:paraId="35E10025" w14:textId="0025EEDC"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48" w:history="1">
        <w:r w:rsidRPr="0049025D">
          <w:t>1.20Q</w:t>
        </w:r>
        <w:r>
          <w:rPr>
            <w:rFonts w:asciiTheme="minorHAnsi" w:eastAsiaTheme="minorEastAsia" w:hAnsiTheme="minorHAnsi" w:cstheme="minorBidi"/>
            <w:kern w:val="2"/>
            <w:sz w:val="22"/>
            <w:szCs w:val="22"/>
            <w:lang w:eastAsia="en-AU"/>
            <w14:ligatures w14:val="standardContextual"/>
          </w:rPr>
          <w:tab/>
        </w:r>
        <w:r w:rsidRPr="0049025D">
          <w:t>Access to electronic activity statements</w:t>
        </w:r>
        <w:r>
          <w:tab/>
        </w:r>
        <w:r>
          <w:fldChar w:fldCharType="begin"/>
        </w:r>
        <w:r>
          <w:instrText xml:space="preserve"> PAGEREF _Toc155080748 \h </w:instrText>
        </w:r>
        <w:r>
          <w:fldChar w:fldCharType="separate"/>
        </w:r>
        <w:r w:rsidR="00821D06">
          <w:t>48</w:t>
        </w:r>
        <w:r>
          <w:fldChar w:fldCharType="end"/>
        </w:r>
      </w:hyperlink>
    </w:p>
    <w:p w14:paraId="13CF5C5E" w14:textId="73AFAAEC" w:rsidR="004D57A4" w:rsidRDefault="004D57A4">
      <w:pPr>
        <w:pStyle w:val="TOC7"/>
        <w:rPr>
          <w:rFonts w:asciiTheme="minorHAnsi" w:eastAsiaTheme="minorEastAsia" w:hAnsiTheme="minorHAnsi" w:cstheme="minorBidi"/>
          <w:b w:val="0"/>
          <w:kern w:val="2"/>
          <w:sz w:val="22"/>
          <w:szCs w:val="22"/>
          <w:lang w:eastAsia="en-AU"/>
          <w14:ligatures w14:val="standardContextual"/>
        </w:rPr>
      </w:pPr>
      <w:hyperlink w:anchor="_Toc155080749" w:history="1">
        <w:r w:rsidRPr="0049025D">
          <w:t>Part 1.3</w:t>
        </w:r>
        <w:r>
          <w:rPr>
            <w:rFonts w:asciiTheme="minorHAnsi" w:eastAsiaTheme="minorEastAsia" w:hAnsiTheme="minorHAnsi" w:cstheme="minorBidi"/>
            <w:b w:val="0"/>
            <w:kern w:val="2"/>
            <w:sz w:val="22"/>
            <w:szCs w:val="22"/>
            <w:lang w:eastAsia="en-AU"/>
            <w14:ligatures w14:val="standardContextual"/>
          </w:rPr>
          <w:tab/>
        </w:r>
        <w:r w:rsidRPr="0049025D">
          <w:t>Financial controls and gambling environment</w:t>
        </w:r>
        <w:r>
          <w:tab/>
        </w:r>
        <w:r w:rsidRPr="004D57A4">
          <w:rPr>
            <w:b w:val="0"/>
          </w:rPr>
          <w:fldChar w:fldCharType="begin"/>
        </w:r>
        <w:r w:rsidRPr="004D57A4">
          <w:rPr>
            <w:b w:val="0"/>
          </w:rPr>
          <w:instrText xml:space="preserve"> PAGEREF _Toc155080749 \h </w:instrText>
        </w:r>
        <w:r w:rsidRPr="004D57A4">
          <w:rPr>
            <w:b w:val="0"/>
          </w:rPr>
        </w:r>
        <w:r w:rsidRPr="004D57A4">
          <w:rPr>
            <w:b w:val="0"/>
          </w:rPr>
          <w:fldChar w:fldCharType="separate"/>
        </w:r>
        <w:r w:rsidR="00821D06">
          <w:rPr>
            <w:b w:val="0"/>
          </w:rPr>
          <w:t>49</w:t>
        </w:r>
        <w:r w:rsidRPr="004D57A4">
          <w:rPr>
            <w:b w:val="0"/>
          </w:rPr>
          <w:fldChar w:fldCharType="end"/>
        </w:r>
      </w:hyperlink>
    </w:p>
    <w:p w14:paraId="15173C39" w14:textId="036F7DD7"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50" w:history="1">
        <w:r w:rsidRPr="0049025D">
          <w:t>1.21</w:t>
        </w:r>
        <w:r>
          <w:rPr>
            <w:rFonts w:asciiTheme="minorHAnsi" w:eastAsiaTheme="minorEastAsia" w:hAnsiTheme="minorHAnsi" w:cstheme="minorBidi"/>
            <w:kern w:val="2"/>
            <w:sz w:val="22"/>
            <w:szCs w:val="22"/>
            <w:lang w:eastAsia="en-AU"/>
            <w14:ligatures w14:val="standardContextual"/>
          </w:rPr>
          <w:tab/>
        </w:r>
        <w:r w:rsidRPr="0049025D">
          <w:t>Cash facilities</w:t>
        </w:r>
        <w:r>
          <w:tab/>
        </w:r>
        <w:r>
          <w:fldChar w:fldCharType="begin"/>
        </w:r>
        <w:r>
          <w:instrText xml:space="preserve"> PAGEREF _Toc155080750 \h </w:instrText>
        </w:r>
        <w:r>
          <w:fldChar w:fldCharType="separate"/>
        </w:r>
        <w:r w:rsidR="00821D06">
          <w:t>49</w:t>
        </w:r>
        <w:r>
          <w:fldChar w:fldCharType="end"/>
        </w:r>
      </w:hyperlink>
    </w:p>
    <w:p w14:paraId="376E016B" w14:textId="69B2CF1A"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51" w:history="1">
        <w:r w:rsidRPr="0049025D">
          <w:t>1.22</w:t>
        </w:r>
        <w:r>
          <w:rPr>
            <w:rFonts w:asciiTheme="minorHAnsi" w:eastAsiaTheme="minorEastAsia" w:hAnsiTheme="minorHAnsi" w:cstheme="minorBidi"/>
            <w:kern w:val="2"/>
            <w:sz w:val="22"/>
            <w:szCs w:val="22"/>
            <w:lang w:eastAsia="en-AU"/>
            <w14:ligatures w14:val="standardContextual"/>
          </w:rPr>
          <w:tab/>
        </w:r>
        <w:r w:rsidRPr="0049025D">
          <w:t>Cash payment limits for casino licensees</w:t>
        </w:r>
        <w:r>
          <w:tab/>
        </w:r>
        <w:r>
          <w:fldChar w:fldCharType="begin"/>
        </w:r>
        <w:r>
          <w:instrText xml:space="preserve"> PAGEREF _Toc155080751 \h </w:instrText>
        </w:r>
        <w:r>
          <w:fldChar w:fldCharType="separate"/>
        </w:r>
        <w:r w:rsidR="00821D06">
          <w:t>49</w:t>
        </w:r>
        <w:r>
          <w:fldChar w:fldCharType="end"/>
        </w:r>
      </w:hyperlink>
    </w:p>
    <w:p w14:paraId="12392DE1" w14:textId="60007232"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52" w:history="1">
        <w:r w:rsidRPr="0049025D">
          <w:t>1.23</w:t>
        </w:r>
        <w:r>
          <w:rPr>
            <w:rFonts w:asciiTheme="minorHAnsi" w:eastAsiaTheme="minorEastAsia" w:hAnsiTheme="minorHAnsi" w:cstheme="minorBidi"/>
            <w:kern w:val="2"/>
            <w:sz w:val="22"/>
            <w:szCs w:val="22"/>
            <w:lang w:eastAsia="en-AU"/>
            <w14:ligatures w14:val="standardContextual"/>
          </w:rPr>
          <w:tab/>
        </w:r>
        <w:r w:rsidRPr="0049025D">
          <w:t>Other cash payment limits</w:t>
        </w:r>
        <w:r>
          <w:tab/>
        </w:r>
        <w:r>
          <w:fldChar w:fldCharType="begin"/>
        </w:r>
        <w:r>
          <w:instrText xml:space="preserve"> PAGEREF _Toc155080752 \h </w:instrText>
        </w:r>
        <w:r>
          <w:fldChar w:fldCharType="separate"/>
        </w:r>
        <w:r w:rsidR="00821D06">
          <w:t>51</w:t>
        </w:r>
        <w:r>
          <w:fldChar w:fldCharType="end"/>
        </w:r>
      </w:hyperlink>
    </w:p>
    <w:p w14:paraId="36A1D992" w14:textId="3B4BF7C8"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53" w:history="1">
        <w:r w:rsidRPr="0049025D">
          <w:t>1.23AA</w:t>
        </w:r>
        <w:r>
          <w:rPr>
            <w:rFonts w:asciiTheme="minorHAnsi" w:eastAsiaTheme="minorEastAsia" w:hAnsiTheme="minorHAnsi" w:cstheme="minorBidi"/>
            <w:kern w:val="2"/>
            <w:sz w:val="22"/>
            <w:szCs w:val="22"/>
            <w:lang w:eastAsia="en-AU"/>
            <w14:ligatures w14:val="standardContextual"/>
          </w:rPr>
          <w:tab/>
        </w:r>
        <w:r w:rsidRPr="0049025D">
          <w:t>No winnings for excluded or underage patrons</w:t>
        </w:r>
        <w:r>
          <w:tab/>
        </w:r>
        <w:r>
          <w:fldChar w:fldCharType="begin"/>
        </w:r>
        <w:r>
          <w:instrText xml:space="preserve"> PAGEREF _Toc155080753 \h </w:instrText>
        </w:r>
        <w:r>
          <w:fldChar w:fldCharType="separate"/>
        </w:r>
        <w:r w:rsidR="00821D06">
          <w:t>52</w:t>
        </w:r>
        <w:r>
          <w:fldChar w:fldCharType="end"/>
        </w:r>
      </w:hyperlink>
    </w:p>
    <w:p w14:paraId="7A247ECB" w14:textId="42E566C8"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54" w:history="1">
        <w:r w:rsidRPr="0049025D">
          <w:t>1.23A</w:t>
        </w:r>
        <w:r>
          <w:rPr>
            <w:rFonts w:asciiTheme="minorHAnsi" w:eastAsiaTheme="minorEastAsia" w:hAnsiTheme="minorHAnsi" w:cstheme="minorBidi"/>
            <w:kern w:val="2"/>
            <w:sz w:val="22"/>
            <w:szCs w:val="22"/>
            <w:lang w:eastAsia="en-AU"/>
            <w14:ligatures w14:val="standardContextual"/>
          </w:rPr>
          <w:tab/>
        </w:r>
        <w:r w:rsidRPr="0049025D">
          <w:t>Non-cash payment of winnings</w:t>
        </w:r>
        <w:r>
          <w:tab/>
        </w:r>
        <w:r>
          <w:fldChar w:fldCharType="begin"/>
        </w:r>
        <w:r>
          <w:instrText xml:space="preserve"> PAGEREF _Toc155080754 \h </w:instrText>
        </w:r>
        <w:r>
          <w:fldChar w:fldCharType="separate"/>
        </w:r>
        <w:r w:rsidR="00821D06">
          <w:t>52</w:t>
        </w:r>
        <w:r>
          <w:fldChar w:fldCharType="end"/>
        </w:r>
      </w:hyperlink>
    </w:p>
    <w:p w14:paraId="652119E5" w14:textId="514539CF"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55" w:history="1">
        <w:r w:rsidRPr="0049025D">
          <w:t>1.24</w:t>
        </w:r>
        <w:r>
          <w:rPr>
            <w:rFonts w:asciiTheme="minorHAnsi" w:eastAsiaTheme="minorEastAsia" w:hAnsiTheme="minorHAnsi" w:cstheme="minorBidi"/>
            <w:kern w:val="2"/>
            <w:sz w:val="22"/>
            <w:szCs w:val="22"/>
            <w:lang w:eastAsia="en-AU"/>
            <w14:ligatures w14:val="standardContextual"/>
          </w:rPr>
          <w:tab/>
        </w:r>
        <w:r w:rsidRPr="0049025D">
          <w:t>Cheques</w:t>
        </w:r>
        <w:r>
          <w:tab/>
        </w:r>
        <w:r>
          <w:fldChar w:fldCharType="begin"/>
        </w:r>
        <w:r>
          <w:instrText xml:space="preserve"> PAGEREF _Toc155080755 \h </w:instrText>
        </w:r>
        <w:r>
          <w:fldChar w:fldCharType="separate"/>
        </w:r>
        <w:r w:rsidR="00821D06">
          <w:t>52</w:t>
        </w:r>
        <w:r>
          <w:fldChar w:fldCharType="end"/>
        </w:r>
      </w:hyperlink>
    </w:p>
    <w:p w14:paraId="41EB529D" w14:textId="6E7B95D2"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56" w:history="1">
        <w:r w:rsidRPr="0049025D">
          <w:t>1.25</w:t>
        </w:r>
        <w:r>
          <w:rPr>
            <w:rFonts w:asciiTheme="minorHAnsi" w:eastAsiaTheme="minorEastAsia" w:hAnsiTheme="minorHAnsi" w:cstheme="minorBidi"/>
            <w:kern w:val="2"/>
            <w:sz w:val="22"/>
            <w:szCs w:val="22"/>
            <w:lang w:eastAsia="en-AU"/>
            <w14:ligatures w14:val="standardContextual"/>
          </w:rPr>
          <w:tab/>
        </w:r>
        <w:r w:rsidRPr="0049025D">
          <w:t>Availability of information</w:t>
        </w:r>
        <w:r>
          <w:tab/>
        </w:r>
        <w:r>
          <w:fldChar w:fldCharType="begin"/>
        </w:r>
        <w:r>
          <w:instrText xml:space="preserve"> PAGEREF _Toc155080756 \h </w:instrText>
        </w:r>
        <w:r>
          <w:fldChar w:fldCharType="separate"/>
        </w:r>
        <w:r w:rsidR="00821D06">
          <w:t>53</w:t>
        </w:r>
        <w:r>
          <w:fldChar w:fldCharType="end"/>
        </w:r>
      </w:hyperlink>
    </w:p>
    <w:p w14:paraId="7BCD2480" w14:textId="37C7AF0F"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57" w:history="1">
        <w:r w:rsidRPr="0049025D">
          <w:t>1.26</w:t>
        </w:r>
        <w:r>
          <w:rPr>
            <w:rFonts w:asciiTheme="minorHAnsi" w:eastAsiaTheme="minorEastAsia" w:hAnsiTheme="minorHAnsi" w:cstheme="minorBidi"/>
            <w:kern w:val="2"/>
            <w:sz w:val="22"/>
            <w:szCs w:val="22"/>
            <w:lang w:eastAsia="en-AU"/>
            <w14:ligatures w14:val="standardContextual"/>
          </w:rPr>
          <w:tab/>
        </w:r>
        <w:r w:rsidRPr="0049025D">
          <w:t>Clocks and lighting</w:t>
        </w:r>
        <w:r>
          <w:tab/>
        </w:r>
        <w:r>
          <w:fldChar w:fldCharType="begin"/>
        </w:r>
        <w:r>
          <w:instrText xml:space="preserve"> PAGEREF _Toc155080757 \h </w:instrText>
        </w:r>
        <w:r>
          <w:fldChar w:fldCharType="separate"/>
        </w:r>
        <w:r w:rsidR="00821D06">
          <w:t>54</w:t>
        </w:r>
        <w:r>
          <w:fldChar w:fldCharType="end"/>
        </w:r>
      </w:hyperlink>
    </w:p>
    <w:p w14:paraId="07FE500B" w14:textId="7750B886"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58" w:history="1">
        <w:r w:rsidRPr="0049025D">
          <w:t>1.27</w:t>
        </w:r>
        <w:r>
          <w:rPr>
            <w:rFonts w:asciiTheme="minorHAnsi" w:eastAsiaTheme="minorEastAsia" w:hAnsiTheme="minorHAnsi" w:cstheme="minorBidi"/>
            <w:kern w:val="2"/>
            <w:sz w:val="22"/>
            <w:szCs w:val="22"/>
            <w:lang w:eastAsia="en-AU"/>
            <w14:ligatures w14:val="standardContextual"/>
          </w:rPr>
          <w:tab/>
        </w:r>
        <w:r w:rsidRPr="0049025D">
          <w:t>Directions about information, clocks and lighting</w:t>
        </w:r>
        <w:r>
          <w:tab/>
        </w:r>
        <w:r>
          <w:fldChar w:fldCharType="begin"/>
        </w:r>
        <w:r>
          <w:instrText xml:space="preserve"> PAGEREF _Toc155080758 \h </w:instrText>
        </w:r>
        <w:r>
          <w:fldChar w:fldCharType="separate"/>
        </w:r>
        <w:r w:rsidR="00821D06">
          <w:t>55</w:t>
        </w:r>
        <w:r>
          <w:fldChar w:fldCharType="end"/>
        </w:r>
      </w:hyperlink>
    </w:p>
    <w:p w14:paraId="42516E1E" w14:textId="6D60A2FA" w:rsidR="004D57A4" w:rsidRDefault="004D57A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5080759" w:history="1">
        <w:r w:rsidRPr="0049025D">
          <w:t>1.27A</w:t>
        </w:r>
        <w:r>
          <w:rPr>
            <w:rFonts w:asciiTheme="minorHAnsi" w:eastAsiaTheme="minorEastAsia" w:hAnsiTheme="minorHAnsi" w:cstheme="minorBidi"/>
            <w:kern w:val="2"/>
            <w:sz w:val="22"/>
            <w:szCs w:val="22"/>
            <w:lang w:eastAsia="en-AU"/>
            <w14:ligatures w14:val="standardContextual"/>
          </w:rPr>
          <w:tab/>
        </w:r>
        <w:r w:rsidRPr="0049025D">
          <w:t>Alcohol service prohibited while gambling</w:t>
        </w:r>
        <w:r>
          <w:tab/>
        </w:r>
        <w:r>
          <w:fldChar w:fldCharType="begin"/>
        </w:r>
        <w:r>
          <w:instrText xml:space="preserve"> PAGEREF _Toc155080759 \h </w:instrText>
        </w:r>
        <w:r>
          <w:fldChar w:fldCharType="separate"/>
        </w:r>
        <w:r w:rsidR="00821D06">
          <w:t>55</w:t>
        </w:r>
        <w:r>
          <w:fldChar w:fldCharType="end"/>
        </w:r>
      </w:hyperlink>
    </w:p>
    <w:p w14:paraId="48FA509C" w14:textId="10C56216"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60" w:history="1">
        <w:r w:rsidRPr="0049025D">
          <w:t>1.27B</w:t>
        </w:r>
        <w:r>
          <w:rPr>
            <w:rFonts w:asciiTheme="minorHAnsi" w:eastAsiaTheme="minorEastAsia" w:hAnsiTheme="minorHAnsi" w:cstheme="minorBidi"/>
            <w:kern w:val="2"/>
            <w:sz w:val="22"/>
            <w:szCs w:val="22"/>
            <w:lang w:eastAsia="en-AU"/>
            <w14:ligatures w14:val="standardContextual"/>
          </w:rPr>
          <w:tab/>
        </w:r>
        <w:r w:rsidRPr="0049025D">
          <w:t>Operating times of gaming machines</w:t>
        </w:r>
        <w:r>
          <w:tab/>
        </w:r>
        <w:r>
          <w:fldChar w:fldCharType="begin"/>
        </w:r>
        <w:r>
          <w:instrText xml:space="preserve"> PAGEREF _Toc155080760 \h </w:instrText>
        </w:r>
        <w:r>
          <w:fldChar w:fldCharType="separate"/>
        </w:r>
        <w:r w:rsidR="00821D06">
          <w:t>55</w:t>
        </w:r>
        <w:r>
          <w:fldChar w:fldCharType="end"/>
        </w:r>
      </w:hyperlink>
    </w:p>
    <w:p w14:paraId="45F35719" w14:textId="50FFCF11" w:rsidR="004D57A4" w:rsidRDefault="004D57A4">
      <w:pPr>
        <w:pStyle w:val="TOC7"/>
        <w:rPr>
          <w:rFonts w:asciiTheme="minorHAnsi" w:eastAsiaTheme="minorEastAsia" w:hAnsiTheme="minorHAnsi" w:cstheme="minorBidi"/>
          <w:b w:val="0"/>
          <w:kern w:val="2"/>
          <w:sz w:val="22"/>
          <w:szCs w:val="22"/>
          <w:lang w:eastAsia="en-AU"/>
          <w14:ligatures w14:val="standardContextual"/>
        </w:rPr>
      </w:pPr>
      <w:hyperlink w:anchor="_Toc155080761" w:history="1">
        <w:r w:rsidRPr="0049025D">
          <w:t>Part 1.4</w:t>
        </w:r>
        <w:r>
          <w:rPr>
            <w:rFonts w:asciiTheme="minorHAnsi" w:eastAsiaTheme="minorEastAsia" w:hAnsiTheme="minorHAnsi" w:cstheme="minorBidi"/>
            <w:b w:val="0"/>
            <w:kern w:val="2"/>
            <w:sz w:val="22"/>
            <w:szCs w:val="22"/>
            <w:lang w:eastAsia="en-AU"/>
            <w14:ligatures w14:val="standardContextual"/>
          </w:rPr>
          <w:tab/>
        </w:r>
        <w:r w:rsidRPr="0049025D">
          <w:t>Advertising, promotions and inducements</w:t>
        </w:r>
        <w:r>
          <w:tab/>
        </w:r>
        <w:r w:rsidRPr="004D57A4">
          <w:rPr>
            <w:b w:val="0"/>
          </w:rPr>
          <w:fldChar w:fldCharType="begin"/>
        </w:r>
        <w:r w:rsidRPr="004D57A4">
          <w:rPr>
            <w:b w:val="0"/>
          </w:rPr>
          <w:instrText xml:space="preserve"> PAGEREF _Toc155080761 \h </w:instrText>
        </w:r>
        <w:r w:rsidRPr="004D57A4">
          <w:rPr>
            <w:b w:val="0"/>
          </w:rPr>
        </w:r>
        <w:r w:rsidRPr="004D57A4">
          <w:rPr>
            <w:b w:val="0"/>
          </w:rPr>
          <w:fldChar w:fldCharType="separate"/>
        </w:r>
        <w:r w:rsidR="00821D06">
          <w:rPr>
            <w:b w:val="0"/>
          </w:rPr>
          <w:t>56</w:t>
        </w:r>
        <w:r w:rsidRPr="004D57A4">
          <w:rPr>
            <w:b w:val="0"/>
          </w:rPr>
          <w:fldChar w:fldCharType="end"/>
        </w:r>
      </w:hyperlink>
    </w:p>
    <w:p w14:paraId="23613F89" w14:textId="220DD6BE" w:rsidR="004D57A4" w:rsidRDefault="004D57A4">
      <w:pPr>
        <w:pStyle w:val="TOC8"/>
        <w:rPr>
          <w:rFonts w:asciiTheme="minorHAnsi" w:eastAsiaTheme="minorEastAsia" w:hAnsiTheme="minorHAnsi" w:cstheme="minorBidi"/>
          <w:b w:val="0"/>
          <w:kern w:val="2"/>
          <w:sz w:val="22"/>
          <w:szCs w:val="22"/>
          <w:lang w:eastAsia="en-AU"/>
          <w14:ligatures w14:val="standardContextual"/>
        </w:rPr>
      </w:pPr>
      <w:hyperlink w:anchor="_Toc155080762" w:history="1">
        <w:r w:rsidRPr="0049025D">
          <w:t>Division 1.4.1</w:t>
        </w:r>
        <w:r>
          <w:rPr>
            <w:rFonts w:asciiTheme="minorHAnsi" w:eastAsiaTheme="minorEastAsia" w:hAnsiTheme="minorHAnsi" w:cstheme="minorBidi"/>
            <w:b w:val="0"/>
            <w:kern w:val="2"/>
            <w:sz w:val="22"/>
            <w:szCs w:val="22"/>
            <w:lang w:eastAsia="en-AU"/>
            <w14:ligatures w14:val="standardContextual"/>
          </w:rPr>
          <w:tab/>
        </w:r>
        <w:r w:rsidRPr="0049025D">
          <w:t>Advertising requirements—general</w:t>
        </w:r>
        <w:r>
          <w:tab/>
        </w:r>
        <w:r w:rsidRPr="004D57A4">
          <w:rPr>
            <w:b w:val="0"/>
          </w:rPr>
          <w:fldChar w:fldCharType="begin"/>
        </w:r>
        <w:r w:rsidRPr="004D57A4">
          <w:rPr>
            <w:b w:val="0"/>
          </w:rPr>
          <w:instrText xml:space="preserve"> PAGEREF _Toc155080762 \h </w:instrText>
        </w:r>
        <w:r w:rsidRPr="004D57A4">
          <w:rPr>
            <w:b w:val="0"/>
          </w:rPr>
        </w:r>
        <w:r w:rsidRPr="004D57A4">
          <w:rPr>
            <w:b w:val="0"/>
          </w:rPr>
          <w:fldChar w:fldCharType="separate"/>
        </w:r>
        <w:r w:rsidR="00821D06">
          <w:rPr>
            <w:b w:val="0"/>
          </w:rPr>
          <w:t>56</w:t>
        </w:r>
        <w:r w:rsidRPr="004D57A4">
          <w:rPr>
            <w:b w:val="0"/>
          </w:rPr>
          <w:fldChar w:fldCharType="end"/>
        </w:r>
      </w:hyperlink>
    </w:p>
    <w:p w14:paraId="64CF425C" w14:textId="36FEA511"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63" w:history="1">
        <w:r w:rsidRPr="0049025D">
          <w:t>1.28</w:t>
        </w:r>
        <w:r>
          <w:rPr>
            <w:rFonts w:asciiTheme="minorHAnsi" w:eastAsiaTheme="minorEastAsia" w:hAnsiTheme="minorHAnsi" w:cstheme="minorBidi"/>
            <w:kern w:val="2"/>
            <w:sz w:val="22"/>
            <w:szCs w:val="22"/>
            <w:lang w:eastAsia="en-AU"/>
            <w14:ligatures w14:val="standardContextual"/>
          </w:rPr>
          <w:tab/>
        </w:r>
        <w:r w:rsidRPr="0049025D">
          <w:t>Advertising</w:t>
        </w:r>
        <w:r>
          <w:tab/>
        </w:r>
        <w:r>
          <w:fldChar w:fldCharType="begin"/>
        </w:r>
        <w:r>
          <w:instrText xml:space="preserve"> PAGEREF _Toc155080763 \h </w:instrText>
        </w:r>
        <w:r>
          <w:fldChar w:fldCharType="separate"/>
        </w:r>
        <w:r w:rsidR="00821D06">
          <w:t>56</w:t>
        </w:r>
        <w:r>
          <w:fldChar w:fldCharType="end"/>
        </w:r>
      </w:hyperlink>
    </w:p>
    <w:p w14:paraId="7E31AA38" w14:textId="7F77AE05"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64" w:history="1">
        <w:r w:rsidRPr="0049025D">
          <w:t>1.29</w:t>
        </w:r>
        <w:r>
          <w:rPr>
            <w:rFonts w:asciiTheme="minorHAnsi" w:eastAsiaTheme="minorEastAsia" w:hAnsiTheme="minorHAnsi" w:cstheme="minorBidi"/>
            <w:kern w:val="2"/>
            <w:sz w:val="22"/>
            <w:szCs w:val="22"/>
            <w:lang w:eastAsia="en-AU"/>
            <w14:ligatures w14:val="standardContextual"/>
          </w:rPr>
          <w:tab/>
        </w:r>
        <w:r w:rsidRPr="0049025D">
          <w:t>Advertising requirements</w:t>
        </w:r>
        <w:r>
          <w:tab/>
        </w:r>
        <w:r>
          <w:fldChar w:fldCharType="begin"/>
        </w:r>
        <w:r>
          <w:instrText xml:space="preserve"> PAGEREF _Toc155080764 \h </w:instrText>
        </w:r>
        <w:r>
          <w:fldChar w:fldCharType="separate"/>
        </w:r>
        <w:r w:rsidR="00821D06">
          <w:t>56</w:t>
        </w:r>
        <w:r>
          <w:fldChar w:fldCharType="end"/>
        </w:r>
      </w:hyperlink>
    </w:p>
    <w:p w14:paraId="525C2EA3" w14:textId="3B64764A" w:rsidR="004D57A4" w:rsidRDefault="004D57A4">
      <w:pPr>
        <w:pStyle w:val="TOC8"/>
        <w:rPr>
          <w:rFonts w:asciiTheme="minorHAnsi" w:eastAsiaTheme="minorEastAsia" w:hAnsiTheme="minorHAnsi" w:cstheme="minorBidi"/>
          <w:b w:val="0"/>
          <w:kern w:val="2"/>
          <w:sz w:val="22"/>
          <w:szCs w:val="22"/>
          <w:lang w:eastAsia="en-AU"/>
          <w14:ligatures w14:val="standardContextual"/>
        </w:rPr>
      </w:pPr>
      <w:hyperlink w:anchor="_Toc155080765" w:history="1">
        <w:r w:rsidRPr="0049025D">
          <w:t>Division 1.4.2</w:t>
        </w:r>
        <w:r>
          <w:rPr>
            <w:rFonts w:asciiTheme="minorHAnsi" w:eastAsiaTheme="minorEastAsia" w:hAnsiTheme="minorHAnsi" w:cstheme="minorBidi"/>
            <w:b w:val="0"/>
            <w:kern w:val="2"/>
            <w:sz w:val="22"/>
            <w:szCs w:val="22"/>
            <w:lang w:eastAsia="en-AU"/>
            <w14:ligatures w14:val="standardContextual"/>
          </w:rPr>
          <w:tab/>
        </w:r>
        <w:r w:rsidRPr="0049025D">
          <w:t>Advertising requirements—electronic licensees</w:t>
        </w:r>
        <w:r>
          <w:tab/>
        </w:r>
        <w:r w:rsidRPr="004D57A4">
          <w:rPr>
            <w:b w:val="0"/>
          </w:rPr>
          <w:fldChar w:fldCharType="begin"/>
        </w:r>
        <w:r w:rsidRPr="004D57A4">
          <w:rPr>
            <w:b w:val="0"/>
          </w:rPr>
          <w:instrText xml:space="preserve"> PAGEREF _Toc155080765 \h </w:instrText>
        </w:r>
        <w:r w:rsidRPr="004D57A4">
          <w:rPr>
            <w:b w:val="0"/>
          </w:rPr>
        </w:r>
        <w:r w:rsidRPr="004D57A4">
          <w:rPr>
            <w:b w:val="0"/>
          </w:rPr>
          <w:fldChar w:fldCharType="separate"/>
        </w:r>
        <w:r w:rsidR="00821D06">
          <w:rPr>
            <w:b w:val="0"/>
          </w:rPr>
          <w:t>57</w:t>
        </w:r>
        <w:r w:rsidRPr="004D57A4">
          <w:rPr>
            <w:b w:val="0"/>
          </w:rPr>
          <w:fldChar w:fldCharType="end"/>
        </w:r>
      </w:hyperlink>
    </w:p>
    <w:p w14:paraId="35760CA4" w14:textId="5612110B"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66" w:history="1">
        <w:r w:rsidRPr="0049025D">
          <w:t>1.29A</w:t>
        </w:r>
        <w:r>
          <w:rPr>
            <w:rFonts w:asciiTheme="minorHAnsi" w:eastAsiaTheme="minorEastAsia" w:hAnsiTheme="minorHAnsi" w:cstheme="minorBidi"/>
            <w:kern w:val="2"/>
            <w:sz w:val="22"/>
            <w:szCs w:val="22"/>
            <w:lang w:eastAsia="en-AU"/>
            <w14:ligatures w14:val="standardContextual"/>
          </w:rPr>
          <w:tab/>
        </w:r>
        <w:r w:rsidRPr="0049025D">
          <w:t>Application—div 1.4.2</w:t>
        </w:r>
        <w:r>
          <w:tab/>
        </w:r>
        <w:r>
          <w:fldChar w:fldCharType="begin"/>
        </w:r>
        <w:r>
          <w:instrText xml:space="preserve"> PAGEREF _Toc155080766 \h </w:instrText>
        </w:r>
        <w:r>
          <w:fldChar w:fldCharType="separate"/>
        </w:r>
        <w:r w:rsidR="00821D06">
          <w:t>57</w:t>
        </w:r>
        <w:r>
          <w:fldChar w:fldCharType="end"/>
        </w:r>
      </w:hyperlink>
    </w:p>
    <w:p w14:paraId="0CCFB8DD" w14:textId="326BA3DE"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67" w:history="1">
        <w:r w:rsidRPr="0049025D">
          <w:t>1.29B</w:t>
        </w:r>
        <w:r>
          <w:rPr>
            <w:rFonts w:asciiTheme="minorHAnsi" w:eastAsiaTheme="minorEastAsia" w:hAnsiTheme="minorHAnsi" w:cstheme="minorBidi"/>
            <w:kern w:val="2"/>
            <w:sz w:val="22"/>
            <w:szCs w:val="22"/>
            <w:lang w:eastAsia="en-AU"/>
            <w14:ligatures w14:val="standardContextual"/>
          </w:rPr>
          <w:tab/>
        </w:r>
        <w:r w:rsidRPr="0049025D">
          <w:t>Definitions</w:t>
        </w:r>
        <w:r w:rsidRPr="0049025D">
          <w:rPr>
            <w:shd w:val="clear" w:color="auto" w:fill="FFFFFF"/>
          </w:rPr>
          <w:t>—div 1.4.2</w:t>
        </w:r>
        <w:r>
          <w:tab/>
        </w:r>
        <w:r>
          <w:fldChar w:fldCharType="begin"/>
        </w:r>
        <w:r>
          <w:instrText xml:space="preserve"> PAGEREF _Toc155080767 \h </w:instrText>
        </w:r>
        <w:r>
          <w:fldChar w:fldCharType="separate"/>
        </w:r>
        <w:r w:rsidR="00821D06">
          <w:t>57</w:t>
        </w:r>
        <w:r>
          <w:fldChar w:fldCharType="end"/>
        </w:r>
      </w:hyperlink>
    </w:p>
    <w:p w14:paraId="17F39C20" w14:textId="7ECC86F7"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68" w:history="1">
        <w:r w:rsidRPr="0049025D">
          <w:t>1.29C</w:t>
        </w:r>
        <w:r>
          <w:rPr>
            <w:rFonts w:asciiTheme="minorHAnsi" w:eastAsiaTheme="minorEastAsia" w:hAnsiTheme="minorHAnsi" w:cstheme="minorBidi"/>
            <w:kern w:val="2"/>
            <w:sz w:val="22"/>
            <w:szCs w:val="22"/>
            <w:lang w:eastAsia="en-AU"/>
            <w14:ligatures w14:val="standardContextual"/>
          </w:rPr>
          <w:tab/>
        </w:r>
        <w:r w:rsidRPr="0049025D">
          <w:t xml:space="preserve">Meaning of </w:t>
        </w:r>
        <w:r w:rsidRPr="0049025D">
          <w:rPr>
            <w:i/>
          </w:rPr>
          <w:t>tagline</w:t>
        </w:r>
        <w:r w:rsidRPr="0049025D">
          <w:t>—div 1.4.2</w:t>
        </w:r>
        <w:r>
          <w:tab/>
        </w:r>
        <w:r>
          <w:fldChar w:fldCharType="begin"/>
        </w:r>
        <w:r>
          <w:instrText xml:space="preserve"> PAGEREF _Toc155080768 \h </w:instrText>
        </w:r>
        <w:r>
          <w:fldChar w:fldCharType="separate"/>
        </w:r>
        <w:r w:rsidR="00821D06">
          <w:t>59</w:t>
        </w:r>
        <w:r>
          <w:fldChar w:fldCharType="end"/>
        </w:r>
      </w:hyperlink>
    </w:p>
    <w:p w14:paraId="77B9470C" w14:textId="70C6CA31"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69" w:history="1">
        <w:r w:rsidRPr="0049025D">
          <w:t>1.29D</w:t>
        </w:r>
        <w:r>
          <w:rPr>
            <w:rFonts w:asciiTheme="minorHAnsi" w:eastAsiaTheme="minorEastAsia" w:hAnsiTheme="minorHAnsi" w:cstheme="minorBidi"/>
            <w:kern w:val="2"/>
            <w:sz w:val="22"/>
            <w:szCs w:val="22"/>
            <w:lang w:eastAsia="en-AU"/>
            <w14:ligatures w14:val="standardContextual"/>
          </w:rPr>
          <w:tab/>
        </w:r>
        <w:r w:rsidRPr="0049025D">
          <w:t xml:space="preserve">Meaning of </w:t>
        </w:r>
        <w:r w:rsidRPr="0049025D">
          <w:rPr>
            <w:i/>
          </w:rPr>
          <w:t>call to action</w:t>
        </w:r>
        <w:r w:rsidRPr="0049025D">
          <w:t>—div 1.4.2</w:t>
        </w:r>
        <w:r>
          <w:tab/>
        </w:r>
        <w:r>
          <w:fldChar w:fldCharType="begin"/>
        </w:r>
        <w:r>
          <w:instrText xml:space="preserve"> PAGEREF _Toc155080769 \h </w:instrText>
        </w:r>
        <w:r>
          <w:fldChar w:fldCharType="separate"/>
        </w:r>
        <w:r w:rsidR="00821D06">
          <w:t>60</w:t>
        </w:r>
        <w:r>
          <w:fldChar w:fldCharType="end"/>
        </w:r>
      </w:hyperlink>
    </w:p>
    <w:p w14:paraId="19E785E2" w14:textId="795345BA"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70" w:history="1">
        <w:r w:rsidRPr="0049025D">
          <w:t>1.29E</w:t>
        </w:r>
        <w:r>
          <w:rPr>
            <w:rFonts w:asciiTheme="minorHAnsi" w:eastAsiaTheme="minorEastAsia" w:hAnsiTheme="minorHAnsi" w:cstheme="minorBidi"/>
            <w:kern w:val="2"/>
            <w:sz w:val="22"/>
            <w:szCs w:val="22"/>
            <w:lang w:eastAsia="en-AU"/>
            <w14:ligatures w14:val="standardContextual"/>
          </w:rPr>
          <w:tab/>
        </w:r>
        <w:r w:rsidRPr="0049025D">
          <w:t>Statements to be included in gambling advertising</w:t>
        </w:r>
        <w:r>
          <w:tab/>
        </w:r>
        <w:r>
          <w:fldChar w:fldCharType="begin"/>
        </w:r>
        <w:r>
          <w:instrText xml:space="preserve"> PAGEREF _Toc155080770 \h </w:instrText>
        </w:r>
        <w:r>
          <w:fldChar w:fldCharType="separate"/>
        </w:r>
        <w:r w:rsidR="00821D06">
          <w:t>61</w:t>
        </w:r>
        <w:r>
          <w:fldChar w:fldCharType="end"/>
        </w:r>
      </w:hyperlink>
    </w:p>
    <w:p w14:paraId="6207DF94" w14:textId="42C5BE5D"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71" w:history="1">
        <w:r w:rsidRPr="0049025D">
          <w:t>1.29F</w:t>
        </w:r>
        <w:r>
          <w:rPr>
            <w:rFonts w:asciiTheme="minorHAnsi" w:eastAsiaTheme="minorEastAsia" w:hAnsiTheme="minorHAnsi" w:cstheme="minorBidi"/>
            <w:kern w:val="2"/>
            <w:sz w:val="22"/>
            <w:szCs w:val="22"/>
            <w:lang w:eastAsia="en-AU"/>
            <w14:ligatures w14:val="standardContextual"/>
          </w:rPr>
          <w:tab/>
        </w:r>
        <w:r w:rsidRPr="0049025D">
          <w:t>Additional requirements about taglines and calls to action</w:t>
        </w:r>
        <w:r>
          <w:tab/>
        </w:r>
        <w:r>
          <w:fldChar w:fldCharType="begin"/>
        </w:r>
        <w:r>
          <w:instrText xml:space="preserve"> PAGEREF _Toc155080771 \h </w:instrText>
        </w:r>
        <w:r>
          <w:fldChar w:fldCharType="separate"/>
        </w:r>
        <w:r w:rsidR="00821D06">
          <w:t>62</w:t>
        </w:r>
        <w:r>
          <w:fldChar w:fldCharType="end"/>
        </w:r>
      </w:hyperlink>
    </w:p>
    <w:p w14:paraId="63191E9C" w14:textId="17C2BB61"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72" w:history="1">
        <w:r w:rsidRPr="0049025D">
          <w:t>1.29G</w:t>
        </w:r>
        <w:r>
          <w:rPr>
            <w:rFonts w:asciiTheme="minorHAnsi" w:eastAsiaTheme="minorEastAsia" w:hAnsiTheme="minorHAnsi" w:cstheme="minorBidi"/>
            <w:kern w:val="2"/>
            <w:sz w:val="22"/>
            <w:szCs w:val="22"/>
            <w:lang w:eastAsia="en-AU"/>
            <w14:ligatures w14:val="standardContextual"/>
          </w:rPr>
          <w:tab/>
        </w:r>
        <w:r w:rsidRPr="0049025D">
          <w:t xml:space="preserve">Electronic licensee </w:t>
        </w:r>
        <w:r w:rsidRPr="0049025D">
          <w:rPr>
            <w:shd w:val="clear" w:color="auto" w:fill="FFFFFF"/>
          </w:rPr>
          <w:t>must keep gambling advertising records</w:t>
        </w:r>
        <w:r>
          <w:tab/>
        </w:r>
        <w:r>
          <w:fldChar w:fldCharType="begin"/>
        </w:r>
        <w:r>
          <w:instrText xml:space="preserve"> PAGEREF _Toc155080772 \h </w:instrText>
        </w:r>
        <w:r>
          <w:fldChar w:fldCharType="separate"/>
        </w:r>
        <w:r w:rsidR="00821D06">
          <w:t>63</w:t>
        </w:r>
        <w:r>
          <w:fldChar w:fldCharType="end"/>
        </w:r>
      </w:hyperlink>
    </w:p>
    <w:p w14:paraId="55B82B73" w14:textId="74190CE9" w:rsidR="004D57A4" w:rsidRDefault="004D57A4">
      <w:pPr>
        <w:pStyle w:val="TOC8"/>
        <w:rPr>
          <w:rFonts w:asciiTheme="minorHAnsi" w:eastAsiaTheme="minorEastAsia" w:hAnsiTheme="minorHAnsi" w:cstheme="minorBidi"/>
          <w:b w:val="0"/>
          <w:kern w:val="2"/>
          <w:sz w:val="22"/>
          <w:szCs w:val="22"/>
          <w:lang w:eastAsia="en-AU"/>
          <w14:ligatures w14:val="standardContextual"/>
        </w:rPr>
      </w:pPr>
      <w:hyperlink w:anchor="_Toc155080773" w:history="1">
        <w:r w:rsidRPr="0049025D">
          <w:t>Division 1.4.3</w:t>
        </w:r>
        <w:r>
          <w:rPr>
            <w:rFonts w:asciiTheme="minorHAnsi" w:eastAsiaTheme="minorEastAsia" w:hAnsiTheme="minorHAnsi" w:cstheme="minorBidi"/>
            <w:b w:val="0"/>
            <w:kern w:val="2"/>
            <w:sz w:val="22"/>
            <w:szCs w:val="22"/>
            <w:lang w:eastAsia="en-AU"/>
            <w14:ligatures w14:val="standardContextual"/>
          </w:rPr>
          <w:tab/>
        </w:r>
        <w:r w:rsidRPr="0049025D">
          <w:t>Promotions and inducements</w:t>
        </w:r>
        <w:r>
          <w:tab/>
        </w:r>
        <w:r w:rsidRPr="004D57A4">
          <w:rPr>
            <w:b w:val="0"/>
          </w:rPr>
          <w:fldChar w:fldCharType="begin"/>
        </w:r>
        <w:r w:rsidRPr="004D57A4">
          <w:rPr>
            <w:b w:val="0"/>
          </w:rPr>
          <w:instrText xml:space="preserve"> PAGEREF _Toc155080773 \h </w:instrText>
        </w:r>
        <w:r w:rsidRPr="004D57A4">
          <w:rPr>
            <w:b w:val="0"/>
          </w:rPr>
        </w:r>
        <w:r w:rsidRPr="004D57A4">
          <w:rPr>
            <w:b w:val="0"/>
          </w:rPr>
          <w:fldChar w:fldCharType="separate"/>
        </w:r>
        <w:r w:rsidR="00821D06">
          <w:rPr>
            <w:b w:val="0"/>
          </w:rPr>
          <w:t>63</w:t>
        </w:r>
        <w:r w:rsidRPr="004D57A4">
          <w:rPr>
            <w:b w:val="0"/>
          </w:rPr>
          <w:fldChar w:fldCharType="end"/>
        </w:r>
      </w:hyperlink>
    </w:p>
    <w:p w14:paraId="1567C062" w14:textId="3161E9F5"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74" w:history="1">
        <w:r w:rsidRPr="0049025D">
          <w:t>1.30</w:t>
        </w:r>
        <w:r>
          <w:rPr>
            <w:rFonts w:asciiTheme="minorHAnsi" w:eastAsiaTheme="minorEastAsia" w:hAnsiTheme="minorHAnsi" w:cstheme="minorBidi"/>
            <w:kern w:val="2"/>
            <w:sz w:val="22"/>
            <w:szCs w:val="22"/>
            <w:lang w:eastAsia="en-AU"/>
            <w14:ligatures w14:val="standardContextual"/>
          </w:rPr>
          <w:tab/>
        </w:r>
        <w:r w:rsidRPr="0049025D">
          <w:t>Promotions and inducements</w:t>
        </w:r>
        <w:r>
          <w:tab/>
        </w:r>
        <w:r>
          <w:fldChar w:fldCharType="begin"/>
        </w:r>
        <w:r>
          <w:instrText xml:space="preserve"> PAGEREF _Toc155080774 \h </w:instrText>
        </w:r>
        <w:r>
          <w:fldChar w:fldCharType="separate"/>
        </w:r>
        <w:r w:rsidR="00821D06">
          <w:t>63</w:t>
        </w:r>
        <w:r>
          <w:fldChar w:fldCharType="end"/>
        </w:r>
      </w:hyperlink>
    </w:p>
    <w:p w14:paraId="484C2EC4" w14:textId="3C0C2EF2"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75" w:history="1">
        <w:r w:rsidRPr="0049025D">
          <w:t>1.30A</w:t>
        </w:r>
        <w:r>
          <w:rPr>
            <w:rFonts w:asciiTheme="minorHAnsi" w:eastAsiaTheme="minorEastAsia" w:hAnsiTheme="minorHAnsi" w:cstheme="minorBidi"/>
            <w:kern w:val="2"/>
            <w:sz w:val="22"/>
            <w:szCs w:val="22"/>
            <w:lang w:eastAsia="en-AU"/>
            <w14:ligatures w14:val="standardContextual"/>
          </w:rPr>
          <w:tab/>
        </w:r>
        <w:r w:rsidRPr="0049025D">
          <w:t>Gaming machine promotions—alternative ways to participate</w:t>
        </w:r>
        <w:r>
          <w:tab/>
        </w:r>
        <w:r>
          <w:fldChar w:fldCharType="begin"/>
        </w:r>
        <w:r>
          <w:instrText xml:space="preserve"> PAGEREF _Toc155080775 \h </w:instrText>
        </w:r>
        <w:r>
          <w:fldChar w:fldCharType="separate"/>
        </w:r>
        <w:r w:rsidR="00821D06">
          <w:t>66</w:t>
        </w:r>
        <w:r>
          <w:fldChar w:fldCharType="end"/>
        </w:r>
      </w:hyperlink>
    </w:p>
    <w:p w14:paraId="2DAAF3C4" w14:textId="38D02793"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76" w:history="1">
        <w:r w:rsidRPr="0049025D">
          <w:t>1.30B</w:t>
        </w:r>
        <w:r>
          <w:rPr>
            <w:rFonts w:asciiTheme="minorHAnsi" w:eastAsiaTheme="minorEastAsia" w:hAnsiTheme="minorHAnsi" w:cstheme="minorBidi"/>
            <w:kern w:val="2"/>
            <w:sz w:val="22"/>
            <w:szCs w:val="22"/>
            <w:lang w:eastAsia="en-AU"/>
            <w14:ligatures w14:val="standardContextual"/>
          </w:rPr>
          <w:tab/>
        </w:r>
        <w:r w:rsidRPr="0049025D">
          <w:t>Personally addressed promotional material—gaming machine and casino licensees</w:t>
        </w:r>
        <w:r>
          <w:tab/>
        </w:r>
        <w:r>
          <w:fldChar w:fldCharType="begin"/>
        </w:r>
        <w:r>
          <w:instrText xml:space="preserve"> PAGEREF _Toc155080776 \h </w:instrText>
        </w:r>
        <w:r>
          <w:fldChar w:fldCharType="separate"/>
        </w:r>
        <w:r w:rsidR="00821D06">
          <w:t>66</w:t>
        </w:r>
        <w:r>
          <w:fldChar w:fldCharType="end"/>
        </w:r>
      </w:hyperlink>
    </w:p>
    <w:p w14:paraId="12566286" w14:textId="04B7DFD4" w:rsidR="004D57A4" w:rsidRDefault="004D57A4">
      <w:pPr>
        <w:pStyle w:val="TOC8"/>
        <w:rPr>
          <w:rFonts w:asciiTheme="minorHAnsi" w:eastAsiaTheme="minorEastAsia" w:hAnsiTheme="minorHAnsi" w:cstheme="minorBidi"/>
          <w:b w:val="0"/>
          <w:kern w:val="2"/>
          <w:sz w:val="22"/>
          <w:szCs w:val="22"/>
          <w:lang w:eastAsia="en-AU"/>
          <w14:ligatures w14:val="standardContextual"/>
        </w:rPr>
      </w:pPr>
      <w:hyperlink w:anchor="_Toc155080777" w:history="1">
        <w:r w:rsidRPr="0049025D">
          <w:t>Division 1.4.4</w:t>
        </w:r>
        <w:r>
          <w:rPr>
            <w:rFonts w:asciiTheme="minorHAnsi" w:eastAsiaTheme="minorEastAsia" w:hAnsiTheme="minorHAnsi" w:cstheme="minorBidi"/>
            <w:b w:val="0"/>
            <w:kern w:val="2"/>
            <w:sz w:val="22"/>
            <w:szCs w:val="22"/>
            <w:lang w:eastAsia="en-AU"/>
            <w14:ligatures w14:val="standardContextual"/>
          </w:rPr>
          <w:tab/>
        </w:r>
        <w:r w:rsidRPr="0049025D">
          <w:t>Direct marketing</w:t>
        </w:r>
        <w:r>
          <w:tab/>
        </w:r>
        <w:r w:rsidRPr="004D57A4">
          <w:rPr>
            <w:b w:val="0"/>
          </w:rPr>
          <w:fldChar w:fldCharType="begin"/>
        </w:r>
        <w:r w:rsidRPr="004D57A4">
          <w:rPr>
            <w:b w:val="0"/>
          </w:rPr>
          <w:instrText xml:space="preserve"> PAGEREF _Toc155080777 \h </w:instrText>
        </w:r>
        <w:r w:rsidRPr="004D57A4">
          <w:rPr>
            <w:b w:val="0"/>
          </w:rPr>
        </w:r>
        <w:r w:rsidRPr="004D57A4">
          <w:rPr>
            <w:b w:val="0"/>
          </w:rPr>
          <w:fldChar w:fldCharType="separate"/>
        </w:r>
        <w:r w:rsidR="00821D06">
          <w:rPr>
            <w:b w:val="0"/>
          </w:rPr>
          <w:t>67</w:t>
        </w:r>
        <w:r w:rsidRPr="004D57A4">
          <w:rPr>
            <w:b w:val="0"/>
          </w:rPr>
          <w:fldChar w:fldCharType="end"/>
        </w:r>
      </w:hyperlink>
    </w:p>
    <w:p w14:paraId="170E6AA0" w14:textId="6AF86CD8"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78" w:history="1">
        <w:r w:rsidRPr="0049025D">
          <w:t>1.30C</w:t>
        </w:r>
        <w:r>
          <w:rPr>
            <w:rFonts w:asciiTheme="minorHAnsi" w:eastAsiaTheme="minorEastAsia" w:hAnsiTheme="minorHAnsi" w:cstheme="minorBidi"/>
            <w:kern w:val="2"/>
            <w:sz w:val="22"/>
            <w:szCs w:val="22"/>
            <w:lang w:eastAsia="en-AU"/>
            <w14:ligatures w14:val="standardContextual"/>
          </w:rPr>
          <w:tab/>
        </w:r>
        <w:r w:rsidRPr="0049025D">
          <w:rPr>
            <w:shd w:val="clear" w:color="auto" w:fill="FFFFFF"/>
          </w:rPr>
          <w:t>Direct marketing—electronic race bookmaking, sports bookmaking and totalisator licensees</w:t>
        </w:r>
        <w:r>
          <w:tab/>
        </w:r>
        <w:r>
          <w:fldChar w:fldCharType="begin"/>
        </w:r>
        <w:r>
          <w:instrText xml:space="preserve"> PAGEREF _Toc155080778 \h </w:instrText>
        </w:r>
        <w:r>
          <w:fldChar w:fldCharType="separate"/>
        </w:r>
        <w:r w:rsidR="00821D06">
          <w:t>67</w:t>
        </w:r>
        <w:r>
          <w:fldChar w:fldCharType="end"/>
        </w:r>
      </w:hyperlink>
    </w:p>
    <w:p w14:paraId="1F1D3B97" w14:textId="2FA666ED"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79" w:history="1">
        <w:r w:rsidRPr="0049025D">
          <w:t>1.30D</w:t>
        </w:r>
        <w:r>
          <w:rPr>
            <w:rFonts w:asciiTheme="minorHAnsi" w:eastAsiaTheme="minorEastAsia" w:hAnsiTheme="minorHAnsi" w:cstheme="minorBidi"/>
            <w:kern w:val="2"/>
            <w:sz w:val="22"/>
            <w:szCs w:val="22"/>
            <w:lang w:eastAsia="en-AU"/>
            <w14:ligatures w14:val="standardContextual"/>
          </w:rPr>
          <w:tab/>
        </w:r>
        <w:r w:rsidRPr="0049025D">
          <w:rPr>
            <w:shd w:val="clear" w:color="auto" w:fill="FFFFFF"/>
          </w:rPr>
          <w:t>Guidelines for direct marketing by electronic race bookmaking, sports bookmaking and totalisator licensees</w:t>
        </w:r>
        <w:r>
          <w:tab/>
        </w:r>
        <w:r>
          <w:fldChar w:fldCharType="begin"/>
        </w:r>
        <w:r>
          <w:instrText xml:space="preserve"> PAGEREF _Toc155080779 \h </w:instrText>
        </w:r>
        <w:r>
          <w:fldChar w:fldCharType="separate"/>
        </w:r>
        <w:r w:rsidR="00821D06">
          <w:t>68</w:t>
        </w:r>
        <w:r>
          <w:fldChar w:fldCharType="end"/>
        </w:r>
      </w:hyperlink>
    </w:p>
    <w:p w14:paraId="3F83E3ED" w14:textId="02827608" w:rsidR="004D57A4" w:rsidRDefault="004D57A4">
      <w:pPr>
        <w:pStyle w:val="TOC8"/>
        <w:rPr>
          <w:rFonts w:asciiTheme="minorHAnsi" w:eastAsiaTheme="minorEastAsia" w:hAnsiTheme="minorHAnsi" w:cstheme="minorBidi"/>
          <w:b w:val="0"/>
          <w:kern w:val="2"/>
          <w:sz w:val="22"/>
          <w:szCs w:val="22"/>
          <w:lang w:eastAsia="en-AU"/>
          <w14:ligatures w14:val="standardContextual"/>
        </w:rPr>
      </w:pPr>
      <w:hyperlink w:anchor="_Toc155080780" w:history="1">
        <w:r w:rsidRPr="0049025D">
          <w:t>Division 1.4.5</w:t>
        </w:r>
        <w:r>
          <w:rPr>
            <w:rFonts w:asciiTheme="minorHAnsi" w:eastAsiaTheme="minorEastAsia" w:hAnsiTheme="minorHAnsi" w:cstheme="minorBidi"/>
            <w:b w:val="0"/>
            <w:kern w:val="2"/>
            <w:sz w:val="22"/>
            <w:szCs w:val="22"/>
            <w:lang w:eastAsia="en-AU"/>
            <w14:ligatures w14:val="standardContextual"/>
          </w:rPr>
          <w:tab/>
        </w:r>
        <w:r w:rsidRPr="0049025D">
          <w:t>Miscellaneous</w:t>
        </w:r>
        <w:r>
          <w:tab/>
        </w:r>
        <w:r w:rsidRPr="004D57A4">
          <w:rPr>
            <w:b w:val="0"/>
          </w:rPr>
          <w:fldChar w:fldCharType="begin"/>
        </w:r>
        <w:r w:rsidRPr="004D57A4">
          <w:rPr>
            <w:b w:val="0"/>
          </w:rPr>
          <w:instrText xml:space="preserve"> PAGEREF _Toc155080780 \h </w:instrText>
        </w:r>
        <w:r w:rsidRPr="004D57A4">
          <w:rPr>
            <w:b w:val="0"/>
          </w:rPr>
        </w:r>
        <w:r w:rsidRPr="004D57A4">
          <w:rPr>
            <w:b w:val="0"/>
          </w:rPr>
          <w:fldChar w:fldCharType="separate"/>
        </w:r>
        <w:r w:rsidR="00821D06">
          <w:rPr>
            <w:b w:val="0"/>
          </w:rPr>
          <w:t>68</w:t>
        </w:r>
        <w:r w:rsidRPr="004D57A4">
          <w:rPr>
            <w:b w:val="0"/>
          </w:rPr>
          <w:fldChar w:fldCharType="end"/>
        </w:r>
      </w:hyperlink>
    </w:p>
    <w:p w14:paraId="41CBCD4B" w14:textId="54C9FEE7"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81" w:history="1">
        <w:r w:rsidRPr="0049025D">
          <w:t>1.31</w:t>
        </w:r>
        <w:r>
          <w:rPr>
            <w:rFonts w:asciiTheme="minorHAnsi" w:eastAsiaTheme="minorEastAsia" w:hAnsiTheme="minorHAnsi" w:cstheme="minorBidi"/>
            <w:kern w:val="2"/>
            <w:sz w:val="22"/>
            <w:szCs w:val="22"/>
            <w:lang w:eastAsia="en-AU"/>
            <w14:ligatures w14:val="standardContextual"/>
          </w:rPr>
          <w:tab/>
        </w:r>
        <w:r w:rsidRPr="0049025D">
          <w:t>Directions about advertising, promotions and inducements</w:t>
        </w:r>
        <w:r>
          <w:tab/>
        </w:r>
        <w:r>
          <w:fldChar w:fldCharType="begin"/>
        </w:r>
        <w:r>
          <w:instrText xml:space="preserve"> PAGEREF _Toc155080781 \h </w:instrText>
        </w:r>
        <w:r>
          <w:fldChar w:fldCharType="separate"/>
        </w:r>
        <w:r w:rsidR="00821D06">
          <w:t>68</w:t>
        </w:r>
        <w:r>
          <w:fldChar w:fldCharType="end"/>
        </w:r>
      </w:hyperlink>
    </w:p>
    <w:p w14:paraId="428F9A0D" w14:textId="3C364CE4" w:rsidR="004D57A4" w:rsidRDefault="004D57A4">
      <w:pPr>
        <w:pStyle w:val="TOC7"/>
        <w:rPr>
          <w:rFonts w:asciiTheme="minorHAnsi" w:eastAsiaTheme="minorEastAsia" w:hAnsiTheme="minorHAnsi" w:cstheme="minorBidi"/>
          <w:b w:val="0"/>
          <w:kern w:val="2"/>
          <w:sz w:val="22"/>
          <w:szCs w:val="22"/>
          <w:lang w:eastAsia="en-AU"/>
          <w14:ligatures w14:val="standardContextual"/>
        </w:rPr>
      </w:pPr>
      <w:hyperlink w:anchor="_Toc155080782" w:history="1">
        <w:r w:rsidRPr="0049025D">
          <w:t>Part 1.5</w:t>
        </w:r>
        <w:r>
          <w:rPr>
            <w:rFonts w:asciiTheme="minorHAnsi" w:eastAsiaTheme="minorEastAsia" w:hAnsiTheme="minorHAnsi" w:cstheme="minorBidi"/>
            <w:b w:val="0"/>
            <w:kern w:val="2"/>
            <w:sz w:val="22"/>
            <w:szCs w:val="22"/>
            <w:lang w:eastAsia="en-AU"/>
            <w14:ligatures w14:val="standardContextual"/>
          </w:rPr>
          <w:tab/>
        </w:r>
        <w:r w:rsidRPr="0049025D">
          <w:t>Club licensee obligations—club refuge declarations</w:t>
        </w:r>
        <w:r>
          <w:tab/>
        </w:r>
        <w:r w:rsidRPr="004D57A4">
          <w:rPr>
            <w:b w:val="0"/>
          </w:rPr>
          <w:fldChar w:fldCharType="begin"/>
        </w:r>
        <w:r w:rsidRPr="004D57A4">
          <w:rPr>
            <w:b w:val="0"/>
          </w:rPr>
          <w:instrText xml:space="preserve"> PAGEREF _Toc155080782 \h </w:instrText>
        </w:r>
        <w:r w:rsidRPr="004D57A4">
          <w:rPr>
            <w:b w:val="0"/>
          </w:rPr>
        </w:r>
        <w:r w:rsidRPr="004D57A4">
          <w:rPr>
            <w:b w:val="0"/>
          </w:rPr>
          <w:fldChar w:fldCharType="separate"/>
        </w:r>
        <w:r w:rsidR="00821D06">
          <w:rPr>
            <w:b w:val="0"/>
          </w:rPr>
          <w:t>69</w:t>
        </w:r>
        <w:r w:rsidRPr="004D57A4">
          <w:rPr>
            <w:b w:val="0"/>
          </w:rPr>
          <w:fldChar w:fldCharType="end"/>
        </w:r>
      </w:hyperlink>
    </w:p>
    <w:p w14:paraId="1A15BC77" w14:textId="054320CC"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83" w:history="1">
        <w:r w:rsidRPr="0049025D">
          <w:t>1.32</w:t>
        </w:r>
        <w:r>
          <w:rPr>
            <w:rFonts w:asciiTheme="minorHAnsi" w:eastAsiaTheme="minorEastAsia" w:hAnsiTheme="minorHAnsi" w:cstheme="minorBidi"/>
            <w:kern w:val="2"/>
            <w:sz w:val="22"/>
            <w:szCs w:val="22"/>
            <w:lang w:eastAsia="en-AU"/>
            <w14:ligatures w14:val="standardContextual"/>
          </w:rPr>
          <w:tab/>
        </w:r>
        <w:r w:rsidRPr="0049025D">
          <w:t>Application—pt 1.5</w:t>
        </w:r>
        <w:r>
          <w:tab/>
        </w:r>
        <w:r>
          <w:fldChar w:fldCharType="begin"/>
        </w:r>
        <w:r>
          <w:instrText xml:space="preserve"> PAGEREF _Toc155080783 \h </w:instrText>
        </w:r>
        <w:r>
          <w:fldChar w:fldCharType="separate"/>
        </w:r>
        <w:r w:rsidR="00821D06">
          <w:t>69</w:t>
        </w:r>
        <w:r>
          <w:fldChar w:fldCharType="end"/>
        </w:r>
      </w:hyperlink>
    </w:p>
    <w:p w14:paraId="4EEBEF9B" w14:textId="79029F6A"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84" w:history="1">
        <w:r w:rsidRPr="0049025D">
          <w:t>1.33</w:t>
        </w:r>
        <w:r>
          <w:rPr>
            <w:rFonts w:asciiTheme="minorHAnsi" w:eastAsiaTheme="minorEastAsia" w:hAnsiTheme="minorHAnsi" w:cstheme="minorBidi"/>
            <w:kern w:val="2"/>
            <w:sz w:val="22"/>
            <w:szCs w:val="22"/>
            <w:lang w:eastAsia="en-AU"/>
            <w14:ligatures w14:val="standardContextual"/>
          </w:rPr>
          <w:tab/>
        </w:r>
        <w:r w:rsidRPr="0049025D">
          <w:t xml:space="preserve">Meaning of </w:t>
        </w:r>
        <w:r w:rsidRPr="0049025D">
          <w:rPr>
            <w:i/>
          </w:rPr>
          <w:t>club refuge declaration</w:t>
        </w:r>
        <w:r w:rsidRPr="0049025D">
          <w:t>—pt 1.5</w:t>
        </w:r>
        <w:r>
          <w:tab/>
        </w:r>
        <w:r>
          <w:fldChar w:fldCharType="begin"/>
        </w:r>
        <w:r>
          <w:instrText xml:space="preserve"> PAGEREF _Toc155080784 \h </w:instrText>
        </w:r>
        <w:r>
          <w:fldChar w:fldCharType="separate"/>
        </w:r>
        <w:r w:rsidR="00821D06">
          <w:t>69</w:t>
        </w:r>
        <w:r>
          <w:fldChar w:fldCharType="end"/>
        </w:r>
      </w:hyperlink>
    </w:p>
    <w:p w14:paraId="4C53E6FF" w14:textId="5341F63D"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85" w:history="1">
        <w:r w:rsidRPr="0049025D">
          <w:t>1.34</w:t>
        </w:r>
        <w:r>
          <w:rPr>
            <w:rFonts w:asciiTheme="minorHAnsi" w:eastAsiaTheme="minorEastAsia" w:hAnsiTheme="minorHAnsi" w:cstheme="minorBidi"/>
            <w:kern w:val="2"/>
            <w:sz w:val="22"/>
            <w:szCs w:val="22"/>
            <w:lang w:eastAsia="en-AU"/>
            <w14:ligatures w14:val="standardContextual"/>
          </w:rPr>
          <w:tab/>
        </w:r>
        <w:r w:rsidRPr="0049025D">
          <w:t>Club refuge declaration—refuge area</w:t>
        </w:r>
        <w:r>
          <w:tab/>
        </w:r>
        <w:r>
          <w:fldChar w:fldCharType="begin"/>
        </w:r>
        <w:r>
          <w:instrText xml:space="preserve"> PAGEREF _Toc155080785 \h </w:instrText>
        </w:r>
        <w:r>
          <w:fldChar w:fldCharType="separate"/>
        </w:r>
        <w:r w:rsidR="00821D06">
          <w:t>69</w:t>
        </w:r>
        <w:r>
          <w:fldChar w:fldCharType="end"/>
        </w:r>
      </w:hyperlink>
    </w:p>
    <w:p w14:paraId="49D1AEBC" w14:textId="55310F1D"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86" w:history="1">
        <w:r w:rsidRPr="0049025D">
          <w:t>1.35</w:t>
        </w:r>
        <w:r>
          <w:rPr>
            <w:rFonts w:asciiTheme="minorHAnsi" w:eastAsiaTheme="minorEastAsia" w:hAnsiTheme="minorHAnsi" w:cstheme="minorBidi"/>
            <w:kern w:val="2"/>
            <w:sz w:val="22"/>
            <w:szCs w:val="22"/>
            <w:lang w:eastAsia="en-AU"/>
            <w14:ligatures w14:val="standardContextual"/>
          </w:rPr>
          <w:tab/>
        </w:r>
        <w:r w:rsidRPr="0049025D">
          <w:t>Club refuge declaration—information about emergencies and refuges</w:t>
        </w:r>
        <w:r>
          <w:tab/>
        </w:r>
        <w:r>
          <w:fldChar w:fldCharType="begin"/>
        </w:r>
        <w:r>
          <w:instrText xml:space="preserve"> PAGEREF _Toc155080786 \h </w:instrText>
        </w:r>
        <w:r>
          <w:fldChar w:fldCharType="separate"/>
        </w:r>
        <w:r w:rsidR="00821D06">
          <w:t>69</w:t>
        </w:r>
        <w:r>
          <w:fldChar w:fldCharType="end"/>
        </w:r>
      </w:hyperlink>
    </w:p>
    <w:p w14:paraId="0C2943EF" w14:textId="4C2FD098"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87" w:history="1">
        <w:r w:rsidRPr="0049025D">
          <w:t>1.36</w:t>
        </w:r>
        <w:r>
          <w:rPr>
            <w:rFonts w:asciiTheme="minorHAnsi" w:eastAsiaTheme="minorEastAsia" w:hAnsiTheme="minorHAnsi" w:cstheme="minorBidi"/>
            <w:kern w:val="2"/>
            <w:sz w:val="22"/>
            <w:szCs w:val="22"/>
            <w:lang w:eastAsia="en-AU"/>
            <w14:ligatures w14:val="standardContextual"/>
          </w:rPr>
          <w:tab/>
        </w:r>
        <w:r w:rsidRPr="0049025D">
          <w:t>Club refuge declaration—gambling contact officers</w:t>
        </w:r>
        <w:r>
          <w:tab/>
        </w:r>
        <w:r>
          <w:fldChar w:fldCharType="begin"/>
        </w:r>
        <w:r>
          <w:instrText xml:space="preserve"> PAGEREF _Toc155080787 \h </w:instrText>
        </w:r>
        <w:r>
          <w:fldChar w:fldCharType="separate"/>
        </w:r>
        <w:r w:rsidR="00821D06">
          <w:t>70</w:t>
        </w:r>
        <w:r>
          <w:fldChar w:fldCharType="end"/>
        </w:r>
      </w:hyperlink>
    </w:p>
    <w:p w14:paraId="261FCEF0" w14:textId="125F3754" w:rsidR="004D57A4" w:rsidRDefault="004D57A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5080788" w:history="1">
        <w:r w:rsidRPr="0049025D">
          <w:t>1.37</w:t>
        </w:r>
        <w:r>
          <w:rPr>
            <w:rFonts w:asciiTheme="minorHAnsi" w:eastAsiaTheme="minorEastAsia" w:hAnsiTheme="minorHAnsi" w:cstheme="minorBidi"/>
            <w:kern w:val="2"/>
            <w:sz w:val="22"/>
            <w:szCs w:val="22"/>
            <w:lang w:eastAsia="en-AU"/>
            <w14:ligatures w14:val="standardContextual"/>
          </w:rPr>
          <w:tab/>
        </w:r>
        <w:r w:rsidRPr="0049025D">
          <w:t>Club refuge declaration—direct marketing</w:t>
        </w:r>
        <w:r>
          <w:tab/>
        </w:r>
        <w:r>
          <w:fldChar w:fldCharType="begin"/>
        </w:r>
        <w:r>
          <w:instrText xml:space="preserve"> PAGEREF _Toc155080788 \h </w:instrText>
        </w:r>
        <w:r>
          <w:fldChar w:fldCharType="separate"/>
        </w:r>
        <w:r w:rsidR="00821D06">
          <w:t>70</w:t>
        </w:r>
        <w:r>
          <w:fldChar w:fldCharType="end"/>
        </w:r>
      </w:hyperlink>
    </w:p>
    <w:p w14:paraId="2D529FFC" w14:textId="7436E5B8" w:rsidR="004D57A4" w:rsidRDefault="004D57A4">
      <w:pPr>
        <w:pStyle w:val="TOC6"/>
        <w:rPr>
          <w:rFonts w:asciiTheme="minorHAnsi" w:eastAsiaTheme="minorEastAsia" w:hAnsiTheme="minorHAnsi" w:cstheme="minorBidi"/>
          <w:b w:val="0"/>
          <w:kern w:val="2"/>
          <w:sz w:val="22"/>
          <w:szCs w:val="22"/>
          <w:lang w:eastAsia="en-AU"/>
          <w14:ligatures w14:val="standardContextual"/>
        </w:rPr>
      </w:pPr>
      <w:hyperlink w:anchor="_Toc155080789" w:history="1">
        <w:r w:rsidRPr="0049025D">
          <w:t>Dictionary</w:t>
        </w:r>
        <w:r>
          <w:tab/>
        </w:r>
        <w:r>
          <w:tab/>
        </w:r>
        <w:r w:rsidRPr="004D57A4">
          <w:rPr>
            <w:b w:val="0"/>
            <w:sz w:val="20"/>
          </w:rPr>
          <w:fldChar w:fldCharType="begin"/>
        </w:r>
        <w:r w:rsidRPr="004D57A4">
          <w:rPr>
            <w:b w:val="0"/>
            <w:sz w:val="20"/>
          </w:rPr>
          <w:instrText xml:space="preserve"> PAGEREF _Toc155080789 \h </w:instrText>
        </w:r>
        <w:r w:rsidRPr="004D57A4">
          <w:rPr>
            <w:b w:val="0"/>
            <w:sz w:val="20"/>
          </w:rPr>
        </w:r>
        <w:r w:rsidRPr="004D57A4">
          <w:rPr>
            <w:b w:val="0"/>
            <w:sz w:val="20"/>
          </w:rPr>
          <w:fldChar w:fldCharType="separate"/>
        </w:r>
        <w:r w:rsidR="00821D06">
          <w:rPr>
            <w:b w:val="0"/>
            <w:sz w:val="20"/>
          </w:rPr>
          <w:t>71</w:t>
        </w:r>
        <w:r w:rsidRPr="004D57A4">
          <w:rPr>
            <w:b w:val="0"/>
            <w:sz w:val="20"/>
          </w:rPr>
          <w:fldChar w:fldCharType="end"/>
        </w:r>
      </w:hyperlink>
    </w:p>
    <w:p w14:paraId="55D0555F" w14:textId="2052CBE7" w:rsidR="004D57A4" w:rsidRDefault="004D57A4" w:rsidP="004D57A4">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5080790" w:history="1">
        <w:r>
          <w:t>Endnotes</w:t>
        </w:r>
        <w:r w:rsidRPr="004D57A4">
          <w:rPr>
            <w:vanish/>
          </w:rPr>
          <w:tab/>
        </w:r>
        <w:r>
          <w:rPr>
            <w:vanish/>
          </w:rPr>
          <w:tab/>
        </w:r>
        <w:r w:rsidRPr="004D57A4">
          <w:rPr>
            <w:b w:val="0"/>
            <w:vanish/>
          </w:rPr>
          <w:fldChar w:fldCharType="begin"/>
        </w:r>
        <w:r w:rsidRPr="004D57A4">
          <w:rPr>
            <w:b w:val="0"/>
            <w:vanish/>
          </w:rPr>
          <w:instrText xml:space="preserve"> PAGEREF _Toc155080790 \h </w:instrText>
        </w:r>
        <w:r w:rsidRPr="004D57A4">
          <w:rPr>
            <w:b w:val="0"/>
            <w:vanish/>
          </w:rPr>
        </w:r>
        <w:r w:rsidRPr="004D57A4">
          <w:rPr>
            <w:b w:val="0"/>
            <w:vanish/>
          </w:rPr>
          <w:fldChar w:fldCharType="separate"/>
        </w:r>
        <w:r w:rsidR="00821D06">
          <w:rPr>
            <w:b w:val="0"/>
            <w:vanish/>
          </w:rPr>
          <w:t>76</w:t>
        </w:r>
        <w:r w:rsidRPr="004D57A4">
          <w:rPr>
            <w:b w:val="0"/>
            <w:vanish/>
          </w:rPr>
          <w:fldChar w:fldCharType="end"/>
        </w:r>
      </w:hyperlink>
    </w:p>
    <w:p w14:paraId="3467FAA6" w14:textId="7749C353"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91" w:history="1">
        <w:r w:rsidRPr="0049025D">
          <w:t>1</w:t>
        </w:r>
        <w:r>
          <w:rPr>
            <w:rFonts w:asciiTheme="minorHAnsi" w:eastAsiaTheme="minorEastAsia" w:hAnsiTheme="minorHAnsi" w:cstheme="minorBidi"/>
            <w:kern w:val="2"/>
            <w:sz w:val="22"/>
            <w:szCs w:val="22"/>
            <w:lang w:eastAsia="en-AU"/>
            <w14:ligatures w14:val="standardContextual"/>
          </w:rPr>
          <w:tab/>
        </w:r>
        <w:r w:rsidRPr="0049025D">
          <w:t>About the endnotes</w:t>
        </w:r>
        <w:r>
          <w:tab/>
        </w:r>
        <w:r>
          <w:fldChar w:fldCharType="begin"/>
        </w:r>
        <w:r>
          <w:instrText xml:space="preserve"> PAGEREF _Toc155080791 \h </w:instrText>
        </w:r>
        <w:r>
          <w:fldChar w:fldCharType="separate"/>
        </w:r>
        <w:r w:rsidR="00821D06">
          <w:t>76</w:t>
        </w:r>
        <w:r>
          <w:fldChar w:fldCharType="end"/>
        </w:r>
      </w:hyperlink>
    </w:p>
    <w:p w14:paraId="140783AE" w14:textId="5596F745"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92" w:history="1">
        <w:r w:rsidRPr="0049025D">
          <w:t>2</w:t>
        </w:r>
        <w:r>
          <w:rPr>
            <w:rFonts w:asciiTheme="minorHAnsi" w:eastAsiaTheme="minorEastAsia" w:hAnsiTheme="minorHAnsi" w:cstheme="minorBidi"/>
            <w:kern w:val="2"/>
            <w:sz w:val="22"/>
            <w:szCs w:val="22"/>
            <w:lang w:eastAsia="en-AU"/>
            <w14:ligatures w14:val="standardContextual"/>
          </w:rPr>
          <w:tab/>
        </w:r>
        <w:r w:rsidRPr="0049025D">
          <w:t>Abbreviation key</w:t>
        </w:r>
        <w:r>
          <w:tab/>
        </w:r>
        <w:r>
          <w:fldChar w:fldCharType="begin"/>
        </w:r>
        <w:r>
          <w:instrText xml:space="preserve"> PAGEREF _Toc155080792 \h </w:instrText>
        </w:r>
        <w:r>
          <w:fldChar w:fldCharType="separate"/>
        </w:r>
        <w:r w:rsidR="00821D06">
          <w:t>76</w:t>
        </w:r>
        <w:r>
          <w:fldChar w:fldCharType="end"/>
        </w:r>
      </w:hyperlink>
    </w:p>
    <w:p w14:paraId="7F5367B9" w14:textId="5514CFA6"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93" w:history="1">
        <w:r w:rsidRPr="0049025D">
          <w:t>3</w:t>
        </w:r>
        <w:r>
          <w:rPr>
            <w:rFonts w:asciiTheme="minorHAnsi" w:eastAsiaTheme="minorEastAsia" w:hAnsiTheme="minorHAnsi" w:cstheme="minorBidi"/>
            <w:kern w:val="2"/>
            <w:sz w:val="22"/>
            <w:szCs w:val="22"/>
            <w:lang w:eastAsia="en-AU"/>
            <w14:ligatures w14:val="standardContextual"/>
          </w:rPr>
          <w:tab/>
        </w:r>
        <w:r w:rsidRPr="0049025D">
          <w:t>Legislation history</w:t>
        </w:r>
        <w:r>
          <w:tab/>
        </w:r>
        <w:r>
          <w:fldChar w:fldCharType="begin"/>
        </w:r>
        <w:r>
          <w:instrText xml:space="preserve"> PAGEREF _Toc155080793 \h </w:instrText>
        </w:r>
        <w:r>
          <w:fldChar w:fldCharType="separate"/>
        </w:r>
        <w:r w:rsidR="00821D06">
          <w:t>77</w:t>
        </w:r>
        <w:r>
          <w:fldChar w:fldCharType="end"/>
        </w:r>
      </w:hyperlink>
    </w:p>
    <w:p w14:paraId="3DBF2948" w14:textId="2FE7EF72"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94" w:history="1">
        <w:r w:rsidRPr="0049025D">
          <w:t>4</w:t>
        </w:r>
        <w:r>
          <w:rPr>
            <w:rFonts w:asciiTheme="minorHAnsi" w:eastAsiaTheme="minorEastAsia" w:hAnsiTheme="minorHAnsi" w:cstheme="minorBidi"/>
            <w:kern w:val="2"/>
            <w:sz w:val="22"/>
            <w:szCs w:val="22"/>
            <w:lang w:eastAsia="en-AU"/>
            <w14:ligatures w14:val="standardContextual"/>
          </w:rPr>
          <w:tab/>
        </w:r>
        <w:r w:rsidRPr="0049025D">
          <w:t>Amendment history</w:t>
        </w:r>
        <w:r>
          <w:tab/>
        </w:r>
        <w:r>
          <w:fldChar w:fldCharType="begin"/>
        </w:r>
        <w:r>
          <w:instrText xml:space="preserve"> PAGEREF _Toc155080794 \h </w:instrText>
        </w:r>
        <w:r>
          <w:fldChar w:fldCharType="separate"/>
        </w:r>
        <w:r w:rsidR="00821D06">
          <w:t>79</w:t>
        </w:r>
        <w:r>
          <w:fldChar w:fldCharType="end"/>
        </w:r>
      </w:hyperlink>
    </w:p>
    <w:p w14:paraId="699F7968" w14:textId="0F3D71F4"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95" w:history="1">
        <w:r w:rsidRPr="0049025D">
          <w:t>5</w:t>
        </w:r>
        <w:r>
          <w:rPr>
            <w:rFonts w:asciiTheme="minorHAnsi" w:eastAsiaTheme="minorEastAsia" w:hAnsiTheme="minorHAnsi" w:cstheme="minorBidi"/>
            <w:kern w:val="2"/>
            <w:sz w:val="22"/>
            <w:szCs w:val="22"/>
            <w:lang w:eastAsia="en-AU"/>
            <w14:ligatures w14:val="standardContextual"/>
          </w:rPr>
          <w:tab/>
        </w:r>
        <w:r w:rsidRPr="0049025D">
          <w:t>Earlier republications</w:t>
        </w:r>
        <w:r>
          <w:tab/>
        </w:r>
        <w:r>
          <w:fldChar w:fldCharType="begin"/>
        </w:r>
        <w:r>
          <w:instrText xml:space="preserve"> PAGEREF _Toc155080795 \h </w:instrText>
        </w:r>
        <w:r>
          <w:fldChar w:fldCharType="separate"/>
        </w:r>
        <w:r w:rsidR="00821D06">
          <w:t>88</w:t>
        </w:r>
        <w:r>
          <w:fldChar w:fldCharType="end"/>
        </w:r>
      </w:hyperlink>
    </w:p>
    <w:p w14:paraId="26018B36" w14:textId="6FCDB127" w:rsidR="004D57A4" w:rsidRDefault="004D57A4">
      <w:pPr>
        <w:pStyle w:val="TOC5"/>
        <w:rPr>
          <w:rFonts w:asciiTheme="minorHAnsi" w:eastAsiaTheme="minorEastAsia" w:hAnsiTheme="minorHAnsi" w:cstheme="minorBidi"/>
          <w:kern w:val="2"/>
          <w:sz w:val="22"/>
          <w:szCs w:val="22"/>
          <w:lang w:eastAsia="en-AU"/>
          <w14:ligatures w14:val="standardContextual"/>
        </w:rPr>
      </w:pPr>
      <w:r>
        <w:tab/>
      </w:r>
      <w:hyperlink w:anchor="_Toc155080796" w:history="1">
        <w:r w:rsidRPr="0049025D">
          <w:t>6</w:t>
        </w:r>
        <w:r>
          <w:rPr>
            <w:rFonts w:asciiTheme="minorHAnsi" w:eastAsiaTheme="minorEastAsia" w:hAnsiTheme="minorHAnsi" w:cstheme="minorBidi"/>
            <w:kern w:val="2"/>
            <w:sz w:val="22"/>
            <w:szCs w:val="22"/>
            <w:lang w:eastAsia="en-AU"/>
            <w14:ligatures w14:val="standardContextual"/>
          </w:rPr>
          <w:tab/>
        </w:r>
        <w:r w:rsidRPr="0049025D">
          <w:t>Expired transitional or validating provisions</w:t>
        </w:r>
        <w:r>
          <w:tab/>
        </w:r>
        <w:r>
          <w:fldChar w:fldCharType="begin"/>
        </w:r>
        <w:r>
          <w:instrText xml:space="preserve"> PAGEREF _Toc155080796 \h </w:instrText>
        </w:r>
        <w:r>
          <w:fldChar w:fldCharType="separate"/>
        </w:r>
        <w:r w:rsidR="00821D06">
          <w:t>89</w:t>
        </w:r>
        <w:r>
          <w:fldChar w:fldCharType="end"/>
        </w:r>
      </w:hyperlink>
    </w:p>
    <w:p w14:paraId="2C72AF3A" w14:textId="244656D5" w:rsidR="00D838C8" w:rsidRDefault="004D57A4" w:rsidP="00991BFF">
      <w:pPr>
        <w:pStyle w:val="BillBasic"/>
      </w:pPr>
      <w:r>
        <w:fldChar w:fldCharType="end"/>
      </w:r>
    </w:p>
    <w:p w14:paraId="49260662" w14:textId="77777777" w:rsidR="0051286C" w:rsidRDefault="0051286C">
      <w:pPr>
        <w:pStyle w:val="01Contents"/>
        <w:sectPr w:rsidR="0051286C"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431FAEF6" w14:textId="77777777" w:rsidR="00D838C8" w:rsidRDefault="00D838C8" w:rsidP="00991BFF">
      <w:pPr>
        <w:jc w:val="center"/>
      </w:pPr>
      <w:r>
        <w:rPr>
          <w:noProof/>
          <w:lang w:eastAsia="en-AU"/>
        </w:rPr>
        <w:lastRenderedPageBreak/>
        <w:drawing>
          <wp:inline distT="0" distB="0" distL="0" distR="0" wp14:anchorId="09FAA876" wp14:editId="701D7D4C">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187DD06" w14:textId="77777777" w:rsidR="00D838C8" w:rsidRDefault="00D838C8" w:rsidP="00991BFF">
      <w:pPr>
        <w:jc w:val="center"/>
        <w:rPr>
          <w:rFonts w:ascii="Arial" w:hAnsi="Arial"/>
        </w:rPr>
      </w:pPr>
      <w:r>
        <w:rPr>
          <w:rFonts w:ascii="Arial" w:hAnsi="Arial"/>
        </w:rPr>
        <w:t>Australian Capital Territory</w:t>
      </w:r>
    </w:p>
    <w:p w14:paraId="4436F7DC" w14:textId="64117704" w:rsidR="00D838C8" w:rsidRDefault="00DA06D4" w:rsidP="00991BFF">
      <w:pPr>
        <w:pStyle w:val="Billname"/>
      </w:pPr>
      <w:bookmarkStart w:id="7" w:name="Citation"/>
      <w:r>
        <w:t>Gambling and Racing Control (Code of Practice) Regulation 2002</w:t>
      </w:r>
      <w:bookmarkEnd w:id="7"/>
      <w:r w:rsidR="00D838C8">
        <w:t xml:space="preserve">     </w:t>
      </w:r>
    </w:p>
    <w:p w14:paraId="0BCF941B" w14:textId="77777777" w:rsidR="00D838C8" w:rsidRDefault="00D838C8" w:rsidP="00991BFF">
      <w:pPr>
        <w:spacing w:before="240" w:after="60"/>
        <w:rPr>
          <w:rFonts w:ascii="Arial" w:hAnsi="Arial"/>
        </w:rPr>
      </w:pPr>
    </w:p>
    <w:p w14:paraId="357199D7" w14:textId="77777777" w:rsidR="00D838C8" w:rsidRDefault="00D838C8" w:rsidP="00991BFF">
      <w:pPr>
        <w:pStyle w:val="N-line3"/>
      </w:pPr>
    </w:p>
    <w:p w14:paraId="62279243" w14:textId="77777777" w:rsidR="00D838C8" w:rsidRDefault="00D838C8" w:rsidP="00991BFF">
      <w:pPr>
        <w:pStyle w:val="CoverInForce"/>
      </w:pPr>
      <w:r>
        <w:t>made under the</w:t>
      </w:r>
    </w:p>
    <w:bookmarkStart w:id="8" w:name="ActName"/>
    <w:p w14:paraId="23230748" w14:textId="3E2E2E17" w:rsidR="00D838C8" w:rsidRDefault="00D838C8" w:rsidP="00991BFF">
      <w:pPr>
        <w:pStyle w:val="CoverActName"/>
      </w:pPr>
      <w:r w:rsidRPr="00D838C8">
        <w:rPr>
          <w:rStyle w:val="charCitHyperlinkAbbrev"/>
        </w:rPr>
        <w:fldChar w:fldCharType="begin"/>
      </w:r>
      <w:r w:rsidRPr="00D838C8">
        <w:rPr>
          <w:rStyle w:val="charCitHyperlinkAbbrev"/>
        </w:rPr>
        <w:instrText xml:space="preserve"> HYPERLINK "http://www.legislation.act.gov.au/a/1999-46" \o "A1999-46" </w:instrText>
      </w:r>
      <w:r w:rsidRPr="00D838C8">
        <w:rPr>
          <w:rStyle w:val="charCitHyperlinkAbbrev"/>
        </w:rPr>
      </w:r>
      <w:r w:rsidRPr="00D838C8">
        <w:rPr>
          <w:rStyle w:val="charCitHyperlinkAbbrev"/>
        </w:rPr>
        <w:fldChar w:fldCharType="separate"/>
      </w:r>
      <w:r w:rsidRPr="00D838C8">
        <w:rPr>
          <w:rStyle w:val="charCitHyperlinkAbbrev"/>
        </w:rPr>
        <w:t>Gambling and Racing Control Act 1999</w:t>
      </w:r>
      <w:r w:rsidRPr="00D838C8">
        <w:rPr>
          <w:rStyle w:val="charCitHyperlinkAbbrev"/>
        </w:rPr>
        <w:fldChar w:fldCharType="end"/>
      </w:r>
      <w:bookmarkEnd w:id="8"/>
    </w:p>
    <w:p w14:paraId="11DB2110" w14:textId="77777777" w:rsidR="00D838C8" w:rsidRDefault="00D838C8" w:rsidP="00991BFF">
      <w:pPr>
        <w:pStyle w:val="N-line3"/>
      </w:pPr>
    </w:p>
    <w:p w14:paraId="1E90165E" w14:textId="77777777" w:rsidR="00D838C8" w:rsidRDefault="00D838C8" w:rsidP="00991BFF">
      <w:pPr>
        <w:pStyle w:val="Placeholder"/>
      </w:pPr>
      <w:r>
        <w:rPr>
          <w:rStyle w:val="charContents"/>
          <w:sz w:val="16"/>
        </w:rPr>
        <w:t xml:space="preserve">  </w:t>
      </w:r>
      <w:r>
        <w:rPr>
          <w:rStyle w:val="charPage"/>
        </w:rPr>
        <w:t xml:space="preserve">  </w:t>
      </w:r>
    </w:p>
    <w:p w14:paraId="18B6C66E" w14:textId="77777777" w:rsidR="00D838C8" w:rsidRDefault="00D838C8" w:rsidP="00991BFF">
      <w:pPr>
        <w:pStyle w:val="Placeholder"/>
      </w:pPr>
      <w:r>
        <w:rPr>
          <w:rStyle w:val="CharChapNo"/>
        </w:rPr>
        <w:t xml:space="preserve">  </w:t>
      </w:r>
      <w:r>
        <w:rPr>
          <w:rStyle w:val="CharChapText"/>
        </w:rPr>
        <w:t xml:space="preserve">  </w:t>
      </w:r>
    </w:p>
    <w:p w14:paraId="36E718DE" w14:textId="77777777" w:rsidR="00D838C8" w:rsidRDefault="00D838C8" w:rsidP="00991BFF">
      <w:pPr>
        <w:pStyle w:val="Placeholder"/>
      </w:pPr>
      <w:r>
        <w:rPr>
          <w:rStyle w:val="CharPartNo"/>
        </w:rPr>
        <w:t xml:space="preserve">  </w:t>
      </w:r>
      <w:r>
        <w:rPr>
          <w:rStyle w:val="CharPartText"/>
        </w:rPr>
        <w:t xml:space="preserve">  </w:t>
      </w:r>
    </w:p>
    <w:p w14:paraId="5AB1CB3F" w14:textId="77777777" w:rsidR="00D838C8" w:rsidRDefault="00D838C8" w:rsidP="00991BFF">
      <w:pPr>
        <w:pStyle w:val="Placeholder"/>
      </w:pPr>
      <w:r>
        <w:rPr>
          <w:rStyle w:val="CharDivNo"/>
        </w:rPr>
        <w:t xml:space="preserve">  </w:t>
      </w:r>
      <w:r>
        <w:rPr>
          <w:rStyle w:val="CharDivText"/>
        </w:rPr>
        <w:t xml:space="preserve">  </w:t>
      </w:r>
    </w:p>
    <w:p w14:paraId="71CF1E7A" w14:textId="77777777" w:rsidR="00D838C8" w:rsidRDefault="00D838C8" w:rsidP="00991BFF">
      <w:pPr>
        <w:pStyle w:val="Placeholder"/>
      </w:pPr>
      <w:r>
        <w:rPr>
          <w:rStyle w:val="CharSectNo"/>
        </w:rPr>
        <w:t xml:space="preserve">  </w:t>
      </w:r>
    </w:p>
    <w:p w14:paraId="31D1326C" w14:textId="77777777" w:rsidR="00D838C8" w:rsidRPr="006A0812" w:rsidRDefault="00D838C8" w:rsidP="00D838C8">
      <w:pPr>
        <w:pStyle w:val="PageBreak"/>
      </w:pPr>
      <w:r>
        <w:br w:type="page"/>
      </w:r>
    </w:p>
    <w:p w14:paraId="418815B4" w14:textId="77777777" w:rsidR="00D847F1" w:rsidRPr="004D57A4" w:rsidRDefault="00D847F1">
      <w:pPr>
        <w:pStyle w:val="AH2Part"/>
      </w:pPr>
      <w:bookmarkStart w:id="9" w:name="_Toc155080664"/>
      <w:r w:rsidRPr="004D57A4">
        <w:rPr>
          <w:rStyle w:val="CharPartNo"/>
        </w:rPr>
        <w:lastRenderedPageBreak/>
        <w:t>Part 1</w:t>
      </w:r>
      <w:r>
        <w:tab/>
      </w:r>
      <w:r w:rsidRPr="004D57A4">
        <w:rPr>
          <w:rStyle w:val="CharPartText"/>
        </w:rPr>
        <w:t>Preliminary</w:t>
      </w:r>
      <w:bookmarkEnd w:id="9"/>
    </w:p>
    <w:p w14:paraId="1CB56446" w14:textId="77777777" w:rsidR="00D847F1" w:rsidRDefault="00D847F1">
      <w:pPr>
        <w:pStyle w:val="Placeholder"/>
      </w:pPr>
      <w:r>
        <w:rPr>
          <w:rStyle w:val="CharDivNo"/>
        </w:rPr>
        <w:t xml:space="preserve">  </w:t>
      </w:r>
      <w:r>
        <w:rPr>
          <w:rStyle w:val="CharDivText"/>
        </w:rPr>
        <w:t xml:space="preserve">  </w:t>
      </w:r>
    </w:p>
    <w:p w14:paraId="75D488A6" w14:textId="77777777" w:rsidR="00D847F1" w:rsidRDefault="00D847F1">
      <w:pPr>
        <w:pStyle w:val="AH5Sec"/>
      </w:pPr>
      <w:bookmarkStart w:id="10" w:name="_Toc155080665"/>
      <w:r w:rsidRPr="004D57A4">
        <w:rPr>
          <w:rStyle w:val="CharSectNo"/>
        </w:rPr>
        <w:t>1</w:t>
      </w:r>
      <w:r>
        <w:tab/>
        <w:t>Name of regulation</w:t>
      </w:r>
      <w:bookmarkEnd w:id="10"/>
    </w:p>
    <w:p w14:paraId="758B437C" w14:textId="77777777" w:rsidR="00D847F1" w:rsidRDefault="00D847F1">
      <w:pPr>
        <w:pStyle w:val="Amainreturn"/>
      </w:pPr>
      <w:r>
        <w:t xml:space="preserve">This regulation is the </w:t>
      </w:r>
      <w:r>
        <w:rPr>
          <w:rStyle w:val="charItals"/>
        </w:rPr>
        <w:t>Gambling and Racing Control (Code of Practice) Regulation 2002</w:t>
      </w:r>
      <w:r w:rsidRPr="00F1531F">
        <w:t>.</w:t>
      </w:r>
    </w:p>
    <w:p w14:paraId="7AA8DD8F" w14:textId="77777777" w:rsidR="00D847F1" w:rsidRDefault="00D847F1">
      <w:pPr>
        <w:pStyle w:val="AH5Sec"/>
      </w:pPr>
      <w:bookmarkStart w:id="11" w:name="_Toc155080666"/>
      <w:r w:rsidRPr="004D57A4">
        <w:rPr>
          <w:rStyle w:val="CharSectNo"/>
        </w:rPr>
        <w:t>3</w:t>
      </w:r>
      <w:r>
        <w:tab/>
        <w:t>Dictionary</w:t>
      </w:r>
      <w:bookmarkEnd w:id="11"/>
    </w:p>
    <w:p w14:paraId="3B48BE58" w14:textId="77777777" w:rsidR="00D847F1" w:rsidRDefault="00D847F1">
      <w:pPr>
        <w:pStyle w:val="Amainreturn"/>
      </w:pPr>
      <w:r>
        <w:t>The dictionary at the end of this regulation is part of this regulation.</w:t>
      </w:r>
    </w:p>
    <w:p w14:paraId="70BB187F" w14:textId="77777777" w:rsidR="00D847F1" w:rsidRDefault="00D847F1">
      <w:pPr>
        <w:pStyle w:val="aNote"/>
        <w:keepNext/>
      </w:pPr>
      <w:r>
        <w:rPr>
          <w:rStyle w:val="charItals"/>
        </w:rPr>
        <w:t>Note 1</w:t>
      </w:r>
      <w:r>
        <w:rPr>
          <w:rStyle w:val="charItals"/>
        </w:rPr>
        <w:tab/>
      </w:r>
      <w:r>
        <w:t>The dictionary at the end of this regulation defines certain terms used in this regulation, and includes references (</w:t>
      </w:r>
      <w:r>
        <w:rPr>
          <w:rStyle w:val="charBoldItals"/>
        </w:rPr>
        <w:t>signpost definitions</w:t>
      </w:r>
      <w:r>
        <w:t>) to other terms defined elsewhere.</w:t>
      </w:r>
    </w:p>
    <w:p w14:paraId="54A7BADE" w14:textId="587955D2" w:rsidR="00D847F1" w:rsidRDefault="00D847F1">
      <w:pPr>
        <w:pStyle w:val="aNote"/>
      </w:pPr>
      <w:r>
        <w:tab/>
        <w:t>For example, the signpost definition ‘</w:t>
      </w:r>
      <w:r>
        <w:rPr>
          <w:rStyle w:val="charBoldItals"/>
        </w:rPr>
        <w:t>exempt lottery</w:t>
      </w:r>
      <w:r>
        <w:t xml:space="preserve">—see the </w:t>
      </w:r>
      <w:hyperlink r:id="rId27" w:tooltip="A1964-13" w:history="1">
        <w:r w:rsidR="00DF21AF" w:rsidRPr="00DF21AF">
          <w:rPr>
            <w:rStyle w:val="charCitHyperlinkItal"/>
          </w:rPr>
          <w:t>Lotteries Act 1964</w:t>
        </w:r>
      </w:hyperlink>
      <w:r>
        <w:t>, dictionary.’ means that the term ‘exempt lottery’ is defined in that dictionary and the definition applies to this regulation.</w:t>
      </w:r>
    </w:p>
    <w:p w14:paraId="41B8C4DE" w14:textId="07FFA0C3" w:rsidR="00D847F1" w:rsidRDefault="00D847F1">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00DF21AF" w:rsidRPr="00DF21AF">
          <w:rPr>
            <w:rStyle w:val="charCitHyperlinkAbbrev"/>
          </w:rPr>
          <w:t>Legislation Act</w:t>
        </w:r>
      </w:hyperlink>
      <w:r>
        <w:t>, s 155 and s 156 (1)).</w:t>
      </w:r>
    </w:p>
    <w:p w14:paraId="686559E7" w14:textId="77777777" w:rsidR="00D847F1" w:rsidRDefault="00D847F1">
      <w:pPr>
        <w:pStyle w:val="AH5Sec"/>
      </w:pPr>
      <w:bookmarkStart w:id="12" w:name="_Toc155080667"/>
      <w:r w:rsidRPr="004D57A4">
        <w:rPr>
          <w:rStyle w:val="CharSectNo"/>
        </w:rPr>
        <w:t>4</w:t>
      </w:r>
      <w:r>
        <w:tab/>
        <w:t>Notes</w:t>
      </w:r>
      <w:bookmarkEnd w:id="12"/>
    </w:p>
    <w:p w14:paraId="1336EA48" w14:textId="77777777" w:rsidR="00D847F1" w:rsidRDefault="00D847F1">
      <w:pPr>
        <w:pStyle w:val="Amainreturn"/>
      </w:pPr>
      <w:r>
        <w:t>A note included in this regulation is explanatory and is not part of this regulation.</w:t>
      </w:r>
    </w:p>
    <w:p w14:paraId="3CC68D32" w14:textId="143E84F2" w:rsidR="00D847F1" w:rsidRDefault="00D847F1">
      <w:pPr>
        <w:pStyle w:val="aNote"/>
      </w:pPr>
      <w:r>
        <w:rPr>
          <w:rStyle w:val="charItals"/>
        </w:rPr>
        <w:t>Note</w:t>
      </w:r>
      <w:r>
        <w:rPr>
          <w:rStyle w:val="charItals"/>
        </w:rPr>
        <w:tab/>
      </w:r>
      <w:r>
        <w:t xml:space="preserve">See the </w:t>
      </w:r>
      <w:hyperlink r:id="rId29" w:tooltip="A2001-14" w:history="1">
        <w:r w:rsidR="00DF21AF" w:rsidRPr="00DF21AF">
          <w:rPr>
            <w:rStyle w:val="charCitHyperlinkAbbrev"/>
          </w:rPr>
          <w:t>Legislation Act</w:t>
        </w:r>
      </w:hyperlink>
      <w:r>
        <w:t>, s 127 (1), (4) and (5) for the legal status of notes.</w:t>
      </w:r>
    </w:p>
    <w:p w14:paraId="2823841E" w14:textId="77777777" w:rsidR="00D847F1" w:rsidRDefault="00D847F1">
      <w:pPr>
        <w:pStyle w:val="AH5Sec"/>
      </w:pPr>
      <w:bookmarkStart w:id="13" w:name="_Toc155080668"/>
      <w:r w:rsidRPr="004D57A4">
        <w:rPr>
          <w:rStyle w:val="CharSectNo"/>
        </w:rPr>
        <w:t>5</w:t>
      </w:r>
      <w:r>
        <w:tab/>
        <w:t xml:space="preserve">Meaning of </w:t>
      </w:r>
      <w:r>
        <w:rPr>
          <w:rStyle w:val="charItals"/>
        </w:rPr>
        <w:t>licensee</w:t>
      </w:r>
      <w:bookmarkEnd w:id="13"/>
    </w:p>
    <w:p w14:paraId="75903B47" w14:textId="77777777" w:rsidR="00D847F1" w:rsidRDefault="00220D86" w:rsidP="00220D86">
      <w:pPr>
        <w:pStyle w:val="Amain"/>
      </w:pPr>
      <w:r>
        <w:tab/>
        <w:t>(1)</w:t>
      </w:r>
      <w:r>
        <w:tab/>
      </w:r>
      <w:r w:rsidR="00D847F1">
        <w:t>In this regulation:</w:t>
      </w:r>
    </w:p>
    <w:p w14:paraId="393EFE77" w14:textId="77777777" w:rsidR="00D847F1" w:rsidRDefault="00D847F1">
      <w:pPr>
        <w:pStyle w:val="aDef"/>
        <w:keepNext/>
      </w:pPr>
      <w:r>
        <w:rPr>
          <w:rStyle w:val="charBoldItals"/>
        </w:rPr>
        <w:t>licensee</w:t>
      </w:r>
      <w:r>
        <w:t>, of a gambling facility, means—</w:t>
      </w:r>
    </w:p>
    <w:p w14:paraId="40B4F5D2" w14:textId="77777777" w:rsidR="00D847F1" w:rsidRDefault="00D847F1">
      <w:pPr>
        <w:pStyle w:val="aDefpara"/>
        <w:keepNext/>
      </w:pPr>
      <w:r>
        <w:tab/>
        <w:t>(a)</w:t>
      </w:r>
      <w:r>
        <w:tab/>
        <w:t>a gaming machine licensee; or</w:t>
      </w:r>
    </w:p>
    <w:p w14:paraId="794743EA" w14:textId="77777777" w:rsidR="00D847F1" w:rsidRDefault="00D847F1">
      <w:pPr>
        <w:pStyle w:val="aNotepar"/>
      </w:pPr>
      <w:r>
        <w:rPr>
          <w:rStyle w:val="charItals"/>
        </w:rPr>
        <w:t>Note</w:t>
      </w:r>
      <w:r>
        <w:rPr>
          <w:rStyle w:val="charItals"/>
        </w:rPr>
        <w:tab/>
      </w:r>
      <w:r>
        <w:rPr>
          <w:rStyle w:val="charBoldItals"/>
        </w:rPr>
        <w:t>Gaming machine licensee</w:t>
      </w:r>
      <w:r>
        <w:t xml:space="preserve"> is defined in the dictionary.</w:t>
      </w:r>
    </w:p>
    <w:p w14:paraId="3E0564EA" w14:textId="77777777" w:rsidR="00D847F1" w:rsidRDefault="00D847F1">
      <w:pPr>
        <w:pStyle w:val="aDefpara"/>
        <w:keepNext/>
      </w:pPr>
      <w:r>
        <w:lastRenderedPageBreak/>
        <w:tab/>
        <w:t>(b)</w:t>
      </w:r>
      <w:r>
        <w:tab/>
        <w:t>a casino licensee; or</w:t>
      </w:r>
    </w:p>
    <w:p w14:paraId="6FFD370D" w14:textId="77777777" w:rsidR="00D847F1" w:rsidRDefault="00D847F1">
      <w:pPr>
        <w:pStyle w:val="aNotepar"/>
      </w:pPr>
      <w:r>
        <w:rPr>
          <w:rStyle w:val="charItals"/>
        </w:rPr>
        <w:t>Note</w:t>
      </w:r>
      <w:r>
        <w:rPr>
          <w:rStyle w:val="charBoldItals"/>
        </w:rPr>
        <w:tab/>
        <w:t>Casino licensee</w:t>
      </w:r>
      <w:r>
        <w:t xml:space="preserve"> is defined in the dictionary.</w:t>
      </w:r>
    </w:p>
    <w:p w14:paraId="6035E9F4" w14:textId="4878343E" w:rsidR="00D847F1" w:rsidRDefault="00D847F1">
      <w:pPr>
        <w:pStyle w:val="aDefpara"/>
      </w:pPr>
      <w:r>
        <w:tab/>
        <w:t>(c)</w:t>
      </w:r>
      <w:r>
        <w:tab/>
        <w:t xml:space="preserve">a licensed provider under the </w:t>
      </w:r>
      <w:hyperlink r:id="rId30" w:tooltip="A1998-24" w:history="1">
        <w:r w:rsidR="00DF21AF" w:rsidRPr="00DF21AF">
          <w:rPr>
            <w:rStyle w:val="charCitHyperlinkItal"/>
          </w:rPr>
          <w:t>Interactive Gambling Act 1998</w:t>
        </w:r>
      </w:hyperlink>
      <w:r>
        <w:t>; or</w:t>
      </w:r>
    </w:p>
    <w:p w14:paraId="0F5D15C7" w14:textId="2C486933" w:rsidR="00D847F1" w:rsidRDefault="00D847F1">
      <w:pPr>
        <w:pStyle w:val="aDefpara"/>
      </w:pPr>
      <w:r>
        <w:tab/>
        <w:t>(d)</w:t>
      </w:r>
      <w:r>
        <w:tab/>
        <w:t xml:space="preserve">the holder of a race bookmaking licence, a race bookmaker’s agent licence, a sports bookmaking licence or a sports bookmaker’s agent licence under the </w:t>
      </w:r>
      <w:hyperlink r:id="rId31" w:tooltip="A2001-49" w:history="1">
        <w:r w:rsidR="00DF21AF" w:rsidRPr="00DF21AF">
          <w:rPr>
            <w:rStyle w:val="charCitHyperlinkItal"/>
          </w:rPr>
          <w:t>Race and Sports Bookmaking Act 2001</w:t>
        </w:r>
      </w:hyperlink>
      <w:r>
        <w:t>; or</w:t>
      </w:r>
    </w:p>
    <w:p w14:paraId="0119287F" w14:textId="0C52ADD3" w:rsidR="008123E7" w:rsidRPr="003A70CF" w:rsidRDefault="008123E7" w:rsidP="008123E7">
      <w:pPr>
        <w:pStyle w:val="Ipara"/>
      </w:pPr>
      <w:r w:rsidRPr="003A70CF">
        <w:tab/>
        <w:t>(e)</w:t>
      </w:r>
      <w:r w:rsidRPr="003A70CF">
        <w:tab/>
        <w:t xml:space="preserve">a licensee of a totalisator under the </w:t>
      </w:r>
      <w:hyperlink r:id="rId32" w:tooltip="A2014-4" w:history="1">
        <w:r>
          <w:rPr>
            <w:rStyle w:val="charCitHyperlinkItal"/>
          </w:rPr>
          <w:t>Totalisator Act 2014</w:t>
        </w:r>
      </w:hyperlink>
      <w:r w:rsidRPr="003A70CF">
        <w:t>; or</w:t>
      </w:r>
    </w:p>
    <w:p w14:paraId="3D334244" w14:textId="2BAA8A4A" w:rsidR="00D847F1" w:rsidRDefault="00D847F1">
      <w:pPr>
        <w:pStyle w:val="aDefpara"/>
      </w:pPr>
      <w:r>
        <w:tab/>
        <w:t>(f)</w:t>
      </w:r>
      <w:r>
        <w:tab/>
        <w:t xml:space="preserve">anyone authorised to conduct a lottery, scheme or competition under the </w:t>
      </w:r>
      <w:hyperlink r:id="rId33" w:tooltip="A1964-13" w:history="1">
        <w:r w:rsidR="00DF21AF" w:rsidRPr="00DF21AF">
          <w:rPr>
            <w:rStyle w:val="charCitHyperlinkItal"/>
          </w:rPr>
          <w:t>Lotteries Act 1964</w:t>
        </w:r>
      </w:hyperlink>
      <w:r>
        <w:t xml:space="preserve"> or the </w:t>
      </w:r>
      <w:hyperlink r:id="rId34" w:tooltip="A1964-15" w:history="1">
        <w:r w:rsidR="00DF21AF" w:rsidRPr="00DF21AF">
          <w:rPr>
            <w:rStyle w:val="charCitHyperlinkItal"/>
          </w:rPr>
          <w:t>Pool Betting Act 1964</w:t>
        </w:r>
      </w:hyperlink>
      <w:r>
        <w:t>, other than—</w:t>
      </w:r>
    </w:p>
    <w:p w14:paraId="7281F209" w14:textId="77777777" w:rsidR="00D847F1" w:rsidRDefault="00D847F1">
      <w:pPr>
        <w:pStyle w:val="Asubpara"/>
      </w:pPr>
      <w:r>
        <w:tab/>
        <w:t>(i)</w:t>
      </w:r>
      <w:r>
        <w:tab/>
        <w:t>a calcutta sweepstake; or</w:t>
      </w:r>
    </w:p>
    <w:p w14:paraId="7E2F2592" w14:textId="77777777" w:rsidR="00D847F1" w:rsidRDefault="00D847F1">
      <w:pPr>
        <w:pStyle w:val="Asubpara"/>
      </w:pPr>
      <w:r>
        <w:tab/>
        <w:t>(ii)</w:t>
      </w:r>
      <w:r>
        <w:tab/>
        <w:t>a trade promotion, other than a trade promotion that involves gambling, in which participants are given free entry to a contest that promotes a trade or business and involves an element of chance in the allocation of the prize; or</w:t>
      </w:r>
    </w:p>
    <w:p w14:paraId="71C15E3A" w14:textId="77777777" w:rsidR="00D847F1" w:rsidRDefault="00D847F1">
      <w:pPr>
        <w:pStyle w:val="Asubpara"/>
      </w:pPr>
      <w:r>
        <w:tab/>
        <w:t>(iii)</w:t>
      </w:r>
      <w:r>
        <w:tab/>
        <w:t>a raffle; or</w:t>
      </w:r>
    </w:p>
    <w:p w14:paraId="2248D195" w14:textId="77777777" w:rsidR="00D847F1" w:rsidRDefault="00D847F1">
      <w:pPr>
        <w:pStyle w:val="Asubpara"/>
      </w:pPr>
      <w:r>
        <w:tab/>
        <w:t>(iv)</w:t>
      </w:r>
      <w:r>
        <w:tab/>
        <w:t>a progressive lottery or silver circle involving a number of draws on different days, including tipping competitions, in which regular or different prizes are drawn; or</w:t>
      </w:r>
    </w:p>
    <w:p w14:paraId="5E9CF401" w14:textId="77777777" w:rsidR="00D847F1" w:rsidRDefault="00D847F1">
      <w:pPr>
        <w:pStyle w:val="Asubpara"/>
      </w:pPr>
      <w:r>
        <w:tab/>
        <w:t>(v)</w:t>
      </w:r>
      <w:r>
        <w:tab/>
        <w:t>an exempt lottery.</w:t>
      </w:r>
    </w:p>
    <w:p w14:paraId="4649B104" w14:textId="77777777" w:rsidR="00D847F1" w:rsidRDefault="00D847F1">
      <w:pPr>
        <w:pStyle w:val="aNote"/>
      </w:pPr>
      <w:r w:rsidRPr="00F1531F">
        <w:rPr>
          <w:rStyle w:val="charItals"/>
        </w:rPr>
        <w:t>Note 1</w:t>
      </w:r>
      <w:r w:rsidRPr="00F1531F">
        <w:rPr>
          <w:rStyle w:val="charItals"/>
        </w:rPr>
        <w:tab/>
      </w:r>
      <w:r>
        <w:rPr>
          <w:rStyle w:val="charBoldItals"/>
        </w:rPr>
        <w:t>Exempt lottery</w:t>
      </w:r>
      <w:r>
        <w:t xml:space="preserve"> is defined in the dictionary.</w:t>
      </w:r>
    </w:p>
    <w:p w14:paraId="1418BA73" w14:textId="77777777" w:rsidR="00D847F1" w:rsidRDefault="00D847F1">
      <w:pPr>
        <w:pStyle w:val="aNote"/>
      </w:pPr>
      <w:r>
        <w:rPr>
          <w:rStyle w:val="charItals"/>
        </w:rPr>
        <w:t>Note 2</w:t>
      </w:r>
      <w:r>
        <w:rPr>
          <w:rStyle w:val="charItals"/>
        </w:rPr>
        <w:tab/>
      </w:r>
      <w:r>
        <w:rPr>
          <w:rStyle w:val="charBoldItals"/>
        </w:rPr>
        <w:t>Licensee</w:t>
      </w:r>
      <w:r>
        <w:t xml:space="preserve"> is defined in the same terms in the code of practice, s 1.1.</w:t>
      </w:r>
    </w:p>
    <w:p w14:paraId="13B59902" w14:textId="77777777" w:rsidR="004A2630" w:rsidRPr="00793319" w:rsidRDefault="004A2630" w:rsidP="00972E74">
      <w:pPr>
        <w:pStyle w:val="Amain"/>
        <w:keepNext/>
      </w:pPr>
      <w:r w:rsidRPr="00793319">
        <w:lastRenderedPageBreak/>
        <w:tab/>
        <w:t>(2)</w:t>
      </w:r>
      <w:r w:rsidRPr="00793319">
        <w:tab/>
        <w:t>In this section:</w:t>
      </w:r>
    </w:p>
    <w:p w14:paraId="38BBA34A" w14:textId="2371C0DA" w:rsidR="004A2630" w:rsidRPr="00793319" w:rsidRDefault="004A2630" w:rsidP="004A2630">
      <w:pPr>
        <w:pStyle w:val="aDef"/>
        <w:keepNext/>
        <w:rPr>
          <w:lang w:eastAsia="en-AU"/>
        </w:rPr>
      </w:pPr>
      <w:r w:rsidRPr="00793319">
        <w:rPr>
          <w:rStyle w:val="charBoldItals"/>
        </w:rPr>
        <w:t>exempt lottery</w:t>
      </w:r>
      <w:r w:rsidRPr="00793319">
        <w:t xml:space="preserve"> </w:t>
      </w:r>
      <w:r w:rsidRPr="00793319">
        <w:rPr>
          <w:lang w:eastAsia="en-AU"/>
        </w:rPr>
        <w:t xml:space="preserve">does not include housie, unless the housie is exempt under the </w:t>
      </w:r>
      <w:hyperlink r:id="rId35" w:tooltip="A1964-13" w:history="1">
        <w:r w:rsidRPr="00793319">
          <w:rPr>
            <w:rStyle w:val="charCitHyperlinkItal"/>
          </w:rPr>
          <w:t>Lotteries Act 1964</w:t>
        </w:r>
      </w:hyperlink>
      <w:r w:rsidRPr="00793319">
        <w:rPr>
          <w:lang w:eastAsia="en-AU"/>
        </w:rPr>
        <w:t>, section 6 (1) (a) (ii).</w:t>
      </w:r>
    </w:p>
    <w:p w14:paraId="11742541" w14:textId="48969C46" w:rsidR="004A2630" w:rsidRPr="00793319" w:rsidRDefault="004A2630" w:rsidP="004A2630">
      <w:pPr>
        <w:pStyle w:val="aNote"/>
        <w:rPr>
          <w:lang w:eastAsia="en-AU"/>
        </w:rPr>
      </w:pPr>
      <w:r w:rsidRPr="00793319">
        <w:rPr>
          <w:rStyle w:val="charItals"/>
        </w:rPr>
        <w:t>Note</w:t>
      </w:r>
      <w:r w:rsidRPr="00793319">
        <w:rPr>
          <w:rStyle w:val="charItals"/>
        </w:rPr>
        <w:tab/>
      </w:r>
      <w:r w:rsidRPr="00793319">
        <w:rPr>
          <w:lang w:eastAsia="en-AU"/>
        </w:rPr>
        <w:t xml:space="preserve">Under the </w:t>
      </w:r>
      <w:hyperlink r:id="rId36" w:tooltip="A1964-13" w:history="1">
        <w:r w:rsidRPr="00793319">
          <w:rPr>
            <w:rStyle w:val="charCitHyperlinkItal"/>
          </w:rPr>
          <w:t>Lotteries Act 1964</w:t>
        </w:r>
      </w:hyperlink>
      <w:r w:rsidRPr="00793319">
        <w:rPr>
          <w:lang w:eastAsia="en-AU"/>
        </w:rPr>
        <w:t xml:space="preserve">, a lottery is an </w:t>
      </w:r>
      <w:r w:rsidRPr="00793319">
        <w:rPr>
          <w:rStyle w:val="charBoldItals"/>
        </w:rPr>
        <w:t>exempt lottery</w:t>
      </w:r>
      <w:r w:rsidRPr="00793319">
        <w:rPr>
          <w:lang w:eastAsia="en-AU"/>
        </w:rPr>
        <w:t xml:space="preserve"> if the total value of the prizes does not exceed an amount determined by the commission (see s 6 (1) (a) (ii)) or if the lottery is a private lottery (see s 6 (1) (a) (iii)).</w:t>
      </w:r>
    </w:p>
    <w:p w14:paraId="2FC5DA26" w14:textId="77777777" w:rsidR="00D847F1" w:rsidRDefault="00D847F1">
      <w:pPr>
        <w:pStyle w:val="PageBreak"/>
      </w:pPr>
      <w:r>
        <w:br w:type="page"/>
      </w:r>
    </w:p>
    <w:p w14:paraId="544EABBC" w14:textId="77777777" w:rsidR="00D847F1" w:rsidRPr="004D57A4" w:rsidRDefault="00D847F1">
      <w:pPr>
        <w:pStyle w:val="AH2Part"/>
      </w:pPr>
      <w:bookmarkStart w:id="14" w:name="_Toc155080669"/>
      <w:r w:rsidRPr="004D57A4">
        <w:rPr>
          <w:rStyle w:val="CharPartNo"/>
        </w:rPr>
        <w:lastRenderedPageBreak/>
        <w:t>Part 2</w:t>
      </w:r>
      <w:r>
        <w:tab/>
      </w:r>
      <w:r w:rsidRPr="004D57A4">
        <w:rPr>
          <w:rStyle w:val="CharPartText"/>
        </w:rPr>
        <w:t>Code of practice</w:t>
      </w:r>
      <w:bookmarkEnd w:id="14"/>
    </w:p>
    <w:p w14:paraId="691F3385" w14:textId="77777777" w:rsidR="00D847F1" w:rsidRPr="004D57A4" w:rsidRDefault="00D847F1">
      <w:pPr>
        <w:pStyle w:val="AH3Div"/>
      </w:pPr>
      <w:bookmarkStart w:id="15" w:name="_Toc155080670"/>
      <w:r w:rsidRPr="004D57A4">
        <w:rPr>
          <w:rStyle w:val="CharDivNo"/>
        </w:rPr>
        <w:t>Division 2.1</w:t>
      </w:r>
      <w:r>
        <w:tab/>
      </w:r>
      <w:r w:rsidRPr="004D57A4">
        <w:rPr>
          <w:rStyle w:val="CharDivText"/>
        </w:rPr>
        <w:t>General</w:t>
      </w:r>
      <w:bookmarkEnd w:id="15"/>
    </w:p>
    <w:p w14:paraId="6D08688E" w14:textId="77777777" w:rsidR="00D847F1" w:rsidRDefault="00D847F1">
      <w:pPr>
        <w:pStyle w:val="AH5Sec"/>
      </w:pPr>
      <w:bookmarkStart w:id="16" w:name="_Toc155080671"/>
      <w:r w:rsidRPr="004D57A4">
        <w:rPr>
          <w:rStyle w:val="CharSectNo"/>
        </w:rPr>
        <w:t>6</w:t>
      </w:r>
      <w:r>
        <w:tab/>
        <w:t>Code of practice</w:t>
      </w:r>
      <w:bookmarkEnd w:id="16"/>
    </w:p>
    <w:p w14:paraId="769FF75C" w14:textId="77777777" w:rsidR="00D847F1" w:rsidRDefault="00D847F1">
      <w:pPr>
        <w:pStyle w:val="Amainreturn"/>
      </w:pPr>
      <w:r>
        <w:t>The code of practice in schedule 1 applies to licensees.</w:t>
      </w:r>
    </w:p>
    <w:p w14:paraId="71E17449" w14:textId="77777777" w:rsidR="00A875BE" w:rsidRPr="00A35BB6" w:rsidRDefault="00A875BE" w:rsidP="00A875BE">
      <w:pPr>
        <w:pStyle w:val="AH5Sec"/>
      </w:pPr>
      <w:bookmarkStart w:id="17" w:name="_Toc155080672"/>
      <w:r w:rsidRPr="004D57A4">
        <w:rPr>
          <w:rStyle w:val="CharSectNo"/>
        </w:rPr>
        <w:t>7</w:t>
      </w:r>
      <w:r w:rsidRPr="00A35BB6">
        <w:tab/>
        <w:t>Offences under pt 2</w:t>
      </w:r>
      <w:bookmarkEnd w:id="17"/>
    </w:p>
    <w:p w14:paraId="71371C10" w14:textId="77777777" w:rsidR="00A875BE" w:rsidRPr="00A35BB6" w:rsidRDefault="00A875BE" w:rsidP="00A875BE">
      <w:pPr>
        <w:pStyle w:val="Amainreturn"/>
      </w:pPr>
      <w:r w:rsidRPr="00A35BB6">
        <w:t xml:space="preserve">A person may be prosecuted under this part for an offence only if the person is someone mentioned in section 5, definition of </w:t>
      </w:r>
      <w:r w:rsidRPr="00A35BB6">
        <w:rPr>
          <w:rStyle w:val="charBoldItals"/>
        </w:rPr>
        <w:t>licensee</w:t>
      </w:r>
      <w:r w:rsidRPr="00A35BB6">
        <w:t>, paragraph (f).</w:t>
      </w:r>
    </w:p>
    <w:p w14:paraId="6A3C8247" w14:textId="77777777" w:rsidR="00D847F1" w:rsidRDefault="00D847F1">
      <w:pPr>
        <w:pStyle w:val="aNote"/>
        <w:keepNext/>
      </w:pPr>
      <w:r>
        <w:rPr>
          <w:rStyle w:val="charItals"/>
        </w:rPr>
        <w:t>Note</w:t>
      </w:r>
      <w:r>
        <w:rPr>
          <w:rStyle w:val="charItals"/>
        </w:rPr>
        <w:tab/>
      </w:r>
      <w:r>
        <w:t>The penalties set out in this part apply only in relation to the licensees mentioned in this definition.  If 1 of the following licensees contravenes the code of practice, the Act under which the person is licensed or is a licensed provider deals with the disciplinary action that may be taken against the person for the contravention:</w:t>
      </w:r>
    </w:p>
    <w:p w14:paraId="2E5ED05C" w14:textId="77777777" w:rsidR="00D847F1" w:rsidRDefault="00D847F1">
      <w:pPr>
        <w:pStyle w:val="aNoteBulletss"/>
      </w:pPr>
      <w:r>
        <w:rPr>
          <w:rFonts w:ascii="Symbol" w:hAnsi="Symbol"/>
        </w:rPr>
        <w:t></w:t>
      </w:r>
      <w:r>
        <w:rPr>
          <w:rFonts w:ascii="Symbol" w:hAnsi="Symbol"/>
        </w:rPr>
        <w:tab/>
      </w:r>
      <w:r>
        <w:t>a casino licensee</w:t>
      </w:r>
    </w:p>
    <w:p w14:paraId="066C28DA" w14:textId="77777777" w:rsidR="00D847F1" w:rsidRDefault="00D847F1">
      <w:pPr>
        <w:pStyle w:val="aNoteBulletss"/>
      </w:pPr>
      <w:r>
        <w:rPr>
          <w:rFonts w:ascii="Symbol" w:hAnsi="Symbol"/>
        </w:rPr>
        <w:t></w:t>
      </w:r>
      <w:r>
        <w:rPr>
          <w:rFonts w:ascii="Symbol" w:hAnsi="Symbol"/>
        </w:rPr>
        <w:tab/>
      </w:r>
      <w:r>
        <w:t>a gaming machine licensee</w:t>
      </w:r>
    </w:p>
    <w:p w14:paraId="7E67D4FC" w14:textId="7C024A15" w:rsidR="00D847F1" w:rsidRDefault="00D847F1">
      <w:pPr>
        <w:pStyle w:val="aNoteBulletss"/>
      </w:pPr>
      <w:r>
        <w:rPr>
          <w:rFonts w:ascii="Symbol" w:hAnsi="Symbol"/>
        </w:rPr>
        <w:t></w:t>
      </w:r>
      <w:r>
        <w:rPr>
          <w:rFonts w:ascii="Symbol" w:hAnsi="Symbol"/>
        </w:rPr>
        <w:tab/>
      </w:r>
      <w:r>
        <w:t xml:space="preserve">a licensed provider under the </w:t>
      </w:r>
      <w:hyperlink r:id="rId37" w:tooltip="A1998-24" w:history="1">
        <w:r w:rsidR="00DF21AF" w:rsidRPr="00DF21AF">
          <w:rPr>
            <w:rStyle w:val="charCitHyperlinkItal"/>
          </w:rPr>
          <w:t>Interactive Gambling Act 1998</w:t>
        </w:r>
      </w:hyperlink>
    </w:p>
    <w:p w14:paraId="7062C4AD" w14:textId="77777777" w:rsidR="00FD252A" w:rsidRPr="00A35BB6" w:rsidRDefault="00FD252A" w:rsidP="00FD252A">
      <w:pPr>
        <w:pStyle w:val="aNoteBulletss"/>
        <w:tabs>
          <w:tab w:val="left" w:pos="2300"/>
        </w:tabs>
      </w:pPr>
      <w:r w:rsidRPr="00A35BB6">
        <w:rPr>
          <w:rFonts w:ascii="Symbol" w:hAnsi="Symbol"/>
        </w:rPr>
        <w:t></w:t>
      </w:r>
      <w:r w:rsidRPr="00A35BB6">
        <w:rPr>
          <w:rFonts w:ascii="Symbol" w:hAnsi="Symbol"/>
        </w:rPr>
        <w:tab/>
      </w:r>
      <w:r w:rsidRPr="00A35BB6">
        <w:t>a totalisator licensee</w:t>
      </w:r>
    </w:p>
    <w:p w14:paraId="182007E0" w14:textId="178F23CE" w:rsidR="00D847F1" w:rsidRDefault="00D847F1">
      <w:pPr>
        <w:pStyle w:val="aNoteBulletss"/>
      </w:pPr>
      <w:r>
        <w:rPr>
          <w:rFonts w:ascii="Symbol" w:hAnsi="Symbol"/>
        </w:rPr>
        <w:t></w:t>
      </w:r>
      <w:r>
        <w:rPr>
          <w:rFonts w:ascii="Symbol" w:hAnsi="Symbol"/>
        </w:rPr>
        <w:tab/>
      </w:r>
      <w:r>
        <w:t xml:space="preserve">the holder of a licence under the </w:t>
      </w:r>
      <w:hyperlink r:id="rId38" w:tooltip="A2001-49" w:history="1">
        <w:r w:rsidR="00DF21AF" w:rsidRPr="00DF21AF">
          <w:rPr>
            <w:rStyle w:val="charCitHyperlinkItal"/>
          </w:rPr>
          <w:t>Race and Sports Bookmaking Act 2001</w:t>
        </w:r>
      </w:hyperlink>
      <w:r>
        <w:t>.</w:t>
      </w:r>
    </w:p>
    <w:p w14:paraId="1FDAECED" w14:textId="77777777" w:rsidR="00D847F1" w:rsidRPr="004D57A4" w:rsidRDefault="00D847F1">
      <w:pPr>
        <w:pStyle w:val="AH3Div"/>
      </w:pPr>
      <w:bookmarkStart w:id="18" w:name="_Toc155080673"/>
      <w:r w:rsidRPr="004D57A4">
        <w:rPr>
          <w:rStyle w:val="CharDivNo"/>
        </w:rPr>
        <w:lastRenderedPageBreak/>
        <w:t>Division 2.2</w:t>
      </w:r>
      <w:r>
        <w:tab/>
      </w:r>
      <w:r w:rsidRPr="004D57A4">
        <w:rPr>
          <w:rStyle w:val="CharDivText"/>
        </w:rPr>
        <w:t>Conduct of gambling</w:t>
      </w:r>
      <w:bookmarkEnd w:id="18"/>
    </w:p>
    <w:p w14:paraId="2CBFFDB1" w14:textId="77777777" w:rsidR="00D847F1" w:rsidRDefault="00D847F1">
      <w:pPr>
        <w:pStyle w:val="AH5Sec"/>
      </w:pPr>
      <w:bookmarkStart w:id="19" w:name="_Toc155080674"/>
      <w:r w:rsidRPr="004D57A4">
        <w:rPr>
          <w:rStyle w:val="CharSectNo"/>
        </w:rPr>
        <w:t>8</w:t>
      </w:r>
      <w:r>
        <w:tab/>
        <w:t>Licensees obligations generally</w:t>
      </w:r>
      <w:bookmarkEnd w:id="19"/>
    </w:p>
    <w:p w14:paraId="5C742E9D" w14:textId="77777777" w:rsidR="00D847F1" w:rsidRDefault="00D847F1">
      <w:pPr>
        <w:pStyle w:val="Amain"/>
        <w:keepNext/>
      </w:pPr>
      <w:r>
        <w:tab/>
        <w:t>(1)</w:t>
      </w:r>
      <w:r>
        <w:tab/>
        <w:t>A licensee commits an offence if the licensee contravenes the code of practice, section 1.3 (2) (which is about false or misleading information).</w:t>
      </w:r>
    </w:p>
    <w:p w14:paraId="702D2987" w14:textId="77777777" w:rsidR="00D847F1" w:rsidRDefault="00D847F1">
      <w:pPr>
        <w:pStyle w:val="Penalty"/>
        <w:keepNext/>
      </w:pPr>
      <w:r>
        <w:t xml:space="preserve">Maximum penalty:  </w:t>
      </w:r>
      <w:r w:rsidR="00B776B3">
        <w:t>10 pen</w:t>
      </w:r>
      <w:r>
        <w:t>alty units.</w:t>
      </w:r>
    </w:p>
    <w:p w14:paraId="0F9F20D9" w14:textId="77777777" w:rsidR="00D847F1" w:rsidRDefault="00D847F1">
      <w:pPr>
        <w:pStyle w:val="Amain"/>
        <w:keepNext/>
      </w:pPr>
      <w:r>
        <w:tab/>
        <w:t>(2)</w:t>
      </w:r>
      <w:r>
        <w:tab/>
        <w:t>An offence against this section is an offence of strict liability.</w:t>
      </w:r>
    </w:p>
    <w:p w14:paraId="66BBE199" w14:textId="77777777" w:rsidR="00D847F1" w:rsidRDefault="00D847F1">
      <w:pPr>
        <w:pStyle w:val="aNote"/>
      </w:pPr>
      <w:r>
        <w:rPr>
          <w:rStyle w:val="charItals"/>
        </w:rPr>
        <w:t>Note</w:t>
      </w:r>
      <w:r>
        <w:rPr>
          <w:rStyle w:val="charItals"/>
        </w:rPr>
        <w:tab/>
      </w:r>
      <w:r>
        <w:t>Reasonable excuse is available as a defence to a prosecution under this section, see s 26.</w:t>
      </w:r>
    </w:p>
    <w:p w14:paraId="50CA9055" w14:textId="77777777" w:rsidR="00FD252A" w:rsidRPr="00A35BB6" w:rsidRDefault="00FD252A" w:rsidP="00FD252A">
      <w:pPr>
        <w:pStyle w:val="AH5Sec"/>
      </w:pPr>
      <w:bookmarkStart w:id="20" w:name="_Toc155080675"/>
      <w:r w:rsidRPr="004D57A4">
        <w:rPr>
          <w:rStyle w:val="CharSectNo"/>
        </w:rPr>
        <w:t>9</w:t>
      </w:r>
      <w:r w:rsidRPr="00A35BB6">
        <w:tab/>
        <w:t>Approved training programs</w:t>
      </w:r>
      <w:bookmarkEnd w:id="20"/>
    </w:p>
    <w:p w14:paraId="06100059" w14:textId="77777777" w:rsidR="00FD252A" w:rsidRPr="00A35BB6" w:rsidRDefault="00FD252A" w:rsidP="00FD252A">
      <w:pPr>
        <w:pStyle w:val="Amain"/>
      </w:pPr>
      <w:r w:rsidRPr="00A35BB6">
        <w:tab/>
        <w:t>(1)</w:t>
      </w:r>
      <w:r w:rsidRPr="00A35BB6">
        <w:tab/>
        <w:t>A person may apply to the commission for approval of a training program about the responsible provision of gambling services.</w:t>
      </w:r>
    </w:p>
    <w:p w14:paraId="2EEA064A" w14:textId="3BBE0921" w:rsidR="00FD252A" w:rsidRPr="00A35BB6" w:rsidRDefault="00FD252A" w:rsidP="00FD252A">
      <w:pPr>
        <w:pStyle w:val="aNote"/>
        <w:rPr>
          <w:lang w:eastAsia="en-AU"/>
        </w:rPr>
      </w:pPr>
      <w:r w:rsidRPr="00A35BB6">
        <w:rPr>
          <w:rStyle w:val="charItals"/>
        </w:rPr>
        <w:t>Note</w:t>
      </w:r>
      <w:r w:rsidRPr="00A35BB6">
        <w:rPr>
          <w:rStyle w:val="charItals"/>
        </w:rPr>
        <w:tab/>
      </w:r>
      <w:r w:rsidRPr="00A35BB6">
        <w:rPr>
          <w:lang w:eastAsia="en-AU"/>
        </w:rPr>
        <w:t xml:space="preserve">If a form is approved under the </w:t>
      </w:r>
      <w:hyperlink r:id="rId39" w:tooltip="A1999-46" w:history="1">
        <w:r w:rsidRPr="00A35BB6">
          <w:rPr>
            <w:rStyle w:val="charCitHyperlinkAbbrev"/>
          </w:rPr>
          <w:t>Act</w:t>
        </w:r>
      </w:hyperlink>
      <w:r w:rsidRPr="00A35BB6">
        <w:rPr>
          <w:lang w:eastAsia="en-AU"/>
        </w:rPr>
        <w:t>, s 53D for this provision, the form must be used.</w:t>
      </w:r>
    </w:p>
    <w:p w14:paraId="630001F3" w14:textId="77777777" w:rsidR="00FD252A" w:rsidRPr="00A35BB6" w:rsidRDefault="00FD252A" w:rsidP="00FD252A">
      <w:pPr>
        <w:pStyle w:val="Amain"/>
      </w:pPr>
      <w:r w:rsidRPr="00A35BB6">
        <w:tab/>
        <w:t>(2)</w:t>
      </w:r>
      <w:r w:rsidRPr="00A35BB6">
        <w:tab/>
        <w:t xml:space="preserve">The commission may approve a training program (an </w:t>
      </w:r>
      <w:r w:rsidRPr="00A35BB6">
        <w:rPr>
          <w:rStyle w:val="charBoldItals"/>
        </w:rPr>
        <w:t>approved training program</w:t>
      </w:r>
      <w:r w:rsidRPr="00A35BB6">
        <w:t>) if satisfied that the program content is relevant, sufficiently comprehensive, accurate and up-to-date.</w:t>
      </w:r>
    </w:p>
    <w:p w14:paraId="1257A28B" w14:textId="01A7DACB" w:rsidR="00FD252A" w:rsidRPr="00A35BB6" w:rsidRDefault="00FD252A" w:rsidP="00FD252A">
      <w:pPr>
        <w:pStyle w:val="aNote"/>
      </w:pPr>
      <w:r w:rsidRPr="00A35BB6">
        <w:rPr>
          <w:rStyle w:val="charItals"/>
        </w:rPr>
        <w:t>Note</w:t>
      </w:r>
      <w:r w:rsidRPr="00A35BB6">
        <w:rPr>
          <w:rStyle w:val="charItals"/>
        </w:rPr>
        <w:tab/>
      </w:r>
      <w:r w:rsidRPr="00A35BB6">
        <w:t xml:space="preserve">The power to make an instrument includes the power to amend or repeal the instrument.  The power to amend or repeal the instrument is exercisable in the same way, and subject to the same conditions, as the power to make the instrument (see </w:t>
      </w:r>
      <w:hyperlink r:id="rId40" w:tooltip="A2001-14" w:history="1">
        <w:r w:rsidRPr="00A35BB6">
          <w:rPr>
            <w:rStyle w:val="charCitHyperlinkAbbrev"/>
          </w:rPr>
          <w:t>Legislation Act</w:t>
        </w:r>
      </w:hyperlink>
      <w:r w:rsidRPr="00A35BB6">
        <w:t>, s 46).</w:t>
      </w:r>
    </w:p>
    <w:p w14:paraId="47036B1D" w14:textId="77777777" w:rsidR="00FD252A" w:rsidRPr="00A35BB6" w:rsidRDefault="00FD252A" w:rsidP="00FD252A">
      <w:pPr>
        <w:pStyle w:val="Amain"/>
        <w:rPr>
          <w:lang w:eastAsia="en-AU"/>
        </w:rPr>
      </w:pPr>
      <w:r w:rsidRPr="00A35BB6">
        <w:tab/>
        <w:t>(3)</w:t>
      </w:r>
      <w:r w:rsidRPr="00A35BB6">
        <w:tab/>
      </w:r>
      <w:r w:rsidRPr="00A35BB6">
        <w:rPr>
          <w:lang w:eastAsia="en-AU"/>
        </w:rPr>
        <w:t>An approval is a notifiable instrument.</w:t>
      </w:r>
    </w:p>
    <w:p w14:paraId="69310F59" w14:textId="3FB10266" w:rsidR="00FD252A" w:rsidRPr="00A35BB6" w:rsidRDefault="00FD252A" w:rsidP="00FD252A">
      <w:pPr>
        <w:pStyle w:val="aNote"/>
        <w:rPr>
          <w:lang w:eastAsia="en-AU"/>
        </w:rPr>
      </w:pPr>
      <w:r w:rsidRPr="00A35BB6">
        <w:rPr>
          <w:rStyle w:val="charItals"/>
        </w:rPr>
        <w:t>Note</w:t>
      </w:r>
      <w:r w:rsidRPr="00A35BB6">
        <w:rPr>
          <w:rStyle w:val="charItals"/>
        </w:rPr>
        <w:tab/>
      </w:r>
      <w:r w:rsidRPr="00A35BB6">
        <w:rPr>
          <w:lang w:eastAsia="en-AU"/>
        </w:rPr>
        <w:t xml:space="preserve">A notifiable instrument must be notified under the </w:t>
      </w:r>
      <w:hyperlink r:id="rId41" w:tooltip="A2001-14" w:history="1">
        <w:r w:rsidRPr="00A35BB6">
          <w:rPr>
            <w:rStyle w:val="charCitHyperlinkAbbrev"/>
          </w:rPr>
          <w:t>Legislation Act</w:t>
        </w:r>
      </w:hyperlink>
      <w:r w:rsidRPr="00A35BB6">
        <w:rPr>
          <w:lang w:eastAsia="en-AU"/>
        </w:rPr>
        <w:t>.</w:t>
      </w:r>
    </w:p>
    <w:p w14:paraId="1A26C50B" w14:textId="77777777" w:rsidR="00FD252A" w:rsidRPr="00A35BB6" w:rsidRDefault="00FD252A" w:rsidP="00FA1B52">
      <w:pPr>
        <w:pStyle w:val="Amain"/>
        <w:keepNext/>
        <w:rPr>
          <w:lang w:eastAsia="en-AU"/>
        </w:rPr>
      </w:pPr>
      <w:r w:rsidRPr="00A35BB6">
        <w:rPr>
          <w:lang w:eastAsia="en-AU"/>
        </w:rPr>
        <w:lastRenderedPageBreak/>
        <w:tab/>
        <w:t>(4)</w:t>
      </w:r>
      <w:r w:rsidRPr="00A35BB6">
        <w:rPr>
          <w:lang w:eastAsia="en-AU"/>
        </w:rPr>
        <w:tab/>
        <w:t xml:space="preserve">If the commission revokes an approval, the commission must </w:t>
      </w:r>
      <w:r w:rsidRPr="00A35BB6">
        <w:rPr>
          <w:szCs w:val="24"/>
          <w:lang w:eastAsia="en-AU"/>
        </w:rPr>
        <w:t>give a reviewable decision notice setting out the reasons for the revocation to any person whose interests are affected by the decision.</w:t>
      </w:r>
    </w:p>
    <w:p w14:paraId="5C61E633" w14:textId="4CF580D9" w:rsidR="00FD252A" w:rsidRPr="00A35BB6" w:rsidRDefault="00FD252A" w:rsidP="00FA1B52">
      <w:pPr>
        <w:pStyle w:val="aNote"/>
        <w:keepNext/>
        <w:rPr>
          <w:szCs w:val="24"/>
          <w:lang w:eastAsia="en-AU"/>
        </w:rPr>
      </w:pPr>
      <w:r w:rsidRPr="00A35BB6">
        <w:rPr>
          <w:rStyle w:val="charItals"/>
        </w:rPr>
        <w:t>Note</w:t>
      </w:r>
      <w:r w:rsidRPr="00A35BB6">
        <w:rPr>
          <w:rStyle w:val="charItals"/>
        </w:rPr>
        <w:tab/>
      </w:r>
      <w:r w:rsidRPr="00A35BB6">
        <w:rPr>
          <w:lang w:eastAsia="en-AU"/>
        </w:rPr>
        <w:t xml:space="preserve">The requirements for reviewable decision notices are prescribed under the </w:t>
      </w:r>
      <w:hyperlink r:id="rId42" w:tooltip="A2008-35" w:history="1">
        <w:r w:rsidRPr="00A35BB6">
          <w:rPr>
            <w:rStyle w:val="charCitHyperlinkItal"/>
          </w:rPr>
          <w:t>ACT Civil and Administrative Tribunal Act 2008</w:t>
        </w:r>
      </w:hyperlink>
      <w:r w:rsidRPr="00A35BB6">
        <w:rPr>
          <w:lang w:eastAsia="en-AU"/>
        </w:rPr>
        <w:t>.</w:t>
      </w:r>
    </w:p>
    <w:p w14:paraId="32C91D00" w14:textId="77777777" w:rsidR="00FD252A" w:rsidRPr="00A35BB6" w:rsidRDefault="00FD252A" w:rsidP="00FD252A">
      <w:pPr>
        <w:pStyle w:val="Amain"/>
        <w:rPr>
          <w:lang w:eastAsia="en-AU"/>
        </w:rPr>
      </w:pPr>
      <w:r w:rsidRPr="00A35BB6">
        <w:rPr>
          <w:lang w:eastAsia="en-AU"/>
        </w:rPr>
        <w:tab/>
        <w:t>(5)</w:t>
      </w:r>
      <w:r w:rsidRPr="00A35BB6">
        <w:rPr>
          <w:lang w:eastAsia="en-AU"/>
        </w:rPr>
        <w:tab/>
        <w:t xml:space="preserve">A person whose interests are affected by a decision of the </w:t>
      </w:r>
      <w:r w:rsidRPr="00A35BB6">
        <w:rPr>
          <w:szCs w:val="24"/>
          <w:lang w:eastAsia="en-AU"/>
        </w:rPr>
        <w:t xml:space="preserve">commission to revoke </w:t>
      </w:r>
      <w:r w:rsidRPr="00A35BB6">
        <w:t>approval of an approved training course</w:t>
      </w:r>
      <w:r w:rsidRPr="00A35BB6">
        <w:rPr>
          <w:szCs w:val="24"/>
          <w:lang w:eastAsia="en-AU"/>
        </w:rPr>
        <w:t xml:space="preserve"> may apply to the ACAT for review of the decision.</w:t>
      </w:r>
    </w:p>
    <w:p w14:paraId="686A671C" w14:textId="646F6BCA" w:rsidR="00FD252A" w:rsidRPr="00A35BB6" w:rsidRDefault="00FD252A" w:rsidP="00FD252A">
      <w:pPr>
        <w:pStyle w:val="aNote"/>
        <w:rPr>
          <w:lang w:eastAsia="en-AU"/>
        </w:rPr>
      </w:pPr>
      <w:r w:rsidRPr="00A35BB6">
        <w:rPr>
          <w:rStyle w:val="charItals"/>
        </w:rPr>
        <w:t>Note</w:t>
      </w:r>
      <w:r w:rsidRPr="00A35BB6">
        <w:rPr>
          <w:rStyle w:val="charItals"/>
        </w:rPr>
        <w:tab/>
      </w:r>
      <w:r w:rsidRPr="00A35BB6">
        <w:rPr>
          <w:lang w:eastAsia="en-AU"/>
        </w:rPr>
        <w:t xml:space="preserve">If a form is approved under the </w:t>
      </w:r>
      <w:hyperlink r:id="rId43" w:tooltip="A2008-35" w:history="1">
        <w:r w:rsidRPr="00A35BB6">
          <w:rPr>
            <w:rStyle w:val="charCitHyperlinkItal"/>
          </w:rPr>
          <w:t>ACT Civil and Administrative Tribunal Act 2008</w:t>
        </w:r>
      </w:hyperlink>
      <w:r w:rsidRPr="00A35BB6">
        <w:rPr>
          <w:rStyle w:val="charItals"/>
        </w:rPr>
        <w:t xml:space="preserve"> </w:t>
      </w:r>
      <w:r w:rsidRPr="00A35BB6">
        <w:rPr>
          <w:lang w:eastAsia="en-AU"/>
        </w:rPr>
        <w:t>for this provision, the form must be used.</w:t>
      </w:r>
    </w:p>
    <w:p w14:paraId="55027C68" w14:textId="77777777" w:rsidR="00D847F1" w:rsidRPr="004D57A4" w:rsidRDefault="00D847F1">
      <w:pPr>
        <w:pStyle w:val="AH3Div"/>
      </w:pPr>
      <w:bookmarkStart w:id="21" w:name="_Toc155080676"/>
      <w:r w:rsidRPr="004D57A4">
        <w:rPr>
          <w:rStyle w:val="CharDivNo"/>
        </w:rPr>
        <w:t>Division 2.3</w:t>
      </w:r>
      <w:r>
        <w:tab/>
      </w:r>
      <w:r w:rsidRPr="004D57A4">
        <w:rPr>
          <w:rStyle w:val="CharDivText"/>
        </w:rPr>
        <w:t>Problem gambling</w:t>
      </w:r>
      <w:bookmarkEnd w:id="21"/>
      <w:r w:rsidRPr="004D57A4">
        <w:rPr>
          <w:rStyle w:val="CharDivText"/>
        </w:rPr>
        <w:t xml:space="preserve"> </w:t>
      </w:r>
    </w:p>
    <w:p w14:paraId="5B6B7673" w14:textId="77777777" w:rsidR="00D847F1" w:rsidRDefault="00D847F1">
      <w:pPr>
        <w:pStyle w:val="AH5Sec"/>
        <w:rPr>
          <w:rStyle w:val="charItals"/>
        </w:rPr>
      </w:pPr>
      <w:bookmarkStart w:id="22" w:name="_Toc155080677"/>
      <w:r w:rsidRPr="004D57A4">
        <w:rPr>
          <w:rStyle w:val="CharSectNo"/>
        </w:rPr>
        <w:t>10</w:t>
      </w:r>
      <w:r>
        <w:tab/>
        <w:t>Recording problem gambling incidents</w:t>
      </w:r>
      <w:bookmarkEnd w:id="22"/>
    </w:p>
    <w:p w14:paraId="44ABFD5B" w14:textId="77777777" w:rsidR="00D847F1" w:rsidRDefault="00D847F1">
      <w:pPr>
        <w:pStyle w:val="Amain"/>
        <w:keepNext/>
      </w:pPr>
      <w:r>
        <w:tab/>
        <w:t>(1)</w:t>
      </w:r>
      <w:r>
        <w:tab/>
        <w:t>A licensee commits an offence if, when asked by the commission, the licensee fails to make available for inspection by the commission a record of problem gambling incidents kept by the licensee under the code of practice.</w:t>
      </w:r>
    </w:p>
    <w:p w14:paraId="15237543" w14:textId="77777777" w:rsidR="00D847F1" w:rsidRDefault="00D847F1">
      <w:pPr>
        <w:pStyle w:val="Penalty"/>
        <w:keepNext/>
      </w:pPr>
      <w:r>
        <w:t xml:space="preserve">Maximum penalty:  </w:t>
      </w:r>
      <w:r w:rsidR="00B776B3">
        <w:t>10 pen</w:t>
      </w:r>
      <w:r>
        <w:t>alty units.</w:t>
      </w:r>
    </w:p>
    <w:p w14:paraId="0C563FB8" w14:textId="77777777" w:rsidR="00FA1B52" w:rsidRPr="00A35BB6" w:rsidRDefault="001739A9" w:rsidP="00FA1B52">
      <w:pPr>
        <w:pStyle w:val="Amain"/>
      </w:pPr>
      <w:r>
        <w:tab/>
        <w:t>(2</w:t>
      </w:r>
      <w:r w:rsidR="00FA1B52" w:rsidRPr="00A35BB6">
        <w:t>)</w:t>
      </w:r>
      <w:r w:rsidR="00FA1B52" w:rsidRPr="00A35BB6">
        <w:tab/>
        <w:t>A licensee commits an offence if the licensee contravenes the code of practice, section 1.6A (4) (Recording problem gambling incidents).</w:t>
      </w:r>
    </w:p>
    <w:p w14:paraId="63D7280B" w14:textId="77777777" w:rsidR="00FA1B52" w:rsidRPr="00A35BB6" w:rsidRDefault="00FA1B52" w:rsidP="00FA1B52">
      <w:pPr>
        <w:pStyle w:val="Penalty"/>
      </w:pPr>
      <w:r w:rsidRPr="00A35BB6">
        <w:t>Maximum penalty: 10 penalty units.</w:t>
      </w:r>
    </w:p>
    <w:p w14:paraId="502822A9" w14:textId="77777777" w:rsidR="00D847F1" w:rsidRDefault="001739A9">
      <w:pPr>
        <w:pStyle w:val="Amain"/>
        <w:keepNext/>
      </w:pPr>
      <w:r>
        <w:tab/>
        <w:t>(3</w:t>
      </w:r>
      <w:r w:rsidR="00D847F1">
        <w:t>)</w:t>
      </w:r>
      <w:r w:rsidR="00D847F1">
        <w:tab/>
        <w:t>An offence against this section is an offence of strict liability.</w:t>
      </w:r>
    </w:p>
    <w:p w14:paraId="2EC6801E" w14:textId="77777777" w:rsidR="00D847F1" w:rsidRDefault="00D847F1">
      <w:pPr>
        <w:pStyle w:val="aNote"/>
      </w:pPr>
      <w:r>
        <w:rPr>
          <w:rStyle w:val="charItals"/>
        </w:rPr>
        <w:t>Note</w:t>
      </w:r>
      <w:r>
        <w:rPr>
          <w:rStyle w:val="charItals"/>
        </w:rPr>
        <w:tab/>
      </w:r>
      <w:r>
        <w:t>Reasonable excuse is available as a defence to a prosecution under this section, see s 26.</w:t>
      </w:r>
    </w:p>
    <w:p w14:paraId="102DC6C2" w14:textId="77777777" w:rsidR="00D847F1" w:rsidRDefault="00D847F1">
      <w:pPr>
        <w:pStyle w:val="AH5Sec"/>
      </w:pPr>
      <w:bookmarkStart w:id="23" w:name="_Toc155080678"/>
      <w:r w:rsidRPr="004D57A4">
        <w:rPr>
          <w:rStyle w:val="CharSectNo"/>
        </w:rPr>
        <w:lastRenderedPageBreak/>
        <w:t>11</w:t>
      </w:r>
      <w:r>
        <w:tab/>
        <w:t>Gambling facility to have gambling contact officer</w:t>
      </w:r>
      <w:bookmarkEnd w:id="23"/>
    </w:p>
    <w:p w14:paraId="472EBB5F" w14:textId="77777777" w:rsidR="00D847F1" w:rsidRDefault="00D847F1" w:rsidP="00FA1B52">
      <w:pPr>
        <w:pStyle w:val="Amain"/>
        <w:keepNext/>
      </w:pPr>
      <w:r>
        <w:tab/>
        <w:t>(1)</w:t>
      </w:r>
      <w:r>
        <w:tab/>
        <w:t>The licensee of a gambling facility commits an offence if the licensee contravenes the code of practice, section 1.9 (1) (Gambling contact officers).</w:t>
      </w:r>
    </w:p>
    <w:p w14:paraId="66D6FC82" w14:textId="77777777" w:rsidR="00D847F1" w:rsidRDefault="00D847F1">
      <w:pPr>
        <w:pStyle w:val="Penalty"/>
        <w:keepNext/>
      </w:pPr>
      <w:r>
        <w:t xml:space="preserve">Maximum penalty:  </w:t>
      </w:r>
      <w:r w:rsidR="00B776B3">
        <w:t>10 pen</w:t>
      </w:r>
      <w:r>
        <w:t>alty units.</w:t>
      </w:r>
    </w:p>
    <w:p w14:paraId="60A1EEA0" w14:textId="77777777" w:rsidR="00D847F1" w:rsidRDefault="00D847F1" w:rsidP="00FA1B52">
      <w:pPr>
        <w:pStyle w:val="Amain"/>
        <w:keepNext/>
      </w:pPr>
      <w:r>
        <w:tab/>
        <w:t>(2)</w:t>
      </w:r>
      <w:r>
        <w:tab/>
        <w:t>The licensee of a gambling facility must, as soon as practicable, give the commission—</w:t>
      </w:r>
    </w:p>
    <w:p w14:paraId="3F4C6371" w14:textId="77777777" w:rsidR="00D847F1" w:rsidRDefault="00D847F1">
      <w:pPr>
        <w:pStyle w:val="Apara"/>
      </w:pPr>
      <w:r>
        <w:tab/>
        <w:t>(a)</w:t>
      </w:r>
      <w:r>
        <w:tab/>
        <w:t>the name and address of each gambling contact officer for the facility; and</w:t>
      </w:r>
    </w:p>
    <w:p w14:paraId="708FAE6E" w14:textId="77777777" w:rsidR="00D847F1" w:rsidRDefault="00D847F1">
      <w:pPr>
        <w:pStyle w:val="Apara"/>
        <w:keepNext/>
      </w:pPr>
      <w:r>
        <w:tab/>
        <w:t>(b)</w:t>
      </w:r>
      <w:r>
        <w:tab/>
        <w:t>if a detail given under paragraph (a) changes—details of the change.</w:t>
      </w:r>
    </w:p>
    <w:p w14:paraId="53239DA2" w14:textId="77777777" w:rsidR="00D847F1" w:rsidRDefault="00D847F1">
      <w:pPr>
        <w:pStyle w:val="Penalty"/>
        <w:keepNext/>
      </w:pPr>
      <w:r>
        <w:t xml:space="preserve">Maximum penalty:  </w:t>
      </w:r>
      <w:r w:rsidR="00B776B3">
        <w:t>10 pen</w:t>
      </w:r>
      <w:r>
        <w:t>alty units.</w:t>
      </w:r>
    </w:p>
    <w:p w14:paraId="18632A71" w14:textId="77777777" w:rsidR="00D847F1" w:rsidRDefault="00D847F1">
      <w:pPr>
        <w:pStyle w:val="Amain"/>
        <w:keepNext/>
      </w:pPr>
      <w:r>
        <w:tab/>
        <w:t>(3)</w:t>
      </w:r>
      <w:r>
        <w:tab/>
        <w:t>An offence against this section is an offence of strict liability.</w:t>
      </w:r>
    </w:p>
    <w:p w14:paraId="2F5FFBAE" w14:textId="77777777" w:rsidR="00D847F1" w:rsidRDefault="00D847F1">
      <w:pPr>
        <w:pStyle w:val="aNote"/>
      </w:pPr>
      <w:r>
        <w:rPr>
          <w:rStyle w:val="charItals"/>
        </w:rPr>
        <w:t>Note</w:t>
      </w:r>
      <w:r>
        <w:rPr>
          <w:rStyle w:val="charItals"/>
        </w:rPr>
        <w:tab/>
      </w:r>
      <w:r>
        <w:t>Reasonable excuse is available as a defence to a prosecution under this section, see s 26.</w:t>
      </w:r>
    </w:p>
    <w:p w14:paraId="104718C2" w14:textId="77777777" w:rsidR="00D847F1" w:rsidRDefault="00D847F1">
      <w:pPr>
        <w:pStyle w:val="AH5Sec"/>
      </w:pPr>
      <w:bookmarkStart w:id="24" w:name="_Toc155080679"/>
      <w:r w:rsidRPr="004D57A4">
        <w:rPr>
          <w:rStyle w:val="CharSectNo"/>
        </w:rPr>
        <w:t>12</w:t>
      </w:r>
      <w:r>
        <w:tab/>
        <w:t>Dealing with people with gambling problem</w:t>
      </w:r>
      <w:bookmarkEnd w:id="24"/>
      <w:r>
        <w:t xml:space="preserve"> </w:t>
      </w:r>
    </w:p>
    <w:p w14:paraId="128D7617" w14:textId="77777777" w:rsidR="00D847F1" w:rsidRDefault="00D847F1">
      <w:pPr>
        <w:pStyle w:val="Amain"/>
      </w:pPr>
      <w:r>
        <w:tab/>
        <w:t>(1)</w:t>
      </w:r>
      <w:r>
        <w:tab/>
        <w:t>A gambling contact officer commits an offence if the gambling contact officer contravenes the code of practice, section 1.11 (2) or (3) (which is about problem gamblers).</w:t>
      </w:r>
    </w:p>
    <w:p w14:paraId="57F7F8E4" w14:textId="77777777" w:rsidR="00D847F1" w:rsidRDefault="00D847F1">
      <w:pPr>
        <w:pStyle w:val="Penalty"/>
        <w:keepNext/>
      </w:pPr>
      <w:r>
        <w:t xml:space="preserve">Maximum penalty:  </w:t>
      </w:r>
      <w:r w:rsidR="00B776B3">
        <w:t>10 pen</w:t>
      </w:r>
      <w:r>
        <w:t>alty units.</w:t>
      </w:r>
    </w:p>
    <w:p w14:paraId="5F1426EE" w14:textId="77777777" w:rsidR="00D847F1" w:rsidRDefault="00D847F1">
      <w:pPr>
        <w:pStyle w:val="Amain"/>
        <w:keepNext/>
      </w:pPr>
      <w:r>
        <w:tab/>
        <w:t>(2)</w:t>
      </w:r>
      <w:r>
        <w:tab/>
        <w:t>An offence against this section is an offence of strict liability.</w:t>
      </w:r>
    </w:p>
    <w:p w14:paraId="23266C14" w14:textId="77777777" w:rsidR="00D847F1" w:rsidRDefault="00D847F1">
      <w:pPr>
        <w:pStyle w:val="aNote"/>
      </w:pPr>
      <w:r>
        <w:rPr>
          <w:rStyle w:val="charItals"/>
        </w:rPr>
        <w:t>Note</w:t>
      </w:r>
      <w:r>
        <w:rPr>
          <w:rStyle w:val="charItals"/>
        </w:rPr>
        <w:tab/>
      </w:r>
      <w:r>
        <w:t>Reasonable excuse is available as a defence to a prosecution under this section, see s 26.</w:t>
      </w:r>
    </w:p>
    <w:p w14:paraId="140CF929" w14:textId="77777777" w:rsidR="00D847F1" w:rsidRPr="004D57A4" w:rsidRDefault="00D847F1">
      <w:pPr>
        <w:pStyle w:val="AH3Div"/>
      </w:pPr>
      <w:bookmarkStart w:id="25" w:name="_Toc155080680"/>
      <w:r w:rsidRPr="004D57A4">
        <w:rPr>
          <w:rStyle w:val="CharDivNo"/>
        </w:rPr>
        <w:lastRenderedPageBreak/>
        <w:t>Division 2.4</w:t>
      </w:r>
      <w:r>
        <w:tab/>
      </w:r>
      <w:r w:rsidRPr="004D57A4">
        <w:rPr>
          <w:rStyle w:val="CharDivText"/>
        </w:rPr>
        <w:t>Exclusion from gambling</w:t>
      </w:r>
      <w:bookmarkEnd w:id="25"/>
    </w:p>
    <w:p w14:paraId="50BF4EB8" w14:textId="77777777" w:rsidR="00D847F1" w:rsidRDefault="00D847F1">
      <w:pPr>
        <w:pStyle w:val="AH5Sec"/>
      </w:pPr>
      <w:bookmarkStart w:id="26" w:name="_Toc155080681"/>
      <w:r w:rsidRPr="004D57A4">
        <w:rPr>
          <w:rStyle w:val="CharSectNo"/>
        </w:rPr>
        <w:t>13</w:t>
      </w:r>
      <w:r>
        <w:tab/>
        <w:t>Application of div 2.4</w:t>
      </w:r>
      <w:bookmarkEnd w:id="26"/>
    </w:p>
    <w:p w14:paraId="563BC4DB" w14:textId="77777777" w:rsidR="00D847F1" w:rsidRDefault="00D847F1">
      <w:pPr>
        <w:pStyle w:val="Amain"/>
      </w:pPr>
      <w:r>
        <w:tab/>
        <w:t>(1)</w:t>
      </w:r>
      <w:r>
        <w:tab/>
        <w:t>This division does not apply to someone</w:t>
      </w:r>
      <w:r w:rsidRPr="00F1531F">
        <w:t xml:space="preserve"> </w:t>
      </w:r>
      <w:r>
        <w:t xml:space="preserve">mentioned in section 5, definition of </w:t>
      </w:r>
      <w:r>
        <w:rPr>
          <w:rStyle w:val="charBoldItals"/>
        </w:rPr>
        <w:t>licensee</w:t>
      </w:r>
      <w:r>
        <w:t>, paragraph (f).</w:t>
      </w:r>
    </w:p>
    <w:p w14:paraId="4DFBE17F" w14:textId="570C7D37" w:rsidR="00D847F1" w:rsidRDefault="00D847F1">
      <w:pPr>
        <w:pStyle w:val="Amain"/>
      </w:pPr>
      <w:r>
        <w:tab/>
        <w:t>(2)</w:t>
      </w:r>
      <w:r>
        <w:tab/>
        <w:t xml:space="preserve">Also, this division, other than section 15 (1) (Exclusion of people at risk or excluded under deed), section 21 (Accounts of certain excluded people), and section 22 (Promotional material not to be sent to certain excluded people), does not apply to a licensed provider under the </w:t>
      </w:r>
      <w:hyperlink r:id="rId44" w:tooltip="A1998-24" w:history="1">
        <w:r w:rsidR="00DF21AF" w:rsidRPr="00DF21AF">
          <w:rPr>
            <w:rStyle w:val="charCitHyperlinkItal"/>
          </w:rPr>
          <w:t>Interactive Gambling Act 1998</w:t>
        </w:r>
      </w:hyperlink>
      <w:r>
        <w:t>.</w:t>
      </w:r>
    </w:p>
    <w:p w14:paraId="53069A1B" w14:textId="6992D039" w:rsidR="00D847F1" w:rsidRDefault="00D847F1">
      <w:pPr>
        <w:pStyle w:val="aNote"/>
      </w:pPr>
      <w:r>
        <w:rPr>
          <w:rStyle w:val="charItals"/>
        </w:rPr>
        <w:t>Note</w:t>
      </w:r>
      <w:r>
        <w:rPr>
          <w:rStyle w:val="charItals"/>
        </w:rPr>
        <w:tab/>
      </w:r>
      <w:r>
        <w:t xml:space="preserve">The </w:t>
      </w:r>
      <w:hyperlink r:id="rId45" w:tooltip="A1998-24" w:history="1">
        <w:r w:rsidR="00DF21AF" w:rsidRPr="00DF21AF">
          <w:rPr>
            <w:rStyle w:val="charCitHyperlinkItal"/>
          </w:rPr>
          <w:t>Interactive Gambling Act 1998</w:t>
        </w:r>
      </w:hyperlink>
      <w:r>
        <w:t xml:space="preserve"> contains provisions about excluded or disqualified people.</w:t>
      </w:r>
    </w:p>
    <w:p w14:paraId="3F52D6E6" w14:textId="77777777" w:rsidR="00D847F1" w:rsidRDefault="00D847F1">
      <w:pPr>
        <w:pStyle w:val="AH5Sec"/>
      </w:pPr>
      <w:bookmarkStart w:id="27" w:name="_Toc155080682"/>
      <w:r w:rsidRPr="004D57A4">
        <w:rPr>
          <w:rStyle w:val="CharSectNo"/>
        </w:rPr>
        <w:t>14</w:t>
      </w:r>
      <w:r>
        <w:tab/>
        <w:t>Deeds of exclusion</w:t>
      </w:r>
      <w:bookmarkEnd w:id="27"/>
      <w:r>
        <w:t xml:space="preserve"> </w:t>
      </w:r>
    </w:p>
    <w:p w14:paraId="680B0E45" w14:textId="77777777" w:rsidR="00D847F1" w:rsidRDefault="00D847F1">
      <w:pPr>
        <w:pStyle w:val="Amain"/>
      </w:pPr>
      <w:r>
        <w:tab/>
        <w:t>(1)</w:t>
      </w:r>
      <w:r>
        <w:tab/>
        <w:t>A licensee commits an offence if the licensee contravenes the code of practice, section 1.13 (Deeds of exclusion).</w:t>
      </w:r>
    </w:p>
    <w:p w14:paraId="0B2F494F" w14:textId="77777777" w:rsidR="00D847F1" w:rsidRDefault="00D847F1">
      <w:pPr>
        <w:pStyle w:val="Penalty"/>
        <w:keepNext/>
      </w:pPr>
      <w:r>
        <w:t>Maximum penalty:  10 penalty units.</w:t>
      </w:r>
    </w:p>
    <w:p w14:paraId="301BFFD1" w14:textId="77777777" w:rsidR="00D847F1" w:rsidRDefault="00D847F1">
      <w:pPr>
        <w:pStyle w:val="Amain"/>
        <w:keepNext/>
      </w:pPr>
      <w:r>
        <w:tab/>
        <w:t>(2)</w:t>
      </w:r>
      <w:r>
        <w:tab/>
        <w:t>An offence against this section is an offence of strict liability.</w:t>
      </w:r>
    </w:p>
    <w:p w14:paraId="3D31BD88" w14:textId="77777777" w:rsidR="00D847F1" w:rsidRDefault="00D847F1">
      <w:pPr>
        <w:pStyle w:val="aNote"/>
      </w:pPr>
      <w:r>
        <w:rPr>
          <w:rStyle w:val="charItals"/>
        </w:rPr>
        <w:t>Note</w:t>
      </w:r>
      <w:r>
        <w:rPr>
          <w:rStyle w:val="charItals"/>
        </w:rPr>
        <w:tab/>
      </w:r>
      <w:r>
        <w:t>Reasonable excuse is available as a defence to a prosecution under this section, see s 26.</w:t>
      </w:r>
    </w:p>
    <w:p w14:paraId="3840E49F" w14:textId="77777777" w:rsidR="00D847F1" w:rsidRDefault="00D847F1">
      <w:pPr>
        <w:pStyle w:val="AH5Sec"/>
      </w:pPr>
      <w:bookmarkStart w:id="28" w:name="_Toc155080683"/>
      <w:r w:rsidRPr="004D57A4">
        <w:rPr>
          <w:rStyle w:val="CharSectNo"/>
        </w:rPr>
        <w:t>15</w:t>
      </w:r>
      <w:r>
        <w:tab/>
        <w:t>Exclusion of people at risk or excluded under deed</w:t>
      </w:r>
      <w:bookmarkEnd w:id="28"/>
    </w:p>
    <w:p w14:paraId="2C8F75EA" w14:textId="77777777" w:rsidR="00D847F1" w:rsidRDefault="00D847F1">
      <w:pPr>
        <w:pStyle w:val="Amain"/>
      </w:pPr>
      <w:r>
        <w:tab/>
        <w:t>(1)</w:t>
      </w:r>
      <w:r>
        <w:tab/>
        <w:t>The licensee of a gambling facility commits an offence if the licensee contravenes the code of practice, section 1.14.</w:t>
      </w:r>
    </w:p>
    <w:p w14:paraId="16AB56CB" w14:textId="77777777" w:rsidR="00D847F1" w:rsidRDefault="00D847F1">
      <w:pPr>
        <w:pStyle w:val="Penalty"/>
        <w:keepNext/>
      </w:pPr>
      <w:r>
        <w:t xml:space="preserve">Maximum penalty:  </w:t>
      </w:r>
      <w:r w:rsidR="00B776B3">
        <w:t>10 pen</w:t>
      </w:r>
      <w:r>
        <w:t>alty units.</w:t>
      </w:r>
    </w:p>
    <w:p w14:paraId="462D79D8" w14:textId="77777777" w:rsidR="00D847F1" w:rsidRDefault="00D847F1">
      <w:pPr>
        <w:pStyle w:val="Amain"/>
      </w:pPr>
      <w:r>
        <w:tab/>
        <w:t>(2)</w:t>
      </w:r>
      <w:r>
        <w:tab/>
        <w:t>The licensee of a gambling facility must not use more force, or subject someone to greater indignity, than is necessary and reasonable to exclude the person from gambling at the facility.</w:t>
      </w:r>
    </w:p>
    <w:p w14:paraId="59A833FA" w14:textId="77777777" w:rsidR="00D847F1" w:rsidRDefault="00D847F1">
      <w:pPr>
        <w:pStyle w:val="Amain"/>
        <w:keepNext/>
      </w:pPr>
      <w:r>
        <w:lastRenderedPageBreak/>
        <w:tab/>
        <w:t>(3)</w:t>
      </w:r>
      <w:r>
        <w:tab/>
        <w:t>An offence against this section is an offence of strict liability.</w:t>
      </w:r>
    </w:p>
    <w:p w14:paraId="24DED5DD" w14:textId="77777777" w:rsidR="00D847F1" w:rsidRDefault="00D847F1">
      <w:pPr>
        <w:pStyle w:val="aNote"/>
      </w:pPr>
      <w:r>
        <w:rPr>
          <w:rStyle w:val="charItals"/>
        </w:rPr>
        <w:t>Note</w:t>
      </w:r>
      <w:r>
        <w:rPr>
          <w:rStyle w:val="charItals"/>
        </w:rPr>
        <w:tab/>
      </w:r>
      <w:r>
        <w:t>Reasonable excuse is available as a defence to a prosecution under this section, see s 26.</w:t>
      </w:r>
    </w:p>
    <w:p w14:paraId="13BF432C" w14:textId="77777777" w:rsidR="00D847F1" w:rsidRDefault="00D847F1">
      <w:pPr>
        <w:pStyle w:val="AH5Sec"/>
      </w:pPr>
      <w:bookmarkStart w:id="29" w:name="_Toc155080684"/>
      <w:r w:rsidRPr="004D57A4">
        <w:rPr>
          <w:rStyle w:val="CharSectNo"/>
        </w:rPr>
        <w:t>16</w:t>
      </w:r>
      <w:r>
        <w:tab/>
        <w:t>Commission’s review of exclusion decision</w:t>
      </w:r>
      <w:bookmarkEnd w:id="29"/>
    </w:p>
    <w:p w14:paraId="2B80B831" w14:textId="77777777" w:rsidR="00D847F1" w:rsidRDefault="00D847F1">
      <w:pPr>
        <w:pStyle w:val="Amain"/>
      </w:pPr>
      <w:r>
        <w:tab/>
        <w:t>(1)</w:t>
      </w:r>
      <w:r>
        <w:tab/>
        <w:t>A person aggrieved by a licensee’s decision under the code of practice, section 1.14 (1) (Exclusion of people at risk or excluded under deed) may apply, in writing, to the commission for review of the decision.</w:t>
      </w:r>
    </w:p>
    <w:p w14:paraId="0426F50A" w14:textId="77777777" w:rsidR="00D847F1" w:rsidRDefault="00D847F1">
      <w:pPr>
        <w:pStyle w:val="Amain"/>
      </w:pPr>
      <w:r>
        <w:tab/>
        <w:t>(2)</w:t>
      </w:r>
      <w:r>
        <w:tab/>
        <w:t>To review the decision, the commission must—</w:t>
      </w:r>
    </w:p>
    <w:p w14:paraId="65932DD0" w14:textId="77777777" w:rsidR="00D847F1" w:rsidRDefault="00D847F1">
      <w:pPr>
        <w:pStyle w:val="Apara"/>
      </w:pPr>
      <w:r>
        <w:tab/>
        <w:t>(a)</w:t>
      </w:r>
      <w:r>
        <w:tab/>
        <w:t>give the licensee a written notice telling the licensee that the licensee may, within 2 weeks beginning the day after the day the licensee receives the notice, give a written response to the commission about the matters in the notice; and</w:t>
      </w:r>
    </w:p>
    <w:p w14:paraId="5A5172B5" w14:textId="77777777" w:rsidR="00D847F1" w:rsidRDefault="00D847F1">
      <w:pPr>
        <w:pStyle w:val="Apara"/>
      </w:pPr>
      <w:r>
        <w:tab/>
        <w:t>(b)</w:t>
      </w:r>
      <w:r>
        <w:tab/>
        <w:t>have regard to any response given by the licensee to the commission within the 2 weeks.</w:t>
      </w:r>
    </w:p>
    <w:p w14:paraId="01AA640C" w14:textId="77777777" w:rsidR="00D847F1" w:rsidRDefault="00D847F1">
      <w:pPr>
        <w:pStyle w:val="Amain"/>
      </w:pPr>
      <w:r>
        <w:tab/>
        <w:t>(3)</w:t>
      </w:r>
      <w:r>
        <w:tab/>
        <w:t xml:space="preserve">The commission must, by written notice, confirm, revoke or amend the licensee’s decision, having regard to the matters mentioned in the code of practice, section 1.15 (Matters to which licensee to have regard when deciding whether to exclude). </w:t>
      </w:r>
    </w:p>
    <w:p w14:paraId="00CCCF1E" w14:textId="77777777" w:rsidR="00D96AB6" w:rsidRDefault="00D96AB6" w:rsidP="00D96AB6">
      <w:pPr>
        <w:pStyle w:val="Amain"/>
      </w:pPr>
      <w:r>
        <w:tab/>
        <w:t>(4)</w:t>
      </w:r>
      <w:r>
        <w:tab/>
        <w:t>The notice under subsection (3) must be in the form of a reviewable decision notice.</w:t>
      </w:r>
    </w:p>
    <w:p w14:paraId="4C327290" w14:textId="1A18280E" w:rsidR="00D96AB6" w:rsidRDefault="00D96AB6" w:rsidP="00D96AB6">
      <w:pPr>
        <w:pStyle w:val="aNote"/>
      </w:pPr>
      <w:r w:rsidRPr="00F1531F">
        <w:rPr>
          <w:rStyle w:val="charItals"/>
        </w:rPr>
        <w:t>Note 1</w:t>
      </w:r>
      <w:r w:rsidRPr="00F1531F">
        <w:rPr>
          <w:rStyle w:val="charItals"/>
        </w:rPr>
        <w:tab/>
      </w:r>
      <w:r>
        <w:t xml:space="preserve">The commission must also take reasonable steps to give a reviewable decision notice to any other person whose interests are affected by the decision (see </w:t>
      </w:r>
      <w:hyperlink r:id="rId46" w:tooltip="A2008-35" w:history="1">
        <w:r w:rsidR="00DF21AF" w:rsidRPr="00DF21AF">
          <w:rPr>
            <w:rStyle w:val="charCitHyperlinkItal"/>
          </w:rPr>
          <w:t>ACT Civil and Administrative Tribunal Act 2008</w:t>
        </w:r>
      </w:hyperlink>
      <w:r>
        <w:t>, s 67A).</w:t>
      </w:r>
    </w:p>
    <w:p w14:paraId="4661E5C8" w14:textId="4E6371CD" w:rsidR="00D96AB6" w:rsidRDefault="00D96AB6" w:rsidP="00D96AB6">
      <w:pPr>
        <w:pStyle w:val="aNote"/>
      </w:pPr>
      <w:r w:rsidRPr="00F1531F">
        <w:rPr>
          <w:rStyle w:val="charItals"/>
        </w:rPr>
        <w:t>Note 2</w:t>
      </w:r>
      <w:r w:rsidRPr="00F1531F">
        <w:rPr>
          <w:rStyle w:val="charItals"/>
        </w:rPr>
        <w:tab/>
      </w:r>
      <w:r>
        <w:t xml:space="preserve">The requirements for reviewable decision notices are prescribed under the </w:t>
      </w:r>
      <w:hyperlink r:id="rId47" w:tooltip="A2008-35" w:history="1">
        <w:r w:rsidR="00DF21AF" w:rsidRPr="00DF21AF">
          <w:rPr>
            <w:rStyle w:val="charCitHyperlinkItal"/>
          </w:rPr>
          <w:t>ACT Civil and Administrative Tribunal Act 2008</w:t>
        </w:r>
      </w:hyperlink>
      <w:r>
        <w:t>.</w:t>
      </w:r>
    </w:p>
    <w:p w14:paraId="34B910D5" w14:textId="77777777" w:rsidR="00D96AB6" w:rsidRDefault="00D96AB6" w:rsidP="00D96AB6">
      <w:pPr>
        <w:pStyle w:val="AH5Sec"/>
      </w:pPr>
      <w:bookmarkStart w:id="30" w:name="_Toc155080685"/>
      <w:r w:rsidRPr="004D57A4">
        <w:rPr>
          <w:rStyle w:val="CharSectNo"/>
        </w:rPr>
        <w:lastRenderedPageBreak/>
        <w:t>17</w:t>
      </w:r>
      <w:r>
        <w:tab/>
        <w:t>Review by ACAT of commission’s decision under s 16</w:t>
      </w:r>
      <w:bookmarkEnd w:id="30"/>
    </w:p>
    <w:p w14:paraId="3AC799CA" w14:textId="77777777" w:rsidR="00D96AB6" w:rsidRDefault="00D96AB6" w:rsidP="00D96AB6">
      <w:pPr>
        <w:pStyle w:val="Amainreturn"/>
        <w:keepNext/>
      </w:pPr>
      <w:r>
        <w:t>A person whose interests are affected by a decision by the commission to confirm, revoke or amend the licensee’s decision may apply to the ACAT for review of the decision.</w:t>
      </w:r>
    </w:p>
    <w:p w14:paraId="1663AF21" w14:textId="3686F855" w:rsidR="00D96AB6" w:rsidRDefault="00D96AB6" w:rsidP="00D96AB6">
      <w:pPr>
        <w:pStyle w:val="aNote"/>
      </w:pPr>
      <w:r w:rsidRPr="00F1531F">
        <w:rPr>
          <w:rStyle w:val="charItals"/>
        </w:rPr>
        <w:t>Note</w:t>
      </w:r>
      <w:r w:rsidRPr="00F1531F">
        <w:rPr>
          <w:rStyle w:val="charItals"/>
        </w:rPr>
        <w:tab/>
      </w:r>
      <w:r>
        <w:t xml:space="preserve">If a form is approved under the </w:t>
      </w:r>
      <w:hyperlink r:id="rId48" w:tooltip="A2008-35" w:history="1">
        <w:r w:rsidR="00DF21AF" w:rsidRPr="00DF21AF">
          <w:rPr>
            <w:rStyle w:val="charCitHyperlinkItal"/>
          </w:rPr>
          <w:t>ACT Civil and Administrative Tribunal Act 2008</w:t>
        </w:r>
      </w:hyperlink>
      <w:r w:rsidRPr="00F1531F">
        <w:rPr>
          <w:rStyle w:val="charItals"/>
        </w:rPr>
        <w:t xml:space="preserve"> </w:t>
      </w:r>
      <w:r>
        <w:t>for the application, the form must be used.</w:t>
      </w:r>
    </w:p>
    <w:p w14:paraId="0942492D" w14:textId="77777777" w:rsidR="00D847F1" w:rsidRDefault="00D847F1">
      <w:pPr>
        <w:pStyle w:val="AH5Sec"/>
      </w:pPr>
      <w:bookmarkStart w:id="31" w:name="_Toc155080686"/>
      <w:r w:rsidRPr="004D57A4">
        <w:rPr>
          <w:rStyle w:val="CharSectNo"/>
        </w:rPr>
        <w:t>18</w:t>
      </w:r>
      <w:r>
        <w:tab/>
        <w:t>Compliance with decision to revoke or amend</w:t>
      </w:r>
      <w:bookmarkEnd w:id="31"/>
    </w:p>
    <w:p w14:paraId="4EFE0210" w14:textId="77777777" w:rsidR="00D847F1" w:rsidRDefault="00D847F1">
      <w:pPr>
        <w:pStyle w:val="Amain"/>
      </w:pPr>
      <w:r>
        <w:tab/>
        <w:t>(1)</w:t>
      </w:r>
      <w:r>
        <w:tab/>
        <w:t>If the commission revokes or amends a licensee’s decision to exclude a person from gambling, the commission may direct the licensee to give effect to the commission’s decision.</w:t>
      </w:r>
    </w:p>
    <w:p w14:paraId="01A1FAEE" w14:textId="77777777" w:rsidR="00D847F1" w:rsidRDefault="00D847F1">
      <w:pPr>
        <w:pStyle w:val="Amain"/>
      </w:pPr>
      <w:r>
        <w:tab/>
        <w:t>(2)</w:t>
      </w:r>
      <w:r>
        <w:tab/>
        <w:t>The licensee commits an offence if the licensee fails to comply with the direction.</w:t>
      </w:r>
    </w:p>
    <w:p w14:paraId="3E242B24" w14:textId="77777777" w:rsidR="00D847F1" w:rsidRDefault="00D847F1">
      <w:pPr>
        <w:pStyle w:val="Penalty"/>
        <w:keepNext/>
      </w:pPr>
      <w:r>
        <w:t xml:space="preserve">Maximum penalty:  </w:t>
      </w:r>
      <w:r w:rsidR="00B776B3">
        <w:t>10 pen</w:t>
      </w:r>
      <w:r>
        <w:t>alty units.</w:t>
      </w:r>
    </w:p>
    <w:p w14:paraId="0C97E424" w14:textId="77777777" w:rsidR="00D847F1" w:rsidRDefault="00D847F1">
      <w:pPr>
        <w:pStyle w:val="Amain"/>
        <w:keepNext/>
      </w:pPr>
      <w:r>
        <w:tab/>
        <w:t>(3)</w:t>
      </w:r>
      <w:r>
        <w:tab/>
        <w:t>An offence against this section is an offence of strict liability.</w:t>
      </w:r>
    </w:p>
    <w:p w14:paraId="3A17F2C6" w14:textId="77777777" w:rsidR="00D847F1" w:rsidRDefault="00D847F1">
      <w:pPr>
        <w:pStyle w:val="aNote"/>
      </w:pPr>
      <w:r>
        <w:rPr>
          <w:rStyle w:val="charItals"/>
        </w:rPr>
        <w:t>Note</w:t>
      </w:r>
      <w:r>
        <w:rPr>
          <w:rStyle w:val="charItals"/>
        </w:rPr>
        <w:tab/>
      </w:r>
      <w:r>
        <w:t>Reasonable excuse is available as a defence to a prosecution under this section, see s 26.</w:t>
      </w:r>
    </w:p>
    <w:p w14:paraId="43C96A86" w14:textId="77777777" w:rsidR="00D847F1" w:rsidRDefault="00D847F1">
      <w:pPr>
        <w:pStyle w:val="AH5Sec"/>
      </w:pPr>
      <w:bookmarkStart w:id="32" w:name="_Toc155080687"/>
      <w:r w:rsidRPr="004D57A4">
        <w:rPr>
          <w:rStyle w:val="CharSectNo"/>
        </w:rPr>
        <w:t>19</w:t>
      </w:r>
      <w:r>
        <w:tab/>
        <w:t>Exclusion procedures</w:t>
      </w:r>
      <w:bookmarkEnd w:id="32"/>
    </w:p>
    <w:p w14:paraId="2108734B" w14:textId="77777777" w:rsidR="00D847F1" w:rsidRDefault="00D847F1">
      <w:pPr>
        <w:pStyle w:val="Amain"/>
        <w:keepNext/>
      </w:pPr>
      <w:r>
        <w:tab/>
        <w:t>(1)</w:t>
      </w:r>
      <w:r>
        <w:tab/>
        <w:t>The licensee of a gambling facility commits an offence if the licensee contravenes the code of practice, section 1.17 (1) (which is about preparing procedures to deal with exclusions).</w:t>
      </w:r>
    </w:p>
    <w:p w14:paraId="5C3BCB34" w14:textId="77777777" w:rsidR="00D847F1" w:rsidRDefault="00D847F1">
      <w:pPr>
        <w:pStyle w:val="Penalty"/>
        <w:keepNext/>
      </w:pPr>
      <w:r>
        <w:t xml:space="preserve">Maximum penalty:  </w:t>
      </w:r>
      <w:r w:rsidR="00B776B3">
        <w:t>10 pen</w:t>
      </w:r>
      <w:r>
        <w:t>alty units.</w:t>
      </w:r>
    </w:p>
    <w:p w14:paraId="7CEF6440" w14:textId="77777777" w:rsidR="00D847F1" w:rsidRDefault="00D847F1">
      <w:pPr>
        <w:pStyle w:val="Amain"/>
      </w:pPr>
      <w:r>
        <w:tab/>
        <w:t>(2)</w:t>
      </w:r>
      <w:r>
        <w:tab/>
        <w:t>The commission may give written directions under the code of practice, section 1.17—</w:t>
      </w:r>
    </w:p>
    <w:p w14:paraId="06E5EDB4" w14:textId="77777777" w:rsidR="00D847F1" w:rsidRDefault="00D847F1">
      <w:pPr>
        <w:pStyle w:val="Apara"/>
      </w:pPr>
      <w:r>
        <w:tab/>
        <w:t>(a)</w:t>
      </w:r>
      <w:r>
        <w:tab/>
        <w:t>to the licensee of a gambling facility about the kind of procedures for the facility for dealing with people to be excluded from gambling at the facility; and</w:t>
      </w:r>
    </w:p>
    <w:p w14:paraId="3DDCCF02" w14:textId="77777777" w:rsidR="00D847F1" w:rsidRDefault="00D847F1">
      <w:pPr>
        <w:pStyle w:val="Apara"/>
      </w:pPr>
      <w:r>
        <w:lastRenderedPageBreak/>
        <w:tab/>
        <w:t>(b)</w:t>
      </w:r>
      <w:r>
        <w:tab/>
        <w:t>to the licensee, a staff member and anyone else involved in the exclusion of a person from the facility under this regulation, about the written procedures to ensure compliance with the procedures.</w:t>
      </w:r>
    </w:p>
    <w:p w14:paraId="5AFE578B" w14:textId="77777777" w:rsidR="00D847F1" w:rsidRDefault="00D847F1">
      <w:pPr>
        <w:pStyle w:val="Amain"/>
        <w:keepNext/>
      </w:pPr>
      <w:r>
        <w:tab/>
        <w:t>(3)</w:t>
      </w:r>
      <w:r>
        <w:tab/>
        <w:t>A person commits an offence if the person fails to comply with a direction of the commission given under the code of practice, section 1.17.</w:t>
      </w:r>
    </w:p>
    <w:p w14:paraId="6A7144D6" w14:textId="77777777" w:rsidR="00D847F1" w:rsidRDefault="00D847F1">
      <w:pPr>
        <w:pStyle w:val="Penalty"/>
        <w:keepNext/>
      </w:pPr>
      <w:r>
        <w:t xml:space="preserve">Maximum penalty:  </w:t>
      </w:r>
      <w:r w:rsidR="00B776B3">
        <w:t>10 pen</w:t>
      </w:r>
      <w:r>
        <w:t>alty units.</w:t>
      </w:r>
    </w:p>
    <w:p w14:paraId="166AC1AD" w14:textId="77777777" w:rsidR="00D847F1" w:rsidRDefault="00D847F1">
      <w:pPr>
        <w:pStyle w:val="Amain"/>
        <w:keepNext/>
      </w:pPr>
      <w:r>
        <w:tab/>
        <w:t>(4)</w:t>
      </w:r>
      <w:r>
        <w:tab/>
        <w:t>An offence against this section is an offence of strict liability.</w:t>
      </w:r>
    </w:p>
    <w:p w14:paraId="1894CDF6" w14:textId="77777777" w:rsidR="00D847F1" w:rsidRDefault="00D847F1">
      <w:pPr>
        <w:pStyle w:val="aNote"/>
      </w:pPr>
      <w:r>
        <w:rPr>
          <w:rStyle w:val="charItals"/>
        </w:rPr>
        <w:t>Note</w:t>
      </w:r>
      <w:r>
        <w:tab/>
        <w:t>Reasonable excuse is available as a defence to a prosecution under this section, see s 26.</w:t>
      </w:r>
    </w:p>
    <w:p w14:paraId="1FAE0E1E" w14:textId="77777777" w:rsidR="00FA1B52" w:rsidRPr="00A35BB6" w:rsidRDefault="00FA1B52" w:rsidP="00FA1B52">
      <w:pPr>
        <w:pStyle w:val="AH5Sec"/>
      </w:pPr>
      <w:bookmarkStart w:id="33" w:name="_Toc155080688"/>
      <w:r w:rsidRPr="004D57A4">
        <w:rPr>
          <w:rStyle w:val="CharSectNo"/>
        </w:rPr>
        <w:t>20</w:t>
      </w:r>
      <w:r w:rsidRPr="00A35BB6">
        <w:tab/>
        <w:t>Exclusion register</w:t>
      </w:r>
      <w:bookmarkEnd w:id="33"/>
    </w:p>
    <w:p w14:paraId="73604DC4" w14:textId="77777777" w:rsidR="00FA1B52" w:rsidRPr="00A35BB6" w:rsidRDefault="00FA1B52" w:rsidP="00FA1B52">
      <w:pPr>
        <w:pStyle w:val="Amain"/>
        <w:rPr>
          <w:lang w:eastAsia="en-AU"/>
        </w:rPr>
      </w:pPr>
      <w:r w:rsidRPr="00A35BB6">
        <w:tab/>
        <w:t>(1)</w:t>
      </w:r>
      <w:r w:rsidRPr="00A35BB6">
        <w:tab/>
        <w:t xml:space="preserve">The commission must establish a register (an </w:t>
      </w:r>
      <w:r w:rsidRPr="00A35BB6">
        <w:rPr>
          <w:rStyle w:val="charBoldItals"/>
        </w:rPr>
        <w:t>exclusion register</w:t>
      </w:r>
      <w:r w:rsidRPr="00A35BB6">
        <w:t xml:space="preserve">) of people who are excluded from gambling at a gambling facility under </w:t>
      </w:r>
      <w:r w:rsidRPr="00A35BB6">
        <w:rPr>
          <w:szCs w:val="24"/>
          <w:lang w:eastAsia="en-AU"/>
        </w:rPr>
        <w:t>the code of practice, division 1.2.3 (Exclusion from gambling generally).</w:t>
      </w:r>
    </w:p>
    <w:p w14:paraId="5094533C" w14:textId="77777777" w:rsidR="00FA1B52" w:rsidRPr="00A35BB6" w:rsidRDefault="00FA1B52" w:rsidP="00FA1B52">
      <w:pPr>
        <w:pStyle w:val="aNote"/>
        <w:rPr>
          <w:lang w:eastAsia="en-AU"/>
        </w:rPr>
      </w:pPr>
      <w:r w:rsidRPr="00A35BB6">
        <w:rPr>
          <w:rStyle w:val="charItals"/>
        </w:rPr>
        <w:t>Note</w:t>
      </w:r>
      <w:r w:rsidRPr="00A35BB6">
        <w:rPr>
          <w:rStyle w:val="charItals"/>
        </w:rPr>
        <w:tab/>
      </w:r>
      <w:r w:rsidRPr="00A35BB6">
        <w:rPr>
          <w:lang w:eastAsia="en-AU"/>
        </w:rPr>
        <w:t>A licensee must exclude a person from gambling at a gambling facility if a deed or notice of exclusion applies to the person (see sch 1, s 1.13 and s 1.14).</w:t>
      </w:r>
    </w:p>
    <w:p w14:paraId="654A0886" w14:textId="77777777" w:rsidR="00FA1B52" w:rsidRPr="00A35BB6" w:rsidRDefault="00FA1B52" w:rsidP="00FA1B52">
      <w:pPr>
        <w:pStyle w:val="Amain"/>
        <w:rPr>
          <w:lang w:eastAsia="en-AU"/>
        </w:rPr>
      </w:pPr>
      <w:r w:rsidRPr="00A35BB6">
        <w:rPr>
          <w:lang w:eastAsia="en-AU"/>
        </w:rPr>
        <w:tab/>
        <w:t>(2)</w:t>
      </w:r>
      <w:r w:rsidRPr="00A35BB6">
        <w:rPr>
          <w:lang w:eastAsia="en-AU"/>
        </w:rPr>
        <w:tab/>
        <w:t>The exclusion register may be kept electronically.</w:t>
      </w:r>
    </w:p>
    <w:p w14:paraId="6435F3D0" w14:textId="77777777" w:rsidR="00FA1B52" w:rsidRPr="00A35BB6" w:rsidRDefault="00FA1B52" w:rsidP="00FA1B52">
      <w:pPr>
        <w:pStyle w:val="Amain"/>
      </w:pPr>
      <w:r w:rsidRPr="00A35BB6">
        <w:tab/>
        <w:t>(3)</w:t>
      </w:r>
      <w:r w:rsidRPr="00A35BB6">
        <w:tab/>
        <w:t>The exclusion register must include the following for each person excluded from gambling at a gambling facility:</w:t>
      </w:r>
    </w:p>
    <w:p w14:paraId="04D76B6D" w14:textId="77777777" w:rsidR="00FA1B52" w:rsidRPr="00A35BB6" w:rsidRDefault="00FA1B52" w:rsidP="00FA1B52">
      <w:pPr>
        <w:pStyle w:val="Apara"/>
      </w:pPr>
      <w:r w:rsidRPr="00A35BB6">
        <w:tab/>
        <w:t>(a)</w:t>
      </w:r>
      <w:r w:rsidRPr="00A35BB6">
        <w:tab/>
        <w:t>sufficient particulars to identify the person;</w:t>
      </w:r>
    </w:p>
    <w:p w14:paraId="5740E78C" w14:textId="77777777" w:rsidR="00FA1B52" w:rsidRPr="00A35BB6" w:rsidRDefault="00FA1B52" w:rsidP="00FA1B52">
      <w:pPr>
        <w:pStyle w:val="aExamHdgpar"/>
      </w:pPr>
      <w:r w:rsidRPr="00A35BB6">
        <w:t>Examples</w:t>
      </w:r>
    </w:p>
    <w:p w14:paraId="6FFFD37A" w14:textId="77777777" w:rsidR="00FA1B52" w:rsidRPr="00A35BB6" w:rsidRDefault="00FA1B52" w:rsidP="00FA1B52">
      <w:pPr>
        <w:pStyle w:val="aExamINumpar"/>
        <w:keepNext/>
      </w:pPr>
      <w:r w:rsidRPr="00A35BB6">
        <w:t>1</w:t>
      </w:r>
      <w:r w:rsidRPr="00A35BB6">
        <w:tab/>
        <w:t>the person’s name and address</w:t>
      </w:r>
    </w:p>
    <w:p w14:paraId="4460E58F" w14:textId="77777777" w:rsidR="00FA1B52" w:rsidRPr="00A35BB6" w:rsidRDefault="00FA1B52" w:rsidP="00FA1B52">
      <w:pPr>
        <w:pStyle w:val="aExamINumpar"/>
      </w:pPr>
      <w:r w:rsidRPr="00A35BB6">
        <w:t>2</w:t>
      </w:r>
      <w:r w:rsidRPr="00A35BB6">
        <w:tab/>
        <w:t>an image of the person’s face or a description of the person</w:t>
      </w:r>
    </w:p>
    <w:p w14:paraId="54536AB3" w14:textId="77777777" w:rsidR="00FA1B52" w:rsidRPr="00A35BB6" w:rsidRDefault="00FA1B52" w:rsidP="00FA1B52">
      <w:pPr>
        <w:pStyle w:val="Apara"/>
      </w:pPr>
      <w:r w:rsidRPr="00A35BB6">
        <w:tab/>
        <w:t>(b)</w:t>
      </w:r>
      <w:r w:rsidRPr="00A35BB6">
        <w:tab/>
        <w:t>each gambling facility from which the person is excluded;</w:t>
      </w:r>
    </w:p>
    <w:p w14:paraId="1F31475F" w14:textId="77777777" w:rsidR="00FA1B52" w:rsidRPr="00A35BB6" w:rsidRDefault="00FA1B52" w:rsidP="00FA1B52">
      <w:pPr>
        <w:pStyle w:val="Apara"/>
      </w:pPr>
      <w:r w:rsidRPr="00A35BB6">
        <w:tab/>
        <w:t>(c)</w:t>
      </w:r>
      <w:r w:rsidRPr="00A35BB6">
        <w:tab/>
        <w:t>the period of the exclusion from each gambling facility from which the person is excluded;</w:t>
      </w:r>
    </w:p>
    <w:p w14:paraId="408BC208" w14:textId="77777777" w:rsidR="00FA1B52" w:rsidRPr="00A35BB6" w:rsidRDefault="00FA1B52" w:rsidP="00FA1B52">
      <w:pPr>
        <w:pStyle w:val="Apara"/>
      </w:pPr>
      <w:r w:rsidRPr="00A35BB6">
        <w:lastRenderedPageBreak/>
        <w:tab/>
        <w:t>(d)</w:t>
      </w:r>
      <w:r w:rsidRPr="00A35BB6">
        <w:tab/>
        <w:t>for any deed or notice of exclusion applying to the person—</w:t>
      </w:r>
    </w:p>
    <w:p w14:paraId="4C9F816D" w14:textId="77777777" w:rsidR="00FA1B52" w:rsidRPr="00A35BB6" w:rsidRDefault="00FA1B52" w:rsidP="00FA1B52">
      <w:pPr>
        <w:pStyle w:val="Asubpara"/>
      </w:pPr>
      <w:r w:rsidRPr="00A35BB6">
        <w:tab/>
        <w:t>(i)</w:t>
      </w:r>
      <w:r w:rsidRPr="00A35BB6">
        <w:tab/>
        <w:t>a copy of the deed or notice; and</w:t>
      </w:r>
    </w:p>
    <w:p w14:paraId="1E35083E" w14:textId="77777777" w:rsidR="00FA1B52" w:rsidRPr="00A35BB6" w:rsidRDefault="00FA1B52" w:rsidP="00FA1B52">
      <w:pPr>
        <w:pStyle w:val="Asubpara"/>
      </w:pPr>
      <w:r w:rsidRPr="00A35BB6">
        <w:tab/>
        <w:t>(ii)</w:t>
      </w:r>
      <w:r w:rsidRPr="00A35BB6">
        <w:tab/>
        <w:t>if a deed or notice of exclusion applied to the person in the 7 years before the day the current deed or notice of exclusion was entered into or given—a copy of the previous deed or notice.</w:t>
      </w:r>
    </w:p>
    <w:p w14:paraId="7389FD99" w14:textId="77777777" w:rsidR="00FA1B52" w:rsidRPr="00A35BB6" w:rsidRDefault="00FA1B52" w:rsidP="00FA1B52">
      <w:pPr>
        <w:pStyle w:val="Amain"/>
      </w:pPr>
      <w:r w:rsidRPr="00A35BB6">
        <w:tab/>
        <w:t>(4)</w:t>
      </w:r>
      <w:r w:rsidRPr="00A35BB6">
        <w:tab/>
        <w:t>The commission or an approved person may—</w:t>
      </w:r>
    </w:p>
    <w:p w14:paraId="0FD2D6F0" w14:textId="77777777" w:rsidR="00FA1B52" w:rsidRPr="00A35BB6" w:rsidRDefault="00FA1B52" w:rsidP="00FA1B52">
      <w:pPr>
        <w:pStyle w:val="Apara"/>
      </w:pPr>
      <w:r w:rsidRPr="00A35BB6">
        <w:tab/>
        <w:t>(a)</w:t>
      </w:r>
      <w:r w:rsidRPr="00A35BB6">
        <w:tab/>
        <w:t>access the exclusion register; and</w:t>
      </w:r>
    </w:p>
    <w:p w14:paraId="268C6E82" w14:textId="77777777" w:rsidR="00FA1B52" w:rsidRPr="00A35BB6" w:rsidRDefault="00FA1B52" w:rsidP="00FA1B52">
      <w:pPr>
        <w:pStyle w:val="Apara"/>
      </w:pPr>
      <w:r w:rsidRPr="00A35BB6">
        <w:tab/>
        <w:t>(b)</w:t>
      </w:r>
      <w:r w:rsidRPr="00A35BB6">
        <w:tab/>
        <w:t>add a person’s name to the exclusion register; and</w:t>
      </w:r>
    </w:p>
    <w:p w14:paraId="74784957" w14:textId="77777777" w:rsidR="00FA1B52" w:rsidRPr="00A35BB6" w:rsidRDefault="00FA1B52" w:rsidP="00FA1B52">
      <w:pPr>
        <w:pStyle w:val="Apara"/>
      </w:pPr>
      <w:r w:rsidRPr="00A35BB6">
        <w:tab/>
        <w:t>(c)</w:t>
      </w:r>
      <w:r w:rsidRPr="00A35BB6">
        <w:tab/>
        <w:t>amend particulars of a person registered in the exclusion register.</w:t>
      </w:r>
    </w:p>
    <w:p w14:paraId="45A27FD2" w14:textId="77777777" w:rsidR="00FA1B52" w:rsidRPr="00A35BB6" w:rsidRDefault="00FA1B52" w:rsidP="00FA1B52">
      <w:pPr>
        <w:pStyle w:val="Amain"/>
      </w:pPr>
      <w:r w:rsidRPr="00A35BB6">
        <w:tab/>
        <w:t>(5)</w:t>
      </w:r>
      <w:r w:rsidRPr="00A35BB6">
        <w:tab/>
        <w:t xml:space="preserve">The commission may also— </w:t>
      </w:r>
    </w:p>
    <w:p w14:paraId="060E86D1" w14:textId="77777777" w:rsidR="00FA1B52" w:rsidRPr="00A35BB6" w:rsidRDefault="00FA1B52" w:rsidP="00FA1B52">
      <w:pPr>
        <w:pStyle w:val="Apara"/>
      </w:pPr>
      <w:r w:rsidRPr="00A35BB6">
        <w:tab/>
        <w:t>(a)</w:t>
      </w:r>
      <w:r w:rsidRPr="00A35BB6">
        <w:tab/>
        <w:t>correct the exclusion register; and</w:t>
      </w:r>
    </w:p>
    <w:p w14:paraId="7656A623" w14:textId="77777777" w:rsidR="00FA1B52" w:rsidRPr="00A35BB6" w:rsidRDefault="00FA1B52" w:rsidP="00FA1B52">
      <w:pPr>
        <w:pStyle w:val="Apara"/>
      </w:pPr>
      <w:r w:rsidRPr="00A35BB6">
        <w:tab/>
        <w:t>(b)</w:t>
      </w:r>
      <w:r w:rsidRPr="00A35BB6">
        <w:tab/>
        <w:t>delete a person’s name from the exclusion register.</w:t>
      </w:r>
    </w:p>
    <w:p w14:paraId="75307EFA" w14:textId="77777777" w:rsidR="00FA1B52" w:rsidRPr="00A35BB6" w:rsidRDefault="00FA1B52" w:rsidP="00FA1B52">
      <w:pPr>
        <w:pStyle w:val="Amain"/>
      </w:pPr>
      <w:r w:rsidRPr="00A35BB6">
        <w:tab/>
        <w:t>(6)</w:t>
      </w:r>
      <w:r w:rsidRPr="00A35BB6">
        <w:tab/>
        <w:t>In this section:</w:t>
      </w:r>
    </w:p>
    <w:p w14:paraId="60843D2C" w14:textId="77777777" w:rsidR="00FA1B52" w:rsidRPr="00A35BB6" w:rsidRDefault="00FA1B52" w:rsidP="00FA1B52">
      <w:pPr>
        <w:pStyle w:val="aDef"/>
      </w:pPr>
      <w:r w:rsidRPr="00A35BB6">
        <w:rPr>
          <w:rStyle w:val="charBoldItals"/>
        </w:rPr>
        <w:t xml:space="preserve">approved person </w:t>
      </w:r>
      <w:r w:rsidRPr="00A35BB6">
        <w:t>means—</w:t>
      </w:r>
    </w:p>
    <w:p w14:paraId="4C2BA0AB" w14:textId="77777777" w:rsidR="00FA1B52" w:rsidRPr="00A35BB6" w:rsidRDefault="00FA1B52" w:rsidP="00FA1B52">
      <w:pPr>
        <w:pStyle w:val="aDefpara"/>
      </w:pPr>
      <w:r w:rsidRPr="00A35BB6">
        <w:tab/>
        <w:t>(a)</w:t>
      </w:r>
      <w:r w:rsidRPr="00A35BB6">
        <w:tab/>
        <w:t>a licensee of a gambling facility; or</w:t>
      </w:r>
    </w:p>
    <w:p w14:paraId="40BF983D" w14:textId="77777777" w:rsidR="00FA1B52" w:rsidRPr="00A35BB6" w:rsidRDefault="00FA1B52" w:rsidP="00FA1B52">
      <w:pPr>
        <w:pStyle w:val="aDefpara"/>
      </w:pPr>
      <w:r w:rsidRPr="00A35BB6">
        <w:tab/>
        <w:t>(b)</w:t>
      </w:r>
      <w:r w:rsidRPr="00A35BB6">
        <w:tab/>
        <w:t>someone else approved by the commission.</w:t>
      </w:r>
    </w:p>
    <w:p w14:paraId="11402704" w14:textId="77777777" w:rsidR="00FA1B52" w:rsidRPr="00A35BB6" w:rsidRDefault="00FA1B52" w:rsidP="001D0CF9">
      <w:pPr>
        <w:pStyle w:val="AH5Sec"/>
      </w:pPr>
      <w:bookmarkStart w:id="34" w:name="_Toc155080689"/>
      <w:r w:rsidRPr="004D57A4">
        <w:rPr>
          <w:rStyle w:val="CharSectNo"/>
        </w:rPr>
        <w:t>20A</w:t>
      </w:r>
      <w:r w:rsidRPr="00A35BB6">
        <w:tab/>
        <w:t>Exclusion register—offences</w:t>
      </w:r>
      <w:bookmarkEnd w:id="34"/>
    </w:p>
    <w:p w14:paraId="65258989" w14:textId="77777777" w:rsidR="00FA1B52" w:rsidRPr="00A35BB6" w:rsidRDefault="00FA1B52" w:rsidP="00F966FF">
      <w:pPr>
        <w:pStyle w:val="Amain"/>
        <w:keepNext/>
      </w:pPr>
      <w:r w:rsidRPr="00A35BB6">
        <w:tab/>
        <w:t>(1)</w:t>
      </w:r>
      <w:r w:rsidRPr="00A35BB6">
        <w:tab/>
        <w:t>A licensee of a gambling facility commits an offence if—</w:t>
      </w:r>
    </w:p>
    <w:p w14:paraId="6C1A38BD" w14:textId="77777777" w:rsidR="00FA1B52" w:rsidRPr="00A35BB6" w:rsidRDefault="00FA1B52" w:rsidP="00FA1B52">
      <w:pPr>
        <w:pStyle w:val="Apara"/>
      </w:pPr>
      <w:r w:rsidRPr="00A35BB6">
        <w:tab/>
        <w:t>(a)</w:t>
      </w:r>
      <w:r w:rsidRPr="00A35BB6">
        <w:tab/>
        <w:t>the licensee fails to comply with the code of practice, section 1.13 (6) (Deeds of exclusion) or section 1.14 (2) (b) or (c) (Exclusion of people at risk or excluded under deed); or</w:t>
      </w:r>
    </w:p>
    <w:p w14:paraId="44FFA10C" w14:textId="77777777" w:rsidR="00FA1B52" w:rsidRPr="00A35BB6" w:rsidRDefault="00FA1B52" w:rsidP="003E3DF8">
      <w:pPr>
        <w:pStyle w:val="Apara"/>
        <w:keepNext/>
      </w:pPr>
      <w:r w:rsidRPr="00A35BB6">
        <w:lastRenderedPageBreak/>
        <w:tab/>
        <w:t>(b)</w:t>
      </w:r>
      <w:r w:rsidRPr="00A35BB6">
        <w:tab/>
        <w:t>the licensee fails to look at the exclusion register within 3 consecutive trading days after the receipt of a written notification from the commission or an approved person of—</w:t>
      </w:r>
    </w:p>
    <w:p w14:paraId="1DD222E7" w14:textId="77777777" w:rsidR="00FA1B52" w:rsidRPr="00A35BB6" w:rsidRDefault="00FA1B52" w:rsidP="00FA1B52">
      <w:pPr>
        <w:pStyle w:val="Asubpara"/>
      </w:pPr>
      <w:r w:rsidRPr="00A35BB6">
        <w:tab/>
      </w:r>
      <w:r w:rsidRPr="00461F12">
        <w:t>(i)</w:t>
      </w:r>
      <w:r w:rsidRPr="00A35BB6">
        <w:tab/>
        <w:t>the inclusion of the matters mentioned in section</w:t>
      </w:r>
      <w:r w:rsidR="001739A9">
        <w:t> </w:t>
      </w:r>
      <w:r w:rsidRPr="00A35BB6">
        <w:t>20</w:t>
      </w:r>
      <w:r w:rsidR="00AC5ABF">
        <w:t> </w:t>
      </w:r>
      <w:r w:rsidRPr="00A35BB6">
        <w:t>(3) on the exclusion register; or</w:t>
      </w:r>
    </w:p>
    <w:p w14:paraId="2191ADB8" w14:textId="77777777" w:rsidR="00FA1B52" w:rsidRPr="00A35BB6" w:rsidRDefault="00FA1B52" w:rsidP="00FA1B52">
      <w:pPr>
        <w:pStyle w:val="Asubpara"/>
      </w:pPr>
      <w:r w:rsidRPr="00A35BB6">
        <w:tab/>
        <w:t>(ii)</w:t>
      </w:r>
      <w:r w:rsidRPr="00A35BB6">
        <w:tab/>
        <w:t>a change to the exclusion register made under section 20 (4) (b) or (c) or section 20 (5).</w:t>
      </w:r>
    </w:p>
    <w:p w14:paraId="6CC22F5A" w14:textId="77777777" w:rsidR="00FA1B52" w:rsidRPr="00A35BB6" w:rsidRDefault="00FA1B52" w:rsidP="00FA1B52">
      <w:pPr>
        <w:pStyle w:val="Penalty"/>
      </w:pPr>
      <w:r w:rsidRPr="00A35BB6">
        <w:t>Maximum penalty: 10 penalty units.</w:t>
      </w:r>
    </w:p>
    <w:p w14:paraId="709F82C8" w14:textId="77777777" w:rsidR="00FA1B52" w:rsidRPr="00A35BB6" w:rsidRDefault="00FA1B52" w:rsidP="00FA1B52">
      <w:pPr>
        <w:pStyle w:val="Amain"/>
      </w:pPr>
      <w:r w:rsidRPr="00A35BB6">
        <w:tab/>
        <w:t>(2)</w:t>
      </w:r>
      <w:r w:rsidRPr="00A35BB6">
        <w:tab/>
        <w:t>A person commits an offence if—</w:t>
      </w:r>
    </w:p>
    <w:p w14:paraId="326932DC" w14:textId="77777777" w:rsidR="00FA1B52" w:rsidRPr="00A35BB6" w:rsidRDefault="00FA1B52" w:rsidP="00FA1B52">
      <w:pPr>
        <w:pStyle w:val="Apara"/>
      </w:pPr>
      <w:r w:rsidRPr="00A35BB6">
        <w:tab/>
        <w:t>(a)</w:t>
      </w:r>
      <w:r w:rsidRPr="00A35BB6">
        <w:tab/>
        <w:t>the person—</w:t>
      </w:r>
    </w:p>
    <w:p w14:paraId="08D0F3AC" w14:textId="77777777" w:rsidR="00FA1B52" w:rsidRPr="00A35BB6" w:rsidRDefault="00FA1B52" w:rsidP="00FA1B52">
      <w:pPr>
        <w:pStyle w:val="Asubpara"/>
      </w:pPr>
      <w:r w:rsidRPr="00A35BB6">
        <w:tab/>
        <w:t>(i)</w:t>
      </w:r>
      <w:r w:rsidRPr="00A35BB6">
        <w:tab/>
        <w:t>accesses the exclusion register; or</w:t>
      </w:r>
    </w:p>
    <w:p w14:paraId="5320C77A" w14:textId="77777777" w:rsidR="00FA1B52" w:rsidRPr="00A35BB6" w:rsidRDefault="00FA1B52" w:rsidP="00FA1B52">
      <w:pPr>
        <w:pStyle w:val="Asubpara"/>
      </w:pPr>
      <w:r w:rsidRPr="00A35BB6">
        <w:tab/>
        <w:t>(ii)</w:t>
      </w:r>
      <w:r w:rsidRPr="00A35BB6">
        <w:tab/>
        <w:t>adds to, or deletes from, the exclusion register a person’s name; or</w:t>
      </w:r>
    </w:p>
    <w:p w14:paraId="2B9183CA" w14:textId="77777777" w:rsidR="00FA1B52" w:rsidRPr="00A35BB6" w:rsidRDefault="00FA1B52" w:rsidP="00FA1B52">
      <w:pPr>
        <w:pStyle w:val="Asubpara"/>
      </w:pPr>
      <w:r w:rsidRPr="00A35BB6">
        <w:tab/>
        <w:t>(iii)</w:t>
      </w:r>
      <w:r w:rsidRPr="00A35BB6">
        <w:tab/>
        <w:t>amends a person’s particulars on the exclusion register; and</w:t>
      </w:r>
    </w:p>
    <w:p w14:paraId="0879A884" w14:textId="77777777" w:rsidR="00FA1B52" w:rsidRPr="00A35BB6" w:rsidRDefault="00FA1B52" w:rsidP="00FA1B52">
      <w:pPr>
        <w:pStyle w:val="Apara"/>
      </w:pPr>
      <w:r w:rsidRPr="00A35BB6">
        <w:tab/>
        <w:t>(b)</w:t>
      </w:r>
      <w:r w:rsidRPr="00A35BB6">
        <w:tab/>
        <w:t>the person is not authorised under section 20 (4) or (5) to do so.</w:t>
      </w:r>
    </w:p>
    <w:p w14:paraId="3E42720C" w14:textId="77777777" w:rsidR="00FA1B52" w:rsidRPr="00A35BB6" w:rsidRDefault="00FA1B52" w:rsidP="00FA1B52">
      <w:pPr>
        <w:pStyle w:val="Penalty"/>
      </w:pPr>
      <w:r w:rsidRPr="00A35BB6">
        <w:t>Maximum penalty: 10 penalty units.</w:t>
      </w:r>
    </w:p>
    <w:p w14:paraId="161E02A4" w14:textId="77777777" w:rsidR="00FA1B52" w:rsidRPr="00A35BB6" w:rsidRDefault="00FA1B52" w:rsidP="00FA1B52">
      <w:pPr>
        <w:pStyle w:val="Amain"/>
      </w:pPr>
      <w:r w:rsidRPr="00A35BB6">
        <w:tab/>
        <w:t>(3)</w:t>
      </w:r>
      <w:r w:rsidRPr="00A35BB6">
        <w:tab/>
        <w:t>Strict liability applies to subsection (2) (b).</w:t>
      </w:r>
    </w:p>
    <w:p w14:paraId="1857FD9C" w14:textId="77777777" w:rsidR="00FA1B52" w:rsidRPr="00A35BB6" w:rsidRDefault="00FA1B52" w:rsidP="00FA1B52">
      <w:pPr>
        <w:pStyle w:val="Amain"/>
      </w:pPr>
      <w:r w:rsidRPr="00A35BB6">
        <w:tab/>
        <w:t>(4)</w:t>
      </w:r>
      <w:r w:rsidRPr="00A35BB6">
        <w:tab/>
        <w:t>In this section:</w:t>
      </w:r>
    </w:p>
    <w:p w14:paraId="02A90DB6" w14:textId="77777777" w:rsidR="00FA1B52" w:rsidRPr="00A35BB6" w:rsidRDefault="00FA1B52" w:rsidP="00FA1B52">
      <w:pPr>
        <w:pStyle w:val="aDef"/>
      </w:pPr>
      <w:r w:rsidRPr="00A35BB6">
        <w:rPr>
          <w:rStyle w:val="charBoldItals"/>
        </w:rPr>
        <w:t>approved person</w:t>
      </w:r>
      <w:r w:rsidRPr="00A35BB6">
        <w:t>—see section 20 (6) (Exclusion register).</w:t>
      </w:r>
    </w:p>
    <w:p w14:paraId="2A7FAFE6" w14:textId="77777777" w:rsidR="00D847F1" w:rsidRDefault="00D847F1">
      <w:pPr>
        <w:pStyle w:val="AH5Sec"/>
      </w:pPr>
      <w:bookmarkStart w:id="35" w:name="_Toc155080690"/>
      <w:r w:rsidRPr="004D57A4">
        <w:rPr>
          <w:rStyle w:val="CharSectNo"/>
        </w:rPr>
        <w:lastRenderedPageBreak/>
        <w:t>21</w:t>
      </w:r>
      <w:r>
        <w:tab/>
        <w:t>Accounts of certain excluded people</w:t>
      </w:r>
      <w:bookmarkEnd w:id="35"/>
    </w:p>
    <w:p w14:paraId="7F8BC78C" w14:textId="77777777" w:rsidR="00D847F1" w:rsidRDefault="00D847F1" w:rsidP="003E3DF8">
      <w:pPr>
        <w:pStyle w:val="Amain"/>
        <w:keepNext/>
        <w:keepLines/>
      </w:pPr>
      <w:r>
        <w:tab/>
        <w:t>(1)</w:t>
      </w:r>
      <w:r>
        <w:tab/>
        <w:t>A licensee commits an offence if the licensee contravenes the code of practice, section 1.19 (which is about not allowing others to use excluded people’s accounts).</w:t>
      </w:r>
    </w:p>
    <w:p w14:paraId="30733128" w14:textId="77777777" w:rsidR="00D847F1" w:rsidRDefault="00D847F1" w:rsidP="003E3DF8">
      <w:pPr>
        <w:pStyle w:val="Penalty"/>
        <w:keepNext/>
        <w:keepLines/>
      </w:pPr>
      <w:r>
        <w:t>Maximum penalty:  10 penalty units.</w:t>
      </w:r>
    </w:p>
    <w:p w14:paraId="4E31A991" w14:textId="77777777" w:rsidR="00D847F1" w:rsidRDefault="00D847F1">
      <w:pPr>
        <w:pStyle w:val="Amain"/>
        <w:keepNext/>
      </w:pPr>
      <w:r>
        <w:tab/>
        <w:t>(2)</w:t>
      </w:r>
      <w:r>
        <w:tab/>
        <w:t>An offence against this section is an offence of strict liability.</w:t>
      </w:r>
    </w:p>
    <w:p w14:paraId="6242F7F1" w14:textId="77777777" w:rsidR="00D847F1" w:rsidRDefault="00D847F1">
      <w:pPr>
        <w:pStyle w:val="aNote"/>
      </w:pPr>
      <w:r>
        <w:rPr>
          <w:rStyle w:val="charItals"/>
        </w:rPr>
        <w:t>Note</w:t>
      </w:r>
      <w:r>
        <w:rPr>
          <w:rStyle w:val="charItals"/>
        </w:rPr>
        <w:tab/>
      </w:r>
      <w:r>
        <w:t>Reasonable excuse is available as a defence to a prosecution under this section, see s 26.</w:t>
      </w:r>
    </w:p>
    <w:p w14:paraId="3E2EB157" w14:textId="77777777" w:rsidR="00D847F1" w:rsidRDefault="00D847F1">
      <w:pPr>
        <w:pStyle w:val="AH5Sec"/>
      </w:pPr>
      <w:bookmarkStart w:id="36" w:name="_Toc155080691"/>
      <w:r w:rsidRPr="004D57A4">
        <w:rPr>
          <w:rStyle w:val="CharSectNo"/>
        </w:rPr>
        <w:t>22</w:t>
      </w:r>
      <w:r>
        <w:tab/>
        <w:t>Promotional material not to be sent to certain excluded people</w:t>
      </w:r>
      <w:bookmarkEnd w:id="36"/>
    </w:p>
    <w:p w14:paraId="205639D0" w14:textId="77777777" w:rsidR="00D847F1" w:rsidRDefault="00D847F1">
      <w:pPr>
        <w:pStyle w:val="Amain"/>
      </w:pPr>
      <w:r>
        <w:tab/>
        <w:t>(1)</w:t>
      </w:r>
      <w:r>
        <w:tab/>
        <w:t>A licensee commits an offence if the licensee contravenes the code of practice, section 1.20.</w:t>
      </w:r>
    </w:p>
    <w:p w14:paraId="26F4A6EC" w14:textId="77777777" w:rsidR="00D847F1" w:rsidRDefault="00D847F1">
      <w:pPr>
        <w:pStyle w:val="Penalty"/>
        <w:keepNext/>
      </w:pPr>
      <w:r>
        <w:t>Maximum penalty:  10 penalty units.</w:t>
      </w:r>
    </w:p>
    <w:p w14:paraId="12B474B8" w14:textId="77777777" w:rsidR="00D847F1" w:rsidRDefault="00D847F1">
      <w:pPr>
        <w:pStyle w:val="Amain"/>
        <w:keepNext/>
      </w:pPr>
      <w:r>
        <w:tab/>
        <w:t>(2)</w:t>
      </w:r>
      <w:r>
        <w:tab/>
        <w:t>An offence against this section is an offence of strict liability.</w:t>
      </w:r>
    </w:p>
    <w:p w14:paraId="2FEE672C" w14:textId="77777777" w:rsidR="00D847F1" w:rsidRDefault="00D847F1">
      <w:pPr>
        <w:pStyle w:val="aNote"/>
      </w:pPr>
      <w:r>
        <w:rPr>
          <w:rStyle w:val="charItals"/>
        </w:rPr>
        <w:t>Note</w:t>
      </w:r>
      <w:r>
        <w:rPr>
          <w:rStyle w:val="charItals"/>
        </w:rPr>
        <w:tab/>
      </w:r>
      <w:r>
        <w:t>Reasonable excuse is available as a defence to a prosecution under this section, see s 26.</w:t>
      </w:r>
    </w:p>
    <w:p w14:paraId="67F8E2E4" w14:textId="77777777" w:rsidR="00D847F1" w:rsidRPr="004D57A4" w:rsidRDefault="00D847F1">
      <w:pPr>
        <w:pStyle w:val="AH3Div"/>
      </w:pPr>
      <w:bookmarkStart w:id="37" w:name="_Toc155080692"/>
      <w:r w:rsidRPr="004D57A4">
        <w:rPr>
          <w:rStyle w:val="CharDivNo"/>
        </w:rPr>
        <w:t>Division 2.5</w:t>
      </w:r>
      <w:r>
        <w:tab/>
      </w:r>
      <w:r w:rsidRPr="004D57A4">
        <w:rPr>
          <w:rStyle w:val="CharDivText"/>
        </w:rPr>
        <w:t>Financial controls and gambling environment</w:t>
      </w:r>
      <w:bookmarkEnd w:id="37"/>
    </w:p>
    <w:p w14:paraId="522531D9" w14:textId="77777777" w:rsidR="00D847F1" w:rsidRDefault="00D847F1">
      <w:pPr>
        <w:pStyle w:val="AH5Sec"/>
      </w:pPr>
      <w:bookmarkStart w:id="38" w:name="_Toc155080693"/>
      <w:r w:rsidRPr="004D57A4">
        <w:rPr>
          <w:rStyle w:val="CharSectNo"/>
        </w:rPr>
        <w:t>23</w:t>
      </w:r>
      <w:r>
        <w:tab/>
        <w:t>Other cash payment limits</w:t>
      </w:r>
      <w:bookmarkEnd w:id="38"/>
    </w:p>
    <w:p w14:paraId="77F636AF" w14:textId="77777777" w:rsidR="00D847F1" w:rsidRDefault="00D847F1">
      <w:pPr>
        <w:pStyle w:val="Amain"/>
      </w:pPr>
      <w:r>
        <w:tab/>
        <w:t>(1)</w:t>
      </w:r>
      <w:r>
        <w:tab/>
        <w:t>A licensee, other than a casino licensee, commits an offence if the licensee contravenes the code of practice, section 1.23.</w:t>
      </w:r>
    </w:p>
    <w:p w14:paraId="3B9CC425" w14:textId="77777777" w:rsidR="00D847F1" w:rsidRDefault="00D847F1">
      <w:pPr>
        <w:pStyle w:val="Penalty"/>
        <w:keepNext/>
      </w:pPr>
      <w:r>
        <w:t>Maximum penalty:  10 penalty units.</w:t>
      </w:r>
    </w:p>
    <w:p w14:paraId="081DA0ED" w14:textId="77777777" w:rsidR="00D847F1" w:rsidRDefault="00D847F1">
      <w:pPr>
        <w:pStyle w:val="Amain"/>
        <w:keepNext/>
      </w:pPr>
      <w:r>
        <w:tab/>
        <w:t>(2)</w:t>
      </w:r>
      <w:r>
        <w:tab/>
        <w:t>An offence against this section is an offence of strict liability.</w:t>
      </w:r>
    </w:p>
    <w:p w14:paraId="73B363A2" w14:textId="77777777" w:rsidR="00D847F1" w:rsidRDefault="00D847F1">
      <w:pPr>
        <w:pStyle w:val="aNote"/>
      </w:pPr>
      <w:r>
        <w:rPr>
          <w:rStyle w:val="charItals"/>
        </w:rPr>
        <w:t>Note</w:t>
      </w:r>
      <w:r>
        <w:rPr>
          <w:rStyle w:val="charItals"/>
        </w:rPr>
        <w:tab/>
      </w:r>
      <w:r>
        <w:t>Reasonable excuse is available as a defence to a prosecution under this section, see s 26.</w:t>
      </w:r>
    </w:p>
    <w:p w14:paraId="44023F41" w14:textId="77777777" w:rsidR="00D847F1" w:rsidRDefault="00D847F1">
      <w:pPr>
        <w:pStyle w:val="AH5Sec"/>
      </w:pPr>
      <w:bookmarkStart w:id="39" w:name="_Toc155080694"/>
      <w:r w:rsidRPr="004D57A4">
        <w:rPr>
          <w:rStyle w:val="CharSectNo"/>
        </w:rPr>
        <w:lastRenderedPageBreak/>
        <w:t>24</w:t>
      </w:r>
      <w:r>
        <w:tab/>
        <w:t>Directions about information, clocks and lighting</w:t>
      </w:r>
      <w:bookmarkEnd w:id="39"/>
    </w:p>
    <w:p w14:paraId="25416EC4" w14:textId="77777777" w:rsidR="00D847F1" w:rsidRDefault="00D847F1">
      <w:pPr>
        <w:pStyle w:val="Amain"/>
        <w:keepNext/>
      </w:pPr>
      <w:r>
        <w:tab/>
        <w:t>(1)</w:t>
      </w:r>
      <w:r>
        <w:tab/>
        <w:t>The licensee commits an offence if the licensee contravenes the code of practice, section 1.27 (2) (which is about compliance with the commission’s directions).</w:t>
      </w:r>
    </w:p>
    <w:p w14:paraId="5A4319FC" w14:textId="77777777" w:rsidR="00D847F1" w:rsidRDefault="00D847F1">
      <w:pPr>
        <w:pStyle w:val="Penalty"/>
        <w:keepNext/>
      </w:pPr>
      <w:r>
        <w:t xml:space="preserve">Maximum penalty:  </w:t>
      </w:r>
      <w:r w:rsidR="00B776B3">
        <w:t>10 pen</w:t>
      </w:r>
      <w:r>
        <w:t>alty units.</w:t>
      </w:r>
    </w:p>
    <w:p w14:paraId="5B48CF02" w14:textId="77777777" w:rsidR="00D847F1" w:rsidRDefault="00D847F1">
      <w:pPr>
        <w:pStyle w:val="Amain"/>
        <w:keepNext/>
      </w:pPr>
      <w:r>
        <w:tab/>
        <w:t>(2)</w:t>
      </w:r>
      <w:r>
        <w:tab/>
        <w:t>An offence against this section is an offence of strict liability.</w:t>
      </w:r>
    </w:p>
    <w:p w14:paraId="133A603D" w14:textId="77777777" w:rsidR="00D847F1" w:rsidRDefault="00D847F1">
      <w:pPr>
        <w:pStyle w:val="aNote"/>
      </w:pPr>
      <w:r>
        <w:rPr>
          <w:rStyle w:val="charItals"/>
        </w:rPr>
        <w:t>Note</w:t>
      </w:r>
      <w:r>
        <w:rPr>
          <w:rStyle w:val="charItals"/>
        </w:rPr>
        <w:tab/>
      </w:r>
      <w:r>
        <w:t>Reasonable excuse is available as a defence to a prosecution under this section, see s 26.</w:t>
      </w:r>
    </w:p>
    <w:p w14:paraId="418AB5D6" w14:textId="77777777" w:rsidR="00D847F1" w:rsidRPr="004D57A4" w:rsidRDefault="00D847F1">
      <w:pPr>
        <w:pStyle w:val="AH3Div"/>
      </w:pPr>
      <w:bookmarkStart w:id="40" w:name="_Toc155080695"/>
      <w:r w:rsidRPr="004D57A4">
        <w:rPr>
          <w:rStyle w:val="CharDivNo"/>
        </w:rPr>
        <w:t>Division 2.6</w:t>
      </w:r>
      <w:r>
        <w:tab/>
      </w:r>
      <w:r w:rsidRPr="004D57A4">
        <w:rPr>
          <w:rStyle w:val="CharDivText"/>
        </w:rPr>
        <w:t>Advertising, promotions and inducements</w:t>
      </w:r>
      <w:bookmarkEnd w:id="40"/>
    </w:p>
    <w:p w14:paraId="016EBCFF" w14:textId="77777777" w:rsidR="00D847F1" w:rsidRDefault="00D847F1">
      <w:pPr>
        <w:pStyle w:val="AH5Sec"/>
      </w:pPr>
      <w:bookmarkStart w:id="41" w:name="_Toc155080696"/>
      <w:r w:rsidRPr="004D57A4">
        <w:rPr>
          <w:rStyle w:val="CharSectNo"/>
        </w:rPr>
        <w:t>25</w:t>
      </w:r>
      <w:r>
        <w:tab/>
        <w:t>Directions about advertising, promotions and inducements</w:t>
      </w:r>
      <w:bookmarkEnd w:id="41"/>
    </w:p>
    <w:p w14:paraId="1055257B" w14:textId="77777777" w:rsidR="00D847F1" w:rsidRDefault="00D847F1">
      <w:pPr>
        <w:pStyle w:val="Amain"/>
        <w:keepNext/>
      </w:pPr>
      <w:r>
        <w:tab/>
        <w:t>(1)</w:t>
      </w:r>
      <w:r>
        <w:tab/>
        <w:t>The licensee commits an offence if the licensee contravenes the code of practice, section 1.31 (2) (which is about compliance with the commission’s directions).</w:t>
      </w:r>
    </w:p>
    <w:p w14:paraId="2D8BA4EC" w14:textId="77777777" w:rsidR="00D847F1" w:rsidRDefault="00D847F1">
      <w:pPr>
        <w:pStyle w:val="Penalty"/>
        <w:keepNext/>
      </w:pPr>
      <w:r>
        <w:t xml:space="preserve">Maximum penalty:  </w:t>
      </w:r>
      <w:r w:rsidR="00B776B3">
        <w:t>10 pen</w:t>
      </w:r>
      <w:r>
        <w:t>alty units.</w:t>
      </w:r>
    </w:p>
    <w:p w14:paraId="6142AA6A" w14:textId="77777777" w:rsidR="00D847F1" w:rsidRDefault="00D847F1">
      <w:pPr>
        <w:pStyle w:val="Amain"/>
        <w:keepNext/>
      </w:pPr>
      <w:r>
        <w:tab/>
        <w:t>(2)</w:t>
      </w:r>
      <w:r>
        <w:tab/>
        <w:t>An offence against this section is an offence of strict liability.</w:t>
      </w:r>
    </w:p>
    <w:p w14:paraId="5590A14D" w14:textId="77777777" w:rsidR="00D847F1" w:rsidRDefault="00D847F1">
      <w:pPr>
        <w:pStyle w:val="aNote"/>
      </w:pPr>
      <w:r>
        <w:rPr>
          <w:rStyle w:val="charItals"/>
        </w:rPr>
        <w:t>Note</w:t>
      </w:r>
      <w:r>
        <w:rPr>
          <w:rStyle w:val="charItals"/>
        </w:rPr>
        <w:tab/>
      </w:r>
      <w:r>
        <w:t>Reasonable excuse is available as a defence to a prosecution under this section, see s 26.</w:t>
      </w:r>
    </w:p>
    <w:p w14:paraId="2888E1A3" w14:textId="77777777" w:rsidR="00D847F1" w:rsidRDefault="00D847F1">
      <w:pPr>
        <w:pStyle w:val="PageBreak"/>
      </w:pPr>
      <w:r>
        <w:br w:type="page"/>
      </w:r>
    </w:p>
    <w:p w14:paraId="2644FBD0" w14:textId="77777777" w:rsidR="00D847F1" w:rsidRPr="004D57A4" w:rsidRDefault="00D847F1">
      <w:pPr>
        <w:pStyle w:val="AH2Part"/>
      </w:pPr>
      <w:bookmarkStart w:id="42" w:name="_Toc155080697"/>
      <w:r w:rsidRPr="004D57A4">
        <w:rPr>
          <w:rStyle w:val="CharPartNo"/>
        </w:rPr>
        <w:lastRenderedPageBreak/>
        <w:t>Part 3</w:t>
      </w:r>
      <w:r>
        <w:tab/>
      </w:r>
      <w:r w:rsidRPr="004D57A4">
        <w:rPr>
          <w:rStyle w:val="CharPartText"/>
        </w:rPr>
        <w:t>Miscellaneous</w:t>
      </w:r>
      <w:bookmarkEnd w:id="42"/>
    </w:p>
    <w:p w14:paraId="3F7D2CFC" w14:textId="77777777" w:rsidR="00D847F1" w:rsidRDefault="00D847F1">
      <w:pPr>
        <w:pStyle w:val="Placeholder"/>
      </w:pPr>
      <w:r>
        <w:rPr>
          <w:rStyle w:val="CharDivNo"/>
        </w:rPr>
        <w:t xml:space="preserve">  </w:t>
      </w:r>
      <w:r>
        <w:rPr>
          <w:rStyle w:val="CharDivText"/>
        </w:rPr>
        <w:t xml:space="preserve">  </w:t>
      </w:r>
    </w:p>
    <w:p w14:paraId="403391E5" w14:textId="77777777" w:rsidR="00D847F1" w:rsidRDefault="00D847F1">
      <w:pPr>
        <w:pStyle w:val="AH5Sec"/>
      </w:pPr>
      <w:bookmarkStart w:id="43" w:name="_Toc155080698"/>
      <w:r w:rsidRPr="004D57A4">
        <w:rPr>
          <w:rStyle w:val="CharSectNo"/>
        </w:rPr>
        <w:t>26</w:t>
      </w:r>
      <w:r>
        <w:tab/>
        <w:t>Reasonable excuse available as defence</w:t>
      </w:r>
      <w:bookmarkEnd w:id="43"/>
    </w:p>
    <w:p w14:paraId="1570C992" w14:textId="77777777" w:rsidR="00D847F1" w:rsidRDefault="00D847F1">
      <w:pPr>
        <w:pStyle w:val="Amainreturn"/>
      </w:pPr>
      <w:r>
        <w:t>The defence of reasonable excuse is available for each offence against this regulation that is an offence of strict liability.</w:t>
      </w:r>
    </w:p>
    <w:p w14:paraId="4DF210BB" w14:textId="77777777" w:rsidR="0051286C" w:rsidRDefault="0051286C">
      <w:pPr>
        <w:pStyle w:val="02Text"/>
        <w:sectPr w:rsidR="0051286C">
          <w:headerReference w:type="even" r:id="rId49"/>
          <w:headerReference w:type="default" r:id="rId50"/>
          <w:footerReference w:type="even" r:id="rId51"/>
          <w:footerReference w:type="default" r:id="rId52"/>
          <w:footerReference w:type="first" r:id="rId53"/>
          <w:pgSz w:w="11907" w:h="16839" w:code="9"/>
          <w:pgMar w:top="3880" w:right="1900" w:bottom="3100" w:left="2300" w:header="2280" w:footer="1760" w:gutter="0"/>
          <w:pgNumType w:start="1"/>
          <w:cols w:space="720"/>
          <w:titlePg/>
          <w:docGrid w:linePitch="254"/>
        </w:sectPr>
      </w:pPr>
    </w:p>
    <w:p w14:paraId="2DCE3E42" w14:textId="77777777" w:rsidR="00D847F1" w:rsidRDefault="00D847F1">
      <w:pPr>
        <w:pStyle w:val="PageBreak"/>
      </w:pPr>
      <w:r>
        <w:br w:type="page"/>
      </w:r>
    </w:p>
    <w:p w14:paraId="5C373C9F" w14:textId="77777777" w:rsidR="00D847F1" w:rsidRPr="004D57A4" w:rsidRDefault="00D847F1">
      <w:pPr>
        <w:pStyle w:val="Sched-heading"/>
      </w:pPr>
      <w:bookmarkStart w:id="44" w:name="_Toc155080699"/>
      <w:r w:rsidRPr="004D57A4">
        <w:rPr>
          <w:rStyle w:val="CharChapNo"/>
        </w:rPr>
        <w:lastRenderedPageBreak/>
        <w:t>Schedule 1</w:t>
      </w:r>
      <w:r>
        <w:tab/>
      </w:r>
      <w:r w:rsidRPr="004D57A4">
        <w:rPr>
          <w:rStyle w:val="CharChapText"/>
        </w:rPr>
        <w:t>Code of practice</w:t>
      </w:r>
      <w:bookmarkEnd w:id="44"/>
    </w:p>
    <w:p w14:paraId="4E1D8703" w14:textId="77777777" w:rsidR="00D847F1" w:rsidRDefault="00D847F1">
      <w:pPr>
        <w:pStyle w:val="ref"/>
      </w:pPr>
      <w:r>
        <w:t>(see s 6)</w:t>
      </w:r>
    </w:p>
    <w:p w14:paraId="5DD16377" w14:textId="77777777" w:rsidR="00D847F1" w:rsidRPr="004D57A4" w:rsidRDefault="00D847F1">
      <w:pPr>
        <w:pStyle w:val="Sched-Part"/>
      </w:pPr>
      <w:bookmarkStart w:id="45" w:name="_Toc155080700"/>
      <w:r w:rsidRPr="004D57A4">
        <w:rPr>
          <w:rStyle w:val="CharPartNo"/>
        </w:rPr>
        <w:t>Part 1.1</w:t>
      </w:r>
      <w:r>
        <w:tab/>
      </w:r>
      <w:r w:rsidRPr="004D57A4">
        <w:rPr>
          <w:rStyle w:val="CharPartText"/>
        </w:rPr>
        <w:t>Key concepts</w:t>
      </w:r>
      <w:bookmarkEnd w:id="45"/>
    </w:p>
    <w:p w14:paraId="7A4BBFFE" w14:textId="77777777" w:rsidR="00104A64" w:rsidRPr="00D17D0C" w:rsidRDefault="00104A64" w:rsidP="00104A64">
      <w:pPr>
        <w:pStyle w:val="Schclauseheading"/>
      </w:pPr>
      <w:bookmarkStart w:id="46" w:name="_Toc155080701"/>
      <w:r w:rsidRPr="004D57A4">
        <w:rPr>
          <w:rStyle w:val="CharSectNo"/>
        </w:rPr>
        <w:t>1.1A</w:t>
      </w:r>
      <w:r w:rsidRPr="00D17D0C">
        <w:tab/>
        <w:t>Definitions—code of practice</w:t>
      </w:r>
      <w:bookmarkEnd w:id="46"/>
    </w:p>
    <w:p w14:paraId="47117D37" w14:textId="77777777" w:rsidR="00104A64" w:rsidRPr="00D17D0C" w:rsidRDefault="00104A64" w:rsidP="00104A64">
      <w:pPr>
        <w:pStyle w:val="Amainreturn"/>
      </w:pPr>
      <w:r w:rsidRPr="00D17D0C">
        <w:t>In this code of practice:</w:t>
      </w:r>
    </w:p>
    <w:p w14:paraId="04FD9042" w14:textId="77777777" w:rsidR="00104A64" w:rsidRPr="00D17D0C" w:rsidRDefault="00104A64" w:rsidP="00104A64">
      <w:pPr>
        <w:pStyle w:val="aDef"/>
      </w:pPr>
      <w:r w:rsidRPr="00D17D0C">
        <w:rPr>
          <w:rStyle w:val="charBoldItals"/>
        </w:rPr>
        <w:t xml:space="preserve">betting account </w:t>
      </w:r>
      <w:r w:rsidRPr="00D17D0C">
        <w:t>means an account held by a person with a licensee into which funds are or can be deposited and used by the person to place a bet with the licensee.</w:t>
      </w:r>
    </w:p>
    <w:p w14:paraId="0E93EF53" w14:textId="19A49B3F" w:rsidR="00104A64" w:rsidRPr="00D17D0C" w:rsidRDefault="00104A64" w:rsidP="00104A64">
      <w:pPr>
        <w:pStyle w:val="aDef"/>
        <w:keepLines/>
      </w:pPr>
      <w:r w:rsidRPr="00D17D0C">
        <w:rPr>
          <w:rStyle w:val="charBoldItals"/>
        </w:rPr>
        <w:t>direct marketing</w:t>
      </w:r>
      <w:r w:rsidRPr="00D17D0C">
        <w:t xml:space="preserve"> </w:t>
      </w:r>
      <w:r w:rsidRPr="00D17D0C">
        <w:rPr>
          <w:color w:val="000000"/>
          <w:shd w:val="clear" w:color="auto" w:fill="FFFFFF"/>
        </w:rPr>
        <w:t xml:space="preserve">includes any advertising, promotion or offer from a licensee, or from a person on the licensee’s behalf, that is made directly to a person by telephone, SMS, email, </w:t>
      </w:r>
      <w:r w:rsidR="00112B8D" w:rsidRPr="003042FA">
        <w:t>app</w:t>
      </w:r>
      <w:r w:rsidRPr="00D17D0C">
        <w:rPr>
          <w:color w:val="000000"/>
          <w:shd w:val="clear" w:color="auto" w:fill="FFFFFF"/>
        </w:rPr>
        <w:t>, post or other direct means.</w:t>
      </w:r>
    </w:p>
    <w:p w14:paraId="5C50F13B" w14:textId="39B7DDD3" w:rsidR="00104A64" w:rsidRDefault="00104A64" w:rsidP="00104A64">
      <w:pPr>
        <w:pStyle w:val="aDef"/>
        <w:keepLines/>
      </w:pPr>
      <w:r w:rsidRPr="00D17D0C">
        <w:rPr>
          <w:rStyle w:val="charBoldItals"/>
        </w:rPr>
        <w:t>electronic race bookmaking licensee</w:t>
      </w:r>
      <w:r w:rsidRPr="00D17D0C">
        <w:t xml:space="preserve"> means the holder of a race bookmaking licence under the </w:t>
      </w:r>
      <w:hyperlink r:id="rId54" w:tooltip="A2001-49" w:history="1">
        <w:r w:rsidRPr="00D17D0C">
          <w:rPr>
            <w:rStyle w:val="charCitHyperlinkItal"/>
          </w:rPr>
          <w:t>Race and Sports Bookmaking Act 2001</w:t>
        </w:r>
      </w:hyperlink>
      <w:r w:rsidRPr="00D17D0C">
        <w:t xml:space="preserve"> who accepts a bet using a telecommunication service.</w:t>
      </w:r>
    </w:p>
    <w:p w14:paraId="539A2283" w14:textId="02AEBDB7" w:rsidR="00CC7C87" w:rsidRPr="003042FA" w:rsidRDefault="00CC7C87" w:rsidP="00CC7C87">
      <w:pPr>
        <w:pStyle w:val="aDef"/>
      </w:pPr>
      <w:r w:rsidRPr="00CA67C6">
        <w:rPr>
          <w:rStyle w:val="charBoldItals"/>
        </w:rPr>
        <w:t>electronic sports bookmaking licensee</w:t>
      </w:r>
      <w:r w:rsidRPr="003042FA">
        <w:t xml:space="preserve"> means the holder of a sports bookmaking licence under the </w:t>
      </w:r>
      <w:hyperlink r:id="rId55" w:tooltip="A2001-49" w:history="1">
        <w:r w:rsidRPr="00CA67C6">
          <w:rPr>
            <w:rStyle w:val="charCitHyperlinkItal"/>
          </w:rPr>
          <w:t>Race and Sports Bookmaking Act 2001</w:t>
        </w:r>
      </w:hyperlink>
      <w:r w:rsidRPr="00CA67C6">
        <w:rPr>
          <w:rStyle w:val="charItals"/>
        </w:rPr>
        <w:t xml:space="preserve"> </w:t>
      </w:r>
      <w:r w:rsidRPr="003042FA">
        <w:t>who accepts a bet using a telecommunication service.</w:t>
      </w:r>
    </w:p>
    <w:p w14:paraId="7EE8BEA9" w14:textId="0AB8CC19" w:rsidR="00CC7C87" w:rsidRPr="00D17D0C" w:rsidRDefault="00CC7C87" w:rsidP="00CC7C87">
      <w:pPr>
        <w:pStyle w:val="aDef"/>
      </w:pPr>
      <w:r w:rsidRPr="00CA67C6">
        <w:rPr>
          <w:rStyle w:val="charBoldItals"/>
        </w:rPr>
        <w:t>electronic totalisator licensee</w:t>
      </w:r>
      <w:r w:rsidRPr="003042FA">
        <w:t xml:space="preserve"> means the holder of a totalisator licence under the </w:t>
      </w:r>
      <w:hyperlink r:id="rId56" w:tooltip="A2014-4" w:history="1">
        <w:r w:rsidRPr="00CA67C6">
          <w:rPr>
            <w:rStyle w:val="charCitHyperlinkItal"/>
          </w:rPr>
          <w:t>Totalisator Act 2014</w:t>
        </w:r>
      </w:hyperlink>
      <w:r w:rsidRPr="00CA67C6">
        <w:rPr>
          <w:rStyle w:val="charItals"/>
        </w:rPr>
        <w:t xml:space="preserve"> </w:t>
      </w:r>
      <w:r w:rsidRPr="003042FA">
        <w:t>who accepts a bet using a telecommunication service.</w:t>
      </w:r>
    </w:p>
    <w:p w14:paraId="28435979" w14:textId="77777777" w:rsidR="00104A64" w:rsidRPr="00D17D0C" w:rsidRDefault="00104A64" w:rsidP="00104A64">
      <w:pPr>
        <w:pStyle w:val="aExamHdgss"/>
      </w:pPr>
      <w:r w:rsidRPr="00D17D0C">
        <w:t>Examples</w:t>
      </w:r>
      <w:r w:rsidRPr="00D17D0C">
        <w:rPr>
          <w:rFonts w:cs="Arial"/>
          <w:color w:val="000000"/>
          <w:shd w:val="clear" w:color="auto" w:fill="FFFFFF"/>
        </w:rPr>
        <w:t>—telecommunication service</w:t>
      </w:r>
    </w:p>
    <w:p w14:paraId="3ACC4628" w14:textId="77777777" w:rsidR="00104A64" w:rsidRPr="00D17D0C" w:rsidRDefault="00104A64" w:rsidP="00104A64">
      <w:pPr>
        <w:pStyle w:val="aExamss"/>
      </w:pPr>
      <w:r w:rsidRPr="00D17D0C">
        <w:t>telephone, email, internet</w:t>
      </w:r>
    </w:p>
    <w:p w14:paraId="44E1C337" w14:textId="77777777" w:rsidR="00D847F1" w:rsidRPr="00F1531F" w:rsidRDefault="00D847F1" w:rsidP="000271C8">
      <w:pPr>
        <w:pStyle w:val="Schclauseheading"/>
        <w:rPr>
          <w:rStyle w:val="charItals"/>
        </w:rPr>
      </w:pPr>
      <w:bookmarkStart w:id="47" w:name="_Toc155080702"/>
      <w:r w:rsidRPr="004D57A4">
        <w:rPr>
          <w:rStyle w:val="CharSectNo"/>
        </w:rPr>
        <w:lastRenderedPageBreak/>
        <w:t>1.1</w:t>
      </w:r>
      <w:r>
        <w:tab/>
        <w:t xml:space="preserve">Meaning of </w:t>
      </w:r>
      <w:r w:rsidRPr="00F1531F">
        <w:rPr>
          <w:rStyle w:val="charItals"/>
        </w:rPr>
        <w:t>licensee</w:t>
      </w:r>
      <w:bookmarkEnd w:id="47"/>
    </w:p>
    <w:p w14:paraId="240AFFE8" w14:textId="77777777" w:rsidR="00D847F1" w:rsidRDefault="00D442DD" w:rsidP="000271C8">
      <w:pPr>
        <w:pStyle w:val="SchAmain"/>
        <w:keepNext/>
      </w:pPr>
      <w:r>
        <w:tab/>
        <w:t>(1)</w:t>
      </w:r>
      <w:r>
        <w:tab/>
      </w:r>
      <w:r w:rsidR="00D847F1">
        <w:t>In this code of practice:</w:t>
      </w:r>
    </w:p>
    <w:p w14:paraId="55082279" w14:textId="77777777" w:rsidR="00D847F1" w:rsidRDefault="00D847F1">
      <w:pPr>
        <w:pStyle w:val="aDef"/>
        <w:keepNext/>
      </w:pPr>
      <w:r>
        <w:rPr>
          <w:rStyle w:val="charBoldItals"/>
        </w:rPr>
        <w:t>licensee</w:t>
      </w:r>
      <w:r>
        <w:t xml:space="preserve"> means—</w:t>
      </w:r>
    </w:p>
    <w:p w14:paraId="341F68D4" w14:textId="77777777" w:rsidR="00D847F1" w:rsidRDefault="00D847F1">
      <w:pPr>
        <w:pStyle w:val="aDefpara"/>
      </w:pPr>
      <w:r>
        <w:tab/>
        <w:t>(a)</w:t>
      </w:r>
      <w:r>
        <w:tab/>
        <w:t>a gaming machine licensee; or</w:t>
      </w:r>
    </w:p>
    <w:p w14:paraId="340563EF" w14:textId="77777777" w:rsidR="00D847F1" w:rsidRDefault="00D847F1">
      <w:pPr>
        <w:pStyle w:val="aNotepar"/>
      </w:pPr>
      <w:r>
        <w:rPr>
          <w:rStyle w:val="charItals"/>
        </w:rPr>
        <w:t>Note</w:t>
      </w:r>
      <w:r>
        <w:rPr>
          <w:rStyle w:val="charItals"/>
        </w:rPr>
        <w:tab/>
      </w:r>
      <w:r>
        <w:rPr>
          <w:rStyle w:val="charBoldItals"/>
        </w:rPr>
        <w:t>Gaming machine licensee</w:t>
      </w:r>
      <w:r>
        <w:t xml:space="preserve"> is defined in the dictionary.</w:t>
      </w:r>
    </w:p>
    <w:p w14:paraId="4DD79646" w14:textId="77777777" w:rsidR="00D847F1" w:rsidRDefault="00D847F1">
      <w:pPr>
        <w:pStyle w:val="aDefpara"/>
      </w:pPr>
      <w:r>
        <w:tab/>
        <w:t>(b)</w:t>
      </w:r>
      <w:r>
        <w:tab/>
        <w:t>a casino licensee; or</w:t>
      </w:r>
    </w:p>
    <w:p w14:paraId="62ACDC16" w14:textId="70CF41B6" w:rsidR="00D847F1" w:rsidRDefault="00D847F1">
      <w:pPr>
        <w:pStyle w:val="aNotepar"/>
      </w:pPr>
      <w:r>
        <w:rPr>
          <w:rStyle w:val="charItals"/>
        </w:rPr>
        <w:t>Note</w:t>
      </w:r>
      <w:r>
        <w:rPr>
          <w:rStyle w:val="charBoldItals"/>
        </w:rPr>
        <w:tab/>
        <w:t>Casino licensee</w:t>
      </w:r>
      <w:r>
        <w:t xml:space="preserve"> is defined in the </w:t>
      </w:r>
      <w:hyperlink r:id="rId57" w:tooltip="A2006-2" w:history="1">
        <w:r w:rsidR="00DF21AF" w:rsidRPr="00DF21AF">
          <w:rPr>
            <w:rStyle w:val="charCitHyperlinkItal"/>
          </w:rPr>
          <w:t>Casino Control Act 2006</w:t>
        </w:r>
      </w:hyperlink>
      <w:r>
        <w:t>, dictionary.</w:t>
      </w:r>
    </w:p>
    <w:p w14:paraId="1C841DF9" w14:textId="038B83F1" w:rsidR="00D847F1" w:rsidRDefault="00D847F1" w:rsidP="00ED3D87">
      <w:pPr>
        <w:pStyle w:val="aDefpara"/>
        <w:keepNext/>
      </w:pPr>
      <w:r>
        <w:tab/>
        <w:t>(c)</w:t>
      </w:r>
      <w:r>
        <w:tab/>
        <w:t xml:space="preserve">a licensed provider under the </w:t>
      </w:r>
      <w:hyperlink r:id="rId58" w:tooltip="A1998-24" w:history="1">
        <w:r w:rsidR="00DF21AF" w:rsidRPr="00DF21AF">
          <w:rPr>
            <w:rStyle w:val="charCitHyperlinkItal"/>
          </w:rPr>
          <w:t>Interactive Gambling Act 1998</w:t>
        </w:r>
      </w:hyperlink>
      <w:r>
        <w:t>; or</w:t>
      </w:r>
    </w:p>
    <w:p w14:paraId="137E951A" w14:textId="413E78A3" w:rsidR="00D847F1" w:rsidRDefault="00D847F1">
      <w:pPr>
        <w:pStyle w:val="aDefpara"/>
      </w:pPr>
      <w:r>
        <w:tab/>
        <w:t>(d)</w:t>
      </w:r>
      <w:r>
        <w:tab/>
        <w:t xml:space="preserve">the holder of a race bookmaking licence, a race bookmaker’s agent licence, a sports bookmaking licence or a sports bookmaker’s agent licence under the </w:t>
      </w:r>
      <w:hyperlink r:id="rId59" w:tooltip="A2001-49" w:history="1">
        <w:r w:rsidR="00DF21AF" w:rsidRPr="00DF21AF">
          <w:rPr>
            <w:rStyle w:val="charCitHyperlinkItal"/>
          </w:rPr>
          <w:t>Race and Sports Bookmaking Act 2001</w:t>
        </w:r>
      </w:hyperlink>
      <w:r>
        <w:t>; or</w:t>
      </w:r>
    </w:p>
    <w:p w14:paraId="7A2AD065" w14:textId="5F1BA107" w:rsidR="00EA1BC2" w:rsidRPr="003A70CF" w:rsidRDefault="00EA1BC2" w:rsidP="00EA1BC2">
      <w:pPr>
        <w:pStyle w:val="Apara"/>
      </w:pPr>
      <w:r w:rsidRPr="003A70CF">
        <w:tab/>
        <w:t>(e)</w:t>
      </w:r>
      <w:r w:rsidRPr="003A70CF">
        <w:tab/>
        <w:t xml:space="preserve">a licensee of a totalisator under the </w:t>
      </w:r>
      <w:hyperlink r:id="rId60" w:tooltip="A2014-4" w:history="1">
        <w:r w:rsidR="00CF5E33">
          <w:rPr>
            <w:rStyle w:val="charCitHyperlinkItal"/>
          </w:rPr>
          <w:t>Totalisator Act 2014</w:t>
        </w:r>
      </w:hyperlink>
      <w:r w:rsidRPr="003A70CF">
        <w:t>; or</w:t>
      </w:r>
    </w:p>
    <w:p w14:paraId="5789BD9B" w14:textId="0DA5CBE9" w:rsidR="00D847F1" w:rsidRDefault="00D847F1">
      <w:pPr>
        <w:pStyle w:val="aDefpara"/>
      </w:pPr>
      <w:r>
        <w:tab/>
        <w:t>(f)</w:t>
      </w:r>
      <w:r>
        <w:tab/>
        <w:t xml:space="preserve">anyone authorised to conduct a lottery, scheme or competition under the </w:t>
      </w:r>
      <w:hyperlink r:id="rId61" w:tooltip="A1964-13" w:history="1">
        <w:r w:rsidR="00DF21AF" w:rsidRPr="00DF21AF">
          <w:rPr>
            <w:rStyle w:val="charCitHyperlinkItal"/>
          </w:rPr>
          <w:t>Lotteries Act 1964</w:t>
        </w:r>
      </w:hyperlink>
      <w:r>
        <w:t xml:space="preserve"> or the </w:t>
      </w:r>
      <w:hyperlink r:id="rId62" w:tooltip="A1964-15" w:history="1">
        <w:r w:rsidR="00DF21AF" w:rsidRPr="00DF21AF">
          <w:rPr>
            <w:rStyle w:val="charCitHyperlinkItal"/>
          </w:rPr>
          <w:t>Pool Betting Act 1964</w:t>
        </w:r>
      </w:hyperlink>
      <w:r>
        <w:t>, other than—</w:t>
      </w:r>
    </w:p>
    <w:p w14:paraId="5A3BDA85" w14:textId="77777777" w:rsidR="00D847F1" w:rsidRDefault="00D847F1">
      <w:pPr>
        <w:pStyle w:val="Asubpara"/>
      </w:pPr>
      <w:r>
        <w:tab/>
        <w:t>(i)</w:t>
      </w:r>
      <w:r>
        <w:tab/>
        <w:t>a calcutta sweepstake; or</w:t>
      </w:r>
    </w:p>
    <w:p w14:paraId="453AF9C8" w14:textId="77777777" w:rsidR="00D847F1" w:rsidRDefault="00D847F1" w:rsidP="004031BA">
      <w:pPr>
        <w:pStyle w:val="Asubpara"/>
        <w:keepLines/>
      </w:pPr>
      <w:r>
        <w:tab/>
        <w:t>(ii)</w:t>
      </w:r>
      <w:r>
        <w:tab/>
        <w:t>a trade promotion, other than a trade promotion that involves gambling, in which participants are given free entry to a contest that promotes a trade or business and involves an element of chance in the allocation of the prize; or</w:t>
      </w:r>
    </w:p>
    <w:p w14:paraId="028D42DB" w14:textId="77777777" w:rsidR="00D847F1" w:rsidRDefault="00D847F1">
      <w:pPr>
        <w:pStyle w:val="Asubpara"/>
      </w:pPr>
      <w:r>
        <w:tab/>
        <w:t>(iii)</w:t>
      </w:r>
      <w:r>
        <w:tab/>
        <w:t>a raffle; or</w:t>
      </w:r>
    </w:p>
    <w:p w14:paraId="004A6CD5" w14:textId="77777777" w:rsidR="00D847F1" w:rsidRDefault="00D847F1">
      <w:pPr>
        <w:pStyle w:val="Asubpara"/>
      </w:pPr>
      <w:r>
        <w:tab/>
        <w:t>(iv)</w:t>
      </w:r>
      <w:r>
        <w:tab/>
        <w:t>a progressive lottery or silver circle involving a number of draws on different days, including tipping competitions, in which regular or different prizes are drawn; or</w:t>
      </w:r>
    </w:p>
    <w:p w14:paraId="423DCD5F" w14:textId="77777777" w:rsidR="00D847F1" w:rsidRDefault="00D847F1">
      <w:pPr>
        <w:pStyle w:val="Asubpara"/>
      </w:pPr>
      <w:r>
        <w:tab/>
        <w:t>(v)</w:t>
      </w:r>
      <w:r>
        <w:tab/>
        <w:t>an exempt lottery.</w:t>
      </w:r>
    </w:p>
    <w:p w14:paraId="57FC8381" w14:textId="77777777" w:rsidR="00D442DD" w:rsidRPr="00793319" w:rsidRDefault="00D442DD" w:rsidP="00D442DD">
      <w:pPr>
        <w:pStyle w:val="Amain"/>
      </w:pPr>
      <w:r w:rsidRPr="00793319">
        <w:lastRenderedPageBreak/>
        <w:tab/>
        <w:t>(2)</w:t>
      </w:r>
      <w:r w:rsidRPr="00793319">
        <w:tab/>
        <w:t>In this section:</w:t>
      </w:r>
    </w:p>
    <w:p w14:paraId="0D4DDF2E" w14:textId="77777777" w:rsidR="00D442DD" w:rsidRPr="00793319" w:rsidRDefault="00D442DD" w:rsidP="00ED3D87">
      <w:pPr>
        <w:pStyle w:val="aDef"/>
      </w:pPr>
      <w:r w:rsidRPr="00793319">
        <w:rPr>
          <w:rStyle w:val="charBoldItals"/>
        </w:rPr>
        <w:t>exempt lottery</w:t>
      </w:r>
      <w:r w:rsidRPr="00793319">
        <w:t xml:space="preserve">—see </w:t>
      </w:r>
      <w:r w:rsidRPr="00793319">
        <w:rPr>
          <w:lang w:eastAsia="en-AU"/>
        </w:rPr>
        <w:t>section 5 (2).</w:t>
      </w:r>
    </w:p>
    <w:p w14:paraId="7F77B017" w14:textId="77777777" w:rsidR="00D847F1" w:rsidRPr="00F1531F" w:rsidRDefault="00D847F1">
      <w:pPr>
        <w:pStyle w:val="Schclauseheading"/>
        <w:rPr>
          <w:rStyle w:val="charItals"/>
        </w:rPr>
      </w:pPr>
      <w:bookmarkStart w:id="48" w:name="_Toc155080703"/>
      <w:r w:rsidRPr="004D57A4">
        <w:rPr>
          <w:rStyle w:val="CharSectNo"/>
        </w:rPr>
        <w:t>1.2</w:t>
      </w:r>
      <w:r>
        <w:tab/>
        <w:t xml:space="preserve">Meaning of </w:t>
      </w:r>
      <w:r w:rsidRPr="00F1531F">
        <w:rPr>
          <w:rStyle w:val="charItals"/>
        </w:rPr>
        <w:t>gambling problem</w:t>
      </w:r>
      <w:bookmarkEnd w:id="48"/>
    </w:p>
    <w:p w14:paraId="2DAB4E07" w14:textId="77777777" w:rsidR="000C073E" w:rsidRPr="00A35BB6" w:rsidRDefault="000C073E" w:rsidP="00FF358C">
      <w:pPr>
        <w:pStyle w:val="Amain"/>
        <w:keepNext/>
        <w:keepLines/>
      </w:pPr>
      <w:r w:rsidRPr="00A35BB6">
        <w:tab/>
        <w:t>(1)</w:t>
      </w:r>
      <w:r w:rsidRPr="00A35BB6">
        <w:tab/>
        <w:t xml:space="preserve">For this code of practice, a person has a </w:t>
      </w:r>
      <w:r w:rsidRPr="00A35BB6">
        <w:rPr>
          <w:rStyle w:val="charBoldItals"/>
        </w:rPr>
        <w:t>gambling problem</w:t>
      </w:r>
      <w:r w:rsidRPr="00A35BB6">
        <w:t xml:space="preserve"> if the person has difficulty limiting the amount of money or time spent on gambling and this leads to adverse consequences for the person or another person.</w:t>
      </w:r>
    </w:p>
    <w:p w14:paraId="1FDD3D22" w14:textId="77777777" w:rsidR="00D847F1" w:rsidRDefault="00D847F1">
      <w:pPr>
        <w:pStyle w:val="Amain"/>
        <w:keepNext/>
      </w:pPr>
      <w:r>
        <w:tab/>
        <w:t>(2)</w:t>
      </w:r>
      <w:r>
        <w:tab/>
        <w:t xml:space="preserve">Also, a person is taken to have a </w:t>
      </w:r>
      <w:r>
        <w:rPr>
          <w:rStyle w:val="charBoldItals"/>
        </w:rPr>
        <w:t>gambling problem</w:t>
      </w:r>
      <w:r>
        <w:t xml:space="preserve">, if the person engages in any of the following behaviour: </w:t>
      </w:r>
    </w:p>
    <w:p w14:paraId="057F0BFC" w14:textId="77777777" w:rsidR="00D847F1" w:rsidRDefault="00D847F1" w:rsidP="004031BA">
      <w:pPr>
        <w:pStyle w:val="Apara"/>
        <w:keepNext/>
      </w:pPr>
      <w:r>
        <w:tab/>
        <w:t>(a)</w:t>
      </w:r>
      <w:r>
        <w:tab/>
        <w:t>seeking credit for gambling unless authorised under a gaming law;</w:t>
      </w:r>
    </w:p>
    <w:p w14:paraId="75FB72B9" w14:textId="77777777" w:rsidR="00D847F1" w:rsidRDefault="00D847F1">
      <w:pPr>
        <w:pStyle w:val="Apara"/>
      </w:pPr>
      <w:r>
        <w:tab/>
        <w:t>(b)</w:t>
      </w:r>
      <w:r>
        <w:tab/>
        <w:t>seeking to borrow or scavenge for money to gamble;</w:t>
      </w:r>
    </w:p>
    <w:p w14:paraId="4A6D1B8B" w14:textId="77777777" w:rsidR="00D847F1" w:rsidRDefault="00D847F1">
      <w:pPr>
        <w:pStyle w:val="Apara"/>
      </w:pPr>
      <w:r>
        <w:tab/>
        <w:t>(c)</w:t>
      </w:r>
      <w:r>
        <w:tab/>
        <w:t>seeking assistance or advice about controlling the person’s gambling;</w:t>
      </w:r>
    </w:p>
    <w:p w14:paraId="56C6728B" w14:textId="77777777" w:rsidR="00D847F1" w:rsidRDefault="00D847F1">
      <w:pPr>
        <w:pStyle w:val="Apara"/>
      </w:pPr>
      <w:r>
        <w:tab/>
        <w:t>(d)</w:t>
      </w:r>
      <w:r>
        <w:tab/>
        <w:t>admitting to borrowing or stealing money to gamble.</w:t>
      </w:r>
    </w:p>
    <w:p w14:paraId="1625308A" w14:textId="77777777" w:rsidR="00D847F1" w:rsidRDefault="00D847F1">
      <w:pPr>
        <w:pStyle w:val="PageBreak"/>
      </w:pPr>
      <w:r>
        <w:br w:type="page"/>
      </w:r>
    </w:p>
    <w:p w14:paraId="2BC3E325" w14:textId="77777777" w:rsidR="00D847F1" w:rsidRPr="004D57A4" w:rsidRDefault="00D847F1">
      <w:pPr>
        <w:pStyle w:val="Sched-Part"/>
      </w:pPr>
      <w:bookmarkStart w:id="49" w:name="_Toc155080704"/>
      <w:r w:rsidRPr="004D57A4">
        <w:rPr>
          <w:rStyle w:val="CharPartNo"/>
        </w:rPr>
        <w:lastRenderedPageBreak/>
        <w:t>Part 1.2</w:t>
      </w:r>
      <w:r>
        <w:tab/>
      </w:r>
      <w:r w:rsidRPr="004D57A4">
        <w:rPr>
          <w:rStyle w:val="CharPartText"/>
        </w:rPr>
        <w:t>Conduct of gambling</w:t>
      </w:r>
      <w:bookmarkEnd w:id="49"/>
    </w:p>
    <w:p w14:paraId="14EDC116" w14:textId="77777777" w:rsidR="00D847F1" w:rsidRPr="004D57A4" w:rsidRDefault="00D847F1">
      <w:pPr>
        <w:pStyle w:val="Sched-Form"/>
      </w:pPr>
      <w:bookmarkStart w:id="50" w:name="_Toc155080705"/>
      <w:r w:rsidRPr="004D57A4">
        <w:rPr>
          <w:rStyle w:val="CharDivNo"/>
        </w:rPr>
        <w:t>Division 1.2.1</w:t>
      </w:r>
      <w:r>
        <w:tab/>
      </w:r>
      <w:r w:rsidRPr="004D57A4">
        <w:rPr>
          <w:rStyle w:val="CharDivText"/>
        </w:rPr>
        <w:t>General</w:t>
      </w:r>
      <w:bookmarkEnd w:id="50"/>
      <w:r w:rsidRPr="004D57A4">
        <w:rPr>
          <w:rStyle w:val="CharDivText"/>
        </w:rPr>
        <w:t xml:space="preserve"> </w:t>
      </w:r>
    </w:p>
    <w:p w14:paraId="001516C7" w14:textId="77777777" w:rsidR="00D847F1" w:rsidRDefault="00D847F1">
      <w:pPr>
        <w:pStyle w:val="Schclauseheading"/>
      </w:pPr>
      <w:bookmarkStart w:id="51" w:name="_Toc155080706"/>
      <w:r w:rsidRPr="004D57A4">
        <w:rPr>
          <w:rStyle w:val="CharSectNo"/>
        </w:rPr>
        <w:t>1.3</w:t>
      </w:r>
      <w:r>
        <w:tab/>
        <w:t>Licensees obligations generally</w:t>
      </w:r>
      <w:bookmarkEnd w:id="51"/>
    </w:p>
    <w:p w14:paraId="44178318" w14:textId="77777777" w:rsidR="00D847F1" w:rsidRDefault="00D847F1">
      <w:pPr>
        <w:pStyle w:val="Amain"/>
      </w:pPr>
      <w:r>
        <w:tab/>
        <w:t>(1)</w:t>
      </w:r>
      <w:r>
        <w:tab/>
        <w:t>A licensee of a gambling facility must conduct the facility honestly, responsibly and in accordance with this code of practice.</w:t>
      </w:r>
    </w:p>
    <w:p w14:paraId="550D0F67" w14:textId="77777777" w:rsidR="00D847F1" w:rsidRDefault="00D847F1">
      <w:pPr>
        <w:pStyle w:val="Amain"/>
      </w:pPr>
      <w:r>
        <w:tab/>
        <w:t>(2)</w:t>
      </w:r>
      <w:r>
        <w:tab/>
        <w:t xml:space="preserve">A licensee of a gambling facility must not give or make available to patrons information about gambling or gambling facilities that is false or misleading. </w:t>
      </w:r>
    </w:p>
    <w:p w14:paraId="7114C82B" w14:textId="77777777" w:rsidR="00D847F1" w:rsidRDefault="00D847F1">
      <w:pPr>
        <w:pStyle w:val="Amain"/>
      </w:pPr>
      <w:r>
        <w:tab/>
        <w:t>(3)</w:t>
      </w:r>
      <w:r>
        <w:tab/>
        <w:t>A casino licensee or gaming machine licensee must not allow a person (the</w:t>
      </w:r>
      <w:r>
        <w:rPr>
          <w:rStyle w:val="charBoldItals"/>
        </w:rPr>
        <w:t xml:space="preserve"> gambler</w:t>
      </w:r>
      <w:r>
        <w:t>) to use the licensee’s facility for gambling if the gambler—</w:t>
      </w:r>
    </w:p>
    <w:p w14:paraId="45500D16" w14:textId="77777777" w:rsidR="00D847F1" w:rsidRDefault="00D847F1">
      <w:pPr>
        <w:pStyle w:val="Apara"/>
      </w:pPr>
      <w:r>
        <w:tab/>
        <w:t>(a)</w:t>
      </w:r>
      <w:r>
        <w:tab/>
        <w:t>appears not to fully understand the nature or consequences of gambling generally, or a particular gambling activity, and the potential for financial loss; or</w:t>
      </w:r>
    </w:p>
    <w:p w14:paraId="2B12DB63" w14:textId="77777777" w:rsidR="00D847F1" w:rsidRDefault="00D847F1">
      <w:pPr>
        <w:pStyle w:val="Apara"/>
      </w:pPr>
      <w:r>
        <w:tab/>
        <w:t>(b)</w:t>
      </w:r>
      <w:r>
        <w:tab/>
        <w:t>appears to be intoxicated or under the influence of a drug to an extent that the gambler could not reasonably be expected to exercise rational judgment while gambling.</w:t>
      </w:r>
    </w:p>
    <w:p w14:paraId="0D772901" w14:textId="77777777" w:rsidR="00D847F1" w:rsidRDefault="00D847F1">
      <w:pPr>
        <w:pStyle w:val="Schclauseheading"/>
      </w:pPr>
      <w:bookmarkStart w:id="52" w:name="_Toc155080707"/>
      <w:r w:rsidRPr="004D57A4">
        <w:rPr>
          <w:rStyle w:val="CharSectNo"/>
        </w:rPr>
        <w:t>1.4</w:t>
      </w:r>
      <w:r>
        <w:tab/>
        <w:t>Staff care and training</w:t>
      </w:r>
      <w:bookmarkEnd w:id="52"/>
    </w:p>
    <w:p w14:paraId="2F6CBC25" w14:textId="77777777" w:rsidR="00D847F1" w:rsidRDefault="00D847F1">
      <w:pPr>
        <w:pStyle w:val="Amain"/>
      </w:pPr>
      <w:r>
        <w:tab/>
        <w:t>(1)</w:t>
      </w:r>
      <w:r>
        <w:tab/>
        <w:t>The licensee of a gambling facility must ensure that—</w:t>
      </w:r>
    </w:p>
    <w:p w14:paraId="797A946E" w14:textId="77777777" w:rsidR="00D847F1" w:rsidRDefault="00D847F1">
      <w:pPr>
        <w:pStyle w:val="Apara"/>
      </w:pPr>
      <w:r>
        <w:tab/>
        <w:t>(a)</w:t>
      </w:r>
      <w:r>
        <w:tab/>
        <w:t>each staff member who is directly involved in providing gambling services to patrons and each person who supervises the staff members—</w:t>
      </w:r>
    </w:p>
    <w:p w14:paraId="6E9D3A9E" w14:textId="77777777" w:rsidR="00D847F1" w:rsidRDefault="00D847F1">
      <w:pPr>
        <w:pStyle w:val="Asubpara"/>
      </w:pPr>
      <w:r>
        <w:tab/>
        <w:t>(i)</w:t>
      </w:r>
      <w:r>
        <w:tab/>
        <w:t>has successfully completed an approved traini</w:t>
      </w:r>
      <w:r w:rsidR="000C073E">
        <w:t>ng program within the previous 3</w:t>
      </w:r>
      <w:r>
        <w:t xml:space="preserve"> years; and</w:t>
      </w:r>
    </w:p>
    <w:p w14:paraId="20DEA694" w14:textId="77777777" w:rsidR="00D847F1" w:rsidRDefault="00D847F1">
      <w:pPr>
        <w:pStyle w:val="Asubpara"/>
      </w:pPr>
      <w:r>
        <w:tab/>
        <w:t>(ii)</w:t>
      </w:r>
      <w:r>
        <w:tab/>
        <w:t>does not take part, or allow anyone else to take part on their behalf, in a gambling activity at the facility except as part of the member’s duty; and</w:t>
      </w:r>
    </w:p>
    <w:p w14:paraId="18A933E4" w14:textId="09DE8EA8" w:rsidR="00D847F1" w:rsidRDefault="00D847F1">
      <w:pPr>
        <w:pStyle w:val="Apara"/>
      </w:pPr>
      <w:r>
        <w:lastRenderedPageBreak/>
        <w:tab/>
        <w:t>(b)</w:t>
      </w:r>
      <w:r>
        <w:tab/>
        <w:t xml:space="preserve">each staff member is aware of </w:t>
      </w:r>
      <w:r w:rsidR="00104A64" w:rsidRPr="00D17D0C">
        <w:t>the staff member’s</w:t>
      </w:r>
      <w:r>
        <w:t xml:space="preserve"> obligations under this code of practice.</w:t>
      </w:r>
    </w:p>
    <w:p w14:paraId="2E38672E" w14:textId="1F5905E3" w:rsidR="00D847F1" w:rsidRDefault="00D847F1">
      <w:pPr>
        <w:pStyle w:val="Amain"/>
      </w:pPr>
      <w:r>
        <w:tab/>
        <w:t>(2)</w:t>
      </w:r>
      <w:r>
        <w:tab/>
        <w:t xml:space="preserve">However, </w:t>
      </w:r>
      <w:r w:rsidR="006D7675" w:rsidRPr="003A70CF">
        <w:t xml:space="preserve">a licensee of a totalisator under the </w:t>
      </w:r>
      <w:hyperlink r:id="rId63" w:tooltip="A2014-4" w:history="1">
        <w:r w:rsidR="006D7675">
          <w:rPr>
            <w:rStyle w:val="charCitHyperlinkItal"/>
          </w:rPr>
          <w:t>Totalisator Act 2014</w:t>
        </w:r>
      </w:hyperlink>
      <w:r>
        <w:t xml:space="preserve"> and someone mentioned in section 1.1, definition of </w:t>
      </w:r>
      <w:r>
        <w:rPr>
          <w:rStyle w:val="charBoldItals"/>
        </w:rPr>
        <w:t>licensee</w:t>
      </w:r>
      <w:r>
        <w:t>, paragraph (f), need only ensure that the person in charge of each gambling facility—</w:t>
      </w:r>
    </w:p>
    <w:p w14:paraId="44DB0FC6" w14:textId="77777777" w:rsidR="00D847F1" w:rsidRDefault="00D847F1">
      <w:pPr>
        <w:pStyle w:val="Apara"/>
      </w:pPr>
      <w:r>
        <w:tab/>
        <w:t>(a)</w:t>
      </w:r>
      <w:r>
        <w:tab/>
        <w:t xml:space="preserve">has successfully completed an approved training program within the previous </w:t>
      </w:r>
      <w:r w:rsidR="000C073E">
        <w:t>3</w:t>
      </w:r>
      <w:r>
        <w:t xml:space="preserve"> years; and</w:t>
      </w:r>
    </w:p>
    <w:p w14:paraId="22F90462" w14:textId="77777777" w:rsidR="00D847F1" w:rsidRDefault="00D847F1">
      <w:pPr>
        <w:pStyle w:val="Apara"/>
      </w:pPr>
      <w:r>
        <w:tab/>
        <w:t>(b)</w:t>
      </w:r>
      <w:r>
        <w:tab/>
        <w:t>does not take part, or allow anyone else to take part on their behalf, in a gambling activity at the facility except as part of the person’s duty; and</w:t>
      </w:r>
    </w:p>
    <w:p w14:paraId="4629FB31" w14:textId="770D6A90" w:rsidR="00D847F1" w:rsidRDefault="00D847F1">
      <w:pPr>
        <w:pStyle w:val="Apara"/>
      </w:pPr>
      <w:r>
        <w:tab/>
        <w:t>(c)</w:t>
      </w:r>
      <w:r>
        <w:tab/>
        <w:t xml:space="preserve">is made aware of </w:t>
      </w:r>
      <w:r w:rsidR="00104A64" w:rsidRPr="00D17D0C">
        <w:t>the person’s</w:t>
      </w:r>
      <w:r>
        <w:t xml:space="preserve"> obligations under this code of practice.</w:t>
      </w:r>
    </w:p>
    <w:p w14:paraId="53966D9A" w14:textId="77777777" w:rsidR="00D847F1" w:rsidRDefault="00D847F1">
      <w:pPr>
        <w:pStyle w:val="Amain"/>
      </w:pPr>
      <w:r>
        <w:tab/>
        <w:t>(3)</w:t>
      </w:r>
      <w:r>
        <w:tab/>
        <w:t>The person in charge mentioned in subsection (2) must take all reasonable steps to ensure that—</w:t>
      </w:r>
    </w:p>
    <w:p w14:paraId="4CF78EE0" w14:textId="77777777" w:rsidR="00D847F1" w:rsidRDefault="00D847F1">
      <w:pPr>
        <w:pStyle w:val="Apara"/>
      </w:pPr>
      <w:r>
        <w:tab/>
        <w:t>(a)</w:t>
      </w:r>
      <w:r>
        <w:tab/>
        <w:t>each staff member who is directly involved in providing gambling services to patrons and each person who supervises the staff members—</w:t>
      </w:r>
    </w:p>
    <w:p w14:paraId="503110B9" w14:textId="77777777" w:rsidR="00D847F1" w:rsidRDefault="00D847F1">
      <w:pPr>
        <w:pStyle w:val="Asubpara"/>
      </w:pPr>
      <w:r>
        <w:tab/>
        <w:t>(i)</w:t>
      </w:r>
      <w:r>
        <w:tab/>
        <w:t xml:space="preserve">has successfully completed an approved training program within the previous </w:t>
      </w:r>
      <w:r w:rsidR="000C073E">
        <w:t>3</w:t>
      </w:r>
      <w:r>
        <w:t xml:space="preserve"> years; and</w:t>
      </w:r>
    </w:p>
    <w:p w14:paraId="055B71E3" w14:textId="77777777" w:rsidR="00D847F1" w:rsidRDefault="00D847F1">
      <w:pPr>
        <w:pStyle w:val="Asubpara"/>
      </w:pPr>
      <w:r>
        <w:tab/>
        <w:t>(ii)</w:t>
      </w:r>
      <w:r>
        <w:tab/>
        <w:t>does not take part, or allow anyone else to take part on their behalf, in a gambling activity at the facility except as part of the member’s duty; and</w:t>
      </w:r>
    </w:p>
    <w:p w14:paraId="202CBB6D" w14:textId="3BC97CB7" w:rsidR="00D847F1" w:rsidRDefault="00D847F1">
      <w:pPr>
        <w:pStyle w:val="Apara"/>
      </w:pPr>
      <w:r>
        <w:tab/>
        <w:t>(b)</w:t>
      </w:r>
      <w:r>
        <w:tab/>
        <w:t xml:space="preserve">each staff member is made aware of </w:t>
      </w:r>
      <w:r w:rsidR="00104A64" w:rsidRPr="00D17D0C">
        <w:t>the staff member’s</w:t>
      </w:r>
      <w:r>
        <w:t xml:space="preserve"> obligations under this code of practice; and</w:t>
      </w:r>
    </w:p>
    <w:p w14:paraId="6F1F13A5" w14:textId="77777777" w:rsidR="00D847F1" w:rsidRDefault="00D847F1">
      <w:pPr>
        <w:pStyle w:val="Apara"/>
      </w:pPr>
      <w:r>
        <w:tab/>
        <w:t>(c)</w:t>
      </w:r>
      <w:r>
        <w:tab/>
        <w:t>if the person will be absent from the facility for longer than 1 week—the licensee is told who will be in charge of the facility during the person’s absence.</w:t>
      </w:r>
    </w:p>
    <w:p w14:paraId="164192FC" w14:textId="77777777" w:rsidR="00D847F1" w:rsidRDefault="00D847F1">
      <w:pPr>
        <w:pStyle w:val="Amain"/>
      </w:pPr>
      <w:r>
        <w:lastRenderedPageBreak/>
        <w:tab/>
        <w:t>(4)</w:t>
      </w:r>
      <w:r>
        <w:tab/>
        <w:t xml:space="preserve">For subsection (1) (a) (ii), (2) (b) and (3) (a) (ii), </w:t>
      </w:r>
      <w:r>
        <w:rPr>
          <w:rStyle w:val="charBoldItals"/>
        </w:rPr>
        <w:t>staff member</w:t>
      </w:r>
      <w:r w:rsidRPr="00F1531F">
        <w:rPr>
          <w:rStyle w:val="charItals"/>
        </w:rPr>
        <w:t>,</w:t>
      </w:r>
      <w:r w:rsidRPr="00F1531F">
        <w:t xml:space="preserve"> </w:t>
      </w:r>
      <w:r>
        <w:t>of a gambling facility, includes—</w:t>
      </w:r>
    </w:p>
    <w:p w14:paraId="6CB092B4" w14:textId="77777777" w:rsidR="00D847F1" w:rsidRDefault="00D847F1">
      <w:pPr>
        <w:pStyle w:val="Apara"/>
      </w:pPr>
      <w:r>
        <w:tab/>
        <w:t>(a)</w:t>
      </w:r>
      <w:r>
        <w:tab/>
        <w:t>a person who is a full-time, part-time or casual staff member of the facility; and</w:t>
      </w:r>
    </w:p>
    <w:p w14:paraId="4CF8F655" w14:textId="77777777" w:rsidR="00D847F1" w:rsidRDefault="00D847F1">
      <w:pPr>
        <w:pStyle w:val="Apara"/>
      </w:pPr>
      <w:r>
        <w:tab/>
        <w:t>(b)</w:t>
      </w:r>
      <w:r>
        <w:tab/>
        <w:t>anyone who has worked in the facility in any other capacity within the previous 7 days.</w:t>
      </w:r>
    </w:p>
    <w:p w14:paraId="060EE6EF" w14:textId="77777777" w:rsidR="00D847F1" w:rsidRDefault="00D847F1">
      <w:pPr>
        <w:pStyle w:val="aExamHdgpar"/>
      </w:pPr>
      <w:r>
        <w:t>Example</w:t>
      </w:r>
      <w:r w:rsidR="00E02D37">
        <w:t>s—par</w:t>
      </w:r>
      <w:r>
        <w:t xml:space="preserve"> (b)</w:t>
      </w:r>
    </w:p>
    <w:p w14:paraId="04BE2051" w14:textId="77777777" w:rsidR="00D847F1" w:rsidRDefault="00D847F1">
      <w:pPr>
        <w:pStyle w:val="AExamIPara"/>
      </w:pPr>
      <w:r>
        <w:tab/>
        <w:t>1</w:t>
      </w:r>
      <w:r>
        <w:tab/>
        <w:t>an approved technician</w:t>
      </w:r>
    </w:p>
    <w:p w14:paraId="0CEA6D77" w14:textId="77777777" w:rsidR="00D847F1" w:rsidRDefault="00D847F1">
      <w:pPr>
        <w:pStyle w:val="AExamIPara"/>
        <w:keepNext/>
      </w:pPr>
      <w:r>
        <w:tab/>
        <w:t>2</w:t>
      </w:r>
      <w:r>
        <w:tab/>
        <w:t>a person who provides housie services under contract to the patrons of the licensee</w:t>
      </w:r>
    </w:p>
    <w:p w14:paraId="18761DE3" w14:textId="77777777" w:rsidR="00D847F1" w:rsidRDefault="00D847F1">
      <w:pPr>
        <w:pStyle w:val="Schclauseheading"/>
      </w:pPr>
      <w:bookmarkStart w:id="53" w:name="_Toc155080708"/>
      <w:r w:rsidRPr="004D57A4">
        <w:rPr>
          <w:rStyle w:val="CharSectNo"/>
        </w:rPr>
        <w:t>1.5</w:t>
      </w:r>
      <w:r>
        <w:tab/>
        <w:t>Exemptions in relation to approved training courses</w:t>
      </w:r>
      <w:bookmarkEnd w:id="53"/>
    </w:p>
    <w:p w14:paraId="06655506" w14:textId="2F2B5BFB" w:rsidR="00D847F1" w:rsidRDefault="00D847F1">
      <w:pPr>
        <w:pStyle w:val="Amainreturn"/>
      </w:pPr>
      <w:r>
        <w:t>The commission may, in writing, given to the licensee of a gambling facility, exempt the licensee or person in charge of the facility from the requirement to comply with section 1.4 (1) (a) (i), (2) (a) or (3) (a) (i) during a stated time, or in stated circumstances.</w:t>
      </w:r>
    </w:p>
    <w:p w14:paraId="6124B98B" w14:textId="77777777" w:rsidR="00CC7C87" w:rsidRPr="003042FA" w:rsidRDefault="00CC7C87" w:rsidP="00CC7C87">
      <w:pPr>
        <w:pStyle w:val="Schclauseheading"/>
      </w:pPr>
      <w:bookmarkStart w:id="54" w:name="_Toc155080709"/>
      <w:r w:rsidRPr="004D57A4">
        <w:rPr>
          <w:rStyle w:val="CharSectNo"/>
        </w:rPr>
        <w:t>1.5A</w:t>
      </w:r>
      <w:r w:rsidRPr="003042FA">
        <w:tab/>
        <w:t>Training for responsible service of interactive wagering and betting services</w:t>
      </w:r>
      <w:bookmarkEnd w:id="54"/>
    </w:p>
    <w:p w14:paraId="58EEF850" w14:textId="77777777" w:rsidR="00CC7C87" w:rsidRPr="003042FA" w:rsidRDefault="00CC7C87" w:rsidP="00CC7C87">
      <w:pPr>
        <w:pStyle w:val="SchAmain"/>
        <w:rPr>
          <w:lang w:eastAsia="en-AU"/>
        </w:rPr>
      </w:pPr>
      <w:r w:rsidRPr="003042FA">
        <w:tab/>
        <w:t>(1)</w:t>
      </w:r>
      <w:r w:rsidRPr="003042FA">
        <w:tab/>
        <w:t xml:space="preserve">This section applies </w:t>
      </w:r>
      <w:r w:rsidRPr="003042FA">
        <w:rPr>
          <w:shd w:val="clear" w:color="auto" w:fill="FFFFFF"/>
        </w:rPr>
        <w:t>to the following licensees</w:t>
      </w:r>
      <w:r w:rsidRPr="003042FA">
        <w:t>:</w:t>
      </w:r>
    </w:p>
    <w:p w14:paraId="62B907B3" w14:textId="77777777" w:rsidR="00CC7C87" w:rsidRPr="003042FA" w:rsidRDefault="00CC7C87" w:rsidP="00CC7C87">
      <w:pPr>
        <w:pStyle w:val="SchApara"/>
      </w:pPr>
      <w:r w:rsidRPr="003042FA">
        <w:tab/>
        <w:t>(a)</w:t>
      </w:r>
      <w:r w:rsidRPr="003042FA">
        <w:tab/>
      </w:r>
      <w:r w:rsidRPr="003042FA">
        <w:rPr>
          <w:shd w:val="clear" w:color="auto" w:fill="FFFFFF"/>
        </w:rPr>
        <w:t>an electronic race bookmaking licensee;</w:t>
      </w:r>
    </w:p>
    <w:p w14:paraId="6F695AC8" w14:textId="77777777" w:rsidR="00CC7C87" w:rsidRPr="003042FA" w:rsidRDefault="00CC7C87" w:rsidP="00CC7C87">
      <w:pPr>
        <w:pStyle w:val="SchApara"/>
      </w:pPr>
      <w:r w:rsidRPr="003042FA">
        <w:tab/>
        <w:t>(b)</w:t>
      </w:r>
      <w:r w:rsidRPr="003042FA">
        <w:tab/>
        <w:t>an</w:t>
      </w:r>
      <w:r w:rsidRPr="003042FA">
        <w:rPr>
          <w:shd w:val="clear" w:color="auto" w:fill="FFFFFF"/>
        </w:rPr>
        <w:t xml:space="preserve"> electronic sports bookmaking licensee;</w:t>
      </w:r>
    </w:p>
    <w:p w14:paraId="37CC950E" w14:textId="77777777" w:rsidR="00CC7C87" w:rsidRPr="003042FA" w:rsidRDefault="00CC7C87" w:rsidP="00CC7C87">
      <w:pPr>
        <w:pStyle w:val="SchApara"/>
      </w:pPr>
      <w:r w:rsidRPr="003042FA">
        <w:rPr>
          <w:shd w:val="clear" w:color="auto" w:fill="FFFFFF"/>
        </w:rPr>
        <w:tab/>
        <w:t>(c)</w:t>
      </w:r>
      <w:r w:rsidRPr="003042FA">
        <w:rPr>
          <w:shd w:val="clear" w:color="auto" w:fill="FFFFFF"/>
        </w:rPr>
        <w:tab/>
      </w:r>
      <w:r w:rsidRPr="003042FA">
        <w:t>an</w:t>
      </w:r>
      <w:r w:rsidRPr="003042FA">
        <w:rPr>
          <w:shd w:val="clear" w:color="auto" w:fill="FFFFFF"/>
        </w:rPr>
        <w:t xml:space="preserve"> electronic totalisator licensee.</w:t>
      </w:r>
    </w:p>
    <w:p w14:paraId="3E7F113A" w14:textId="77777777" w:rsidR="00CC7C87" w:rsidRPr="003042FA" w:rsidRDefault="00CC7C87" w:rsidP="00CC7C87">
      <w:pPr>
        <w:pStyle w:val="SchAmain"/>
      </w:pPr>
      <w:r w:rsidRPr="003042FA">
        <w:tab/>
        <w:t>(2)</w:t>
      </w:r>
      <w:r w:rsidRPr="003042FA">
        <w:tab/>
        <w:t>The licensee must ensure that each relevant staff member successfully completes</w:t>
      </w:r>
      <w:r w:rsidRPr="003042FA">
        <w:rPr>
          <w:color w:val="000000"/>
          <w:shd w:val="clear" w:color="auto" w:fill="FFFFFF"/>
        </w:rPr>
        <w:t>—</w:t>
      </w:r>
    </w:p>
    <w:p w14:paraId="2BC4C16D" w14:textId="77777777" w:rsidR="00CC7C87" w:rsidRPr="003042FA" w:rsidRDefault="00CC7C87" w:rsidP="00CC7C87">
      <w:pPr>
        <w:pStyle w:val="SchApara"/>
      </w:pPr>
      <w:r w:rsidRPr="003042FA">
        <w:tab/>
        <w:t>(a)</w:t>
      </w:r>
      <w:r w:rsidRPr="003042FA">
        <w:tab/>
        <w:t>the required training within 1 month after becoming a staff member and before beginning to provide interactive wagering or betting services; and</w:t>
      </w:r>
    </w:p>
    <w:p w14:paraId="363D46E5" w14:textId="77777777" w:rsidR="00CC7C87" w:rsidRPr="003042FA" w:rsidRDefault="00CC7C87" w:rsidP="00CC7C87">
      <w:pPr>
        <w:pStyle w:val="SchApara"/>
      </w:pPr>
      <w:r w:rsidRPr="003042FA">
        <w:tab/>
        <w:t>(b)</w:t>
      </w:r>
      <w:r w:rsidRPr="003042FA">
        <w:tab/>
        <w:t>refresher training within every subsequent 12 months.</w:t>
      </w:r>
    </w:p>
    <w:p w14:paraId="67D57FED" w14:textId="77777777" w:rsidR="00CC7C87" w:rsidRPr="003042FA" w:rsidRDefault="00CC7C87" w:rsidP="000271C8">
      <w:pPr>
        <w:pStyle w:val="SchAmain"/>
        <w:keepNext/>
      </w:pPr>
      <w:r w:rsidRPr="003042FA">
        <w:lastRenderedPageBreak/>
        <w:tab/>
        <w:t>(3)</w:t>
      </w:r>
      <w:r w:rsidRPr="003042FA">
        <w:tab/>
        <w:t xml:space="preserve">For subsection (2) (a), </w:t>
      </w:r>
      <w:r w:rsidRPr="00CA67C6">
        <w:rPr>
          <w:rStyle w:val="charBoldItals"/>
        </w:rPr>
        <w:t>required training</w:t>
      </w:r>
      <w:r w:rsidRPr="003042FA">
        <w:t xml:space="preserve"> means</w:t>
      </w:r>
      <w:r w:rsidRPr="003042FA">
        <w:rPr>
          <w:color w:val="000000"/>
          <w:shd w:val="clear" w:color="auto" w:fill="FFFFFF"/>
        </w:rPr>
        <w:t>—</w:t>
      </w:r>
    </w:p>
    <w:p w14:paraId="0499A4E8" w14:textId="77777777" w:rsidR="00CC7C87" w:rsidRPr="003042FA" w:rsidRDefault="00CC7C87" w:rsidP="00CC7C87">
      <w:pPr>
        <w:pStyle w:val="SchApara"/>
      </w:pPr>
      <w:r w:rsidRPr="003042FA">
        <w:tab/>
        <w:t>(a)</w:t>
      </w:r>
      <w:r w:rsidRPr="003042FA">
        <w:tab/>
        <w:t>the national unit of competency; or</w:t>
      </w:r>
    </w:p>
    <w:p w14:paraId="15580AC9" w14:textId="77777777" w:rsidR="00CC7C87" w:rsidRPr="003042FA" w:rsidRDefault="00CC7C87" w:rsidP="00CC7C87">
      <w:pPr>
        <w:pStyle w:val="SchApara"/>
      </w:pPr>
      <w:r w:rsidRPr="003042FA">
        <w:tab/>
        <w:t>(b)</w:t>
      </w:r>
      <w:r w:rsidRPr="003042FA">
        <w:tab/>
        <w:t>a training course provided by the licensee, or another person on behalf of the licensee, that is substantially equivalent to the national unit of competency.</w:t>
      </w:r>
    </w:p>
    <w:p w14:paraId="6DA284D4" w14:textId="77777777" w:rsidR="00CC7C87" w:rsidRPr="003042FA" w:rsidRDefault="00CC7C87" w:rsidP="00CC7C87">
      <w:pPr>
        <w:pStyle w:val="SchAmain"/>
      </w:pPr>
      <w:r w:rsidRPr="003042FA">
        <w:tab/>
        <w:t>(4)</w:t>
      </w:r>
      <w:r w:rsidRPr="003042FA">
        <w:tab/>
        <w:t xml:space="preserve">For subsection (2) (b), </w:t>
      </w:r>
      <w:r w:rsidRPr="00CA67C6">
        <w:rPr>
          <w:rStyle w:val="charBoldItals"/>
        </w:rPr>
        <w:t>refresher training</w:t>
      </w:r>
      <w:r w:rsidRPr="003042FA">
        <w:t xml:space="preserve"> means</w:t>
      </w:r>
      <w:r w:rsidRPr="003042FA">
        <w:rPr>
          <w:color w:val="000000"/>
          <w:shd w:val="clear" w:color="auto" w:fill="FFFFFF"/>
        </w:rPr>
        <w:t>—</w:t>
      </w:r>
    </w:p>
    <w:p w14:paraId="0ECEA19E" w14:textId="77777777" w:rsidR="00CC7C87" w:rsidRPr="003042FA" w:rsidRDefault="00CC7C87" w:rsidP="00CC7C87">
      <w:pPr>
        <w:pStyle w:val="SchApara"/>
      </w:pPr>
      <w:r w:rsidRPr="003042FA">
        <w:tab/>
        <w:t>(a)</w:t>
      </w:r>
      <w:r w:rsidRPr="003042FA">
        <w:tab/>
        <w:t>the micro-credential course; or</w:t>
      </w:r>
    </w:p>
    <w:p w14:paraId="281AF3C1" w14:textId="77777777" w:rsidR="00CC7C87" w:rsidRPr="003042FA" w:rsidRDefault="00CC7C87" w:rsidP="00CC7C87">
      <w:pPr>
        <w:pStyle w:val="SchApara"/>
      </w:pPr>
      <w:r w:rsidRPr="003042FA">
        <w:tab/>
        <w:t>(b)</w:t>
      </w:r>
      <w:r w:rsidRPr="003042FA">
        <w:tab/>
        <w:t>a course provided by the licensee, or another person on behalf of the licensee, that is substantially equivalent to the micro</w:t>
      </w:r>
      <w:r w:rsidRPr="003042FA">
        <w:noBreakHyphen/>
        <w:t>credential course.</w:t>
      </w:r>
    </w:p>
    <w:p w14:paraId="2D060649" w14:textId="77777777" w:rsidR="00CC7C87" w:rsidRPr="003042FA" w:rsidRDefault="00CC7C87" w:rsidP="00CC7C87">
      <w:pPr>
        <w:pStyle w:val="SchAmain"/>
      </w:pPr>
      <w:r w:rsidRPr="003042FA">
        <w:tab/>
        <w:t>(5)</w:t>
      </w:r>
      <w:r w:rsidRPr="003042FA">
        <w:tab/>
        <w:t>In this section:</w:t>
      </w:r>
    </w:p>
    <w:p w14:paraId="5B2BE9D2" w14:textId="77777777" w:rsidR="00CC7C87" w:rsidRPr="003042FA" w:rsidRDefault="00CC7C87" w:rsidP="00CC7C87">
      <w:pPr>
        <w:pStyle w:val="aDef"/>
        <w:keepNext/>
      </w:pPr>
      <w:r w:rsidRPr="00CA67C6">
        <w:rPr>
          <w:rStyle w:val="charBoldItals"/>
        </w:rPr>
        <w:t>interactive wagering or betting service</w:t>
      </w:r>
      <w:r w:rsidRPr="003042FA">
        <w:t xml:space="preserve"> means a gambling service in which a bet is accepted using a telecommunication service.</w:t>
      </w:r>
    </w:p>
    <w:p w14:paraId="3EB60C2F" w14:textId="77777777" w:rsidR="00CC7C87" w:rsidRPr="003042FA" w:rsidRDefault="00CC7C87" w:rsidP="00CC7C87">
      <w:pPr>
        <w:pStyle w:val="aDef"/>
      </w:pPr>
      <w:r w:rsidRPr="00CA67C6">
        <w:rPr>
          <w:rStyle w:val="charBoldItals"/>
        </w:rPr>
        <w:t>micro-credential course</w:t>
      </w:r>
      <w:r w:rsidRPr="003042FA">
        <w:t xml:space="preserve"> means the course MCC00045 Responsible service of online wagering provided by TAFE Queensland.</w:t>
      </w:r>
    </w:p>
    <w:p w14:paraId="68FE3A51" w14:textId="77777777" w:rsidR="00CC7C87" w:rsidRPr="003042FA" w:rsidRDefault="00CC7C87" w:rsidP="00CC7C87">
      <w:pPr>
        <w:pStyle w:val="aDef"/>
      </w:pPr>
      <w:r w:rsidRPr="00CA67C6">
        <w:rPr>
          <w:rStyle w:val="charBoldItals"/>
        </w:rPr>
        <w:t>national unit of competency</w:t>
      </w:r>
      <w:r w:rsidRPr="003042FA">
        <w:t xml:space="preserve"> means unit of competency CHCFIN005 (Provide responsible online wagering services) provided by TAFE Queensland.</w:t>
      </w:r>
    </w:p>
    <w:p w14:paraId="7C102E0F" w14:textId="7A81DBE0" w:rsidR="00CC7C87" w:rsidRPr="003042FA" w:rsidRDefault="00CC7C87" w:rsidP="00CC7C87">
      <w:pPr>
        <w:pStyle w:val="aDef"/>
      </w:pPr>
      <w:r w:rsidRPr="00CA67C6">
        <w:rPr>
          <w:rStyle w:val="charBoldItals"/>
        </w:rPr>
        <w:t>registered training organisation</w:t>
      </w:r>
      <w:r w:rsidRPr="003042FA">
        <w:t xml:space="preserve">—see the </w:t>
      </w:r>
      <w:hyperlink r:id="rId64" w:tooltip="Act 2011 No 12 (Cwlth)" w:history="1">
        <w:r w:rsidRPr="00CA67C6">
          <w:rPr>
            <w:rStyle w:val="charCitHyperlinkItal"/>
          </w:rPr>
          <w:t>National Vocational Education and Training Regulator Act 2011</w:t>
        </w:r>
      </w:hyperlink>
      <w:r w:rsidRPr="003042FA">
        <w:t xml:space="preserve"> (Cwlth).</w:t>
      </w:r>
    </w:p>
    <w:p w14:paraId="13C3E03A" w14:textId="77777777" w:rsidR="00CC7C87" w:rsidRPr="003042FA" w:rsidRDefault="00CC7C87" w:rsidP="00CC7C87">
      <w:pPr>
        <w:pStyle w:val="aDef"/>
      </w:pPr>
      <w:r w:rsidRPr="00CA67C6">
        <w:rPr>
          <w:rStyle w:val="charBoldItals"/>
        </w:rPr>
        <w:t>relevant staff member</w:t>
      </w:r>
      <w:r w:rsidRPr="003042FA">
        <w:t xml:space="preserve"> means a staff member who</w:t>
      </w:r>
      <w:r w:rsidRPr="003042FA">
        <w:rPr>
          <w:color w:val="000000"/>
          <w:shd w:val="clear" w:color="auto" w:fill="FFFFFF"/>
        </w:rPr>
        <w:t>—</w:t>
      </w:r>
    </w:p>
    <w:p w14:paraId="5C7DBE67" w14:textId="77777777" w:rsidR="00CC7C87" w:rsidRPr="003042FA" w:rsidRDefault="00CC7C87" w:rsidP="00CC7C87">
      <w:pPr>
        <w:pStyle w:val="aDefpara"/>
      </w:pPr>
      <w:r w:rsidRPr="003042FA">
        <w:tab/>
        <w:t>(a)</w:t>
      </w:r>
      <w:r w:rsidRPr="003042FA">
        <w:tab/>
        <w:t>is directly involved in providing interactive wagering or betting services; or</w:t>
      </w:r>
    </w:p>
    <w:p w14:paraId="5EFE4B22" w14:textId="77777777" w:rsidR="00CC7C87" w:rsidRPr="003042FA" w:rsidRDefault="00CC7C87" w:rsidP="00CC7C87">
      <w:pPr>
        <w:pStyle w:val="aDefpara"/>
      </w:pPr>
      <w:r w:rsidRPr="003042FA">
        <w:tab/>
        <w:t>(b)</w:t>
      </w:r>
      <w:r w:rsidRPr="003042FA">
        <w:tab/>
        <w:t>has capacity to influence an interactive wagering or betting service.</w:t>
      </w:r>
    </w:p>
    <w:p w14:paraId="5C954FC3" w14:textId="77777777" w:rsidR="00CC7C87" w:rsidRPr="003042FA" w:rsidRDefault="00CC7C87" w:rsidP="00CC7C87">
      <w:pPr>
        <w:pStyle w:val="aDef"/>
      </w:pPr>
      <w:r w:rsidRPr="00CA67C6">
        <w:rPr>
          <w:rStyle w:val="charBoldItals"/>
        </w:rPr>
        <w:t xml:space="preserve">TAFE Queensland </w:t>
      </w:r>
      <w:r w:rsidRPr="003042FA">
        <w:rPr>
          <w:bCs/>
          <w:iCs/>
        </w:rPr>
        <w:t>means the registered training organisation known as TAFE Queensland.</w:t>
      </w:r>
      <w:r w:rsidRPr="003042FA">
        <w:t xml:space="preserve"> </w:t>
      </w:r>
    </w:p>
    <w:p w14:paraId="6721C1B5" w14:textId="77777777" w:rsidR="00CC7C87" w:rsidRPr="003042FA" w:rsidRDefault="00CC7C87" w:rsidP="00CC7C87">
      <w:pPr>
        <w:pStyle w:val="Schclauseheading"/>
      </w:pPr>
      <w:bookmarkStart w:id="55" w:name="_Toc155080710"/>
      <w:r w:rsidRPr="004D57A4">
        <w:rPr>
          <w:rStyle w:val="CharSectNo"/>
        </w:rPr>
        <w:lastRenderedPageBreak/>
        <w:t>1.5B</w:t>
      </w:r>
      <w:r w:rsidRPr="003042FA">
        <w:tab/>
        <w:t>Independent audit of required training and refresher training</w:t>
      </w:r>
      <w:bookmarkEnd w:id="55"/>
    </w:p>
    <w:p w14:paraId="15111CBD" w14:textId="77777777" w:rsidR="00CC7C87" w:rsidRPr="003042FA" w:rsidRDefault="00CC7C87" w:rsidP="00CC7C87">
      <w:pPr>
        <w:pStyle w:val="SchAmain"/>
      </w:pPr>
      <w:r w:rsidRPr="003042FA">
        <w:tab/>
        <w:t>(1)</w:t>
      </w:r>
      <w:r w:rsidRPr="003042FA">
        <w:tab/>
        <w:t xml:space="preserve">If a licensee, or another person on the licensee’s behalf, provides required training or refresher training, the licensee must engage a person (an </w:t>
      </w:r>
      <w:r w:rsidRPr="00CA67C6">
        <w:rPr>
          <w:rStyle w:val="charBoldItals"/>
        </w:rPr>
        <w:t>independent reviewer</w:t>
      </w:r>
      <w:r w:rsidRPr="003042FA">
        <w:t>) to conduct an audit of the training each year the training is provided.</w:t>
      </w:r>
    </w:p>
    <w:p w14:paraId="4C884C49" w14:textId="77777777" w:rsidR="00CC7C87" w:rsidRPr="003042FA" w:rsidRDefault="00CC7C87" w:rsidP="00CC7C87">
      <w:pPr>
        <w:pStyle w:val="SchAmain"/>
      </w:pPr>
      <w:r w:rsidRPr="003042FA">
        <w:tab/>
        <w:t>(2)</w:t>
      </w:r>
      <w:r w:rsidRPr="003042FA">
        <w:tab/>
        <w:t>The independent reviewer—</w:t>
      </w:r>
    </w:p>
    <w:p w14:paraId="23E36D41" w14:textId="77777777" w:rsidR="00CC7C87" w:rsidRPr="003042FA" w:rsidRDefault="00CC7C87" w:rsidP="00CC7C87">
      <w:pPr>
        <w:pStyle w:val="SchApara"/>
      </w:pPr>
      <w:r w:rsidRPr="003042FA">
        <w:tab/>
        <w:t>(a)</w:t>
      </w:r>
      <w:r w:rsidRPr="003042FA">
        <w:tab/>
        <w:t>must not—</w:t>
      </w:r>
    </w:p>
    <w:p w14:paraId="66E31D32" w14:textId="77777777" w:rsidR="00CC7C87" w:rsidRPr="003042FA" w:rsidRDefault="00CC7C87" w:rsidP="00CC7C87">
      <w:pPr>
        <w:pStyle w:val="SchAsubpara"/>
      </w:pPr>
      <w:r w:rsidRPr="003042FA">
        <w:tab/>
        <w:t>(i)</w:t>
      </w:r>
      <w:r w:rsidRPr="003042FA">
        <w:tab/>
        <w:t>be employed by the licensee; or</w:t>
      </w:r>
    </w:p>
    <w:p w14:paraId="31E3E50D" w14:textId="77777777" w:rsidR="00CC7C87" w:rsidRPr="003042FA" w:rsidRDefault="00CC7C87" w:rsidP="00CC7C87">
      <w:pPr>
        <w:pStyle w:val="SchAsubpara"/>
      </w:pPr>
      <w:r w:rsidRPr="003042FA">
        <w:tab/>
        <w:t>(ii)</w:t>
      </w:r>
      <w:r w:rsidRPr="003042FA">
        <w:tab/>
        <w:t xml:space="preserve">have been involved in any way in the development of the required training or refresher training to be audited; but </w:t>
      </w:r>
    </w:p>
    <w:p w14:paraId="0ED6EE0E" w14:textId="77777777" w:rsidR="00CC7C87" w:rsidRPr="003042FA" w:rsidRDefault="00CC7C87" w:rsidP="00CC7C87">
      <w:pPr>
        <w:pStyle w:val="SchApara"/>
      </w:pPr>
      <w:r w:rsidRPr="003042FA">
        <w:tab/>
        <w:t>(b)</w:t>
      </w:r>
      <w:r w:rsidRPr="003042FA">
        <w:tab/>
        <w:t>may be a law firm, accounting firm or auditing body with whom the licensee has an existing relationship.</w:t>
      </w:r>
    </w:p>
    <w:p w14:paraId="667749C1" w14:textId="77777777" w:rsidR="00CC7C87" w:rsidRPr="003042FA" w:rsidRDefault="00CC7C87" w:rsidP="00CC7C87">
      <w:pPr>
        <w:pStyle w:val="SchAmain"/>
      </w:pPr>
      <w:r w:rsidRPr="003042FA">
        <w:tab/>
        <w:t>(3)</w:t>
      </w:r>
      <w:r w:rsidRPr="003042FA">
        <w:tab/>
        <w:t>The licensee must give the commission a copy of any completed audit within 3 months after the day the independent reviewer gives the licensee the completed audit.</w:t>
      </w:r>
    </w:p>
    <w:p w14:paraId="09555393" w14:textId="77777777" w:rsidR="00CC7C87" w:rsidRPr="003042FA" w:rsidRDefault="00CC7C87" w:rsidP="00CC7C87">
      <w:pPr>
        <w:pStyle w:val="SchAmain"/>
      </w:pPr>
      <w:r w:rsidRPr="003042FA">
        <w:tab/>
        <w:t>(4)</w:t>
      </w:r>
      <w:r w:rsidRPr="003042FA">
        <w:tab/>
        <w:t>The commission may, in writing, exempt the licensee from the requirement to engage an independent reviewer to conduct an audit of stated required training or refresher training if the training has been the subject of an investigation or inquiry by the commission.</w:t>
      </w:r>
    </w:p>
    <w:p w14:paraId="2973D571" w14:textId="77777777" w:rsidR="00CC7C87" w:rsidRPr="003042FA" w:rsidRDefault="00CC7C87" w:rsidP="00CC7C87">
      <w:pPr>
        <w:pStyle w:val="SchAmain"/>
      </w:pPr>
      <w:r w:rsidRPr="003042FA">
        <w:tab/>
        <w:t>(5)</w:t>
      </w:r>
      <w:r w:rsidRPr="003042FA">
        <w:tab/>
        <w:t>In this section:</w:t>
      </w:r>
    </w:p>
    <w:p w14:paraId="5BD01BE0" w14:textId="77777777" w:rsidR="00CC7C87" w:rsidRPr="003042FA" w:rsidRDefault="00CC7C87" w:rsidP="00CC7C87">
      <w:pPr>
        <w:pStyle w:val="aDef"/>
      </w:pPr>
      <w:r w:rsidRPr="00CA67C6">
        <w:rPr>
          <w:rStyle w:val="charBoldItals"/>
        </w:rPr>
        <w:t>licensee</w:t>
      </w:r>
      <w:r w:rsidRPr="003042FA">
        <w:rPr>
          <w:bCs/>
          <w:iCs/>
        </w:rPr>
        <w:t xml:space="preserve"> means a licensee to whom </w:t>
      </w:r>
      <w:r w:rsidRPr="003042FA">
        <w:t>section 1.5A applies.</w:t>
      </w:r>
    </w:p>
    <w:p w14:paraId="59CA59AF" w14:textId="77777777" w:rsidR="00CC7C87" w:rsidRPr="003042FA" w:rsidRDefault="00CC7C87" w:rsidP="00CC7C87">
      <w:pPr>
        <w:pStyle w:val="aDef"/>
      </w:pPr>
      <w:r w:rsidRPr="00CA67C6">
        <w:rPr>
          <w:rStyle w:val="charBoldItals"/>
        </w:rPr>
        <w:t>micro-credential course</w:t>
      </w:r>
      <w:r w:rsidRPr="003042FA">
        <w:t>—see section 1.5A (5).</w:t>
      </w:r>
    </w:p>
    <w:p w14:paraId="42DF6B56" w14:textId="77777777" w:rsidR="00CC7C87" w:rsidRPr="003042FA" w:rsidRDefault="00CC7C87" w:rsidP="00CC7C87">
      <w:pPr>
        <w:pStyle w:val="aDef"/>
      </w:pPr>
      <w:r w:rsidRPr="00CA67C6">
        <w:rPr>
          <w:rStyle w:val="charBoldItals"/>
        </w:rPr>
        <w:t>micro-credential test</w:t>
      </w:r>
      <w:r w:rsidRPr="003042FA">
        <w:t xml:space="preserve"> means an online micro-credential test administered by TAFE Queensland that evaluates the knowledge and skills consistent with the national unit of competency or the micro-credential course.</w:t>
      </w:r>
    </w:p>
    <w:p w14:paraId="10259724" w14:textId="77777777" w:rsidR="00CC7C87" w:rsidRPr="003042FA" w:rsidRDefault="00CC7C87" w:rsidP="00CC7C87">
      <w:pPr>
        <w:pStyle w:val="aDef"/>
      </w:pPr>
      <w:r w:rsidRPr="00CA67C6">
        <w:rPr>
          <w:rStyle w:val="charBoldItals"/>
        </w:rPr>
        <w:t>national unit of competency</w:t>
      </w:r>
      <w:r w:rsidRPr="003042FA">
        <w:t>—see section 1.5A (5).</w:t>
      </w:r>
    </w:p>
    <w:p w14:paraId="0D23EBD7" w14:textId="77777777" w:rsidR="00CC7C87" w:rsidRPr="003042FA" w:rsidRDefault="00CC7C87" w:rsidP="00CC7C87">
      <w:pPr>
        <w:pStyle w:val="aDef"/>
      </w:pPr>
      <w:r w:rsidRPr="00CA67C6">
        <w:rPr>
          <w:rStyle w:val="charBoldItals"/>
        </w:rPr>
        <w:lastRenderedPageBreak/>
        <w:t>refresher training</w:t>
      </w:r>
      <w:r w:rsidRPr="003042FA">
        <w:t xml:space="preserve"> means the training mentioned in section 1.5A (4) (b), other than training that requires participants to complete a micro-credential test.</w:t>
      </w:r>
    </w:p>
    <w:p w14:paraId="361B4D94" w14:textId="77777777" w:rsidR="00CC7C87" w:rsidRPr="003042FA" w:rsidRDefault="00CC7C87" w:rsidP="00CC7C87">
      <w:pPr>
        <w:pStyle w:val="aDef"/>
      </w:pPr>
      <w:r w:rsidRPr="00CA67C6">
        <w:rPr>
          <w:rStyle w:val="charBoldItals"/>
        </w:rPr>
        <w:t>required training</w:t>
      </w:r>
      <w:r w:rsidRPr="003042FA">
        <w:t xml:space="preserve"> means the training mentioned in section 1.5A (3) (b), other than training that requires participants to complete a micro-credential test.</w:t>
      </w:r>
    </w:p>
    <w:p w14:paraId="2D748905" w14:textId="01609AEA" w:rsidR="00CC7C87" w:rsidRDefault="00CC7C87" w:rsidP="00CC7C87">
      <w:pPr>
        <w:pStyle w:val="aDef"/>
      </w:pPr>
      <w:r w:rsidRPr="00CA67C6">
        <w:rPr>
          <w:rStyle w:val="charBoldItals"/>
        </w:rPr>
        <w:t>TAFE Queensland</w:t>
      </w:r>
      <w:r w:rsidRPr="003042FA">
        <w:t>—see section 1.5A (5).</w:t>
      </w:r>
    </w:p>
    <w:p w14:paraId="787B8C8F" w14:textId="77777777" w:rsidR="00D847F1" w:rsidRPr="004D57A4" w:rsidRDefault="00D847F1">
      <w:pPr>
        <w:pStyle w:val="Sched-Form"/>
      </w:pPr>
      <w:bookmarkStart w:id="56" w:name="_Toc155080711"/>
      <w:r w:rsidRPr="004D57A4">
        <w:rPr>
          <w:rStyle w:val="CharDivNo"/>
        </w:rPr>
        <w:t>Division 1.2.2</w:t>
      </w:r>
      <w:r>
        <w:tab/>
      </w:r>
      <w:r w:rsidRPr="004D57A4">
        <w:rPr>
          <w:rStyle w:val="CharDivText"/>
        </w:rPr>
        <w:t>Problem gambling</w:t>
      </w:r>
      <w:bookmarkEnd w:id="56"/>
    </w:p>
    <w:p w14:paraId="36CC51CC" w14:textId="77777777" w:rsidR="000C073E" w:rsidRPr="00A35BB6" w:rsidRDefault="000C073E" w:rsidP="001D0CF9">
      <w:pPr>
        <w:pStyle w:val="Schclauseheading"/>
      </w:pPr>
      <w:bookmarkStart w:id="57" w:name="_Toc155080712"/>
      <w:r w:rsidRPr="004D57A4">
        <w:rPr>
          <w:rStyle w:val="CharSectNo"/>
        </w:rPr>
        <w:t>1.6</w:t>
      </w:r>
      <w:r w:rsidRPr="00A35BB6">
        <w:tab/>
        <w:t>Problem gambling incident register</w:t>
      </w:r>
      <w:bookmarkEnd w:id="57"/>
    </w:p>
    <w:p w14:paraId="576ABEB9" w14:textId="77777777" w:rsidR="000C073E" w:rsidRPr="00A35BB6" w:rsidRDefault="000C073E" w:rsidP="000C073E">
      <w:pPr>
        <w:pStyle w:val="Amain"/>
      </w:pPr>
      <w:r w:rsidRPr="00A35BB6">
        <w:tab/>
        <w:t>(1)</w:t>
      </w:r>
      <w:r w:rsidRPr="00A35BB6">
        <w:tab/>
        <w:t xml:space="preserve">The commission must establish a register (a </w:t>
      </w:r>
      <w:r w:rsidRPr="00A35BB6">
        <w:rPr>
          <w:rStyle w:val="charBoldItals"/>
        </w:rPr>
        <w:t>problem gambling incident register</w:t>
      </w:r>
      <w:r w:rsidRPr="00A35BB6">
        <w:t>) of problem gambling incidents.</w:t>
      </w:r>
    </w:p>
    <w:p w14:paraId="3523A137" w14:textId="77777777" w:rsidR="000C073E" w:rsidRPr="00A35BB6" w:rsidRDefault="000C073E" w:rsidP="000C073E">
      <w:pPr>
        <w:pStyle w:val="Amain"/>
        <w:rPr>
          <w:lang w:eastAsia="en-AU"/>
        </w:rPr>
      </w:pPr>
      <w:r w:rsidRPr="00A35BB6">
        <w:rPr>
          <w:lang w:eastAsia="en-AU"/>
        </w:rPr>
        <w:tab/>
        <w:t>(2)</w:t>
      </w:r>
      <w:r w:rsidRPr="00A35BB6">
        <w:rPr>
          <w:lang w:eastAsia="en-AU"/>
        </w:rPr>
        <w:tab/>
        <w:t>The register may be kept electronically.</w:t>
      </w:r>
    </w:p>
    <w:p w14:paraId="32EC84F0" w14:textId="77777777" w:rsidR="000C073E" w:rsidRPr="00A35BB6" w:rsidRDefault="000C073E" w:rsidP="001D0CF9">
      <w:pPr>
        <w:pStyle w:val="Schclauseheading"/>
      </w:pPr>
      <w:bookmarkStart w:id="58" w:name="_Toc155080713"/>
      <w:r w:rsidRPr="004D57A4">
        <w:rPr>
          <w:rStyle w:val="CharSectNo"/>
        </w:rPr>
        <w:t>1.6A</w:t>
      </w:r>
      <w:r w:rsidRPr="00A35BB6">
        <w:tab/>
        <w:t>Recording problem gambling incidents</w:t>
      </w:r>
      <w:bookmarkEnd w:id="58"/>
    </w:p>
    <w:p w14:paraId="36B4A961" w14:textId="77777777" w:rsidR="000C073E" w:rsidRPr="00A35BB6" w:rsidRDefault="000C073E" w:rsidP="00F966FF">
      <w:pPr>
        <w:pStyle w:val="Amain"/>
        <w:keepNext/>
      </w:pPr>
      <w:r w:rsidRPr="00A35BB6">
        <w:tab/>
        <w:t>(1)</w:t>
      </w:r>
      <w:r w:rsidRPr="00A35BB6">
        <w:tab/>
        <w:t xml:space="preserve">A licensee of a gambling facility must keep a record of the following incidents (a </w:t>
      </w:r>
      <w:r w:rsidRPr="00A35BB6">
        <w:rPr>
          <w:rStyle w:val="charBoldItals"/>
        </w:rPr>
        <w:t>problem gambling incident</w:t>
      </w:r>
      <w:r w:rsidRPr="00A35BB6">
        <w:t>):</w:t>
      </w:r>
    </w:p>
    <w:p w14:paraId="4BD2BEF0" w14:textId="77777777" w:rsidR="000C073E" w:rsidRPr="00A35BB6" w:rsidRDefault="000C073E" w:rsidP="000C073E">
      <w:pPr>
        <w:pStyle w:val="Apara"/>
      </w:pPr>
      <w:r w:rsidRPr="00A35BB6">
        <w:tab/>
        <w:t>(a)</w:t>
      </w:r>
      <w:r w:rsidRPr="00A35BB6">
        <w:tab/>
        <w:t>anyone who shows signs of having a gambling problem when—</w:t>
      </w:r>
    </w:p>
    <w:p w14:paraId="6EF3C8B6" w14:textId="77777777" w:rsidR="000C073E" w:rsidRPr="00A35BB6" w:rsidRDefault="000C073E" w:rsidP="000C073E">
      <w:pPr>
        <w:pStyle w:val="Asubpara"/>
      </w:pPr>
      <w:r w:rsidRPr="00A35BB6">
        <w:tab/>
        <w:t>(i)</w:t>
      </w:r>
      <w:r w:rsidRPr="00A35BB6">
        <w:tab/>
        <w:t>in the gambling facility; or</w:t>
      </w:r>
    </w:p>
    <w:p w14:paraId="1967F1EB" w14:textId="77777777" w:rsidR="000C073E" w:rsidRPr="00A35BB6" w:rsidRDefault="000C073E" w:rsidP="000C073E">
      <w:pPr>
        <w:pStyle w:val="Asubpara"/>
      </w:pPr>
      <w:r w:rsidRPr="00A35BB6">
        <w:tab/>
        <w:t>(ii)</w:t>
      </w:r>
      <w:r w:rsidRPr="00A35BB6">
        <w:tab/>
        <w:t xml:space="preserve">dealing with the licensee; </w:t>
      </w:r>
    </w:p>
    <w:p w14:paraId="43B88B54" w14:textId="77777777" w:rsidR="000C073E" w:rsidRPr="00A35BB6" w:rsidRDefault="000C073E" w:rsidP="00B36027">
      <w:pPr>
        <w:pStyle w:val="Apara"/>
        <w:keepNext/>
      </w:pPr>
      <w:r w:rsidRPr="00A35BB6">
        <w:tab/>
        <w:t>(b)</w:t>
      </w:r>
      <w:r w:rsidRPr="00A35BB6">
        <w:tab/>
        <w:t>any action taken by the licensee in relation to the person.</w:t>
      </w:r>
    </w:p>
    <w:p w14:paraId="19C5EFE2" w14:textId="77777777" w:rsidR="000C073E" w:rsidRPr="00A35BB6" w:rsidRDefault="000C073E" w:rsidP="000C073E">
      <w:pPr>
        <w:pStyle w:val="aExamHdgss"/>
      </w:pPr>
      <w:r w:rsidRPr="00A35BB6">
        <w:t>Examples—signs that person has gambling problem</w:t>
      </w:r>
    </w:p>
    <w:p w14:paraId="599066D3" w14:textId="77777777" w:rsidR="000C073E" w:rsidRPr="00A35BB6" w:rsidRDefault="000C073E" w:rsidP="000C073E">
      <w:pPr>
        <w:pStyle w:val="aExamINumss"/>
      </w:pPr>
      <w:r w:rsidRPr="00A35BB6">
        <w:t>1</w:t>
      </w:r>
      <w:r w:rsidRPr="00A35BB6">
        <w:tab/>
        <w:t>admitting being unable to stop gambling or to gamble within the person’s means</w:t>
      </w:r>
    </w:p>
    <w:p w14:paraId="13C58F90" w14:textId="77777777" w:rsidR="000C073E" w:rsidRPr="00A35BB6" w:rsidRDefault="000C073E" w:rsidP="000C073E">
      <w:pPr>
        <w:pStyle w:val="aExamINumss"/>
      </w:pPr>
      <w:r w:rsidRPr="00A35BB6">
        <w:t>2</w:t>
      </w:r>
      <w:r w:rsidRPr="00A35BB6">
        <w:tab/>
        <w:t>expressing concern about the amount of time or money the person spends on gambling</w:t>
      </w:r>
    </w:p>
    <w:p w14:paraId="1D2131CD" w14:textId="77777777" w:rsidR="000C073E" w:rsidRPr="00A35BB6" w:rsidRDefault="000C073E" w:rsidP="000C073E">
      <w:pPr>
        <w:pStyle w:val="aExamINumss"/>
      </w:pPr>
      <w:r w:rsidRPr="00A35BB6">
        <w:t>3</w:t>
      </w:r>
      <w:r w:rsidRPr="00A35BB6">
        <w:tab/>
        <w:t>acknowledging the person spends on gambling money needed for day-to-day living expenses, including for dependents</w:t>
      </w:r>
    </w:p>
    <w:p w14:paraId="1D803894" w14:textId="77777777" w:rsidR="000C073E" w:rsidRPr="00A35BB6" w:rsidRDefault="000C073E" w:rsidP="000C073E">
      <w:pPr>
        <w:pStyle w:val="aExamINumss"/>
      </w:pPr>
      <w:r w:rsidRPr="00A35BB6">
        <w:t>4</w:t>
      </w:r>
      <w:r w:rsidRPr="00A35BB6">
        <w:tab/>
        <w:t>having a disagreement with a family member or friend about the person’s gambling behaviour</w:t>
      </w:r>
    </w:p>
    <w:p w14:paraId="5B073498" w14:textId="77777777" w:rsidR="000C073E" w:rsidRPr="00A35BB6" w:rsidRDefault="000C073E" w:rsidP="000C073E">
      <w:pPr>
        <w:pStyle w:val="aExamINumss"/>
      </w:pPr>
      <w:r w:rsidRPr="00A35BB6">
        <w:lastRenderedPageBreak/>
        <w:t>5</w:t>
      </w:r>
      <w:r w:rsidRPr="00A35BB6">
        <w:tab/>
        <w:t>making multiple ATM cash withdrawals in the gambling facility</w:t>
      </w:r>
    </w:p>
    <w:p w14:paraId="3E799937" w14:textId="77777777" w:rsidR="000C073E" w:rsidRPr="00A35BB6" w:rsidRDefault="000C073E" w:rsidP="000C073E">
      <w:pPr>
        <w:pStyle w:val="aExamHdgss"/>
      </w:pPr>
      <w:r w:rsidRPr="00A35BB6">
        <w:t>Example—par (a) (ii)</w:t>
      </w:r>
    </w:p>
    <w:p w14:paraId="59F79F55" w14:textId="77777777" w:rsidR="000C073E" w:rsidRPr="00A35BB6" w:rsidRDefault="000C073E" w:rsidP="000C073E">
      <w:pPr>
        <w:pStyle w:val="aExamss"/>
        <w:keepNext/>
      </w:pPr>
      <w:r w:rsidRPr="00A35BB6">
        <w:t>contacting staff in the gambling facility by phone or email</w:t>
      </w:r>
    </w:p>
    <w:p w14:paraId="0BA85D3E" w14:textId="77777777" w:rsidR="000C073E" w:rsidRPr="00A35BB6" w:rsidRDefault="000C073E" w:rsidP="000C073E">
      <w:pPr>
        <w:pStyle w:val="Amain"/>
      </w:pPr>
      <w:r w:rsidRPr="00A35BB6">
        <w:tab/>
        <w:t>(2)</w:t>
      </w:r>
      <w:r w:rsidRPr="00A35BB6">
        <w:tab/>
        <w:t>The record—</w:t>
      </w:r>
    </w:p>
    <w:p w14:paraId="550DD370" w14:textId="77777777" w:rsidR="000C073E" w:rsidRPr="00A35BB6" w:rsidRDefault="000C073E" w:rsidP="000C073E">
      <w:pPr>
        <w:pStyle w:val="Apara"/>
      </w:pPr>
      <w:r w:rsidRPr="00A35BB6">
        <w:tab/>
        <w:t>(a)</w:t>
      </w:r>
      <w:r w:rsidRPr="00A35BB6">
        <w:tab/>
        <w:t>for a prescribed licensee—must be kept on the problem gambling incident register; or</w:t>
      </w:r>
    </w:p>
    <w:p w14:paraId="0E754735" w14:textId="77777777" w:rsidR="000C073E" w:rsidRPr="00A35BB6" w:rsidRDefault="000C073E" w:rsidP="000C073E">
      <w:pPr>
        <w:pStyle w:val="Apara"/>
      </w:pPr>
      <w:r w:rsidRPr="00A35BB6">
        <w:tab/>
        <w:t>(b)</w:t>
      </w:r>
      <w:r w:rsidRPr="00A35BB6">
        <w:tab/>
        <w:t>for any other licensee—must be in writing.</w:t>
      </w:r>
    </w:p>
    <w:p w14:paraId="443975B9" w14:textId="77777777" w:rsidR="000C073E" w:rsidRPr="00A35BB6" w:rsidRDefault="000C073E" w:rsidP="000C073E">
      <w:pPr>
        <w:pStyle w:val="aNote"/>
      </w:pPr>
      <w:r w:rsidRPr="00A35BB6">
        <w:rPr>
          <w:rStyle w:val="charItals"/>
        </w:rPr>
        <w:t>Note</w:t>
      </w:r>
      <w:r w:rsidRPr="00A35BB6">
        <w:rPr>
          <w:rStyle w:val="charItals"/>
        </w:rPr>
        <w:tab/>
      </w:r>
      <w:r w:rsidRPr="00A35BB6">
        <w:t>A licensee commits an offence if the licensee fails to make a record available for inspection when asked by the commission (see s 10).</w:t>
      </w:r>
    </w:p>
    <w:p w14:paraId="6B662042" w14:textId="77777777" w:rsidR="000C073E" w:rsidRPr="00A35BB6" w:rsidRDefault="000C073E" w:rsidP="00F966FF">
      <w:pPr>
        <w:pStyle w:val="Amain"/>
        <w:keepNext/>
      </w:pPr>
      <w:r w:rsidRPr="00A35BB6">
        <w:tab/>
        <w:t>(3)</w:t>
      </w:r>
      <w:r w:rsidRPr="00A35BB6">
        <w:tab/>
        <w:t>The record must include the following particulars:</w:t>
      </w:r>
    </w:p>
    <w:p w14:paraId="47F06CF3" w14:textId="77777777" w:rsidR="000C073E" w:rsidRPr="00A35BB6" w:rsidRDefault="000C073E" w:rsidP="000C073E">
      <w:pPr>
        <w:pStyle w:val="Apara"/>
      </w:pPr>
      <w:r w:rsidRPr="00A35BB6">
        <w:tab/>
        <w:t>(a)</w:t>
      </w:r>
      <w:r w:rsidRPr="00A35BB6">
        <w:tab/>
        <w:t>the date and nature of the problem gambling incident;</w:t>
      </w:r>
    </w:p>
    <w:p w14:paraId="6D90928C" w14:textId="77777777" w:rsidR="000C073E" w:rsidRPr="00A35BB6" w:rsidRDefault="000C073E" w:rsidP="000C073E">
      <w:pPr>
        <w:pStyle w:val="Apara"/>
      </w:pPr>
      <w:r w:rsidRPr="00A35BB6">
        <w:tab/>
        <w:t>(b)</w:t>
      </w:r>
      <w:r w:rsidRPr="00A35BB6">
        <w:tab/>
        <w:t xml:space="preserve">the name and address (if known), or description, of the person involved in the incident; </w:t>
      </w:r>
    </w:p>
    <w:p w14:paraId="5E52F0C1" w14:textId="77777777" w:rsidR="000C073E" w:rsidRPr="00A35BB6" w:rsidRDefault="000C073E" w:rsidP="003E3DF8">
      <w:pPr>
        <w:pStyle w:val="Apara"/>
        <w:keepNext/>
      </w:pPr>
      <w:r w:rsidRPr="00A35BB6">
        <w:tab/>
        <w:t>(c)</w:t>
      </w:r>
      <w:r w:rsidRPr="00A35BB6">
        <w:tab/>
        <w:t>if any action was taken by the licensee in relation to the person—the following details:</w:t>
      </w:r>
    </w:p>
    <w:p w14:paraId="2EEB0B88" w14:textId="77777777" w:rsidR="000C073E" w:rsidRPr="00A35BB6" w:rsidRDefault="000C073E" w:rsidP="003E3DF8">
      <w:pPr>
        <w:pStyle w:val="Asubpara"/>
        <w:keepNext/>
      </w:pPr>
      <w:r w:rsidRPr="00A35BB6">
        <w:tab/>
        <w:t>(i)</w:t>
      </w:r>
      <w:r w:rsidRPr="00A35BB6">
        <w:tab/>
        <w:t>the action taken;</w:t>
      </w:r>
    </w:p>
    <w:p w14:paraId="0A263E12" w14:textId="77777777" w:rsidR="000C073E" w:rsidRPr="00A35BB6" w:rsidRDefault="000C073E" w:rsidP="003E3DF8">
      <w:pPr>
        <w:pStyle w:val="Asubpara"/>
        <w:keepNext/>
      </w:pPr>
      <w:r w:rsidRPr="00A35BB6">
        <w:tab/>
        <w:t>(ii)</w:t>
      </w:r>
      <w:r w:rsidRPr="00A35BB6">
        <w:tab/>
        <w:t>the names of the individuals who took the action;</w:t>
      </w:r>
    </w:p>
    <w:p w14:paraId="7827EDF6" w14:textId="77777777" w:rsidR="000C073E" w:rsidRPr="00A35BB6" w:rsidRDefault="000C073E" w:rsidP="003E3DF8">
      <w:pPr>
        <w:pStyle w:val="Asubpara"/>
        <w:keepNext/>
      </w:pPr>
      <w:r w:rsidRPr="00A35BB6">
        <w:tab/>
        <w:t>(iii)</w:t>
      </w:r>
      <w:r w:rsidRPr="00A35BB6">
        <w:tab/>
        <w:t>any related action taken by someone else of which the licensee is aware.</w:t>
      </w:r>
    </w:p>
    <w:p w14:paraId="2EE0E3C4" w14:textId="77777777" w:rsidR="000C073E" w:rsidRPr="00A35BB6" w:rsidRDefault="000C073E" w:rsidP="000C073E">
      <w:pPr>
        <w:pStyle w:val="aExamHdgsubpar"/>
      </w:pPr>
      <w:r w:rsidRPr="00A35BB6">
        <w:t>Examples—subpar (iii)</w:t>
      </w:r>
    </w:p>
    <w:p w14:paraId="048E912D" w14:textId="77777777" w:rsidR="000C073E" w:rsidRPr="00ED3D87" w:rsidRDefault="000C073E" w:rsidP="00ED3D87">
      <w:pPr>
        <w:pStyle w:val="aExamsubpar"/>
        <w:tabs>
          <w:tab w:val="clear" w:pos="2381"/>
          <w:tab w:val="left" w:pos="2410"/>
        </w:tabs>
        <w:ind w:left="2410" w:hanging="270"/>
      </w:pPr>
      <w:r w:rsidRPr="00ED3D87">
        <w:t>1</w:t>
      </w:r>
      <w:r w:rsidRPr="00ED3D87">
        <w:tab/>
        <w:t>police arrest and charge the person for an offence relating to the problem gambling incident</w:t>
      </w:r>
    </w:p>
    <w:p w14:paraId="6C641CF3" w14:textId="77777777" w:rsidR="000C073E" w:rsidRPr="00ED3D87" w:rsidRDefault="000C073E" w:rsidP="00ED3D87">
      <w:pPr>
        <w:pStyle w:val="aExamsubpar"/>
        <w:tabs>
          <w:tab w:val="clear" w:pos="2381"/>
          <w:tab w:val="left" w:pos="2410"/>
        </w:tabs>
        <w:ind w:left="2410" w:hanging="270"/>
      </w:pPr>
      <w:r w:rsidRPr="00ED3D87">
        <w:t>2</w:t>
      </w:r>
      <w:r w:rsidRPr="00ED3D87">
        <w:tab/>
        <w:t>the person has been excluded from gambling at another gambling facility</w:t>
      </w:r>
    </w:p>
    <w:p w14:paraId="57B7798E" w14:textId="77777777" w:rsidR="000C073E" w:rsidRPr="00A35BB6" w:rsidRDefault="000C073E" w:rsidP="000C073E">
      <w:pPr>
        <w:pStyle w:val="Amain"/>
      </w:pPr>
      <w:r w:rsidRPr="00A35BB6">
        <w:tab/>
        <w:t>(4)</w:t>
      </w:r>
      <w:r w:rsidRPr="00A35BB6">
        <w:tab/>
        <w:t>A licensee must, within 3 consecutive trading days after becoming aware of a problem gambling incident—</w:t>
      </w:r>
    </w:p>
    <w:p w14:paraId="34BF305A" w14:textId="77777777" w:rsidR="000C073E" w:rsidRPr="00A35BB6" w:rsidRDefault="000C073E" w:rsidP="000C073E">
      <w:pPr>
        <w:pStyle w:val="Apara"/>
      </w:pPr>
      <w:r w:rsidRPr="00A35BB6">
        <w:tab/>
        <w:t>(a)</w:t>
      </w:r>
      <w:r w:rsidRPr="00A35BB6">
        <w:tab/>
        <w:t>for a prescribed licensee—record the incident in the problem gambling incident register; or</w:t>
      </w:r>
    </w:p>
    <w:p w14:paraId="25AEB886" w14:textId="77777777" w:rsidR="000C073E" w:rsidRPr="00A35BB6" w:rsidRDefault="000C073E" w:rsidP="000C073E">
      <w:pPr>
        <w:pStyle w:val="Apara"/>
      </w:pPr>
      <w:r w:rsidRPr="00A35BB6">
        <w:lastRenderedPageBreak/>
        <w:tab/>
        <w:t>(b)</w:t>
      </w:r>
      <w:r w:rsidRPr="00A35BB6">
        <w:tab/>
        <w:t>for any other licensee—make a written record of the incident.</w:t>
      </w:r>
    </w:p>
    <w:p w14:paraId="3AE9BFA0" w14:textId="77777777" w:rsidR="000C073E" w:rsidRPr="00A35BB6" w:rsidRDefault="000C073E" w:rsidP="000C073E">
      <w:pPr>
        <w:pStyle w:val="Amain"/>
      </w:pPr>
      <w:r w:rsidRPr="00A35BB6">
        <w:tab/>
        <w:t>(5)</w:t>
      </w:r>
      <w:r w:rsidRPr="00A35BB6">
        <w:tab/>
        <w:t>In this section:</w:t>
      </w:r>
    </w:p>
    <w:p w14:paraId="346939E3" w14:textId="77777777" w:rsidR="000C073E" w:rsidRPr="00A35BB6" w:rsidRDefault="000C073E" w:rsidP="000C073E">
      <w:pPr>
        <w:pStyle w:val="aDef"/>
      </w:pPr>
      <w:r w:rsidRPr="00A35BB6">
        <w:rPr>
          <w:rStyle w:val="charBoldItals"/>
        </w:rPr>
        <w:t>prescribed licensee</w:t>
      </w:r>
      <w:r w:rsidRPr="00A35BB6">
        <w:t xml:space="preserve"> means—</w:t>
      </w:r>
    </w:p>
    <w:p w14:paraId="43DE8E5C" w14:textId="77777777" w:rsidR="000C073E" w:rsidRPr="00A35BB6" w:rsidRDefault="000C073E" w:rsidP="000C073E">
      <w:pPr>
        <w:pStyle w:val="aDefpara"/>
      </w:pPr>
      <w:r w:rsidRPr="00A35BB6">
        <w:tab/>
        <w:t>(a)</w:t>
      </w:r>
      <w:r w:rsidRPr="00A35BB6">
        <w:tab/>
        <w:t>a gaming machine licensee; and</w:t>
      </w:r>
    </w:p>
    <w:p w14:paraId="4C08318B" w14:textId="77777777" w:rsidR="000C073E" w:rsidRPr="00A35BB6" w:rsidRDefault="000C073E" w:rsidP="000C073E">
      <w:pPr>
        <w:pStyle w:val="aDefpara"/>
      </w:pPr>
      <w:r w:rsidRPr="00A35BB6">
        <w:tab/>
        <w:t>(b)</w:t>
      </w:r>
      <w:r w:rsidRPr="00A35BB6">
        <w:tab/>
        <w:t>a casino licensee; and</w:t>
      </w:r>
    </w:p>
    <w:p w14:paraId="71617E54" w14:textId="77777777" w:rsidR="000C073E" w:rsidRPr="00A35BB6" w:rsidRDefault="000C073E" w:rsidP="000C073E">
      <w:pPr>
        <w:pStyle w:val="aDefpara"/>
      </w:pPr>
      <w:r w:rsidRPr="00A35BB6">
        <w:tab/>
        <w:t>(c)</w:t>
      </w:r>
      <w:r w:rsidRPr="00A35BB6">
        <w:tab/>
        <w:t>a totalisator licensee.</w:t>
      </w:r>
    </w:p>
    <w:p w14:paraId="44385EBE" w14:textId="77777777" w:rsidR="000C073E" w:rsidRPr="00A35BB6" w:rsidRDefault="000C073E" w:rsidP="000C073E">
      <w:pPr>
        <w:pStyle w:val="aDef"/>
      </w:pPr>
      <w:r w:rsidRPr="00A35BB6">
        <w:rPr>
          <w:rStyle w:val="charBoldItals"/>
        </w:rPr>
        <w:t>problem gambling incident register</w:t>
      </w:r>
      <w:r w:rsidRPr="00A35BB6">
        <w:t xml:space="preserve">—see section 1.6. </w:t>
      </w:r>
    </w:p>
    <w:p w14:paraId="41976D2D" w14:textId="77777777" w:rsidR="00D847F1" w:rsidRDefault="00D847F1">
      <w:pPr>
        <w:pStyle w:val="Schclauseheading"/>
      </w:pPr>
      <w:bookmarkStart w:id="59" w:name="_Toc155080714"/>
      <w:r w:rsidRPr="004D57A4">
        <w:rPr>
          <w:rStyle w:val="CharSectNo"/>
        </w:rPr>
        <w:t>1.7</w:t>
      </w:r>
      <w:r>
        <w:tab/>
        <w:t>Gambling beyond means</w:t>
      </w:r>
      <w:bookmarkEnd w:id="59"/>
    </w:p>
    <w:p w14:paraId="69441C21" w14:textId="77777777" w:rsidR="00D847F1" w:rsidRDefault="00D847F1">
      <w:pPr>
        <w:pStyle w:val="Amainreturn"/>
      </w:pPr>
      <w:r>
        <w:t>A licensee of a gambling facility must not encourage a person to gamble beyond the person’s means.</w:t>
      </w:r>
    </w:p>
    <w:p w14:paraId="74F81472" w14:textId="77777777" w:rsidR="00D847F1" w:rsidRDefault="00D847F1">
      <w:pPr>
        <w:pStyle w:val="Schclauseheading"/>
      </w:pPr>
      <w:bookmarkStart w:id="60" w:name="_Toc155080715"/>
      <w:r w:rsidRPr="004D57A4">
        <w:rPr>
          <w:rStyle w:val="CharSectNo"/>
        </w:rPr>
        <w:t>1.8</w:t>
      </w:r>
      <w:r>
        <w:tab/>
        <w:t>Help in relation to gambling problems</w:t>
      </w:r>
      <w:bookmarkEnd w:id="60"/>
      <w:r>
        <w:t xml:space="preserve"> </w:t>
      </w:r>
    </w:p>
    <w:p w14:paraId="6C356048" w14:textId="77777777" w:rsidR="00D847F1" w:rsidRDefault="00D847F1">
      <w:pPr>
        <w:pStyle w:val="Amainreturn"/>
      </w:pPr>
      <w:r>
        <w:t>If the licensee of a gambling facility is asked by a person in the facility about problem gambling, the licensee must take reasonable steps to give the person advice or information about counselling and advisory services available from support agencies.</w:t>
      </w:r>
    </w:p>
    <w:p w14:paraId="56BBA88F" w14:textId="77777777" w:rsidR="00D847F1" w:rsidRDefault="00D847F1">
      <w:pPr>
        <w:pStyle w:val="Schclauseheading"/>
      </w:pPr>
      <w:bookmarkStart w:id="61" w:name="_Toc155080716"/>
      <w:r w:rsidRPr="004D57A4">
        <w:rPr>
          <w:rStyle w:val="CharSectNo"/>
        </w:rPr>
        <w:t>1.9</w:t>
      </w:r>
      <w:r>
        <w:tab/>
        <w:t>Gambling contact officers</w:t>
      </w:r>
      <w:bookmarkEnd w:id="61"/>
    </w:p>
    <w:p w14:paraId="783E6045" w14:textId="77777777" w:rsidR="00D847F1" w:rsidRDefault="00D847F1">
      <w:pPr>
        <w:pStyle w:val="Amain"/>
      </w:pPr>
      <w:r>
        <w:tab/>
        <w:t>(1)</w:t>
      </w:r>
      <w:r>
        <w:tab/>
        <w:t>A licensee of a gambling facility must not conduct gambling at the facility unless at least 1 gambling contact officer has been appointed for the facility.</w:t>
      </w:r>
    </w:p>
    <w:p w14:paraId="0C002D9B" w14:textId="77777777" w:rsidR="00D847F1" w:rsidRDefault="00D847F1">
      <w:pPr>
        <w:pStyle w:val="Amain"/>
      </w:pPr>
      <w:r>
        <w:tab/>
        <w:t>(2)</w:t>
      </w:r>
      <w:r>
        <w:tab/>
        <w:t>A gambling contact officer for the facility may be the licensee or a person appointed by the licensee.</w:t>
      </w:r>
    </w:p>
    <w:p w14:paraId="7DE25491" w14:textId="77777777" w:rsidR="000569CA" w:rsidRPr="00A35BB6" w:rsidRDefault="000569CA" w:rsidP="000569CA">
      <w:pPr>
        <w:pStyle w:val="Amain"/>
      </w:pPr>
      <w:r w:rsidRPr="00A35BB6">
        <w:tab/>
        <w:t>(3)</w:t>
      </w:r>
      <w:r w:rsidRPr="00A35BB6">
        <w:tab/>
        <w:t>A person is eligible to be appointed as a gambling contact officer by the licensee only if the person has successfully completed an approved training program within the previous 3 years.</w:t>
      </w:r>
    </w:p>
    <w:p w14:paraId="6ED346E5" w14:textId="77777777" w:rsidR="000569CA" w:rsidRPr="00A35BB6" w:rsidRDefault="000569CA" w:rsidP="000569CA">
      <w:pPr>
        <w:pStyle w:val="aNote"/>
      </w:pPr>
      <w:r w:rsidRPr="00A35BB6">
        <w:rPr>
          <w:rStyle w:val="charItals"/>
        </w:rPr>
        <w:t>Note</w:t>
      </w:r>
      <w:r w:rsidRPr="00A35BB6">
        <w:rPr>
          <w:rStyle w:val="charItals"/>
        </w:rPr>
        <w:tab/>
      </w:r>
      <w:r w:rsidRPr="00A35BB6">
        <w:rPr>
          <w:rStyle w:val="charBoldItals"/>
        </w:rPr>
        <w:t>Approved training program</w:t>
      </w:r>
      <w:r w:rsidRPr="00A35BB6">
        <w:t>—see the dictionary.</w:t>
      </w:r>
    </w:p>
    <w:p w14:paraId="3A53A1B9" w14:textId="77777777" w:rsidR="000569CA" w:rsidRPr="00A35BB6" w:rsidRDefault="000569CA" w:rsidP="000569CA">
      <w:pPr>
        <w:pStyle w:val="Amain"/>
      </w:pPr>
      <w:r w:rsidRPr="00A35BB6">
        <w:lastRenderedPageBreak/>
        <w:tab/>
        <w:t>(4)</w:t>
      </w:r>
      <w:r w:rsidRPr="00A35BB6">
        <w:tab/>
        <w:t>To remain eligible for appointment, a gambling contact officer must successfully complete an approved GCO training session in each year of the officer’s appointment.</w:t>
      </w:r>
    </w:p>
    <w:p w14:paraId="35700AA7" w14:textId="77777777" w:rsidR="000569CA" w:rsidRPr="00A35BB6" w:rsidRDefault="000569CA" w:rsidP="000569CA">
      <w:pPr>
        <w:pStyle w:val="Amain"/>
      </w:pPr>
      <w:r w:rsidRPr="00A35BB6">
        <w:tab/>
        <w:t>(5)</w:t>
      </w:r>
      <w:r w:rsidRPr="00A35BB6">
        <w:tab/>
        <w:t>The commission may exempt a gambling contact officer, in writing, from complying with subsection (3) or (4).</w:t>
      </w:r>
    </w:p>
    <w:p w14:paraId="26557758" w14:textId="77777777" w:rsidR="000569CA" w:rsidRPr="00A35BB6" w:rsidRDefault="000569CA" w:rsidP="000569CA">
      <w:pPr>
        <w:pStyle w:val="Amain"/>
      </w:pPr>
      <w:r w:rsidRPr="00A35BB6">
        <w:tab/>
        <w:t>(6)</w:t>
      </w:r>
      <w:r w:rsidRPr="00A35BB6">
        <w:tab/>
        <w:t>An exemption may be conditional.</w:t>
      </w:r>
    </w:p>
    <w:p w14:paraId="37D03A2B" w14:textId="77777777" w:rsidR="000569CA" w:rsidRPr="00A35BB6" w:rsidRDefault="000569CA" w:rsidP="003E3DF8">
      <w:pPr>
        <w:pStyle w:val="Amain"/>
        <w:keepNext/>
      </w:pPr>
      <w:r w:rsidRPr="00A35BB6">
        <w:tab/>
        <w:t>(7)</w:t>
      </w:r>
      <w:r w:rsidRPr="00A35BB6">
        <w:tab/>
        <w:t>In this section:</w:t>
      </w:r>
    </w:p>
    <w:p w14:paraId="4A545D3C" w14:textId="77777777" w:rsidR="000569CA" w:rsidRPr="00A35BB6" w:rsidRDefault="000569CA" w:rsidP="003E3DF8">
      <w:pPr>
        <w:pStyle w:val="aDef"/>
        <w:keepNext/>
      </w:pPr>
      <w:r w:rsidRPr="00A35BB6">
        <w:rPr>
          <w:rStyle w:val="charBoldItals"/>
        </w:rPr>
        <w:t>approved GCO training session</w:t>
      </w:r>
      <w:r w:rsidRPr="00A35BB6">
        <w:t xml:space="preserve"> means a training session approved by the commission for gambling contact officers about problem or responsible gambling.</w:t>
      </w:r>
    </w:p>
    <w:p w14:paraId="2189A9EE" w14:textId="77777777" w:rsidR="000569CA" w:rsidRPr="00A35BB6" w:rsidRDefault="000569CA" w:rsidP="003E3DF8">
      <w:pPr>
        <w:pStyle w:val="aExamHdgss"/>
      </w:pPr>
      <w:r w:rsidRPr="00A35BB6">
        <w:t>Examples—training sessions</w:t>
      </w:r>
    </w:p>
    <w:p w14:paraId="3948CEDA" w14:textId="77777777" w:rsidR="000569CA" w:rsidRPr="00A35BB6" w:rsidRDefault="000569CA" w:rsidP="003E3DF8">
      <w:pPr>
        <w:pStyle w:val="aExamBulletss"/>
        <w:keepNext/>
        <w:tabs>
          <w:tab w:val="left" w:pos="1500"/>
        </w:tabs>
      </w:pPr>
      <w:r w:rsidRPr="00A35BB6">
        <w:rPr>
          <w:rFonts w:ascii="Symbol" w:hAnsi="Symbol"/>
        </w:rPr>
        <w:t></w:t>
      </w:r>
      <w:r w:rsidRPr="00A35BB6">
        <w:rPr>
          <w:rFonts w:ascii="Symbol" w:hAnsi="Symbol"/>
        </w:rPr>
        <w:tab/>
      </w:r>
      <w:r w:rsidRPr="00A35BB6">
        <w:t>conferences</w:t>
      </w:r>
    </w:p>
    <w:p w14:paraId="39344E4C" w14:textId="77777777" w:rsidR="000569CA" w:rsidRPr="00A35BB6" w:rsidRDefault="000569CA" w:rsidP="003E3DF8">
      <w:pPr>
        <w:pStyle w:val="aExamBulletss"/>
        <w:keepNext/>
        <w:tabs>
          <w:tab w:val="left" w:pos="1500"/>
        </w:tabs>
      </w:pPr>
      <w:r w:rsidRPr="00A35BB6">
        <w:rPr>
          <w:rFonts w:ascii="Symbol" w:hAnsi="Symbol"/>
        </w:rPr>
        <w:t></w:t>
      </w:r>
      <w:r w:rsidRPr="00A35BB6">
        <w:rPr>
          <w:rFonts w:ascii="Symbol" w:hAnsi="Symbol"/>
        </w:rPr>
        <w:tab/>
      </w:r>
      <w:r w:rsidRPr="00A35BB6">
        <w:t>seminars</w:t>
      </w:r>
    </w:p>
    <w:p w14:paraId="26AC8FEE" w14:textId="77777777" w:rsidR="000569CA" w:rsidRPr="00A35BB6" w:rsidRDefault="000569CA" w:rsidP="00FF358C">
      <w:pPr>
        <w:pStyle w:val="aExamBulletss"/>
        <w:keepNext/>
        <w:tabs>
          <w:tab w:val="left" w:pos="1500"/>
        </w:tabs>
      </w:pPr>
      <w:r w:rsidRPr="00A35BB6">
        <w:rPr>
          <w:rFonts w:ascii="Symbol" w:hAnsi="Symbol"/>
        </w:rPr>
        <w:t></w:t>
      </w:r>
      <w:r w:rsidRPr="00A35BB6">
        <w:rPr>
          <w:rFonts w:ascii="Symbol" w:hAnsi="Symbol"/>
        </w:rPr>
        <w:tab/>
      </w:r>
      <w:r w:rsidRPr="00A35BB6">
        <w:t>online courses</w:t>
      </w:r>
    </w:p>
    <w:p w14:paraId="451A5A87" w14:textId="77777777" w:rsidR="000569CA" w:rsidRPr="00A35BB6" w:rsidRDefault="000569CA" w:rsidP="008C0F76">
      <w:pPr>
        <w:pStyle w:val="aExamBulletss"/>
        <w:tabs>
          <w:tab w:val="left" w:pos="1500"/>
        </w:tabs>
      </w:pPr>
      <w:r w:rsidRPr="00A35BB6">
        <w:rPr>
          <w:rFonts w:ascii="Symbol" w:hAnsi="Symbol"/>
        </w:rPr>
        <w:t></w:t>
      </w:r>
      <w:r w:rsidRPr="00A35BB6">
        <w:rPr>
          <w:rFonts w:ascii="Symbol" w:hAnsi="Symbol"/>
        </w:rPr>
        <w:tab/>
      </w:r>
      <w:r w:rsidRPr="00A35BB6">
        <w:t>lectures</w:t>
      </w:r>
    </w:p>
    <w:p w14:paraId="1F0FC84F" w14:textId="77777777" w:rsidR="00D847F1" w:rsidRDefault="00D847F1">
      <w:pPr>
        <w:pStyle w:val="Schclauseheading"/>
      </w:pPr>
      <w:bookmarkStart w:id="62" w:name="_Toc155080717"/>
      <w:r w:rsidRPr="004D57A4">
        <w:rPr>
          <w:rStyle w:val="CharSectNo"/>
        </w:rPr>
        <w:t>1.10</w:t>
      </w:r>
      <w:r>
        <w:tab/>
        <w:t>Gambling contact officers functions</w:t>
      </w:r>
      <w:bookmarkEnd w:id="62"/>
    </w:p>
    <w:p w14:paraId="3B843B51" w14:textId="77777777" w:rsidR="00D847F1" w:rsidRDefault="00D847F1">
      <w:pPr>
        <w:pStyle w:val="Amain"/>
        <w:keepNext/>
      </w:pPr>
      <w:r>
        <w:tab/>
        <w:t>(1)</w:t>
      </w:r>
      <w:r>
        <w:tab/>
        <w:t>A gambling contact officer for a gambling facility has the following functions (as well as the functions under section 1.11):</w:t>
      </w:r>
    </w:p>
    <w:p w14:paraId="5AE46A3E" w14:textId="77777777" w:rsidR="00D847F1" w:rsidRDefault="00D847F1">
      <w:pPr>
        <w:pStyle w:val="Apara"/>
      </w:pPr>
      <w:r>
        <w:tab/>
        <w:t>(a)</w:t>
      </w:r>
      <w:r>
        <w:tab/>
        <w:t>to give the people about whom a report under section 1.11 is made help to obtain information and counselling about problem gambling;</w:t>
      </w:r>
    </w:p>
    <w:p w14:paraId="07CCA1DF" w14:textId="77777777" w:rsidR="00D847F1" w:rsidRDefault="00D847F1">
      <w:pPr>
        <w:pStyle w:val="Apara"/>
      </w:pPr>
      <w:r>
        <w:tab/>
        <w:t>(b)</w:t>
      </w:r>
      <w:r>
        <w:tab/>
        <w:t>if a complaint is made to the officer about problem gambling at the facility—</w:t>
      </w:r>
    </w:p>
    <w:p w14:paraId="506A9737" w14:textId="77777777" w:rsidR="00D847F1" w:rsidRDefault="00D847F1">
      <w:pPr>
        <w:pStyle w:val="Asubpara"/>
      </w:pPr>
      <w:r>
        <w:tab/>
        <w:t>(i)</w:t>
      </w:r>
      <w:r>
        <w:tab/>
        <w:t>to record details of the complaint and any action taken; and</w:t>
      </w:r>
    </w:p>
    <w:p w14:paraId="24380375" w14:textId="77777777" w:rsidR="00D847F1" w:rsidRDefault="00D847F1">
      <w:pPr>
        <w:pStyle w:val="Asubpara"/>
      </w:pPr>
      <w:r>
        <w:tab/>
        <w:t>(ii)</w:t>
      </w:r>
      <w:r>
        <w:tab/>
        <w:t>to tell the complainant about any action taken or that action was not taken and the reasons why; and</w:t>
      </w:r>
    </w:p>
    <w:p w14:paraId="13E95741" w14:textId="77777777" w:rsidR="00D847F1" w:rsidRDefault="00D847F1">
      <w:pPr>
        <w:pStyle w:val="Asubpara"/>
      </w:pPr>
      <w:r>
        <w:tab/>
        <w:t>(iii)</w:t>
      </w:r>
      <w:r>
        <w:tab/>
        <w:t xml:space="preserve">to tell the complainant that a complaint can be made to the commission; </w:t>
      </w:r>
    </w:p>
    <w:p w14:paraId="79C5117B" w14:textId="77777777" w:rsidR="00D847F1" w:rsidRDefault="00D847F1">
      <w:pPr>
        <w:pStyle w:val="Apara"/>
      </w:pPr>
      <w:r>
        <w:lastRenderedPageBreak/>
        <w:tab/>
        <w:t>(c)</w:t>
      </w:r>
      <w:r>
        <w:tab/>
        <w:t xml:space="preserve">to report to the licensee about any complaints made to the officer about problem gambling at the facility; </w:t>
      </w:r>
    </w:p>
    <w:p w14:paraId="183C96B8" w14:textId="77777777" w:rsidR="00D847F1" w:rsidRDefault="0063631C">
      <w:pPr>
        <w:pStyle w:val="Apara"/>
      </w:pPr>
      <w:r>
        <w:tab/>
        <w:t>(d</w:t>
      </w:r>
      <w:r w:rsidR="00D847F1">
        <w:t>)</w:t>
      </w:r>
      <w:r w:rsidR="00D847F1">
        <w:tab/>
        <w:t>to ensure, as far as possible, that there is no unauthorised or inappropriate disclosure of personal information obtained or kept under this code of practice.</w:t>
      </w:r>
    </w:p>
    <w:p w14:paraId="676ECE35" w14:textId="77777777" w:rsidR="00D847F1" w:rsidRDefault="00D847F1">
      <w:pPr>
        <w:pStyle w:val="Amain"/>
        <w:keepNext/>
      </w:pPr>
      <w:r>
        <w:tab/>
        <w:t>(2)</w:t>
      </w:r>
      <w:r>
        <w:tab/>
        <w:t>A gambling contact officer has any other function given to the gambling contact officer under this code of practice.</w:t>
      </w:r>
    </w:p>
    <w:p w14:paraId="20E9BE64" w14:textId="77777777" w:rsidR="00D847F1" w:rsidRDefault="00D847F1">
      <w:pPr>
        <w:pStyle w:val="aNote"/>
      </w:pPr>
      <w:r>
        <w:rPr>
          <w:rStyle w:val="charItals"/>
        </w:rPr>
        <w:t>Note 1</w:t>
      </w:r>
      <w:r>
        <w:rPr>
          <w:rStyle w:val="charItals"/>
        </w:rPr>
        <w:tab/>
      </w:r>
      <w:r>
        <w:t xml:space="preserve">The commission can investigate complaints about noncompliance with a gaming law (see Act, s 31).  </w:t>
      </w:r>
    </w:p>
    <w:p w14:paraId="4239D4D3" w14:textId="77777777" w:rsidR="00D847F1" w:rsidRDefault="00D847F1">
      <w:pPr>
        <w:pStyle w:val="aNote"/>
      </w:pPr>
      <w:r>
        <w:rPr>
          <w:rStyle w:val="charItals"/>
        </w:rPr>
        <w:t>Note 2</w:t>
      </w:r>
      <w:r>
        <w:rPr>
          <w:rStyle w:val="charItals"/>
        </w:rPr>
        <w:tab/>
      </w:r>
      <w:r>
        <w:t>A complaint to the commission could include a complaint about a gambling contact officer.</w:t>
      </w:r>
    </w:p>
    <w:p w14:paraId="3FA67BF8" w14:textId="77777777" w:rsidR="00D847F1" w:rsidRDefault="00D847F1">
      <w:pPr>
        <w:pStyle w:val="Schclauseheading"/>
      </w:pPr>
      <w:bookmarkStart w:id="63" w:name="_Toc155080718"/>
      <w:r w:rsidRPr="004D57A4">
        <w:rPr>
          <w:rStyle w:val="CharSectNo"/>
        </w:rPr>
        <w:t>1.11</w:t>
      </w:r>
      <w:r>
        <w:tab/>
        <w:t>Dealing with people with gambling problem</w:t>
      </w:r>
      <w:bookmarkEnd w:id="63"/>
    </w:p>
    <w:p w14:paraId="70EEA059" w14:textId="77777777" w:rsidR="00D847F1" w:rsidRDefault="00D847F1">
      <w:pPr>
        <w:pStyle w:val="Amain"/>
      </w:pPr>
      <w:r>
        <w:tab/>
        <w:t>(1)</w:t>
      </w:r>
      <w:r>
        <w:tab/>
        <w:t>The licensee of a gambling facility must ensure the gambling contact officer for the facility is told about—</w:t>
      </w:r>
    </w:p>
    <w:p w14:paraId="0D8A6C93" w14:textId="77777777" w:rsidR="00D847F1" w:rsidRDefault="00D847F1">
      <w:pPr>
        <w:pStyle w:val="Apara"/>
      </w:pPr>
      <w:r>
        <w:tab/>
        <w:t>(a)</w:t>
      </w:r>
      <w:r>
        <w:tab/>
        <w:t>any person in the facility whom the licensee or a staff member has reasonable grounds for believing has a gambling problem; and</w:t>
      </w:r>
    </w:p>
    <w:p w14:paraId="1273E8CB" w14:textId="77777777" w:rsidR="00D847F1" w:rsidRDefault="00D847F1">
      <w:pPr>
        <w:pStyle w:val="Apara"/>
      </w:pPr>
      <w:r>
        <w:tab/>
        <w:t>(b)</w:t>
      </w:r>
      <w:r>
        <w:tab/>
        <w:t>the details of the person’s behaviour that led to the belief.</w:t>
      </w:r>
    </w:p>
    <w:p w14:paraId="03B67FBA" w14:textId="77777777" w:rsidR="00D847F1" w:rsidRDefault="00D847F1">
      <w:pPr>
        <w:pStyle w:val="Amain"/>
      </w:pPr>
      <w:r>
        <w:tab/>
        <w:t>(2)</w:t>
      </w:r>
      <w:r>
        <w:tab/>
        <w:t>The gambling contact officer must keep a register of—</w:t>
      </w:r>
    </w:p>
    <w:p w14:paraId="0B4EBD18" w14:textId="77777777" w:rsidR="00D847F1" w:rsidRDefault="00D847F1">
      <w:pPr>
        <w:pStyle w:val="Apara"/>
      </w:pPr>
      <w:r>
        <w:tab/>
        <w:t>(a)</w:t>
      </w:r>
      <w:r>
        <w:tab/>
        <w:t>the name or a description of each person about whom the officer has been told under subsection (1); and</w:t>
      </w:r>
    </w:p>
    <w:p w14:paraId="66B8EFDF" w14:textId="77777777" w:rsidR="00D847F1" w:rsidRDefault="00D847F1">
      <w:pPr>
        <w:pStyle w:val="Apara"/>
      </w:pPr>
      <w:r>
        <w:tab/>
        <w:t>(b)</w:t>
      </w:r>
      <w:r>
        <w:tab/>
        <w:t>details given to the officer under that subsection; and</w:t>
      </w:r>
    </w:p>
    <w:p w14:paraId="5FD73A04" w14:textId="77777777" w:rsidR="00D847F1" w:rsidRDefault="00D847F1">
      <w:pPr>
        <w:pStyle w:val="Apara"/>
      </w:pPr>
      <w:r>
        <w:tab/>
        <w:t>(c)</w:t>
      </w:r>
      <w:r>
        <w:tab/>
        <w:t>the name or a description of each person (other than someone mentioned in subsection (1) (a)) whom the officer has reasonable grounds for believing has a gambling problem; and</w:t>
      </w:r>
    </w:p>
    <w:p w14:paraId="5ED99CE5" w14:textId="77777777" w:rsidR="00D847F1" w:rsidRDefault="00D847F1">
      <w:pPr>
        <w:pStyle w:val="Apara"/>
      </w:pPr>
      <w:r>
        <w:tab/>
        <w:t>(d)</w:t>
      </w:r>
      <w:r>
        <w:tab/>
        <w:t>details of the person’s behaviour that led to the gambling contact officer’s belief.</w:t>
      </w:r>
    </w:p>
    <w:p w14:paraId="5D64D72E" w14:textId="77777777" w:rsidR="00D847F1" w:rsidRDefault="00D847F1" w:rsidP="00C4267C">
      <w:pPr>
        <w:pStyle w:val="Amain"/>
        <w:keepNext/>
      </w:pPr>
      <w:r>
        <w:lastRenderedPageBreak/>
        <w:tab/>
        <w:t>(3)</w:t>
      </w:r>
      <w:r>
        <w:tab/>
        <w:t>The gambling contact officer must take reasonable steps, in relation to a person mentioned in subsection (2) (a) and (c), to—</w:t>
      </w:r>
    </w:p>
    <w:p w14:paraId="009FDF53" w14:textId="77777777" w:rsidR="00D847F1" w:rsidRDefault="00D847F1">
      <w:pPr>
        <w:pStyle w:val="Apara"/>
      </w:pPr>
      <w:r>
        <w:tab/>
        <w:t>(a)</w:t>
      </w:r>
      <w:r>
        <w:tab/>
        <w:t>discuss the possible gambling problem with the person as soon as possible; and</w:t>
      </w:r>
    </w:p>
    <w:p w14:paraId="10471DF1" w14:textId="77777777" w:rsidR="00D847F1" w:rsidRDefault="00D847F1" w:rsidP="008C0F0D">
      <w:pPr>
        <w:pStyle w:val="Apara"/>
        <w:keepNext/>
      </w:pPr>
      <w:r>
        <w:tab/>
        <w:t>(b)</w:t>
      </w:r>
      <w:r>
        <w:tab/>
        <w:t>give the person advice or information about—</w:t>
      </w:r>
    </w:p>
    <w:p w14:paraId="13544F2B" w14:textId="77777777" w:rsidR="00D847F1" w:rsidRDefault="00D847F1">
      <w:pPr>
        <w:pStyle w:val="Asubpara"/>
      </w:pPr>
      <w:r>
        <w:tab/>
        <w:t>(i)</w:t>
      </w:r>
      <w:r>
        <w:tab/>
        <w:t>counselling and advisory services available from support agencies; and</w:t>
      </w:r>
    </w:p>
    <w:p w14:paraId="246DCE78" w14:textId="77777777" w:rsidR="00D847F1" w:rsidRDefault="00D847F1">
      <w:pPr>
        <w:pStyle w:val="Asubpara"/>
      </w:pPr>
      <w:r>
        <w:tab/>
        <w:t>(ii)</w:t>
      </w:r>
      <w:r>
        <w:tab/>
        <w:t xml:space="preserve">any other appropriate action that may be taken by the person, including the opportunity to sign a deed </w:t>
      </w:r>
      <w:r w:rsidR="00336029">
        <w:t xml:space="preserve">of exclusion </w:t>
      </w:r>
      <w:r>
        <w:t>to ensure the person’s exclusion from gambling at the facility.</w:t>
      </w:r>
    </w:p>
    <w:p w14:paraId="2396A960" w14:textId="77777777" w:rsidR="00D847F1" w:rsidRPr="004D57A4" w:rsidRDefault="00D847F1">
      <w:pPr>
        <w:pStyle w:val="Sched-Form"/>
      </w:pPr>
      <w:bookmarkStart w:id="64" w:name="_Toc155080719"/>
      <w:r w:rsidRPr="004D57A4">
        <w:rPr>
          <w:rStyle w:val="CharDivNo"/>
        </w:rPr>
        <w:t>Division 1.2.3</w:t>
      </w:r>
      <w:r>
        <w:tab/>
      </w:r>
      <w:r w:rsidRPr="004D57A4">
        <w:rPr>
          <w:rStyle w:val="CharDivText"/>
        </w:rPr>
        <w:t>Exclusion from gambling generally</w:t>
      </w:r>
      <w:bookmarkEnd w:id="64"/>
    </w:p>
    <w:p w14:paraId="65EC868D" w14:textId="77777777" w:rsidR="00D847F1" w:rsidRDefault="00D847F1">
      <w:pPr>
        <w:pStyle w:val="Schclauseheading"/>
      </w:pPr>
      <w:bookmarkStart w:id="65" w:name="_Toc155080720"/>
      <w:r w:rsidRPr="004D57A4">
        <w:rPr>
          <w:rStyle w:val="CharSectNo"/>
        </w:rPr>
        <w:t>1.12</w:t>
      </w:r>
      <w:r>
        <w:tab/>
        <w:t>Application of div 1.2.3</w:t>
      </w:r>
      <w:bookmarkEnd w:id="65"/>
    </w:p>
    <w:p w14:paraId="3DF2BA09" w14:textId="77777777" w:rsidR="00D847F1" w:rsidRDefault="00D847F1">
      <w:pPr>
        <w:pStyle w:val="Amain"/>
      </w:pPr>
      <w:r>
        <w:tab/>
        <w:t>(1)</w:t>
      </w:r>
      <w:r>
        <w:tab/>
        <w:t>This division does not apply to someone</w:t>
      </w:r>
      <w:r w:rsidRPr="00F1531F">
        <w:t xml:space="preserve"> </w:t>
      </w:r>
      <w:r>
        <w:t xml:space="preserve">mentioned in section 1.1, definition of </w:t>
      </w:r>
      <w:r>
        <w:rPr>
          <w:rStyle w:val="charBoldItals"/>
        </w:rPr>
        <w:t>licensee</w:t>
      </w:r>
      <w:r>
        <w:t>, paragraph (f).</w:t>
      </w:r>
    </w:p>
    <w:p w14:paraId="23D7AF28" w14:textId="5762E915" w:rsidR="00D847F1" w:rsidRDefault="00D847F1">
      <w:pPr>
        <w:pStyle w:val="Amain"/>
      </w:pPr>
      <w:r>
        <w:tab/>
        <w:t>(2)</w:t>
      </w:r>
      <w:r>
        <w:tab/>
        <w:t xml:space="preserve">Also, this division, other than section 1.14 (1) (Exclusion of people at risk or excluded under deed), section 1.19 (Accounts of certain excluded people), and section 1.20 (Promotional material not to be given to certain excluded people), does not apply to a licensed provider under the </w:t>
      </w:r>
      <w:hyperlink r:id="rId65" w:tooltip="A1998-24" w:history="1">
        <w:r w:rsidR="00DF21AF" w:rsidRPr="00DF21AF">
          <w:rPr>
            <w:rStyle w:val="charCitHyperlinkItal"/>
          </w:rPr>
          <w:t>Interactive Gambling Act 1998</w:t>
        </w:r>
      </w:hyperlink>
      <w:r>
        <w:t>.</w:t>
      </w:r>
    </w:p>
    <w:p w14:paraId="24675ABD" w14:textId="4A25B960" w:rsidR="00D847F1" w:rsidRDefault="00D847F1">
      <w:pPr>
        <w:pStyle w:val="aNote"/>
      </w:pPr>
      <w:r>
        <w:rPr>
          <w:rStyle w:val="charItals"/>
        </w:rPr>
        <w:t>Note</w:t>
      </w:r>
      <w:r>
        <w:rPr>
          <w:rStyle w:val="charItals"/>
        </w:rPr>
        <w:tab/>
      </w:r>
      <w:r>
        <w:t xml:space="preserve">The </w:t>
      </w:r>
      <w:hyperlink r:id="rId66" w:tooltip="A1998-24" w:history="1">
        <w:r w:rsidR="00DF21AF" w:rsidRPr="00DF21AF">
          <w:rPr>
            <w:rStyle w:val="charCitHyperlinkItal"/>
          </w:rPr>
          <w:t>Interactive Gambling Act 1998</w:t>
        </w:r>
      </w:hyperlink>
      <w:r>
        <w:t xml:space="preserve"> contains provisions about excluded or disqualified people.</w:t>
      </w:r>
    </w:p>
    <w:p w14:paraId="2C10C9E5" w14:textId="77777777" w:rsidR="00336029" w:rsidRPr="00A35BB6" w:rsidRDefault="00336029" w:rsidP="000271C8">
      <w:pPr>
        <w:pStyle w:val="Schclauseheading"/>
        <w:keepLines/>
      </w:pPr>
      <w:bookmarkStart w:id="66" w:name="_Toc155080721"/>
      <w:r w:rsidRPr="004D57A4">
        <w:rPr>
          <w:rStyle w:val="CharSectNo"/>
        </w:rPr>
        <w:lastRenderedPageBreak/>
        <w:t>1.13</w:t>
      </w:r>
      <w:r w:rsidRPr="00A35BB6">
        <w:tab/>
        <w:t>Deeds of exclusion</w:t>
      </w:r>
      <w:bookmarkEnd w:id="66"/>
    </w:p>
    <w:p w14:paraId="1B1E29BD" w14:textId="77777777" w:rsidR="00336029" w:rsidRPr="00A35BB6" w:rsidRDefault="00336029" w:rsidP="000271C8">
      <w:pPr>
        <w:pStyle w:val="SchAmain"/>
        <w:keepNext/>
        <w:keepLines/>
      </w:pPr>
      <w:r w:rsidRPr="00A35BB6">
        <w:tab/>
        <w:t>(1)</w:t>
      </w:r>
      <w:r w:rsidRPr="00A35BB6">
        <w:tab/>
        <w:t xml:space="preserve">A person claiming to have a gambling problem (the </w:t>
      </w:r>
      <w:r w:rsidRPr="00A35BB6">
        <w:rPr>
          <w:rStyle w:val="charBoldItals"/>
        </w:rPr>
        <w:t>gambler</w:t>
      </w:r>
      <w:r w:rsidRPr="00A35BB6">
        <w:t xml:space="preserve">) may sign a deed (a </w:t>
      </w:r>
      <w:r w:rsidRPr="00A35BB6">
        <w:rPr>
          <w:rStyle w:val="charBoldItals"/>
        </w:rPr>
        <w:t>deed of exclusion</w:t>
      </w:r>
      <w:r w:rsidRPr="00A35BB6">
        <w:t>) under which the person can be excluded from gambling at the gambling facility or facilities stated in the deed.</w:t>
      </w:r>
    </w:p>
    <w:p w14:paraId="6F33FF70" w14:textId="19A94E51" w:rsidR="00336029" w:rsidRPr="00A35BB6" w:rsidRDefault="00336029" w:rsidP="00336029">
      <w:pPr>
        <w:pStyle w:val="aNote"/>
      </w:pPr>
      <w:r w:rsidRPr="00A35BB6">
        <w:rPr>
          <w:rStyle w:val="charItals"/>
        </w:rPr>
        <w:t>Note</w:t>
      </w:r>
      <w:r w:rsidRPr="00A35BB6">
        <w:tab/>
        <w:t xml:space="preserve">If a form is approved under the </w:t>
      </w:r>
      <w:hyperlink r:id="rId67" w:tooltip="A1999-46" w:history="1">
        <w:r w:rsidRPr="00A35BB6">
          <w:rPr>
            <w:rStyle w:val="charCitHyperlinkAbbrev"/>
          </w:rPr>
          <w:t>Act</w:t>
        </w:r>
      </w:hyperlink>
      <w:r w:rsidRPr="00A35BB6">
        <w:t>, s 53D for this provision, the form must be used.</w:t>
      </w:r>
    </w:p>
    <w:p w14:paraId="38DB6C57" w14:textId="77777777" w:rsidR="00336029" w:rsidRPr="00A35BB6" w:rsidRDefault="00336029" w:rsidP="00336029">
      <w:pPr>
        <w:pStyle w:val="SchAmain"/>
        <w:rPr>
          <w:lang w:eastAsia="en-AU"/>
        </w:rPr>
      </w:pPr>
      <w:r w:rsidRPr="00A35BB6">
        <w:rPr>
          <w:lang w:eastAsia="en-AU"/>
        </w:rPr>
        <w:tab/>
        <w:t>(2)</w:t>
      </w:r>
      <w:r w:rsidRPr="00A35BB6">
        <w:rPr>
          <w:lang w:eastAsia="en-AU"/>
        </w:rPr>
        <w:tab/>
        <w:t>The deed must state—</w:t>
      </w:r>
    </w:p>
    <w:p w14:paraId="54D81ACC" w14:textId="77777777" w:rsidR="00336029" w:rsidRPr="00A35BB6" w:rsidRDefault="00336029" w:rsidP="00336029">
      <w:pPr>
        <w:pStyle w:val="SchApara"/>
        <w:rPr>
          <w:lang w:eastAsia="en-AU"/>
        </w:rPr>
      </w:pPr>
      <w:r w:rsidRPr="00A35BB6">
        <w:rPr>
          <w:lang w:eastAsia="en-AU"/>
        </w:rPr>
        <w:tab/>
        <w:t>(a)</w:t>
      </w:r>
      <w:r w:rsidRPr="00A35BB6">
        <w:rPr>
          <w:lang w:eastAsia="en-AU"/>
        </w:rPr>
        <w:tab/>
        <w:t xml:space="preserve">the name of each gambling facility (the </w:t>
      </w:r>
      <w:r w:rsidRPr="00A35BB6">
        <w:rPr>
          <w:rStyle w:val="charBoldItals"/>
        </w:rPr>
        <w:t>nominated facility</w:t>
      </w:r>
      <w:r w:rsidRPr="00A35BB6">
        <w:rPr>
          <w:lang w:eastAsia="en-AU"/>
        </w:rPr>
        <w:t xml:space="preserve">) from which the gambler wishes to be excluded from gambling; and </w:t>
      </w:r>
    </w:p>
    <w:p w14:paraId="0188F21C" w14:textId="77777777" w:rsidR="00336029" w:rsidRPr="00A35BB6" w:rsidRDefault="00336029" w:rsidP="00336029">
      <w:pPr>
        <w:pStyle w:val="SchApara"/>
        <w:rPr>
          <w:lang w:eastAsia="en-AU"/>
        </w:rPr>
      </w:pPr>
      <w:r w:rsidRPr="00A35BB6">
        <w:rPr>
          <w:lang w:eastAsia="en-AU"/>
        </w:rPr>
        <w:tab/>
        <w:t>(b)</w:t>
      </w:r>
      <w:r w:rsidRPr="00A35BB6">
        <w:rPr>
          <w:lang w:eastAsia="en-AU"/>
        </w:rPr>
        <w:tab/>
        <w:t xml:space="preserve">the period for which the gambler is to be excluded from the nominated facility (the </w:t>
      </w:r>
      <w:r w:rsidRPr="00A35BB6">
        <w:rPr>
          <w:rStyle w:val="charBoldItals"/>
        </w:rPr>
        <w:t>exclusion period</w:t>
      </w:r>
      <w:r w:rsidRPr="00A35BB6">
        <w:rPr>
          <w:lang w:eastAsia="en-AU"/>
        </w:rPr>
        <w:t>); and</w:t>
      </w:r>
    </w:p>
    <w:p w14:paraId="7DBCC228" w14:textId="77777777" w:rsidR="00336029" w:rsidRPr="00A35BB6" w:rsidRDefault="00336029" w:rsidP="00336029">
      <w:pPr>
        <w:pStyle w:val="SchApara"/>
        <w:rPr>
          <w:lang w:eastAsia="en-AU"/>
        </w:rPr>
      </w:pPr>
      <w:r w:rsidRPr="00A35BB6">
        <w:rPr>
          <w:lang w:eastAsia="en-AU"/>
        </w:rPr>
        <w:tab/>
        <w:t>(c)</w:t>
      </w:r>
      <w:r w:rsidRPr="00A35BB6">
        <w:rPr>
          <w:lang w:eastAsia="en-AU"/>
        </w:rPr>
        <w:tab/>
        <w:t>that in the exclusion period the licensee of the nominated facility may—</w:t>
      </w:r>
    </w:p>
    <w:p w14:paraId="4D717C42" w14:textId="77777777" w:rsidR="00336029" w:rsidRPr="00A35BB6" w:rsidRDefault="00336029" w:rsidP="00336029">
      <w:pPr>
        <w:pStyle w:val="Asubpara"/>
        <w:rPr>
          <w:lang w:eastAsia="en-AU"/>
        </w:rPr>
      </w:pPr>
      <w:r w:rsidRPr="00A35BB6">
        <w:rPr>
          <w:lang w:eastAsia="en-AU"/>
        </w:rPr>
        <w:tab/>
        <w:t>(i)</w:t>
      </w:r>
      <w:r w:rsidRPr="00A35BB6">
        <w:rPr>
          <w:lang w:eastAsia="en-AU"/>
        </w:rPr>
        <w:tab/>
        <w:t>remove the gambler from, or prevent the gambler from entering, the gaming area or gambling facility; or</w:t>
      </w:r>
    </w:p>
    <w:p w14:paraId="15B8BB6F" w14:textId="77777777" w:rsidR="00336029" w:rsidRPr="00A35BB6" w:rsidRDefault="00336029" w:rsidP="00336029">
      <w:pPr>
        <w:pStyle w:val="Asubpara"/>
      </w:pPr>
      <w:r w:rsidRPr="00A35BB6">
        <w:tab/>
        <w:t>(ii)</w:t>
      </w:r>
      <w:r w:rsidRPr="00A35BB6">
        <w:tab/>
        <w:t>otherwise exclude the gambler from participating in gambling activities at the facility.</w:t>
      </w:r>
    </w:p>
    <w:p w14:paraId="6AFB416D" w14:textId="77777777" w:rsidR="00336029" w:rsidRPr="00A35BB6" w:rsidRDefault="00336029" w:rsidP="00336029">
      <w:pPr>
        <w:pStyle w:val="aExamHdgsubpar"/>
      </w:pPr>
      <w:r w:rsidRPr="00A35BB6">
        <w:t>Example—subpar (ii)</w:t>
      </w:r>
    </w:p>
    <w:p w14:paraId="4409E3F7" w14:textId="77777777" w:rsidR="00336029" w:rsidRPr="00A35BB6" w:rsidRDefault="00336029" w:rsidP="00336029">
      <w:pPr>
        <w:pStyle w:val="aExamsubpar"/>
      </w:pPr>
      <w:r w:rsidRPr="00A35BB6">
        <w:t>The XYZ Sports Club has a gaming area, bistro area and other facilities for use by its members. Kenny has entered into a deed of exclusion under which he agrees to be excluded from gambling at the gambling facility. The licensee of the gambling facility allows Kenny to enter the facility to use the bistro but does not allow Kenny to enter the gaming area.</w:t>
      </w:r>
    </w:p>
    <w:p w14:paraId="4A7B4DD3" w14:textId="77777777" w:rsidR="00336029" w:rsidRPr="00A35BB6" w:rsidRDefault="00336029" w:rsidP="00336029">
      <w:pPr>
        <w:pStyle w:val="SchAmain"/>
      </w:pPr>
      <w:r w:rsidRPr="00A35BB6">
        <w:tab/>
        <w:t>(3)</w:t>
      </w:r>
      <w:r w:rsidRPr="00A35BB6">
        <w:tab/>
        <w:t>For subsection (2) (b), the exclusion period must be at least 6 months, but not longer than 3 years.</w:t>
      </w:r>
    </w:p>
    <w:p w14:paraId="77658259" w14:textId="77777777" w:rsidR="00336029" w:rsidRPr="00A35BB6" w:rsidRDefault="00336029" w:rsidP="000271C8">
      <w:pPr>
        <w:pStyle w:val="SchAmain"/>
        <w:keepNext/>
      </w:pPr>
      <w:r w:rsidRPr="00A35BB6">
        <w:lastRenderedPageBreak/>
        <w:tab/>
        <w:t>(4)</w:t>
      </w:r>
      <w:r w:rsidRPr="00A35BB6">
        <w:tab/>
        <w:t>If the gambler wants the deed to apply to the gambler, then the gambler must give the signed deed to 1 of the following (the </w:t>
      </w:r>
      <w:r w:rsidRPr="00A35BB6">
        <w:rPr>
          <w:rStyle w:val="charBoldItals"/>
        </w:rPr>
        <w:t>receiver</w:t>
      </w:r>
      <w:r w:rsidRPr="00A35BB6">
        <w:t>):</w:t>
      </w:r>
    </w:p>
    <w:p w14:paraId="0C46835A" w14:textId="77777777" w:rsidR="00336029" w:rsidRPr="00A35BB6" w:rsidRDefault="00336029" w:rsidP="00336029">
      <w:pPr>
        <w:pStyle w:val="SchApara"/>
      </w:pPr>
      <w:r w:rsidRPr="00A35BB6">
        <w:tab/>
        <w:t>(a)</w:t>
      </w:r>
      <w:r w:rsidRPr="00A35BB6">
        <w:tab/>
        <w:t>the licensee of a facility stated in the deed;</w:t>
      </w:r>
    </w:p>
    <w:p w14:paraId="0829C048" w14:textId="77777777" w:rsidR="00336029" w:rsidRPr="00A35BB6" w:rsidRDefault="00336029" w:rsidP="00336029">
      <w:pPr>
        <w:pStyle w:val="SchApara"/>
      </w:pPr>
      <w:r w:rsidRPr="00A35BB6">
        <w:tab/>
        <w:t>(b)</w:t>
      </w:r>
      <w:r w:rsidRPr="00A35BB6">
        <w:tab/>
        <w:t>the commission;</w:t>
      </w:r>
    </w:p>
    <w:p w14:paraId="44C2408E" w14:textId="77777777" w:rsidR="00336029" w:rsidRPr="00A35BB6" w:rsidRDefault="00336029" w:rsidP="00336029">
      <w:pPr>
        <w:pStyle w:val="SchApara"/>
      </w:pPr>
      <w:r w:rsidRPr="00A35BB6">
        <w:tab/>
        <w:t>(c)</w:t>
      </w:r>
      <w:r w:rsidRPr="00A35BB6">
        <w:tab/>
        <w:t>someone else approved by the commission.</w:t>
      </w:r>
    </w:p>
    <w:p w14:paraId="6B335C7A" w14:textId="77777777" w:rsidR="00336029" w:rsidRPr="00A35BB6" w:rsidRDefault="00336029" w:rsidP="00336029">
      <w:pPr>
        <w:pStyle w:val="SchAmain"/>
      </w:pPr>
      <w:r w:rsidRPr="00A35BB6">
        <w:tab/>
        <w:t>(5)</w:t>
      </w:r>
      <w:r w:rsidRPr="00A35BB6">
        <w:tab/>
        <w:t>If the receiver is given a signed deed under subsection (4), the receiver must—</w:t>
      </w:r>
    </w:p>
    <w:p w14:paraId="2C6FACCE" w14:textId="77777777" w:rsidR="00336029" w:rsidRPr="00A35BB6" w:rsidRDefault="00336029" w:rsidP="00336029">
      <w:pPr>
        <w:pStyle w:val="SchApara"/>
      </w:pPr>
      <w:r w:rsidRPr="00A35BB6">
        <w:tab/>
        <w:t>(a)</w:t>
      </w:r>
      <w:r w:rsidRPr="00A35BB6">
        <w:tab/>
        <w:t>immediately sign the deed; or</w:t>
      </w:r>
    </w:p>
    <w:p w14:paraId="534537AC" w14:textId="77777777" w:rsidR="00336029" w:rsidRPr="00A35BB6" w:rsidRDefault="00336029" w:rsidP="003E3DF8">
      <w:pPr>
        <w:pStyle w:val="SchApara"/>
        <w:keepNext/>
      </w:pPr>
      <w:r w:rsidRPr="00A35BB6">
        <w:tab/>
        <w:t>(b)</w:t>
      </w:r>
      <w:r w:rsidRPr="00A35BB6">
        <w:tab/>
        <w:t>if the deed is incomplete—</w:t>
      </w:r>
    </w:p>
    <w:p w14:paraId="21759D59" w14:textId="77777777" w:rsidR="00336029" w:rsidRPr="00A35BB6" w:rsidRDefault="00336029" w:rsidP="00336029">
      <w:pPr>
        <w:pStyle w:val="SchAsubpara"/>
        <w:rPr>
          <w:lang w:eastAsia="en-AU"/>
        </w:rPr>
      </w:pPr>
      <w:r w:rsidRPr="00A35BB6">
        <w:tab/>
        <w:t>(i)</w:t>
      </w:r>
      <w:r w:rsidRPr="00A35BB6">
        <w:tab/>
      </w:r>
      <w:r w:rsidRPr="00A35BB6">
        <w:rPr>
          <w:lang w:eastAsia="en-AU"/>
        </w:rPr>
        <w:t>ask the gambler, not more than 1 day after receiving the signed deed, to do whatever is necessary to complete the deed; and</w:t>
      </w:r>
    </w:p>
    <w:p w14:paraId="38222D55" w14:textId="77777777" w:rsidR="00336029" w:rsidRPr="00A35BB6" w:rsidRDefault="00336029" w:rsidP="00336029">
      <w:pPr>
        <w:pStyle w:val="SchAsubpara"/>
        <w:rPr>
          <w:lang w:eastAsia="en-AU"/>
        </w:rPr>
      </w:pPr>
      <w:r w:rsidRPr="00A35BB6">
        <w:rPr>
          <w:lang w:eastAsia="en-AU"/>
        </w:rPr>
        <w:tab/>
        <w:t>(ii)</w:t>
      </w:r>
      <w:r w:rsidRPr="00A35BB6">
        <w:rPr>
          <w:lang w:eastAsia="en-AU"/>
        </w:rPr>
        <w:tab/>
        <w:t>sign the deed immediately after the gambler completes the deed.</w:t>
      </w:r>
    </w:p>
    <w:p w14:paraId="1231F318" w14:textId="77777777" w:rsidR="00336029" w:rsidRPr="00A35BB6" w:rsidRDefault="00336029" w:rsidP="00336029">
      <w:pPr>
        <w:pStyle w:val="SchAmain"/>
      </w:pPr>
      <w:r w:rsidRPr="00A35BB6">
        <w:tab/>
        <w:t>(6)</w:t>
      </w:r>
      <w:r w:rsidRPr="00A35BB6">
        <w:tab/>
        <w:t xml:space="preserve">The receiver must, not more than 3 consecutive trading days </w:t>
      </w:r>
      <w:r w:rsidRPr="00A35BB6">
        <w:rPr>
          <w:lang w:eastAsia="en-AU"/>
        </w:rPr>
        <w:t xml:space="preserve">after </w:t>
      </w:r>
      <w:r w:rsidRPr="00A35BB6">
        <w:rPr>
          <w:szCs w:val="24"/>
          <w:lang w:eastAsia="en-AU"/>
        </w:rPr>
        <w:t>receiving the completed signed deed</w:t>
      </w:r>
      <w:r w:rsidRPr="00A35BB6">
        <w:t>—</w:t>
      </w:r>
    </w:p>
    <w:p w14:paraId="214791B3" w14:textId="77777777" w:rsidR="00336029" w:rsidRPr="00A35BB6" w:rsidRDefault="00336029" w:rsidP="00336029">
      <w:pPr>
        <w:pStyle w:val="SchApara"/>
      </w:pPr>
      <w:r w:rsidRPr="00A35BB6">
        <w:tab/>
        <w:t>(a)</w:t>
      </w:r>
      <w:r w:rsidRPr="00A35BB6">
        <w:tab/>
        <w:t>give a copy of the signed deed to the gambler; and</w:t>
      </w:r>
    </w:p>
    <w:p w14:paraId="51AD396C" w14:textId="77777777" w:rsidR="00336029" w:rsidRPr="00A35BB6" w:rsidRDefault="00336029" w:rsidP="00336029">
      <w:pPr>
        <w:pStyle w:val="SchApara"/>
      </w:pPr>
      <w:r w:rsidRPr="00A35BB6">
        <w:tab/>
        <w:t>(b)</w:t>
      </w:r>
      <w:r w:rsidRPr="00A35BB6">
        <w:tab/>
        <w:t>include the matters mentioned in section 20 (3) (Exclusion register) on the exclusion register; and</w:t>
      </w:r>
    </w:p>
    <w:p w14:paraId="7D80C351" w14:textId="77777777" w:rsidR="00336029" w:rsidRPr="00A35BB6" w:rsidRDefault="00336029" w:rsidP="00336029">
      <w:pPr>
        <w:pStyle w:val="SchApara"/>
      </w:pPr>
      <w:r w:rsidRPr="00A35BB6">
        <w:tab/>
        <w:t>(c)</w:t>
      </w:r>
      <w:r w:rsidRPr="00A35BB6">
        <w:tab/>
        <w:t>tell each of the following that the matters mentioned in section 20 (3) have been included on the exclusion register:</w:t>
      </w:r>
    </w:p>
    <w:p w14:paraId="4FD1E785" w14:textId="77777777" w:rsidR="00336029" w:rsidRPr="00A35BB6" w:rsidRDefault="00336029" w:rsidP="00336029">
      <w:pPr>
        <w:pStyle w:val="SchAsubpara"/>
      </w:pPr>
      <w:r w:rsidRPr="00A35BB6">
        <w:tab/>
        <w:t>(i)</w:t>
      </w:r>
      <w:r w:rsidRPr="00A35BB6">
        <w:tab/>
        <w:t>the licensee of each facility mentioned in the deed;</w:t>
      </w:r>
    </w:p>
    <w:p w14:paraId="42ABC523" w14:textId="77777777" w:rsidR="00336029" w:rsidRPr="00A35BB6" w:rsidRDefault="00336029" w:rsidP="00336029">
      <w:pPr>
        <w:pStyle w:val="SchAsubpara"/>
      </w:pPr>
      <w:r w:rsidRPr="00A35BB6">
        <w:tab/>
        <w:t>(ii)</w:t>
      </w:r>
      <w:r w:rsidRPr="00A35BB6">
        <w:tab/>
        <w:t>if the receiver is not the commission—the commission.</w:t>
      </w:r>
    </w:p>
    <w:p w14:paraId="52B6B82A" w14:textId="77777777" w:rsidR="00336029" w:rsidRPr="00A35BB6" w:rsidRDefault="00336029" w:rsidP="00336029">
      <w:pPr>
        <w:pStyle w:val="Schclauseheading"/>
      </w:pPr>
      <w:bookmarkStart w:id="67" w:name="_Toc155080722"/>
      <w:r w:rsidRPr="004D57A4">
        <w:rPr>
          <w:rStyle w:val="CharSectNo"/>
        </w:rPr>
        <w:t>1.13A</w:t>
      </w:r>
      <w:r w:rsidRPr="00A35BB6">
        <w:tab/>
        <w:t>Deeds of exclusion—revocation</w:t>
      </w:r>
      <w:bookmarkEnd w:id="67"/>
    </w:p>
    <w:p w14:paraId="46C4050A" w14:textId="77777777" w:rsidR="00336029" w:rsidRPr="00A35BB6" w:rsidRDefault="00336029" w:rsidP="00336029">
      <w:pPr>
        <w:pStyle w:val="SchAmain"/>
      </w:pPr>
      <w:r w:rsidRPr="00A35BB6">
        <w:tab/>
        <w:t>(1)</w:t>
      </w:r>
      <w:r w:rsidRPr="00A35BB6">
        <w:tab/>
        <w:t>This section applies if a person has signed a deed of exclusion under section 1.13.</w:t>
      </w:r>
    </w:p>
    <w:p w14:paraId="69022C0B" w14:textId="77777777" w:rsidR="00336029" w:rsidRPr="00A35BB6" w:rsidRDefault="00336029" w:rsidP="00336029">
      <w:pPr>
        <w:pStyle w:val="SchAmain"/>
      </w:pPr>
      <w:r w:rsidRPr="00A35BB6">
        <w:lastRenderedPageBreak/>
        <w:tab/>
        <w:t>(2)</w:t>
      </w:r>
      <w:r w:rsidRPr="00A35BB6">
        <w:tab/>
        <w:t>The person may revoke the person’s deed of exclusion before the end of the exclusion period.</w:t>
      </w:r>
    </w:p>
    <w:p w14:paraId="136092EB" w14:textId="79AE4963" w:rsidR="00336029" w:rsidRPr="00A35BB6" w:rsidRDefault="00336029" w:rsidP="00336029">
      <w:pPr>
        <w:pStyle w:val="aNote"/>
      </w:pPr>
      <w:r w:rsidRPr="00A35BB6">
        <w:rPr>
          <w:rStyle w:val="charItals"/>
        </w:rPr>
        <w:t>Note</w:t>
      </w:r>
      <w:r w:rsidRPr="00A35BB6">
        <w:rPr>
          <w:rStyle w:val="charItals"/>
        </w:rPr>
        <w:tab/>
      </w:r>
      <w:r w:rsidRPr="00A35BB6">
        <w:rPr>
          <w:lang w:eastAsia="en-AU"/>
        </w:rPr>
        <w:t xml:space="preserve">If a form is approved under the </w:t>
      </w:r>
      <w:hyperlink r:id="rId68" w:tooltip="A1999-46" w:history="1">
        <w:r w:rsidRPr="00A35BB6">
          <w:rPr>
            <w:rStyle w:val="charCitHyperlinkAbbrev"/>
          </w:rPr>
          <w:t>Act</w:t>
        </w:r>
      </w:hyperlink>
      <w:r w:rsidRPr="00A35BB6">
        <w:rPr>
          <w:lang w:eastAsia="en-AU"/>
        </w:rPr>
        <w:t>, s 53D for this provision, the form must be used.</w:t>
      </w:r>
    </w:p>
    <w:p w14:paraId="7AF0EA94" w14:textId="77777777" w:rsidR="00336029" w:rsidRPr="00A35BB6" w:rsidRDefault="00336029" w:rsidP="00336029">
      <w:pPr>
        <w:pStyle w:val="SchAmain"/>
      </w:pPr>
      <w:r w:rsidRPr="00A35BB6">
        <w:tab/>
        <w:t>(3)</w:t>
      </w:r>
      <w:r w:rsidRPr="00A35BB6">
        <w:tab/>
        <w:t>The exclusion period ends on the first business day 7 days after the day the commission receives written notice from the person of the revocation, unless the person withdraws the revocation before that day.</w:t>
      </w:r>
    </w:p>
    <w:p w14:paraId="07642C3A" w14:textId="77777777" w:rsidR="00336029" w:rsidRPr="00A35BB6" w:rsidRDefault="00336029" w:rsidP="003E3DF8">
      <w:pPr>
        <w:pStyle w:val="SchAmain"/>
        <w:keepNext/>
      </w:pPr>
      <w:r w:rsidRPr="00A35BB6">
        <w:tab/>
        <w:t>(4)</w:t>
      </w:r>
      <w:r w:rsidRPr="00A35BB6">
        <w:tab/>
        <w:t>In this section:</w:t>
      </w:r>
    </w:p>
    <w:p w14:paraId="2901554F" w14:textId="77777777" w:rsidR="00336029" w:rsidRPr="00A35BB6" w:rsidRDefault="00336029" w:rsidP="00336029">
      <w:pPr>
        <w:pStyle w:val="aDef"/>
      </w:pPr>
      <w:r w:rsidRPr="00A35BB6">
        <w:rPr>
          <w:rStyle w:val="charBoldItals"/>
        </w:rPr>
        <w:t>exclusion period</w:t>
      </w:r>
      <w:r w:rsidRPr="00A35BB6">
        <w:t>—see section 1.13 (2) (b).</w:t>
      </w:r>
    </w:p>
    <w:p w14:paraId="33327FEE" w14:textId="77777777" w:rsidR="00D847F1" w:rsidRDefault="00D847F1">
      <w:pPr>
        <w:pStyle w:val="Schclauseheading"/>
      </w:pPr>
      <w:bookmarkStart w:id="68" w:name="_Toc155080723"/>
      <w:r w:rsidRPr="004D57A4">
        <w:rPr>
          <w:rStyle w:val="CharSectNo"/>
        </w:rPr>
        <w:t>1.14</w:t>
      </w:r>
      <w:r>
        <w:tab/>
        <w:t>Exclusion of people at risk or excluded under deed</w:t>
      </w:r>
      <w:bookmarkEnd w:id="68"/>
    </w:p>
    <w:p w14:paraId="3362AB33" w14:textId="77777777" w:rsidR="00D847F1" w:rsidRDefault="00D847F1">
      <w:pPr>
        <w:pStyle w:val="Amain"/>
      </w:pPr>
      <w:r>
        <w:tab/>
        <w:t>(1)</w:t>
      </w:r>
      <w:r>
        <w:tab/>
        <w:t>The licensee of a gambling facility must exclude a person from gambling at the facility if the licensee has reasonable grounds for believing that—</w:t>
      </w:r>
    </w:p>
    <w:p w14:paraId="6B4E7FEB" w14:textId="77777777" w:rsidR="00D847F1" w:rsidRDefault="00D847F1">
      <w:pPr>
        <w:pStyle w:val="Apara"/>
      </w:pPr>
      <w:r>
        <w:tab/>
        <w:t>(a)</w:t>
      </w:r>
      <w:r>
        <w:tab/>
        <w:t>the welfare of the person, or any of the person’s dependants, is seriously at risk because of the person’s gambling problem; or</w:t>
      </w:r>
    </w:p>
    <w:p w14:paraId="3D8E43A5" w14:textId="77777777" w:rsidR="00D847F1" w:rsidRDefault="00D847F1">
      <w:pPr>
        <w:pStyle w:val="Apara"/>
        <w:keepNext/>
      </w:pPr>
      <w:r>
        <w:tab/>
        <w:t>(b)</w:t>
      </w:r>
      <w:r>
        <w:tab/>
        <w:t>the person is someone to whom a deed applies.</w:t>
      </w:r>
    </w:p>
    <w:p w14:paraId="15C5F2BA" w14:textId="77777777" w:rsidR="001A5E2C" w:rsidRPr="00A35BB6" w:rsidRDefault="001A5E2C" w:rsidP="001A5E2C">
      <w:pPr>
        <w:pStyle w:val="SchAmain"/>
      </w:pPr>
      <w:r w:rsidRPr="00A35BB6">
        <w:tab/>
        <w:t>(2)</w:t>
      </w:r>
      <w:r w:rsidRPr="00A35BB6">
        <w:tab/>
        <w:t>If a person is excluded under subsection (1) (a) the licensee must—</w:t>
      </w:r>
    </w:p>
    <w:p w14:paraId="65FD7E9E" w14:textId="77777777" w:rsidR="001A5E2C" w:rsidRPr="00A35BB6" w:rsidRDefault="001A5E2C" w:rsidP="001A5E2C">
      <w:pPr>
        <w:pStyle w:val="SchApara"/>
      </w:pPr>
      <w:r w:rsidRPr="00A35BB6">
        <w:tab/>
        <w:t>(a)</w:t>
      </w:r>
      <w:r w:rsidRPr="00A35BB6">
        <w:tab/>
        <w:t xml:space="preserve">give the person a notice (a </w:t>
      </w:r>
      <w:r w:rsidRPr="00A35BB6">
        <w:rPr>
          <w:rStyle w:val="charBoldItals"/>
        </w:rPr>
        <w:t>notice of exclusion</w:t>
      </w:r>
      <w:r w:rsidRPr="00A35BB6">
        <w:t>) stating—</w:t>
      </w:r>
    </w:p>
    <w:p w14:paraId="48EF6451" w14:textId="77777777" w:rsidR="001A5E2C" w:rsidRPr="00A35BB6" w:rsidRDefault="001A5E2C" w:rsidP="001A5E2C">
      <w:pPr>
        <w:pStyle w:val="SchAsubpara"/>
      </w:pPr>
      <w:r w:rsidRPr="00A35BB6">
        <w:tab/>
        <w:t>(i)</w:t>
      </w:r>
      <w:r w:rsidRPr="00A35BB6">
        <w:tab/>
        <w:t>sufficient particulars to identify the person; and</w:t>
      </w:r>
    </w:p>
    <w:p w14:paraId="22E84700" w14:textId="77777777" w:rsidR="001A5E2C" w:rsidRPr="00A35BB6" w:rsidRDefault="001A5E2C" w:rsidP="001A5E2C">
      <w:pPr>
        <w:pStyle w:val="SchAsubpara"/>
      </w:pPr>
      <w:r w:rsidRPr="00A35BB6">
        <w:tab/>
        <w:t>(ii)</w:t>
      </w:r>
      <w:r w:rsidRPr="00A35BB6">
        <w:tab/>
        <w:t>each gambling facility from which the person is excluded from gambling; and</w:t>
      </w:r>
    </w:p>
    <w:p w14:paraId="43F8A118" w14:textId="77777777" w:rsidR="001A5E2C" w:rsidRPr="00A35BB6" w:rsidRDefault="001A5E2C" w:rsidP="001A5E2C">
      <w:pPr>
        <w:pStyle w:val="SchAsubpara"/>
      </w:pPr>
      <w:r w:rsidRPr="00A35BB6">
        <w:tab/>
        <w:t>(iii)</w:t>
      </w:r>
      <w:r w:rsidRPr="00A35BB6">
        <w:tab/>
        <w:t>the period of the exclusion from each gambling facility from which the person is excluded from gambling; and</w:t>
      </w:r>
    </w:p>
    <w:p w14:paraId="3448E43F" w14:textId="77777777" w:rsidR="001A5E2C" w:rsidRPr="00A35BB6" w:rsidRDefault="001A5E2C" w:rsidP="001A5E2C">
      <w:pPr>
        <w:pStyle w:val="SchAsubpara"/>
      </w:pPr>
      <w:r w:rsidRPr="00A35BB6">
        <w:tab/>
        <w:t>(iv)</w:t>
      </w:r>
      <w:r w:rsidRPr="00A35BB6">
        <w:tab/>
        <w:t>the reasons for the exclusion; and</w:t>
      </w:r>
    </w:p>
    <w:p w14:paraId="6B690626" w14:textId="439EE7B5" w:rsidR="001A5E2C" w:rsidRPr="00A35BB6" w:rsidRDefault="001A5E2C" w:rsidP="001A5E2C">
      <w:pPr>
        <w:pStyle w:val="aNotepar"/>
      </w:pPr>
      <w:r w:rsidRPr="00A35BB6">
        <w:rPr>
          <w:rStyle w:val="charItals"/>
        </w:rPr>
        <w:t>Note</w:t>
      </w:r>
      <w:r w:rsidRPr="00A35BB6">
        <w:rPr>
          <w:rStyle w:val="charItals"/>
        </w:rPr>
        <w:tab/>
      </w:r>
      <w:r w:rsidRPr="00A35BB6">
        <w:t xml:space="preserve">If a form is approved under the </w:t>
      </w:r>
      <w:hyperlink r:id="rId69" w:tooltip="A1999-46" w:history="1">
        <w:r w:rsidRPr="00A35BB6">
          <w:rPr>
            <w:rStyle w:val="charCitHyperlinkAbbrev"/>
          </w:rPr>
          <w:t>Act</w:t>
        </w:r>
      </w:hyperlink>
      <w:r w:rsidRPr="00A35BB6">
        <w:t>, s 53D for this provision, the form must be used.</w:t>
      </w:r>
    </w:p>
    <w:p w14:paraId="371DC1A9" w14:textId="77777777" w:rsidR="001A5E2C" w:rsidRPr="00A35BB6" w:rsidRDefault="001A5E2C" w:rsidP="001A5E2C">
      <w:pPr>
        <w:pStyle w:val="SchApara"/>
      </w:pPr>
      <w:r w:rsidRPr="00A35BB6">
        <w:lastRenderedPageBreak/>
        <w:tab/>
        <w:t>(b)</w:t>
      </w:r>
      <w:r w:rsidRPr="00A35BB6">
        <w:tab/>
        <w:t>include the matters mentioned in section 20 (3) (Exclusion register) on the exclusion register; and</w:t>
      </w:r>
    </w:p>
    <w:p w14:paraId="0B9B52EE" w14:textId="77777777" w:rsidR="001A5E2C" w:rsidRPr="00A35BB6" w:rsidRDefault="001A5E2C" w:rsidP="001A5E2C">
      <w:pPr>
        <w:pStyle w:val="SchApara"/>
      </w:pPr>
      <w:r w:rsidRPr="00A35BB6">
        <w:tab/>
        <w:t>(c)</w:t>
      </w:r>
      <w:r w:rsidRPr="00A35BB6">
        <w:tab/>
        <w:t>tell each of the following that the matters mentioned in section 20 (3) have been included on the exclusion register:</w:t>
      </w:r>
    </w:p>
    <w:p w14:paraId="60C92277" w14:textId="77777777" w:rsidR="001A5E2C" w:rsidRPr="00A35BB6" w:rsidRDefault="001A5E2C" w:rsidP="001A5E2C">
      <w:pPr>
        <w:pStyle w:val="SchAsubpara"/>
      </w:pPr>
      <w:r w:rsidRPr="00A35BB6">
        <w:tab/>
        <w:t>(i)</w:t>
      </w:r>
      <w:r w:rsidRPr="00A35BB6">
        <w:tab/>
        <w:t>the licensee of each facility mentioned in the deed;</w:t>
      </w:r>
    </w:p>
    <w:p w14:paraId="1F3C1D4D" w14:textId="77777777" w:rsidR="001A5E2C" w:rsidRPr="00A35BB6" w:rsidRDefault="001A5E2C" w:rsidP="001A5E2C">
      <w:pPr>
        <w:pStyle w:val="SchAsubpara"/>
      </w:pPr>
      <w:r w:rsidRPr="00A35BB6">
        <w:tab/>
        <w:t>(ii)</w:t>
      </w:r>
      <w:r w:rsidRPr="00A35BB6">
        <w:tab/>
        <w:t>the commission.</w:t>
      </w:r>
    </w:p>
    <w:p w14:paraId="603CE64B" w14:textId="77777777" w:rsidR="00D847F1" w:rsidRDefault="00D847F1">
      <w:pPr>
        <w:pStyle w:val="Schclauseheading"/>
      </w:pPr>
      <w:bookmarkStart w:id="69" w:name="_Toc155080724"/>
      <w:r w:rsidRPr="004D57A4">
        <w:rPr>
          <w:rStyle w:val="CharSectNo"/>
        </w:rPr>
        <w:t>1.15</w:t>
      </w:r>
      <w:r>
        <w:tab/>
        <w:t>Matters to which licensee to have regard when deciding whether to exclude</w:t>
      </w:r>
      <w:bookmarkEnd w:id="69"/>
      <w:r>
        <w:t xml:space="preserve"> </w:t>
      </w:r>
    </w:p>
    <w:p w14:paraId="1B5BA47D" w14:textId="77777777" w:rsidR="00D847F1" w:rsidRDefault="00D847F1" w:rsidP="00EC7582">
      <w:pPr>
        <w:pStyle w:val="Amain"/>
        <w:keepNext/>
      </w:pPr>
      <w:r>
        <w:tab/>
        <w:t>(1)</w:t>
      </w:r>
      <w:r>
        <w:tab/>
        <w:t>A decision by a licensee to exclude a person under section 1.14 (1) (a) must be reasonable in the circumstances.</w:t>
      </w:r>
    </w:p>
    <w:p w14:paraId="25C20FB3" w14:textId="77777777" w:rsidR="00D847F1" w:rsidRDefault="00D847F1">
      <w:pPr>
        <w:pStyle w:val="Amain"/>
      </w:pPr>
      <w:r>
        <w:tab/>
        <w:t>(2)</w:t>
      </w:r>
      <w:r>
        <w:tab/>
        <w:t>In making the decision, the licensee must have regard to whether the exclusion—</w:t>
      </w:r>
    </w:p>
    <w:p w14:paraId="20E11A06" w14:textId="77777777" w:rsidR="00D847F1" w:rsidRDefault="00D847F1">
      <w:pPr>
        <w:pStyle w:val="Apara"/>
      </w:pPr>
      <w:r>
        <w:tab/>
        <w:t>(a)</w:t>
      </w:r>
      <w:r>
        <w:tab/>
        <w:t>is necessary to protect the welfare of the person, or any of the person’s dependants, from risk in relation to the person’s gambling problem; and</w:t>
      </w:r>
    </w:p>
    <w:p w14:paraId="76B02368" w14:textId="77777777" w:rsidR="00D847F1" w:rsidRDefault="00D847F1">
      <w:pPr>
        <w:pStyle w:val="Apara"/>
      </w:pPr>
      <w:r>
        <w:tab/>
        <w:t>(b)</w:t>
      </w:r>
      <w:r>
        <w:tab/>
        <w:t>is in the public interest, particularly having regard to the social and economic costs of problem gambling.</w:t>
      </w:r>
    </w:p>
    <w:p w14:paraId="5E4B34B5" w14:textId="77777777" w:rsidR="00D847F1" w:rsidRDefault="00D847F1">
      <w:pPr>
        <w:pStyle w:val="Schclauseheading"/>
      </w:pPr>
      <w:bookmarkStart w:id="70" w:name="_Toc155080725"/>
      <w:r w:rsidRPr="004D57A4">
        <w:rPr>
          <w:rStyle w:val="CharSectNo"/>
        </w:rPr>
        <w:t>1.16</w:t>
      </w:r>
      <w:r>
        <w:tab/>
        <w:t>Commission’s review of exclusion decisions</w:t>
      </w:r>
      <w:bookmarkEnd w:id="70"/>
    </w:p>
    <w:p w14:paraId="0631DB33" w14:textId="77777777" w:rsidR="00D847F1" w:rsidRDefault="00D847F1">
      <w:pPr>
        <w:pStyle w:val="Amainreturn"/>
        <w:keepNext/>
      </w:pPr>
      <w:r>
        <w:t>A person aggrieved by a licensee’s decision under section 1.14 (Exclusion of people at risk or excluded under deed) may apply, in writing, to the commission for a review of the decision.</w:t>
      </w:r>
    </w:p>
    <w:p w14:paraId="41B2E607" w14:textId="77777777" w:rsidR="00D847F1" w:rsidRDefault="00D847F1">
      <w:pPr>
        <w:pStyle w:val="aNote"/>
      </w:pPr>
      <w:r>
        <w:rPr>
          <w:rStyle w:val="charItals"/>
        </w:rPr>
        <w:t>Note</w:t>
      </w:r>
      <w:r>
        <w:rPr>
          <w:rStyle w:val="charItals"/>
        </w:rPr>
        <w:tab/>
      </w:r>
      <w:r>
        <w:t xml:space="preserve">Application may be made to the </w:t>
      </w:r>
      <w:r w:rsidR="00D96AB6">
        <w:t>ACAT</w:t>
      </w:r>
      <w:r>
        <w:t xml:space="preserve"> for review of a decision by the commission under this regulation to confirm, revoke or amend the licensee’s decision.</w:t>
      </w:r>
    </w:p>
    <w:p w14:paraId="072F84B8" w14:textId="77777777" w:rsidR="00D847F1" w:rsidRDefault="00D847F1">
      <w:pPr>
        <w:pStyle w:val="Schclauseheading"/>
      </w:pPr>
      <w:bookmarkStart w:id="71" w:name="_Toc155080726"/>
      <w:r w:rsidRPr="004D57A4">
        <w:rPr>
          <w:rStyle w:val="CharSectNo"/>
        </w:rPr>
        <w:t>1.17</w:t>
      </w:r>
      <w:r>
        <w:tab/>
        <w:t>Exclusion procedures</w:t>
      </w:r>
      <w:bookmarkEnd w:id="71"/>
    </w:p>
    <w:p w14:paraId="45034915" w14:textId="77777777" w:rsidR="00D847F1" w:rsidRDefault="00D847F1">
      <w:pPr>
        <w:pStyle w:val="Amain"/>
      </w:pPr>
      <w:r>
        <w:tab/>
        <w:t>(1)</w:t>
      </w:r>
      <w:r>
        <w:tab/>
        <w:t>The licensee of a gambling facility must prepare written procedures dealing with how people are to be excluded from gambling at the facility.</w:t>
      </w:r>
    </w:p>
    <w:p w14:paraId="2A1773FC" w14:textId="77777777" w:rsidR="00D847F1" w:rsidRDefault="00D847F1">
      <w:pPr>
        <w:pStyle w:val="Amain"/>
      </w:pPr>
      <w:r>
        <w:lastRenderedPageBreak/>
        <w:tab/>
        <w:t>(2)</w:t>
      </w:r>
      <w:r>
        <w:tab/>
        <w:t>A person must comply with any written direction in relation to procedures given to the person by the commission under this section.</w:t>
      </w:r>
    </w:p>
    <w:p w14:paraId="60C95DB7" w14:textId="77777777" w:rsidR="00D847F1" w:rsidRDefault="0063631C">
      <w:pPr>
        <w:pStyle w:val="Amain"/>
      </w:pPr>
      <w:r>
        <w:tab/>
        <w:t>(3</w:t>
      </w:r>
      <w:r w:rsidR="00D847F1">
        <w:t>)</w:t>
      </w:r>
      <w:r w:rsidR="00D847F1">
        <w:tab/>
        <w:t>The procedures must be written as clearly and simply as possible to promote understanding by people using them.</w:t>
      </w:r>
    </w:p>
    <w:p w14:paraId="281D2726" w14:textId="77777777" w:rsidR="00D847F1" w:rsidRDefault="0063631C">
      <w:pPr>
        <w:pStyle w:val="Amain"/>
      </w:pPr>
      <w:r>
        <w:tab/>
        <w:t>(4</w:t>
      </w:r>
      <w:r w:rsidR="00D847F1">
        <w:t>)</w:t>
      </w:r>
      <w:r w:rsidR="00D847F1">
        <w:tab/>
        <w:t>The licensee of a gambling facility must ensure that staff members whose functions include the exclusion of a person under this code of practice are competent to exercise the function.</w:t>
      </w:r>
    </w:p>
    <w:p w14:paraId="0173A557" w14:textId="77777777" w:rsidR="00EC7582" w:rsidRPr="00A35BB6" w:rsidRDefault="00EC7582" w:rsidP="00EC7582">
      <w:pPr>
        <w:pStyle w:val="AH5Sec"/>
      </w:pPr>
      <w:bookmarkStart w:id="72" w:name="_Toc155080727"/>
      <w:r w:rsidRPr="004D57A4">
        <w:rPr>
          <w:rStyle w:val="CharSectNo"/>
        </w:rPr>
        <w:t>1.18</w:t>
      </w:r>
      <w:r w:rsidRPr="00A35BB6">
        <w:tab/>
        <w:t>Licensee must keep deeds and notices of exclusion</w:t>
      </w:r>
      <w:bookmarkEnd w:id="72"/>
    </w:p>
    <w:p w14:paraId="4C9AA77D" w14:textId="77777777" w:rsidR="00EC7582" w:rsidRPr="00A35BB6" w:rsidRDefault="00EC7582" w:rsidP="00EC7582">
      <w:pPr>
        <w:pStyle w:val="SchAmain"/>
      </w:pPr>
      <w:r w:rsidRPr="00A35BB6">
        <w:tab/>
        <w:t>(1)</w:t>
      </w:r>
      <w:r w:rsidRPr="00A35BB6">
        <w:tab/>
        <w:t>A licensee of a gambling facility must keep—</w:t>
      </w:r>
    </w:p>
    <w:p w14:paraId="641838AE" w14:textId="77777777" w:rsidR="00EC7582" w:rsidRPr="00A35BB6" w:rsidRDefault="00EC7582" w:rsidP="00EC7582">
      <w:pPr>
        <w:pStyle w:val="SchApara"/>
      </w:pPr>
      <w:r w:rsidRPr="00A35BB6">
        <w:tab/>
        <w:t>(a)</w:t>
      </w:r>
      <w:r w:rsidRPr="00A35BB6">
        <w:tab/>
        <w:t>the original of each deed of exclusion received by the licensee for 7 years from the day the deed is received; and</w:t>
      </w:r>
    </w:p>
    <w:p w14:paraId="10436173" w14:textId="77777777" w:rsidR="00EC7582" w:rsidRPr="00A35BB6" w:rsidRDefault="00EC7582" w:rsidP="00EC7582">
      <w:pPr>
        <w:pStyle w:val="SchApara"/>
      </w:pPr>
      <w:r w:rsidRPr="00A35BB6">
        <w:tab/>
        <w:t>(b)</w:t>
      </w:r>
      <w:r w:rsidRPr="00A35BB6">
        <w:tab/>
        <w:t>a copy of each notice of exclusion given by the licensee for 7 years from the day the notice is given.</w:t>
      </w:r>
    </w:p>
    <w:p w14:paraId="03FE4462" w14:textId="77777777" w:rsidR="00EC7582" w:rsidRPr="00A35BB6" w:rsidRDefault="00EC7582" w:rsidP="00EC7582">
      <w:pPr>
        <w:pStyle w:val="SchAmain"/>
      </w:pPr>
      <w:r w:rsidRPr="00A35BB6">
        <w:tab/>
        <w:t>(2)</w:t>
      </w:r>
      <w:r w:rsidRPr="00A35BB6">
        <w:tab/>
        <w:t>The licensee must, if requested by the commission—</w:t>
      </w:r>
    </w:p>
    <w:p w14:paraId="4C9221A4" w14:textId="77777777" w:rsidR="00EC7582" w:rsidRPr="00A35BB6" w:rsidRDefault="00EC7582" w:rsidP="00EC7582">
      <w:pPr>
        <w:pStyle w:val="SchApara"/>
      </w:pPr>
      <w:r w:rsidRPr="00A35BB6">
        <w:tab/>
        <w:t>(a)</w:t>
      </w:r>
      <w:r w:rsidRPr="00A35BB6">
        <w:tab/>
        <w:t>allow the commission to inspect the deeds and notices; or</w:t>
      </w:r>
    </w:p>
    <w:p w14:paraId="1D2179B4" w14:textId="77777777" w:rsidR="00EC7582" w:rsidRPr="00A35BB6" w:rsidRDefault="00EC7582" w:rsidP="00EC7582">
      <w:pPr>
        <w:pStyle w:val="SchApara"/>
      </w:pPr>
      <w:r w:rsidRPr="00A35BB6">
        <w:tab/>
        <w:t>(b)</w:t>
      </w:r>
      <w:r w:rsidRPr="00A35BB6">
        <w:tab/>
        <w:t>give the commission a copy of a deed or notice.</w:t>
      </w:r>
    </w:p>
    <w:p w14:paraId="2846C22A" w14:textId="77777777" w:rsidR="00D847F1" w:rsidRDefault="00D847F1">
      <w:pPr>
        <w:pStyle w:val="Schclauseheading"/>
      </w:pPr>
      <w:bookmarkStart w:id="73" w:name="_Toc155080728"/>
      <w:r w:rsidRPr="004D57A4">
        <w:rPr>
          <w:rStyle w:val="CharSectNo"/>
        </w:rPr>
        <w:t>1.19</w:t>
      </w:r>
      <w:r>
        <w:tab/>
        <w:t>Accounts of excluded people</w:t>
      </w:r>
      <w:bookmarkEnd w:id="73"/>
    </w:p>
    <w:p w14:paraId="3D937B95" w14:textId="77777777" w:rsidR="00D847F1" w:rsidRDefault="00D847F1">
      <w:pPr>
        <w:pStyle w:val="Amainreturn"/>
      </w:pPr>
      <w:r>
        <w:t>If a person who holds an account with a licensee is excluded by the licensee under this division, the licensee must not allow someone else to use the person’s account.</w:t>
      </w:r>
    </w:p>
    <w:p w14:paraId="5DF8D10E" w14:textId="77777777" w:rsidR="00D847F1" w:rsidRDefault="00D847F1" w:rsidP="003E3DF8">
      <w:pPr>
        <w:pStyle w:val="Schclauseheading"/>
      </w:pPr>
      <w:bookmarkStart w:id="74" w:name="_Toc155080729"/>
      <w:r w:rsidRPr="004D57A4">
        <w:rPr>
          <w:rStyle w:val="CharSectNo"/>
        </w:rPr>
        <w:lastRenderedPageBreak/>
        <w:t>1.20</w:t>
      </w:r>
      <w:r>
        <w:tab/>
        <w:t>Promotional material not to be given to certain excluded people</w:t>
      </w:r>
      <w:bookmarkEnd w:id="74"/>
    </w:p>
    <w:p w14:paraId="2D78DC54" w14:textId="77777777" w:rsidR="00D847F1" w:rsidRDefault="00D847F1" w:rsidP="003E3DF8">
      <w:pPr>
        <w:pStyle w:val="Amain"/>
        <w:keepNext/>
      </w:pPr>
      <w:r>
        <w:tab/>
        <w:t>(1)</w:t>
      </w:r>
      <w:r>
        <w:tab/>
        <w:t>The licensee of a gambling facility must not give any information or promotional material about gambling at the facility directly to a person excluded by the licensee under this division.</w:t>
      </w:r>
    </w:p>
    <w:p w14:paraId="10A95EFB" w14:textId="77777777" w:rsidR="00D847F1" w:rsidRDefault="00D847F1">
      <w:pPr>
        <w:pStyle w:val="aExamHdgss"/>
      </w:pPr>
      <w:r>
        <w:t>Examples</w:t>
      </w:r>
    </w:p>
    <w:p w14:paraId="4CAD7C34" w14:textId="77777777" w:rsidR="00D847F1" w:rsidRDefault="00D847F1" w:rsidP="003E3DF8">
      <w:pPr>
        <w:pStyle w:val="aExamINumss"/>
        <w:keepNext/>
        <w:keepLines/>
      </w:pPr>
      <w:r>
        <w:t>1</w:t>
      </w:r>
      <w:r>
        <w:tab/>
        <w:t>information or promotional material given by personally addressed mail or email</w:t>
      </w:r>
    </w:p>
    <w:p w14:paraId="3682B97F" w14:textId="77777777" w:rsidR="00D847F1" w:rsidRDefault="00D847F1" w:rsidP="00B36027">
      <w:pPr>
        <w:pStyle w:val="aExamINumss"/>
        <w:keepLines/>
      </w:pPr>
      <w:r>
        <w:t>2</w:t>
      </w:r>
      <w:r>
        <w:tab/>
        <w:t xml:space="preserve">information or promotional material given personally to the person or left with someone to be given personally to the person </w:t>
      </w:r>
    </w:p>
    <w:p w14:paraId="50131879" w14:textId="77777777" w:rsidR="00D847F1" w:rsidRDefault="00D847F1">
      <w:pPr>
        <w:pStyle w:val="Amain"/>
        <w:keepNext/>
      </w:pPr>
      <w:r>
        <w:tab/>
        <w:t>(2)</w:t>
      </w:r>
      <w:r>
        <w:tab/>
        <w:t>For subsection (1), information or promotional material is not given directly to a person only because it is broadcast or made available to the public generally.</w:t>
      </w:r>
    </w:p>
    <w:p w14:paraId="079EC3E9" w14:textId="77777777" w:rsidR="00D847F1" w:rsidRDefault="00D847F1">
      <w:pPr>
        <w:pStyle w:val="aExamHdgss"/>
      </w:pPr>
      <w:r>
        <w:t>Examples</w:t>
      </w:r>
    </w:p>
    <w:p w14:paraId="70CE6EF9" w14:textId="77777777" w:rsidR="00D847F1" w:rsidRDefault="00D847F1">
      <w:pPr>
        <w:pStyle w:val="aExamINumss"/>
        <w:keepNext/>
      </w:pPr>
      <w:r>
        <w:t>1</w:t>
      </w:r>
      <w:r>
        <w:tab/>
        <w:t>information or promotional material given by television or radio broadcasts</w:t>
      </w:r>
    </w:p>
    <w:p w14:paraId="3A84428A" w14:textId="77777777" w:rsidR="00D847F1" w:rsidRDefault="00D847F1">
      <w:pPr>
        <w:pStyle w:val="aExamINumss"/>
      </w:pPr>
      <w:r>
        <w:t>2</w:t>
      </w:r>
      <w:r>
        <w:tab/>
        <w:t>information or promotional material given by websites accessible to anyone</w:t>
      </w:r>
    </w:p>
    <w:p w14:paraId="7EF97A2D" w14:textId="77777777" w:rsidR="00D847F1" w:rsidRDefault="00D847F1">
      <w:pPr>
        <w:pStyle w:val="aExamINumss"/>
      </w:pPr>
      <w:r>
        <w:t>3</w:t>
      </w:r>
      <w:r>
        <w:tab/>
        <w:t>information or promotional material given by letterbox drops that are not personally addressed</w:t>
      </w:r>
    </w:p>
    <w:p w14:paraId="57647276" w14:textId="77777777" w:rsidR="00104A64" w:rsidRPr="004D57A4" w:rsidRDefault="00104A64" w:rsidP="00104A64">
      <w:pPr>
        <w:pStyle w:val="Sched-Form"/>
      </w:pPr>
      <w:bookmarkStart w:id="75" w:name="_Toc155080730"/>
      <w:r w:rsidRPr="004D57A4">
        <w:rPr>
          <w:rStyle w:val="CharDivNo"/>
        </w:rPr>
        <w:t>Division 1.2.4</w:t>
      </w:r>
      <w:r w:rsidRPr="00D17D0C">
        <w:tab/>
      </w:r>
      <w:r w:rsidRPr="004D57A4">
        <w:rPr>
          <w:rStyle w:val="CharDivText"/>
        </w:rPr>
        <w:t>Betting accounts—electronic race bookmaking, sports bookmaking and totalisator licensees</w:t>
      </w:r>
      <w:bookmarkEnd w:id="75"/>
    </w:p>
    <w:p w14:paraId="1E57BB78" w14:textId="77777777" w:rsidR="00104A64" w:rsidRPr="00D17D0C" w:rsidRDefault="00104A64" w:rsidP="00104A64">
      <w:pPr>
        <w:pStyle w:val="Schclauseheading"/>
        <w:rPr>
          <w:shd w:val="clear" w:color="auto" w:fill="FFFFFF"/>
        </w:rPr>
      </w:pPr>
      <w:bookmarkStart w:id="76" w:name="_Toc155080731"/>
      <w:r w:rsidRPr="004D57A4">
        <w:rPr>
          <w:rStyle w:val="CharSectNo"/>
        </w:rPr>
        <w:t>1.20A</w:t>
      </w:r>
      <w:r w:rsidRPr="00D17D0C">
        <w:rPr>
          <w:shd w:val="clear" w:color="auto" w:fill="FFFFFF"/>
        </w:rPr>
        <w:tab/>
        <w:t>Application</w:t>
      </w:r>
      <w:r w:rsidRPr="00D17D0C">
        <w:t>—div 1.2.4</w:t>
      </w:r>
      <w:bookmarkEnd w:id="76"/>
    </w:p>
    <w:p w14:paraId="26BFA710" w14:textId="77777777" w:rsidR="00104A64" w:rsidRPr="00D17D0C" w:rsidRDefault="00104A64" w:rsidP="00104A64">
      <w:pPr>
        <w:pStyle w:val="Amainreturn"/>
      </w:pPr>
      <w:r w:rsidRPr="00D17D0C">
        <w:rPr>
          <w:color w:val="000000"/>
          <w:shd w:val="clear" w:color="auto" w:fill="FFFFFF"/>
        </w:rPr>
        <w:t>This division applies to the following licensees</w:t>
      </w:r>
      <w:r w:rsidRPr="00D17D0C">
        <w:t>:</w:t>
      </w:r>
    </w:p>
    <w:p w14:paraId="2178DAB2" w14:textId="77777777" w:rsidR="00104A64" w:rsidRPr="00D17D0C" w:rsidRDefault="00104A64" w:rsidP="00104A64">
      <w:pPr>
        <w:pStyle w:val="SchApara"/>
        <w:rPr>
          <w:shd w:val="clear" w:color="auto" w:fill="FFFFFF"/>
        </w:rPr>
      </w:pPr>
      <w:r w:rsidRPr="00D17D0C">
        <w:rPr>
          <w:shd w:val="clear" w:color="auto" w:fill="FFFFFF"/>
        </w:rPr>
        <w:tab/>
        <w:t>(a)</w:t>
      </w:r>
      <w:r w:rsidRPr="00D17D0C">
        <w:rPr>
          <w:shd w:val="clear" w:color="auto" w:fill="FFFFFF"/>
        </w:rPr>
        <w:tab/>
        <w:t>an electronic race bookmaking licensee;</w:t>
      </w:r>
    </w:p>
    <w:p w14:paraId="346A95E3" w14:textId="77777777" w:rsidR="00104A64" w:rsidRPr="00D17D0C" w:rsidRDefault="00104A64" w:rsidP="00104A64">
      <w:pPr>
        <w:pStyle w:val="SchApara"/>
        <w:rPr>
          <w:shd w:val="clear" w:color="auto" w:fill="FFFFFF"/>
        </w:rPr>
      </w:pPr>
      <w:r w:rsidRPr="00D17D0C">
        <w:rPr>
          <w:shd w:val="clear" w:color="auto" w:fill="FFFFFF"/>
        </w:rPr>
        <w:tab/>
        <w:t>(b)</w:t>
      </w:r>
      <w:r w:rsidRPr="00D17D0C">
        <w:rPr>
          <w:shd w:val="clear" w:color="auto" w:fill="FFFFFF"/>
        </w:rPr>
        <w:tab/>
        <w:t>a sports bookmaking licensee;</w:t>
      </w:r>
    </w:p>
    <w:p w14:paraId="7804FA48" w14:textId="77777777" w:rsidR="00104A64" w:rsidRPr="00D17D0C" w:rsidRDefault="00104A64" w:rsidP="00104A64">
      <w:pPr>
        <w:pStyle w:val="SchApara"/>
        <w:rPr>
          <w:shd w:val="clear" w:color="auto" w:fill="FFFFFF"/>
        </w:rPr>
      </w:pPr>
      <w:r w:rsidRPr="00D17D0C">
        <w:rPr>
          <w:shd w:val="clear" w:color="auto" w:fill="FFFFFF"/>
        </w:rPr>
        <w:tab/>
        <w:t>(c)</w:t>
      </w:r>
      <w:r w:rsidRPr="00D17D0C">
        <w:rPr>
          <w:shd w:val="clear" w:color="auto" w:fill="FFFFFF"/>
        </w:rPr>
        <w:tab/>
        <w:t>a totalisator licensee.</w:t>
      </w:r>
    </w:p>
    <w:p w14:paraId="72028DAB" w14:textId="77777777" w:rsidR="00104A64" w:rsidRPr="00D17D0C" w:rsidRDefault="00104A64" w:rsidP="000271C8">
      <w:pPr>
        <w:pStyle w:val="Schclauseheading"/>
        <w:keepLines/>
      </w:pPr>
      <w:bookmarkStart w:id="77" w:name="_Toc155080732"/>
      <w:r w:rsidRPr="004D57A4">
        <w:rPr>
          <w:rStyle w:val="CharSectNo"/>
        </w:rPr>
        <w:lastRenderedPageBreak/>
        <w:t>1.20B</w:t>
      </w:r>
      <w:r w:rsidRPr="00D17D0C">
        <w:tab/>
        <w:t xml:space="preserve">Meaning of </w:t>
      </w:r>
      <w:r w:rsidRPr="00D17D0C">
        <w:rPr>
          <w:rStyle w:val="charItals"/>
        </w:rPr>
        <w:t>deposit limit</w:t>
      </w:r>
      <w:r w:rsidRPr="00D17D0C">
        <w:t>—div 1.2.4</w:t>
      </w:r>
      <w:bookmarkEnd w:id="77"/>
    </w:p>
    <w:p w14:paraId="6701E084" w14:textId="77777777" w:rsidR="00104A64" w:rsidRPr="00D17D0C" w:rsidRDefault="00104A64" w:rsidP="000271C8">
      <w:pPr>
        <w:pStyle w:val="Amainreturn"/>
        <w:keepNext/>
        <w:keepLines/>
      </w:pPr>
      <w:r w:rsidRPr="00D17D0C">
        <w:t>In this division:</w:t>
      </w:r>
    </w:p>
    <w:p w14:paraId="4E0F0A7C" w14:textId="77777777" w:rsidR="00104A64" w:rsidRPr="00D17D0C" w:rsidRDefault="00104A64" w:rsidP="00104A64">
      <w:pPr>
        <w:pStyle w:val="aDef"/>
      </w:pPr>
      <w:r w:rsidRPr="00D17D0C">
        <w:rPr>
          <w:rStyle w:val="charBoldItals"/>
        </w:rPr>
        <w:t>deposit limit</w:t>
      </w:r>
      <w:r w:rsidRPr="00D17D0C">
        <w:t>, for a person’s betting account, means a limit to the amount that can be deposited into the account during a stated period or periods.</w:t>
      </w:r>
    </w:p>
    <w:p w14:paraId="359CBF5C" w14:textId="77777777" w:rsidR="00D838C8" w:rsidRPr="001E4518" w:rsidRDefault="00D838C8" w:rsidP="00D838C8">
      <w:pPr>
        <w:pStyle w:val="AH5Sec"/>
      </w:pPr>
      <w:bookmarkStart w:id="78" w:name="_Toc155080733"/>
      <w:r w:rsidRPr="004D57A4">
        <w:rPr>
          <w:rStyle w:val="CharSectNo"/>
        </w:rPr>
        <w:t>1.20C</w:t>
      </w:r>
      <w:r w:rsidRPr="001E4518">
        <w:tab/>
        <w:t>Information about deposit limits</w:t>
      </w:r>
      <w:bookmarkEnd w:id="78"/>
    </w:p>
    <w:p w14:paraId="5965EBA9" w14:textId="77777777" w:rsidR="00D838C8" w:rsidRPr="001E4518" w:rsidRDefault="00D838C8" w:rsidP="00B36027">
      <w:pPr>
        <w:pStyle w:val="Amain"/>
        <w:keepNext/>
      </w:pPr>
      <w:r w:rsidRPr="001E4518">
        <w:tab/>
        <w:t>(1)</w:t>
      </w:r>
      <w:r w:rsidRPr="001E4518">
        <w:tab/>
        <w:t>A licensee must not open a betting account for a person unless</w:t>
      </w:r>
      <w:r w:rsidRPr="001E4518">
        <w:rPr>
          <w:color w:val="000000"/>
        </w:rPr>
        <w:t>—</w:t>
      </w:r>
    </w:p>
    <w:p w14:paraId="360E97EC" w14:textId="77777777" w:rsidR="00D838C8" w:rsidRPr="001E4518" w:rsidRDefault="00D838C8" w:rsidP="00B36027">
      <w:pPr>
        <w:pStyle w:val="Apara"/>
        <w:keepNext/>
      </w:pPr>
      <w:r w:rsidRPr="001E4518">
        <w:tab/>
        <w:t>(a)</w:t>
      </w:r>
      <w:r w:rsidRPr="001E4518">
        <w:tab/>
        <w:t>the licensee, in accordance with any guidelines made under section 1.20G, has</w:t>
      </w:r>
      <w:r w:rsidRPr="001E4518">
        <w:rPr>
          <w:color w:val="000000"/>
        </w:rPr>
        <w:t>—</w:t>
      </w:r>
    </w:p>
    <w:p w14:paraId="68E7174B" w14:textId="77777777" w:rsidR="00D838C8" w:rsidRPr="001E4518" w:rsidRDefault="00D838C8" w:rsidP="00B36027">
      <w:pPr>
        <w:pStyle w:val="Asubpara"/>
        <w:keepNext/>
      </w:pPr>
      <w:r w:rsidRPr="001E4518">
        <w:tab/>
        <w:t>(i)</w:t>
      </w:r>
      <w:r w:rsidRPr="001E4518">
        <w:tab/>
        <w:t>told the person they can set a deposit limit for the account; and</w:t>
      </w:r>
    </w:p>
    <w:p w14:paraId="04757AEE" w14:textId="77777777" w:rsidR="00D838C8" w:rsidRPr="001E4518" w:rsidRDefault="00D838C8" w:rsidP="00D838C8">
      <w:pPr>
        <w:pStyle w:val="Asubpara"/>
      </w:pPr>
      <w:r w:rsidRPr="001E4518">
        <w:tab/>
        <w:t>(ii)</w:t>
      </w:r>
      <w:r w:rsidRPr="001E4518">
        <w:tab/>
        <w:t>asked the person whether they want to set a deposit limit; and</w:t>
      </w:r>
    </w:p>
    <w:p w14:paraId="29F9B868" w14:textId="77777777" w:rsidR="00D838C8" w:rsidRPr="001E4518" w:rsidRDefault="00D838C8" w:rsidP="00D838C8">
      <w:pPr>
        <w:pStyle w:val="Apara"/>
      </w:pPr>
      <w:r w:rsidRPr="001E4518">
        <w:tab/>
        <w:t>(b)</w:t>
      </w:r>
      <w:r w:rsidRPr="001E4518">
        <w:tab/>
        <w:t>the person has set, or declined to set, a deposit limit for the account.</w:t>
      </w:r>
    </w:p>
    <w:p w14:paraId="6C242D3E" w14:textId="77777777" w:rsidR="00D838C8" w:rsidRPr="001E4518" w:rsidRDefault="00D838C8" w:rsidP="00D838C8">
      <w:pPr>
        <w:pStyle w:val="Amain"/>
      </w:pPr>
      <w:r w:rsidRPr="001E4518">
        <w:tab/>
        <w:t>(2)</w:t>
      </w:r>
      <w:r w:rsidRPr="001E4518">
        <w:tab/>
        <w:t>At least once every 12 months while a person has a betting account with a licensee, the licensee must, in accordance with any guidelines made under section 1.20G</w:t>
      </w:r>
      <w:r w:rsidRPr="001E4518">
        <w:rPr>
          <w:color w:val="000000"/>
        </w:rPr>
        <w:t>—</w:t>
      </w:r>
    </w:p>
    <w:p w14:paraId="42E89DF5" w14:textId="77777777" w:rsidR="00D838C8" w:rsidRPr="001E4518" w:rsidRDefault="00D838C8" w:rsidP="00D838C8">
      <w:pPr>
        <w:pStyle w:val="Apara"/>
      </w:pPr>
      <w:r w:rsidRPr="001E4518">
        <w:tab/>
        <w:t>(a)</w:t>
      </w:r>
      <w:r w:rsidRPr="001E4518">
        <w:tab/>
        <w:t>if the account has no deposit limit</w:t>
      </w:r>
      <w:r w:rsidRPr="001E4518">
        <w:rPr>
          <w:color w:val="000000"/>
        </w:rPr>
        <w:t>—tell</w:t>
      </w:r>
      <w:r w:rsidRPr="001E4518">
        <w:t xml:space="preserve"> the person they can set a deposit limit and ask the person whether they want to set a deposit limit; and</w:t>
      </w:r>
    </w:p>
    <w:p w14:paraId="71009259" w14:textId="77777777" w:rsidR="00D838C8" w:rsidRPr="001E4518" w:rsidRDefault="00D838C8" w:rsidP="00D838C8">
      <w:pPr>
        <w:pStyle w:val="Apara"/>
      </w:pPr>
      <w:r w:rsidRPr="001E4518">
        <w:tab/>
        <w:t>(b)</w:t>
      </w:r>
      <w:r w:rsidRPr="001E4518">
        <w:tab/>
        <w:t>if the account has a deposit limit</w:t>
      </w:r>
      <w:r w:rsidRPr="001E4518">
        <w:rPr>
          <w:color w:val="000000"/>
        </w:rPr>
        <w:t>—</w:t>
      </w:r>
      <w:r w:rsidRPr="001E4518">
        <w:t>ask the person whether they want to change the deposit limit.</w:t>
      </w:r>
    </w:p>
    <w:p w14:paraId="3DFB5213" w14:textId="77777777" w:rsidR="00D838C8" w:rsidRPr="001E4518" w:rsidRDefault="00D838C8" w:rsidP="00D838C8">
      <w:pPr>
        <w:pStyle w:val="Amain"/>
      </w:pPr>
      <w:r w:rsidRPr="001E4518">
        <w:tab/>
        <w:t>(3)</w:t>
      </w:r>
      <w:r w:rsidRPr="001E4518">
        <w:tab/>
        <w:t>Subsection (2) does not apply if the betting account has not been used to make or settle a bet within the previous 12 months.</w:t>
      </w:r>
    </w:p>
    <w:p w14:paraId="6D88728C" w14:textId="77777777" w:rsidR="00D838C8" w:rsidRPr="001E4518" w:rsidRDefault="00D838C8" w:rsidP="00D838C8">
      <w:pPr>
        <w:pStyle w:val="Amain"/>
        <w:rPr>
          <w:color w:val="000000"/>
        </w:rPr>
      </w:pPr>
      <w:r w:rsidRPr="001E4518">
        <w:tab/>
        <w:t>(4)</w:t>
      </w:r>
      <w:r w:rsidRPr="001E4518">
        <w:tab/>
        <w:t>A licensee must publish information promoting deposit limits</w:t>
      </w:r>
      <w:r w:rsidRPr="001E4518">
        <w:rPr>
          <w:color w:val="000000"/>
        </w:rPr>
        <w:t>—</w:t>
      </w:r>
    </w:p>
    <w:p w14:paraId="269F6849" w14:textId="77777777" w:rsidR="00D838C8" w:rsidRPr="001E4518" w:rsidRDefault="00D838C8" w:rsidP="00D838C8">
      <w:pPr>
        <w:pStyle w:val="Apara"/>
      </w:pPr>
      <w:r w:rsidRPr="001E4518">
        <w:tab/>
        <w:t>(a)</w:t>
      </w:r>
      <w:r w:rsidRPr="001E4518">
        <w:tab/>
        <w:t>on the licensee’s website and on each communication channel a person can use to place a bet with the licensee; and</w:t>
      </w:r>
    </w:p>
    <w:p w14:paraId="4C708313" w14:textId="77777777" w:rsidR="00D838C8" w:rsidRPr="001E4518" w:rsidRDefault="00D838C8" w:rsidP="00D838C8">
      <w:pPr>
        <w:pStyle w:val="Apara"/>
      </w:pPr>
      <w:r w:rsidRPr="001E4518">
        <w:lastRenderedPageBreak/>
        <w:tab/>
        <w:t>(b)</w:t>
      </w:r>
      <w:r w:rsidRPr="001E4518">
        <w:tab/>
        <w:t>in accordance with any guidelines made under section 1.20G.</w:t>
      </w:r>
    </w:p>
    <w:p w14:paraId="13613F7B" w14:textId="77777777" w:rsidR="00D838C8" w:rsidRPr="001E4518" w:rsidRDefault="00D838C8" w:rsidP="00D838C8">
      <w:pPr>
        <w:pStyle w:val="AH5Sec"/>
      </w:pPr>
      <w:bookmarkStart w:id="79" w:name="_Toc155080734"/>
      <w:r w:rsidRPr="004D57A4">
        <w:rPr>
          <w:rStyle w:val="CharSectNo"/>
        </w:rPr>
        <w:t>1.20D</w:t>
      </w:r>
      <w:r w:rsidRPr="001E4518">
        <w:tab/>
        <w:t>No deposits over deposit limit</w:t>
      </w:r>
      <w:bookmarkEnd w:id="79"/>
    </w:p>
    <w:p w14:paraId="14CD016A" w14:textId="77777777" w:rsidR="00D838C8" w:rsidRPr="001E4518" w:rsidRDefault="00D838C8" w:rsidP="00FF358C">
      <w:pPr>
        <w:pStyle w:val="Amainreturn"/>
        <w:keepNext/>
      </w:pPr>
      <w:r w:rsidRPr="001E4518">
        <w:t>A licensee must not allow a person to deposit money into a betting account held with the licensee if depositing the amount would result in the deposit limit for the account being exceeded.</w:t>
      </w:r>
    </w:p>
    <w:p w14:paraId="17BC0E09" w14:textId="77777777" w:rsidR="00D838C8" w:rsidRPr="001E4518" w:rsidRDefault="00D838C8" w:rsidP="00D838C8">
      <w:pPr>
        <w:pStyle w:val="aExamHdgss"/>
      </w:pPr>
      <w:r w:rsidRPr="001E4518">
        <w:t>Examples</w:t>
      </w:r>
    </w:p>
    <w:p w14:paraId="24733089" w14:textId="77777777" w:rsidR="00D838C8" w:rsidRPr="001E4518" w:rsidRDefault="00D838C8" w:rsidP="00D838C8">
      <w:pPr>
        <w:pStyle w:val="aExamINumss"/>
      </w:pPr>
      <w:r w:rsidRPr="001E4518">
        <w:t>1</w:t>
      </w:r>
      <w:r w:rsidRPr="001E4518">
        <w:tab/>
        <w:t>Ali has a betting account with XYZ licensee and has set a deposit limit of $100 per week. Ali deposits $100 into the account. Less than a week later, Ali attempts to deposit $10 into the account. XYZ licensee must reject the transaction as it would exceed Ali’s deposit limit of $100 per week.</w:t>
      </w:r>
    </w:p>
    <w:p w14:paraId="7219B343" w14:textId="77777777" w:rsidR="00D838C8" w:rsidRPr="001E4518" w:rsidRDefault="00D838C8" w:rsidP="00D838C8">
      <w:pPr>
        <w:pStyle w:val="aExamINumss"/>
      </w:pPr>
      <w:r w:rsidRPr="001E4518">
        <w:t>2</w:t>
      </w:r>
      <w:r w:rsidRPr="001E4518">
        <w:tab/>
        <w:t>Pat has a betting account with XYZ licensee and has set a deposit limit of $200 per fortnight. Pat deposits $100 into the account. Less than a fortnight later, Pat attempts to deposit $150 into the account. XYZ licensee must reject the transaction as it would exceed Pat’s deposit limit of $200 per fortnight.</w:t>
      </w:r>
    </w:p>
    <w:p w14:paraId="5EFEF3B8" w14:textId="77777777" w:rsidR="00D838C8" w:rsidRPr="001E4518" w:rsidRDefault="00D838C8" w:rsidP="00D838C8">
      <w:pPr>
        <w:pStyle w:val="AH5Sec"/>
      </w:pPr>
      <w:bookmarkStart w:id="80" w:name="_Toc155080735"/>
      <w:r w:rsidRPr="004D57A4">
        <w:rPr>
          <w:rStyle w:val="CharSectNo"/>
        </w:rPr>
        <w:t>1.20E</w:t>
      </w:r>
      <w:r w:rsidRPr="001E4518">
        <w:tab/>
        <w:t>Setting and changing deposit limits</w:t>
      </w:r>
      <w:bookmarkEnd w:id="80"/>
    </w:p>
    <w:p w14:paraId="75D8C6B6" w14:textId="77777777" w:rsidR="00D838C8" w:rsidRPr="001E4518" w:rsidRDefault="00D838C8" w:rsidP="00D838C8">
      <w:pPr>
        <w:pStyle w:val="Amain"/>
      </w:pPr>
      <w:r w:rsidRPr="001E4518">
        <w:tab/>
        <w:t>(1)</w:t>
      </w:r>
      <w:r w:rsidRPr="001E4518">
        <w:tab/>
        <w:t>A licensee must ensure that the process for a person to set and change a deposit limit for their betting account held with the licensee—</w:t>
      </w:r>
    </w:p>
    <w:p w14:paraId="184C3166" w14:textId="77777777" w:rsidR="00D838C8" w:rsidRPr="001E4518" w:rsidRDefault="00D838C8" w:rsidP="00D838C8">
      <w:pPr>
        <w:pStyle w:val="Apara"/>
      </w:pPr>
      <w:r w:rsidRPr="001E4518">
        <w:tab/>
        <w:t>(a)</w:t>
      </w:r>
      <w:r w:rsidRPr="001E4518">
        <w:tab/>
        <w:t>is simple and easy for the person to use; and</w:t>
      </w:r>
    </w:p>
    <w:p w14:paraId="3E0FE481" w14:textId="77777777" w:rsidR="00D838C8" w:rsidRPr="001E4518" w:rsidRDefault="00D838C8" w:rsidP="00D838C8">
      <w:pPr>
        <w:pStyle w:val="Apara"/>
      </w:pPr>
      <w:r w:rsidRPr="001E4518">
        <w:tab/>
        <w:t>(b)</w:t>
      </w:r>
      <w:r w:rsidRPr="001E4518">
        <w:tab/>
        <w:t>allows the person to choose the period or periods to which the limit applies, including a period or periods of 1, 7, 14 or 28 days; and</w:t>
      </w:r>
    </w:p>
    <w:p w14:paraId="02BE0986" w14:textId="77777777" w:rsidR="00D838C8" w:rsidRPr="001E4518" w:rsidRDefault="00D838C8" w:rsidP="00D838C8">
      <w:pPr>
        <w:pStyle w:val="Apara"/>
      </w:pPr>
      <w:r w:rsidRPr="001E4518">
        <w:tab/>
        <w:t>(c)</w:t>
      </w:r>
      <w:r w:rsidRPr="001E4518">
        <w:tab/>
        <w:t>complies with any guidelines made under section 1.20G.</w:t>
      </w:r>
    </w:p>
    <w:p w14:paraId="4F80194B" w14:textId="77777777" w:rsidR="00D838C8" w:rsidRPr="001E4518" w:rsidRDefault="00D838C8" w:rsidP="00D838C8">
      <w:pPr>
        <w:pStyle w:val="Amain"/>
      </w:pPr>
      <w:r w:rsidRPr="001E4518">
        <w:tab/>
        <w:t>(2)</w:t>
      </w:r>
      <w:r w:rsidRPr="001E4518">
        <w:tab/>
        <w:t>A licensee must set or lower the deposit limit for a person’s betting account with the licensee immediately when the licensee receives a request from the person to do so.</w:t>
      </w:r>
    </w:p>
    <w:p w14:paraId="00573442" w14:textId="77777777" w:rsidR="00D838C8" w:rsidRPr="001E4518" w:rsidRDefault="00D838C8" w:rsidP="00D838C8">
      <w:pPr>
        <w:pStyle w:val="Amain"/>
      </w:pPr>
      <w:r w:rsidRPr="001E4518">
        <w:tab/>
        <w:t>(3)</w:t>
      </w:r>
      <w:r w:rsidRPr="001E4518">
        <w:tab/>
        <w:t>A licensee must not increase the deposit limit for a person’s betting account with the licensee until at least 7 days after the licensee receives a request to do so.</w:t>
      </w:r>
    </w:p>
    <w:p w14:paraId="2C7C8292" w14:textId="77777777" w:rsidR="00D838C8" w:rsidRPr="001E4518" w:rsidRDefault="00D838C8" w:rsidP="00D838C8">
      <w:pPr>
        <w:pStyle w:val="AH5Sec"/>
      </w:pPr>
      <w:bookmarkStart w:id="81" w:name="_Toc155080736"/>
      <w:r w:rsidRPr="004D57A4">
        <w:rPr>
          <w:rStyle w:val="CharSectNo"/>
        </w:rPr>
        <w:lastRenderedPageBreak/>
        <w:t>1.20F</w:t>
      </w:r>
      <w:r w:rsidRPr="001E4518">
        <w:tab/>
        <w:t>Closing betting accounts</w:t>
      </w:r>
      <w:bookmarkEnd w:id="81"/>
    </w:p>
    <w:p w14:paraId="3FA9F687" w14:textId="77777777" w:rsidR="00D838C8" w:rsidRPr="001E4518" w:rsidRDefault="00D838C8" w:rsidP="00D838C8">
      <w:pPr>
        <w:pStyle w:val="Amain"/>
      </w:pPr>
      <w:r w:rsidRPr="001E4518">
        <w:tab/>
        <w:t>(1)</w:t>
      </w:r>
      <w:r w:rsidRPr="001E4518">
        <w:tab/>
        <w:t>A licensee must, in accordance with any guidelines made under section 1.20G, ensure that the process for a person to close their betting account held with the licensee is</w:t>
      </w:r>
      <w:r w:rsidRPr="001E4518">
        <w:rPr>
          <w:color w:val="000000"/>
        </w:rPr>
        <w:t>—</w:t>
      </w:r>
    </w:p>
    <w:p w14:paraId="766378F3" w14:textId="77777777" w:rsidR="00D838C8" w:rsidRPr="001E4518" w:rsidRDefault="00D838C8" w:rsidP="00D838C8">
      <w:pPr>
        <w:pStyle w:val="Apara"/>
      </w:pPr>
      <w:r w:rsidRPr="001E4518">
        <w:tab/>
        <w:t>(a)</w:t>
      </w:r>
      <w:r w:rsidRPr="001E4518">
        <w:tab/>
        <w:t>simple and easy for the person to use; and</w:t>
      </w:r>
    </w:p>
    <w:p w14:paraId="6123EF4C" w14:textId="77777777" w:rsidR="00D838C8" w:rsidRPr="001E4518" w:rsidRDefault="00D838C8" w:rsidP="00D838C8">
      <w:pPr>
        <w:pStyle w:val="Apara"/>
      </w:pPr>
      <w:r w:rsidRPr="001E4518">
        <w:tab/>
        <w:t>(b)</w:t>
      </w:r>
      <w:r w:rsidRPr="001E4518">
        <w:tab/>
        <w:t>prominently and clearly communicated on the licensee’s website and through any communication channel the person can use to place a bet with the licensee.</w:t>
      </w:r>
    </w:p>
    <w:p w14:paraId="3AA01B8A" w14:textId="77777777" w:rsidR="00D838C8" w:rsidRPr="001E4518" w:rsidRDefault="00D838C8" w:rsidP="00D838C8">
      <w:pPr>
        <w:pStyle w:val="Amain"/>
      </w:pPr>
      <w:r w:rsidRPr="001E4518">
        <w:tab/>
        <w:t>(2)</w:t>
      </w:r>
      <w:r w:rsidRPr="001E4518">
        <w:tab/>
        <w:t>A licensee must ensure that a person can ask to close their betting account—</w:t>
      </w:r>
    </w:p>
    <w:p w14:paraId="2B4D4A4F" w14:textId="77777777" w:rsidR="00D838C8" w:rsidRPr="001E4518" w:rsidRDefault="00D838C8" w:rsidP="00D838C8">
      <w:pPr>
        <w:pStyle w:val="Apara"/>
      </w:pPr>
      <w:r w:rsidRPr="001E4518">
        <w:tab/>
        <w:t>(a)</w:t>
      </w:r>
      <w:r w:rsidRPr="001E4518">
        <w:tab/>
        <w:t>by email; and</w:t>
      </w:r>
    </w:p>
    <w:p w14:paraId="4F2895FC" w14:textId="77777777" w:rsidR="00D838C8" w:rsidRPr="001E4518" w:rsidRDefault="00D838C8" w:rsidP="00D838C8">
      <w:pPr>
        <w:pStyle w:val="Apara"/>
      </w:pPr>
      <w:r w:rsidRPr="001E4518">
        <w:tab/>
        <w:t>(b)</w:t>
      </w:r>
      <w:r w:rsidRPr="001E4518">
        <w:tab/>
        <w:t>by telephone; and</w:t>
      </w:r>
    </w:p>
    <w:p w14:paraId="630EC3DB" w14:textId="77777777" w:rsidR="00D838C8" w:rsidRPr="001E4518" w:rsidRDefault="00D838C8" w:rsidP="00D838C8">
      <w:pPr>
        <w:pStyle w:val="Apara"/>
      </w:pPr>
      <w:r w:rsidRPr="001E4518">
        <w:tab/>
        <w:t>(c)</w:t>
      </w:r>
      <w:r w:rsidRPr="001E4518">
        <w:tab/>
        <w:t>by any other communication channel that the person can use to place a bet with the licensee.</w:t>
      </w:r>
    </w:p>
    <w:p w14:paraId="487C8432" w14:textId="77777777" w:rsidR="00D838C8" w:rsidRPr="001E4518" w:rsidRDefault="00D838C8" w:rsidP="00D838C8">
      <w:pPr>
        <w:pStyle w:val="Amain"/>
      </w:pPr>
      <w:r w:rsidRPr="001E4518">
        <w:tab/>
        <w:t>(3)</w:t>
      </w:r>
      <w:r w:rsidRPr="001E4518">
        <w:tab/>
        <w:t>After a licensee has received a request from a person to close their betting account, the licensee</w:t>
      </w:r>
      <w:r w:rsidRPr="001E4518">
        <w:rPr>
          <w:color w:val="000000"/>
        </w:rPr>
        <w:t>—</w:t>
      </w:r>
    </w:p>
    <w:p w14:paraId="6BE8519F" w14:textId="77777777" w:rsidR="00D838C8" w:rsidRPr="001E4518" w:rsidRDefault="00D838C8" w:rsidP="00D838C8">
      <w:pPr>
        <w:pStyle w:val="Apara"/>
      </w:pPr>
      <w:r w:rsidRPr="001E4518">
        <w:tab/>
        <w:t>(a)</w:t>
      </w:r>
      <w:r w:rsidRPr="001E4518">
        <w:tab/>
        <w:t>must not accept a bet using the account; and</w:t>
      </w:r>
    </w:p>
    <w:p w14:paraId="4A902A56" w14:textId="77777777" w:rsidR="00D838C8" w:rsidRPr="001E4518" w:rsidRDefault="00D838C8" w:rsidP="00D838C8">
      <w:pPr>
        <w:pStyle w:val="Apara"/>
      </w:pPr>
      <w:r w:rsidRPr="001E4518">
        <w:tab/>
        <w:t>(b)</w:t>
      </w:r>
      <w:r w:rsidRPr="001E4518">
        <w:tab/>
        <w:t>must close the account as soon as practicable after all bets made using the account have been settled.</w:t>
      </w:r>
    </w:p>
    <w:p w14:paraId="17B4FC89" w14:textId="77777777" w:rsidR="00D838C8" w:rsidRPr="001E4518" w:rsidRDefault="00D838C8" w:rsidP="00D838C8">
      <w:pPr>
        <w:pStyle w:val="Amain"/>
      </w:pPr>
      <w:r w:rsidRPr="001E4518">
        <w:tab/>
        <w:t>(4)</w:t>
      </w:r>
      <w:r w:rsidRPr="001E4518">
        <w:tab/>
        <w:t>If a licensee receives a request from a person to close their betting account, the licensee</w:t>
      </w:r>
      <w:r w:rsidRPr="001E4518">
        <w:rPr>
          <w:color w:val="000000"/>
        </w:rPr>
        <w:t>—</w:t>
      </w:r>
    </w:p>
    <w:p w14:paraId="1548DEB3" w14:textId="77777777" w:rsidR="00D838C8" w:rsidRPr="001E4518" w:rsidRDefault="00D838C8" w:rsidP="00D838C8">
      <w:pPr>
        <w:pStyle w:val="Apara"/>
      </w:pPr>
      <w:r w:rsidRPr="001E4518">
        <w:tab/>
        <w:t>(a)</w:t>
      </w:r>
      <w:r w:rsidRPr="001E4518">
        <w:tab/>
        <w:t>must not encourage or induce the person to cancel the request; but</w:t>
      </w:r>
    </w:p>
    <w:p w14:paraId="27944515" w14:textId="77777777" w:rsidR="00D838C8" w:rsidRPr="001E4518" w:rsidRDefault="00D838C8" w:rsidP="00D838C8">
      <w:pPr>
        <w:pStyle w:val="Apara"/>
      </w:pPr>
      <w:r w:rsidRPr="001E4518">
        <w:tab/>
        <w:t>(b)</w:t>
      </w:r>
      <w:r w:rsidRPr="001E4518">
        <w:tab/>
        <w:t>may explain to the person the effects of closing the account and ask the person whether they want to proceed with closing it.</w:t>
      </w:r>
    </w:p>
    <w:p w14:paraId="7E2AF81D" w14:textId="77777777" w:rsidR="00D838C8" w:rsidRPr="001E4518" w:rsidRDefault="00D838C8" w:rsidP="00D838C8">
      <w:pPr>
        <w:pStyle w:val="aNote"/>
      </w:pPr>
      <w:r w:rsidRPr="001E4518">
        <w:rPr>
          <w:rStyle w:val="charItals"/>
        </w:rPr>
        <w:t>Note</w:t>
      </w:r>
      <w:r w:rsidRPr="001E4518">
        <w:rPr>
          <w:rStyle w:val="charItals"/>
        </w:rPr>
        <w:tab/>
      </w:r>
      <w:r w:rsidRPr="001E4518">
        <w:t>A licensee must not send direct marketing to a person after the person has asked to close their betting account (see s 1.30C (3) (b)).</w:t>
      </w:r>
    </w:p>
    <w:p w14:paraId="517D674C" w14:textId="77777777" w:rsidR="00D838C8" w:rsidRPr="001E4518" w:rsidRDefault="00D838C8" w:rsidP="00D838C8">
      <w:pPr>
        <w:pStyle w:val="AH5Sec"/>
      </w:pPr>
      <w:bookmarkStart w:id="82" w:name="_Toc155080737"/>
      <w:r w:rsidRPr="004D57A4">
        <w:rPr>
          <w:rStyle w:val="CharSectNo"/>
        </w:rPr>
        <w:lastRenderedPageBreak/>
        <w:t>1.20G</w:t>
      </w:r>
      <w:r w:rsidRPr="001E4518">
        <w:tab/>
        <w:t>Guidelines about betting accounts</w:t>
      </w:r>
      <w:bookmarkEnd w:id="82"/>
    </w:p>
    <w:p w14:paraId="52F0A4B3" w14:textId="77777777" w:rsidR="00D838C8" w:rsidRPr="001E4518" w:rsidRDefault="00D838C8" w:rsidP="00D838C8">
      <w:pPr>
        <w:pStyle w:val="Amain"/>
      </w:pPr>
      <w:r w:rsidRPr="001E4518">
        <w:tab/>
        <w:t>(1)</w:t>
      </w:r>
      <w:r w:rsidRPr="001E4518">
        <w:tab/>
        <w:t>The Minister may make guidelines about—</w:t>
      </w:r>
    </w:p>
    <w:p w14:paraId="74EB5BEA" w14:textId="77777777" w:rsidR="00D838C8" w:rsidRPr="001E4518" w:rsidRDefault="00D838C8" w:rsidP="00D838C8">
      <w:pPr>
        <w:pStyle w:val="Apara"/>
      </w:pPr>
      <w:r w:rsidRPr="001E4518">
        <w:tab/>
        <w:t>(a)</w:t>
      </w:r>
      <w:r w:rsidRPr="001E4518">
        <w:tab/>
        <w:t>the information a licensee must provide in relation to setting, changing and promoting deposit limits and closing betting accounts; and</w:t>
      </w:r>
    </w:p>
    <w:p w14:paraId="043207A3" w14:textId="77777777" w:rsidR="00D838C8" w:rsidRPr="001E4518" w:rsidRDefault="00D838C8" w:rsidP="00D838C8">
      <w:pPr>
        <w:pStyle w:val="Apara"/>
      </w:pPr>
      <w:r w:rsidRPr="001E4518">
        <w:tab/>
        <w:t>(b)</w:t>
      </w:r>
      <w:r w:rsidRPr="001E4518">
        <w:tab/>
        <w:t>the process for setting and changing deposit limits and closing betting accounts.</w:t>
      </w:r>
    </w:p>
    <w:p w14:paraId="0E5BB3C9" w14:textId="77777777" w:rsidR="00D838C8" w:rsidRPr="001E4518" w:rsidRDefault="00D838C8" w:rsidP="00D838C8">
      <w:pPr>
        <w:pStyle w:val="Amain"/>
      </w:pPr>
      <w:r w:rsidRPr="001E4518">
        <w:tab/>
        <w:t>(2)</w:t>
      </w:r>
      <w:r w:rsidRPr="001E4518">
        <w:tab/>
        <w:t>A guideline made under subsection (1) (a) may include requirements for the following:</w:t>
      </w:r>
    </w:p>
    <w:p w14:paraId="6F0CE901" w14:textId="77777777" w:rsidR="00D838C8" w:rsidRPr="001E4518" w:rsidRDefault="00D838C8" w:rsidP="00D838C8">
      <w:pPr>
        <w:pStyle w:val="Apara"/>
      </w:pPr>
      <w:r w:rsidRPr="001E4518">
        <w:tab/>
        <w:t>(a)</w:t>
      </w:r>
      <w:r w:rsidRPr="001E4518">
        <w:tab/>
        <w:t>the content or form of information to be provided by a licensee;</w:t>
      </w:r>
    </w:p>
    <w:p w14:paraId="5D53B409" w14:textId="77777777" w:rsidR="00D838C8" w:rsidRPr="001E4518" w:rsidRDefault="00D838C8" w:rsidP="00D838C8">
      <w:pPr>
        <w:pStyle w:val="Apara"/>
      </w:pPr>
      <w:r w:rsidRPr="001E4518">
        <w:tab/>
        <w:t>(b)</w:t>
      </w:r>
      <w:r w:rsidRPr="001E4518">
        <w:tab/>
        <w:t>when information must be communicated by a licensee and to whom;</w:t>
      </w:r>
    </w:p>
    <w:p w14:paraId="6F2EB407" w14:textId="77777777" w:rsidR="00D838C8" w:rsidRPr="001E4518" w:rsidRDefault="00D838C8" w:rsidP="00D838C8">
      <w:pPr>
        <w:pStyle w:val="Apara"/>
      </w:pPr>
      <w:r w:rsidRPr="001E4518">
        <w:tab/>
        <w:t>(c)</w:t>
      </w:r>
      <w:r w:rsidRPr="001E4518">
        <w:tab/>
        <w:t>where or how information must be communicated by a licensee.</w:t>
      </w:r>
    </w:p>
    <w:p w14:paraId="6DBD6CEC" w14:textId="77777777" w:rsidR="00D838C8" w:rsidRPr="001E4518" w:rsidRDefault="00D838C8" w:rsidP="00D838C8">
      <w:pPr>
        <w:pStyle w:val="Amain"/>
      </w:pPr>
      <w:r w:rsidRPr="001E4518">
        <w:tab/>
        <w:t>(3)</w:t>
      </w:r>
      <w:r w:rsidRPr="001E4518">
        <w:tab/>
        <w:t>A guideline is a notifiable instrument.</w:t>
      </w:r>
    </w:p>
    <w:p w14:paraId="170887A8" w14:textId="2B6E700D" w:rsidR="00D838C8" w:rsidRPr="001E4518" w:rsidRDefault="00D838C8" w:rsidP="00D838C8">
      <w:pPr>
        <w:pStyle w:val="aNote"/>
      </w:pPr>
      <w:r w:rsidRPr="001E4518">
        <w:rPr>
          <w:rStyle w:val="charItals"/>
        </w:rPr>
        <w:t>Note</w:t>
      </w:r>
      <w:r w:rsidRPr="001E4518">
        <w:rPr>
          <w:rStyle w:val="charItals"/>
        </w:rPr>
        <w:tab/>
      </w:r>
      <w:r w:rsidRPr="001E4518">
        <w:t xml:space="preserve">A notifiable instrument must be notified under the </w:t>
      </w:r>
      <w:hyperlink r:id="rId70" w:tooltip="A2001-14" w:history="1">
        <w:r w:rsidRPr="001E4518">
          <w:rPr>
            <w:rStyle w:val="charCitHyperlinkAbbrev"/>
          </w:rPr>
          <w:t>Legislation Act</w:t>
        </w:r>
      </w:hyperlink>
      <w:r w:rsidRPr="001E4518">
        <w:t>.</w:t>
      </w:r>
    </w:p>
    <w:p w14:paraId="3D48FD7E" w14:textId="77777777" w:rsidR="00D838C8" w:rsidRPr="001E4518" w:rsidRDefault="00D838C8" w:rsidP="00D838C8">
      <w:pPr>
        <w:pStyle w:val="AH5Sec"/>
      </w:pPr>
      <w:bookmarkStart w:id="83" w:name="_Toc155080738"/>
      <w:r w:rsidRPr="004D57A4">
        <w:rPr>
          <w:rStyle w:val="CharSectNo"/>
        </w:rPr>
        <w:t>1.20H</w:t>
      </w:r>
      <w:r w:rsidRPr="001E4518">
        <w:tab/>
        <w:t>Directions about betting accounts</w:t>
      </w:r>
      <w:bookmarkEnd w:id="83"/>
    </w:p>
    <w:p w14:paraId="34318CDC" w14:textId="77777777" w:rsidR="00D838C8" w:rsidRPr="001E4518" w:rsidRDefault="00D838C8" w:rsidP="00D838C8">
      <w:pPr>
        <w:pStyle w:val="Amain"/>
      </w:pPr>
      <w:r w:rsidRPr="001E4518">
        <w:tab/>
        <w:t>(1)</w:t>
      </w:r>
      <w:r w:rsidRPr="001E4518">
        <w:tab/>
        <w:t>The commission may give a written direction to a licensee to ensure compliance with this division.</w:t>
      </w:r>
    </w:p>
    <w:p w14:paraId="6BF5B5B3" w14:textId="77777777" w:rsidR="00D838C8" w:rsidRDefault="00D838C8" w:rsidP="00D838C8">
      <w:pPr>
        <w:pStyle w:val="Amain"/>
      </w:pPr>
      <w:r w:rsidRPr="001E4518">
        <w:tab/>
        <w:t>(2)</w:t>
      </w:r>
      <w:r w:rsidRPr="001E4518">
        <w:tab/>
        <w:t>If the commission gives a direction to a licensee, the licensee must comply with the direction.</w:t>
      </w:r>
    </w:p>
    <w:p w14:paraId="420B2F7D" w14:textId="77777777" w:rsidR="00846629" w:rsidRPr="004D57A4" w:rsidRDefault="00846629" w:rsidP="00846629">
      <w:pPr>
        <w:pStyle w:val="Sched-Form"/>
      </w:pPr>
      <w:bookmarkStart w:id="84" w:name="_Toc155080739"/>
      <w:r w:rsidRPr="004D57A4">
        <w:rPr>
          <w:rStyle w:val="CharDivNo"/>
        </w:rPr>
        <w:t>Division 1.2.5</w:t>
      </w:r>
      <w:r w:rsidRPr="00D17D0C">
        <w:tab/>
      </w:r>
      <w:r w:rsidRPr="004D57A4">
        <w:rPr>
          <w:rStyle w:val="CharDivText"/>
        </w:rPr>
        <w:t>Betting accounts—activity statements</w:t>
      </w:r>
      <w:bookmarkEnd w:id="84"/>
    </w:p>
    <w:p w14:paraId="4229AC85" w14:textId="77777777" w:rsidR="00846629" w:rsidRPr="00D17D0C" w:rsidRDefault="00846629" w:rsidP="00846629">
      <w:pPr>
        <w:pStyle w:val="Schclauseheading"/>
      </w:pPr>
      <w:bookmarkStart w:id="85" w:name="_Toc155080740"/>
      <w:r w:rsidRPr="004D57A4">
        <w:rPr>
          <w:rStyle w:val="CharSectNo"/>
        </w:rPr>
        <w:t>1.20I</w:t>
      </w:r>
      <w:r w:rsidRPr="00D17D0C">
        <w:tab/>
        <w:t>Application</w:t>
      </w:r>
      <w:r w:rsidRPr="00D17D0C">
        <w:rPr>
          <w:rFonts w:cs="Arial"/>
          <w:color w:val="000000"/>
          <w:shd w:val="clear" w:color="auto" w:fill="FFFFFF"/>
        </w:rPr>
        <w:t>—</w:t>
      </w:r>
      <w:r w:rsidRPr="00D17D0C">
        <w:t>div 1.2.5</w:t>
      </w:r>
      <w:bookmarkEnd w:id="85"/>
    </w:p>
    <w:p w14:paraId="53CC498D" w14:textId="77777777" w:rsidR="00846629" w:rsidRPr="00D17D0C" w:rsidRDefault="00846629" w:rsidP="00846629">
      <w:pPr>
        <w:pStyle w:val="Amainreturn"/>
      </w:pPr>
      <w:r w:rsidRPr="00D17D0C">
        <w:t xml:space="preserve">This division applies to </w:t>
      </w:r>
      <w:r w:rsidRPr="00D17D0C">
        <w:rPr>
          <w:color w:val="000000"/>
          <w:shd w:val="clear" w:color="auto" w:fill="FFFFFF"/>
        </w:rPr>
        <w:t>the following licensees</w:t>
      </w:r>
      <w:r w:rsidRPr="00D17D0C">
        <w:t>:</w:t>
      </w:r>
    </w:p>
    <w:p w14:paraId="5F2E7AE4" w14:textId="77777777" w:rsidR="00846629" w:rsidRPr="00D17D0C" w:rsidRDefault="00846629" w:rsidP="00846629">
      <w:pPr>
        <w:pStyle w:val="SchApara"/>
      </w:pPr>
      <w:r w:rsidRPr="00D17D0C">
        <w:tab/>
        <w:t>(a)</w:t>
      </w:r>
      <w:r w:rsidRPr="00D17D0C">
        <w:tab/>
        <w:t>a</w:t>
      </w:r>
      <w:r w:rsidRPr="00D17D0C">
        <w:rPr>
          <w:shd w:val="clear" w:color="auto" w:fill="FFFFFF"/>
        </w:rPr>
        <w:t xml:space="preserve">n electronic race </w:t>
      </w:r>
      <w:r w:rsidRPr="00D17D0C">
        <w:t>bookmaking licensee;</w:t>
      </w:r>
    </w:p>
    <w:p w14:paraId="152D6069" w14:textId="77777777" w:rsidR="00846629" w:rsidRPr="00D17D0C" w:rsidRDefault="00846629" w:rsidP="00846629">
      <w:pPr>
        <w:pStyle w:val="SchApara"/>
      </w:pPr>
      <w:r w:rsidRPr="00D17D0C">
        <w:tab/>
        <w:t>(b)</w:t>
      </w:r>
      <w:r w:rsidRPr="00D17D0C">
        <w:tab/>
        <w:t>a sports bookmaking licensee;</w:t>
      </w:r>
    </w:p>
    <w:p w14:paraId="08D85EFC" w14:textId="77777777" w:rsidR="00846629" w:rsidRPr="00D17D0C" w:rsidRDefault="00846629" w:rsidP="00846629">
      <w:pPr>
        <w:pStyle w:val="SchApara"/>
      </w:pPr>
      <w:r w:rsidRPr="00D17D0C">
        <w:lastRenderedPageBreak/>
        <w:tab/>
        <w:t>(c)</w:t>
      </w:r>
      <w:r w:rsidRPr="00D17D0C">
        <w:tab/>
        <w:t>a totalisator licensee.</w:t>
      </w:r>
    </w:p>
    <w:p w14:paraId="6FC09DEB" w14:textId="77777777" w:rsidR="00846629" w:rsidRPr="00D17D0C" w:rsidRDefault="00846629" w:rsidP="00846629">
      <w:pPr>
        <w:pStyle w:val="Schclauseheading"/>
      </w:pPr>
      <w:bookmarkStart w:id="86" w:name="_Toc155080741"/>
      <w:r w:rsidRPr="004D57A4">
        <w:rPr>
          <w:rStyle w:val="CharSectNo"/>
        </w:rPr>
        <w:t>1.20J</w:t>
      </w:r>
      <w:r w:rsidRPr="00D17D0C">
        <w:tab/>
        <w:t>Definitions</w:t>
      </w:r>
      <w:r w:rsidRPr="00D17D0C">
        <w:rPr>
          <w:rFonts w:cs="Arial"/>
          <w:bCs/>
          <w:color w:val="000000"/>
          <w:shd w:val="clear" w:color="auto" w:fill="FFFFFF"/>
        </w:rPr>
        <w:t>—</w:t>
      </w:r>
      <w:r w:rsidRPr="00D17D0C">
        <w:t>div 1.2.5</w:t>
      </w:r>
      <w:bookmarkEnd w:id="86"/>
    </w:p>
    <w:p w14:paraId="4B773F4D" w14:textId="77777777" w:rsidR="00846629" w:rsidRPr="00D17D0C" w:rsidRDefault="00846629" w:rsidP="00846629">
      <w:pPr>
        <w:pStyle w:val="Amainreturn"/>
        <w:keepNext/>
      </w:pPr>
      <w:r w:rsidRPr="00D17D0C">
        <w:t>In this division:</w:t>
      </w:r>
    </w:p>
    <w:p w14:paraId="38C43B6C" w14:textId="77777777" w:rsidR="00846629" w:rsidRPr="00D17D0C" w:rsidRDefault="00846629" w:rsidP="00846629">
      <w:pPr>
        <w:pStyle w:val="aDef"/>
      </w:pPr>
      <w:r w:rsidRPr="00D17D0C">
        <w:rPr>
          <w:rStyle w:val="charBoldItals"/>
        </w:rPr>
        <w:t>account holder</w:t>
      </w:r>
      <w:r w:rsidRPr="00D17D0C">
        <w:t>, for a betting account—see section 1.20K (1).</w:t>
      </w:r>
    </w:p>
    <w:p w14:paraId="5B287EE4" w14:textId="77777777" w:rsidR="00846629" w:rsidRPr="00D17D0C" w:rsidRDefault="00846629" w:rsidP="00846629">
      <w:pPr>
        <w:pStyle w:val="aDef"/>
      </w:pPr>
      <w:r w:rsidRPr="00D17D0C">
        <w:rPr>
          <w:rStyle w:val="charBoldItals"/>
        </w:rPr>
        <w:t>activity statement</w:t>
      </w:r>
      <w:r w:rsidRPr="00D17D0C">
        <w:t>, for a betting account—see section 1.20K (1).</w:t>
      </w:r>
    </w:p>
    <w:p w14:paraId="3B98D6CE" w14:textId="77777777" w:rsidR="00846629" w:rsidRPr="00D17D0C" w:rsidRDefault="00846629" w:rsidP="00846629">
      <w:pPr>
        <w:pStyle w:val="aDef"/>
      </w:pPr>
      <w:r w:rsidRPr="00D17D0C">
        <w:rPr>
          <w:rStyle w:val="charBoldItals"/>
        </w:rPr>
        <w:t>bonus bet</w:t>
      </w:r>
      <w:r w:rsidRPr="00D17D0C">
        <w:t>—see section 1.30 (7).</w:t>
      </w:r>
    </w:p>
    <w:p w14:paraId="71757ED7" w14:textId="77777777" w:rsidR="00846629" w:rsidRPr="00D17D0C" w:rsidRDefault="00846629" w:rsidP="00846629">
      <w:pPr>
        <w:pStyle w:val="aDef"/>
      </w:pPr>
      <w:r w:rsidRPr="00D17D0C">
        <w:rPr>
          <w:rStyle w:val="charBoldItals"/>
        </w:rPr>
        <w:t>online betting account</w:t>
      </w:r>
      <w:r w:rsidRPr="00D17D0C">
        <w:t xml:space="preserve"> means a betting account that can be used to make and settle bets online.</w:t>
      </w:r>
    </w:p>
    <w:p w14:paraId="438FEE6C" w14:textId="77777777" w:rsidR="00846629" w:rsidRPr="00D17D0C" w:rsidRDefault="00846629" w:rsidP="00846629">
      <w:pPr>
        <w:pStyle w:val="aDef"/>
      </w:pPr>
      <w:r w:rsidRPr="00D17D0C">
        <w:rPr>
          <w:rStyle w:val="charBoldItals"/>
        </w:rPr>
        <w:t>statement period</w:t>
      </w:r>
      <w:r w:rsidRPr="00D17D0C">
        <w:t>, for an activity statement—see section 1.20K (1).</w:t>
      </w:r>
    </w:p>
    <w:p w14:paraId="03BA89DE" w14:textId="77777777" w:rsidR="00846629" w:rsidRPr="00D17D0C" w:rsidRDefault="00846629" w:rsidP="00846629">
      <w:pPr>
        <w:pStyle w:val="aDef"/>
      </w:pPr>
      <w:r w:rsidRPr="00D17D0C">
        <w:rPr>
          <w:rStyle w:val="charBoldItals"/>
        </w:rPr>
        <w:t>transaction</w:t>
      </w:r>
      <w:r w:rsidRPr="00D17D0C">
        <w:t>, in relation to a betting account, means doing any of the following:</w:t>
      </w:r>
    </w:p>
    <w:p w14:paraId="2647BAF4" w14:textId="77777777" w:rsidR="00846629" w:rsidRPr="00D17D0C" w:rsidRDefault="00846629" w:rsidP="00846629">
      <w:pPr>
        <w:pStyle w:val="aDefpara"/>
      </w:pPr>
      <w:r w:rsidRPr="00D17D0C">
        <w:tab/>
        <w:t>(a)</w:t>
      </w:r>
      <w:r w:rsidRPr="00D17D0C">
        <w:tab/>
        <w:t>using the account to make or settle a bet, including a bonus bet;</w:t>
      </w:r>
    </w:p>
    <w:p w14:paraId="28DBEA0D" w14:textId="77777777" w:rsidR="00846629" w:rsidRPr="00D17D0C" w:rsidRDefault="00846629" w:rsidP="00846629">
      <w:pPr>
        <w:pStyle w:val="aDefpara"/>
      </w:pPr>
      <w:r w:rsidRPr="00D17D0C">
        <w:tab/>
        <w:t>(b)</w:t>
      </w:r>
      <w:r w:rsidRPr="00D17D0C">
        <w:tab/>
        <w:t>depositing money into the account;</w:t>
      </w:r>
    </w:p>
    <w:p w14:paraId="17AEAC2C" w14:textId="77777777" w:rsidR="00846629" w:rsidRPr="00D17D0C" w:rsidRDefault="00846629" w:rsidP="00846629">
      <w:pPr>
        <w:pStyle w:val="Apara"/>
      </w:pPr>
      <w:r w:rsidRPr="00D17D0C">
        <w:tab/>
        <w:t>(c)</w:t>
      </w:r>
      <w:r w:rsidRPr="00D17D0C">
        <w:tab/>
        <w:t>withdrawing money from the account.</w:t>
      </w:r>
    </w:p>
    <w:p w14:paraId="230FD759" w14:textId="77777777" w:rsidR="00846629" w:rsidRPr="00D17D0C" w:rsidRDefault="00846629" w:rsidP="00846629">
      <w:pPr>
        <w:pStyle w:val="aDef"/>
      </w:pPr>
      <w:r w:rsidRPr="00D17D0C">
        <w:rPr>
          <w:rStyle w:val="charBoldItals"/>
        </w:rPr>
        <w:t>transaction record</w:t>
      </w:r>
      <w:r w:rsidRPr="00D17D0C">
        <w:t>, for a betting account, means a document setting out the following information for each transaction made in relation to the account:</w:t>
      </w:r>
    </w:p>
    <w:p w14:paraId="31C53020" w14:textId="77777777" w:rsidR="00846629" w:rsidRPr="00D17D0C" w:rsidRDefault="00846629" w:rsidP="00846629">
      <w:pPr>
        <w:pStyle w:val="Apara"/>
      </w:pPr>
      <w:r w:rsidRPr="00D17D0C">
        <w:tab/>
        <w:t>(a)</w:t>
      </w:r>
      <w:r w:rsidRPr="00D17D0C">
        <w:tab/>
        <w:t>the kind of transaction;</w:t>
      </w:r>
    </w:p>
    <w:p w14:paraId="74D3F757" w14:textId="77777777" w:rsidR="00846629" w:rsidRPr="00D17D0C" w:rsidRDefault="00846629" w:rsidP="00846629">
      <w:pPr>
        <w:pStyle w:val="Apara"/>
      </w:pPr>
      <w:r w:rsidRPr="00D17D0C">
        <w:tab/>
        <w:t>(b)</w:t>
      </w:r>
      <w:r w:rsidRPr="00D17D0C">
        <w:tab/>
        <w:t>the date of the transaction;</w:t>
      </w:r>
    </w:p>
    <w:p w14:paraId="02C4BBE5" w14:textId="77777777" w:rsidR="00846629" w:rsidRPr="00D17D0C" w:rsidRDefault="00846629" w:rsidP="00846629">
      <w:pPr>
        <w:pStyle w:val="Apara"/>
      </w:pPr>
      <w:r w:rsidRPr="00D17D0C">
        <w:tab/>
        <w:t>(c)</w:t>
      </w:r>
      <w:r w:rsidRPr="00D17D0C">
        <w:tab/>
        <w:t>the amount of the transaction.</w:t>
      </w:r>
    </w:p>
    <w:p w14:paraId="5068FA43" w14:textId="77777777" w:rsidR="00846629" w:rsidRPr="00D17D0C" w:rsidRDefault="00846629" w:rsidP="00846629">
      <w:pPr>
        <w:pStyle w:val="Schclauseheading"/>
      </w:pPr>
      <w:bookmarkStart w:id="87" w:name="_Toc155080742"/>
      <w:r w:rsidRPr="004D57A4">
        <w:rPr>
          <w:rStyle w:val="CharSectNo"/>
        </w:rPr>
        <w:t>1.20K</w:t>
      </w:r>
      <w:r w:rsidRPr="00D17D0C">
        <w:tab/>
        <w:t>Activity statements for betting accounts</w:t>
      </w:r>
      <w:bookmarkEnd w:id="87"/>
    </w:p>
    <w:p w14:paraId="6655AD6A" w14:textId="77777777" w:rsidR="00846629" w:rsidRPr="00D17D0C" w:rsidRDefault="00846629" w:rsidP="00846629">
      <w:pPr>
        <w:pStyle w:val="SchAmain"/>
      </w:pPr>
      <w:r w:rsidRPr="00D17D0C">
        <w:tab/>
        <w:t>(1)</w:t>
      </w:r>
      <w:r w:rsidRPr="00D17D0C">
        <w:tab/>
        <w:t xml:space="preserve">Each month, a licensee must give each person who holds a betting account with the licensee (an </w:t>
      </w:r>
      <w:r w:rsidRPr="00D17D0C">
        <w:rPr>
          <w:rStyle w:val="charBoldItals"/>
        </w:rPr>
        <w:t>account holder</w:t>
      </w:r>
      <w:r w:rsidRPr="00D17D0C">
        <w:t xml:space="preserve">) a document setting out any transactions made in relation to the account (an </w:t>
      </w:r>
      <w:r w:rsidRPr="00D17D0C">
        <w:rPr>
          <w:rStyle w:val="charBoldItals"/>
        </w:rPr>
        <w:t>activity statement</w:t>
      </w:r>
      <w:r w:rsidRPr="00D17D0C">
        <w:t>) for the month (the </w:t>
      </w:r>
      <w:r w:rsidRPr="00D17D0C">
        <w:rPr>
          <w:rStyle w:val="charBoldItals"/>
        </w:rPr>
        <w:t>statement period</w:t>
      </w:r>
      <w:r w:rsidRPr="00D17D0C">
        <w:t>).</w:t>
      </w:r>
    </w:p>
    <w:p w14:paraId="7FEA9A83" w14:textId="77777777" w:rsidR="00846629" w:rsidRPr="00D17D0C" w:rsidRDefault="00846629" w:rsidP="00846629">
      <w:pPr>
        <w:pStyle w:val="SchAmain"/>
      </w:pPr>
      <w:r w:rsidRPr="00D17D0C">
        <w:lastRenderedPageBreak/>
        <w:tab/>
        <w:t>(2)</w:t>
      </w:r>
      <w:r w:rsidRPr="00D17D0C">
        <w:tab/>
        <w:t>However, the licensee need not give an account holder an activity statement for a statement period if the account holder has not made any transactions in relation to the betting account during the statement period.</w:t>
      </w:r>
    </w:p>
    <w:p w14:paraId="6636A014" w14:textId="77777777" w:rsidR="00846629" w:rsidRPr="00D17D0C" w:rsidRDefault="00846629" w:rsidP="00846629">
      <w:pPr>
        <w:pStyle w:val="aNote"/>
      </w:pPr>
      <w:r w:rsidRPr="00D17D0C">
        <w:rPr>
          <w:rStyle w:val="charItals"/>
        </w:rPr>
        <w:t>Note</w:t>
      </w:r>
      <w:r w:rsidRPr="00D17D0C">
        <w:rPr>
          <w:rStyle w:val="charItals"/>
        </w:rPr>
        <w:tab/>
      </w:r>
      <w:r w:rsidRPr="00D17D0C">
        <w:t>Despite s (2), an account holder may ask a licensee for an activity statement at any time (see s 1.20L).</w:t>
      </w:r>
    </w:p>
    <w:p w14:paraId="58A80F48" w14:textId="77777777" w:rsidR="00846629" w:rsidRPr="00D17D0C" w:rsidRDefault="00846629" w:rsidP="00846629">
      <w:pPr>
        <w:pStyle w:val="SchAmain"/>
      </w:pPr>
      <w:r w:rsidRPr="00D17D0C">
        <w:tab/>
        <w:t>(3)</w:t>
      </w:r>
      <w:r w:rsidRPr="00D17D0C">
        <w:tab/>
        <w:t>The licensee must give an account holder an activity statement—</w:t>
      </w:r>
    </w:p>
    <w:p w14:paraId="425F2C33" w14:textId="77777777" w:rsidR="00846629" w:rsidRPr="00D17D0C" w:rsidRDefault="00846629" w:rsidP="00846629">
      <w:pPr>
        <w:pStyle w:val="SchApara"/>
      </w:pPr>
      <w:r w:rsidRPr="00D17D0C">
        <w:tab/>
        <w:t>(a)</w:t>
      </w:r>
      <w:r w:rsidRPr="00D17D0C">
        <w:tab/>
        <w:t>by email; or</w:t>
      </w:r>
    </w:p>
    <w:p w14:paraId="582F81B5" w14:textId="77777777" w:rsidR="00846629" w:rsidRPr="00D17D0C" w:rsidRDefault="00846629" w:rsidP="00846629">
      <w:pPr>
        <w:pStyle w:val="SchApara"/>
      </w:pPr>
      <w:r w:rsidRPr="00D17D0C">
        <w:tab/>
        <w:t>(b)</w:t>
      </w:r>
      <w:r w:rsidRPr="00D17D0C">
        <w:tab/>
        <w:t>if the account holder asks the licensee to provide the activity statement by mail—by mail.</w:t>
      </w:r>
    </w:p>
    <w:p w14:paraId="318FED26" w14:textId="77777777" w:rsidR="00846629" w:rsidRPr="00D17D0C" w:rsidRDefault="00846629" w:rsidP="00846629">
      <w:pPr>
        <w:pStyle w:val="SchAmain"/>
      </w:pPr>
      <w:r w:rsidRPr="00D17D0C">
        <w:tab/>
        <w:t>(4)</w:t>
      </w:r>
      <w:r w:rsidRPr="00D17D0C">
        <w:tab/>
        <w:t>The licensee must not charge a fee for giving an account holder an activity statement.</w:t>
      </w:r>
    </w:p>
    <w:p w14:paraId="79898FF6" w14:textId="77777777" w:rsidR="00846629" w:rsidRPr="00D17D0C" w:rsidRDefault="00846629" w:rsidP="00846629">
      <w:pPr>
        <w:pStyle w:val="SchAmain"/>
      </w:pPr>
      <w:r w:rsidRPr="00D17D0C">
        <w:tab/>
        <w:t>(5)</w:t>
      </w:r>
      <w:r w:rsidRPr="00D17D0C">
        <w:tab/>
        <w:t>However, if an account holder asks for an activity statement to be provided by mail, the licensee may charge the account holder a fee of not more than the cost of the postage.</w:t>
      </w:r>
    </w:p>
    <w:p w14:paraId="2D64C34F" w14:textId="77777777" w:rsidR="00846629" w:rsidRPr="00D17D0C" w:rsidRDefault="00846629" w:rsidP="00846629">
      <w:pPr>
        <w:pStyle w:val="AH5Sec"/>
      </w:pPr>
      <w:bookmarkStart w:id="88" w:name="_Toc155080743"/>
      <w:r w:rsidRPr="004D57A4">
        <w:rPr>
          <w:rStyle w:val="CharSectNo"/>
        </w:rPr>
        <w:t>1.20L</w:t>
      </w:r>
      <w:r w:rsidRPr="00D17D0C">
        <w:tab/>
        <w:t>Requests for activity statements</w:t>
      </w:r>
      <w:bookmarkEnd w:id="88"/>
    </w:p>
    <w:p w14:paraId="0DA579C1" w14:textId="77777777" w:rsidR="00846629" w:rsidRPr="00D17D0C" w:rsidRDefault="00846629" w:rsidP="00846629">
      <w:pPr>
        <w:pStyle w:val="SchAmain"/>
      </w:pPr>
      <w:r w:rsidRPr="00D17D0C">
        <w:tab/>
        <w:t>(1)</w:t>
      </w:r>
      <w:r w:rsidRPr="00D17D0C">
        <w:tab/>
        <w:t>Despite section 1.20K (2), an account holder may, at any time, ask a licensee to give the account holder an activity statement for the account holder’s betting account for any statement period—</w:t>
      </w:r>
    </w:p>
    <w:p w14:paraId="203CA29A" w14:textId="77777777" w:rsidR="00846629" w:rsidRPr="00D17D0C" w:rsidRDefault="00846629" w:rsidP="00846629">
      <w:pPr>
        <w:pStyle w:val="SchApara"/>
      </w:pPr>
      <w:r w:rsidRPr="00D17D0C">
        <w:tab/>
        <w:t>(a)</w:t>
      </w:r>
      <w:r w:rsidRPr="00D17D0C">
        <w:tab/>
        <w:t>within the last 7 years; or</w:t>
      </w:r>
    </w:p>
    <w:p w14:paraId="5136BE58" w14:textId="77777777" w:rsidR="00846629" w:rsidRPr="00D17D0C" w:rsidRDefault="00846629" w:rsidP="00846629">
      <w:pPr>
        <w:pStyle w:val="SchApara"/>
      </w:pPr>
      <w:r w:rsidRPr="00D17D0C">
        <w:tab/>
        <w:t>(b)</w:t>
      </w:r>
      <w:r w:rsidRPr="00D17D0C">
        <w:tab/>
        <w:t>if the account has been open for less than 7 years—since the account was opened.</w:t>
      </w:r>
    </w:p>
    <w:p w14:paraId="3C310BFD" w14:textId="77777777" w:rsidR="00846629" w:rsidRPr="00D17D0C" w:rsidRDefault="00846629" w:rsidP="00846629">
      <w:pPr>
        <w:pStyle w:val="SchAmain"/>
      </w:pPr>
      <w:r w:rsidRPr="00D17D0C">
        <w:tab/>
        <w:t>(2)</w:t>
      </w:r>
      <w:r w:rsidRPr="00D17D0C">
        <w:tab/>
        <w:t>An account holder may make a request under subsection (1)—</w:t>
      </w:r>
    </w:p>
    <w:p w14:paraId="40A5B078" w14:textId="77777777" w:rsidR="00846629" w:rsidRPr="00D17D0C" w:rsidRDefault="00846629" w:rsidP="00846629">
      <w:pPr>
        <w:pStyle w:val="SchApara"/>
      </w:pPr>
      <w:r w:rsidRPr="00D17D0C">
        <w:tab/>
        <w:t>(a)</w:t>
      </w:r>
      <w:r w:rsidRPr="00D17D0C">
        <w:tab/>
        <w:t>by email; or</w:t>
      </w:r>
    </w:p>
    <w:p w14:paraId="2F6FB0FB" w14:textId="77777777" w:rsidR="00846629" w:rsidRPr="00D17D0C" w:rsidRDefault="00846629" w:rsidP="00846629">
      <w:pPr>
        <w:pStyle w:val="SchApara"/>
      </w:pPr>
      <w:r w:rsidRPr="00D17D0C">
        <w:tab/>
        <w:t>(b)</w:t>
      </w:r>
      <w:r w:rsidRPr="00D17D0C">
        <w:tab/>
        <w:t>by telephone; or</w:t>
      </w:r>
    </w:p>
    <w:p w14:paraId="6AE5484D" w14:textId="77777777" w:rsidR="00846629" w:rsidRPr="00D17D0C" w:rsidRDefault="00846629" w:rsidP="00846629">
      <w:pPr>
        <w:pStyle w:val="SchApara"/>
      </w:pPr>
      <w:r w:rsidRPr="00D17D0C">
        <w:tab/>
        <w:t>(c)</w:t>
      </w:r>
      <w:r w:rsidRPr="00D17D0C">
        <w:tab/>
        <w:t>for an online betting account—through the account.</w:t>
      </w:r>
    </w:p>
    <w:p w14:paraId="791397DF" w14:textId="77777777" w:rsidR="00846629" w:rsidRPr="00D17D0C" w:rsidRDefault="00846629" w:rsidP="00846629">
      <w:pPr>
        <w:pStyle w:val="SchAmain"/>
      </w:pPr>
      <w:r w:rsidRPr="00D17D0C">
        <w:lastRenderedPageBreak/>
        <w:tab/>
        <w:t>(3)</w:t>
      </w:r>
      <w:r w:rsidRPr="00D17D0C">
        <w:tab/>
        <w:t>A licensee must, as soon as practicable after the licensee receives a request under subsection (1), give the account holder the activity statement, and the accompanying transaction record, in the way requested by the account holder.</w:t>
      </w:r>
    </w:p>
    <w:p w14:paraId="7FB64769" w14:textId="77777777" w:rsidR="00846629" w:rsidRPr="00D17D0C" w:rsidRDefault="00846629" w:rsidP="00846629">
      <w:pPr>
        <w:pStyle w:val="aExamHdgss"/>
      </w:pPr>
      <w:r w:rsidRPr="00D17D0C">
        <w:t>Example—in the way requested</w:t>
      </w:r>
    </w:p>
    <w:p w14:paraId="0EDE7BA9" w14:textId="77777777" w:rsidR="00846629" w:rsidRPr="00D17D0C" w:rsidRDefault="00846629" w:rsidP="00846629">
      <w:pPr>
        <w:pStyle w:val="aExamss"/>
      </w:pPr>
      <w:r w:rsidRPr="00D17D0C">
        <w:t>an account holder asks a licensee to provide an activity statement by mail</w:t>
      </w:r>
    </w:p>
    <w:p w14:paraId="083AC742" w14:textId="77777777" w:rsidR="00846629" w:rsidRPr="00D17D0C" w:rsidRDefault="00846629" w:rsidP="00846629">
      <w:pPr>
        <w:pStyle w:val="SchAmain"/>
      </w:pPr>
      <w:r w:rsidRPr="00D17D0C">
        <w:tab/>
        <w:t>(4)</w:t>
      </w:r>
      <w:r w:rsidRPr="00D17D0C">
        <w:tab/>
        <w:t>In this section:</w:t>
      </w:r>
    </w:p>
    <w:p w14:paraId="51FADFAE" w14:textId="77777777" w:rsidR="00846629" w:rsidRPr="00D17D0C" w:rsidRDefault="00846629" w:rsidP="00846629">
      <w:pPr>
        <w:pStyle w:val="aDef"/>
      </w:pPr>
      <w:r w:rsidRPr="00D17D0C">
        <w:rPr>
          <w:rStyle w:val="charBoldItals"/>
        </w:rPr>
        <w:t>account holder</w:t>
      </w:r>
      <w:r w:rsidRPr="00D17D0C">
        <w:rPr>
          <w:bCs/>
          <w:iCs/>
        </w:rPr>
        <w:t xml:space="preserve"> includes a person who previously held a betting account with a licensee that is now closed.</w:t>
      </w:r>
    </w:p>
    <w:p w14:paraId="2063F29A" w14:textId="77777777" w:rsidR="00846629" w:rsidRPr="00D17D0C" w:rsidRDefault="00846629" w:rsidP="00846629">
      <w:pPr>
        <w:pStyle w:val="AH5Sec"/>
      </w:pPr>
      <w:bookmarkStart w:id="89" w:name="_Toc155080744"/>
      <w:r w:rsidRPr="004D57A4">
        <w:rPr>
          <w:rStyle w:val="CharSectNo"/>
        </w:rPr>
        <w:t>1.20M</w:t>
      </w:r>
      <w:r w:rsidRPr="00D17D0C">
        <w:tab/>
        <w:t>Contents of activity statements</w:t>
      </w:r>
      <w:bookmarkEnd w:id="89"/>
    </w:p>
    <w:p w14:paraId="355EB000" w14:textId="77777777" w:rsidR="00846629" w:rsidRPr="00D17D0C" w:rsidRDefault="00846629" w:rsidP="00846629">
      <w:pPr>
        <w:pStyle w:val="SchAmain"/>
      </w:pPr>
      <w:r w:rsidRPr="00D17D0C">
        <w:tab/>
        <w:t>(1)</w:t>
      </w:r>
      <w:r w:rsidRPr="00D17D0C">
        <w:tab/>
        <w:t>An activity statement for a betting account for a statement period must include the following information:</w:t>
      </w:r>
    </w:p>
    <w:p w14:paraId="0C92B05E" w14:textId="77777777" w:rsidR="00846629" w:rsidRPr="00D17D0C" w:rsidRDefault="00846629" w:rsidP="00846629">
      <w:pPr>
        <w:pStyle w:val="SchApara"/>
      </w:pPr>
      <w:r w:rsidRPr="00D17D0C">
        <w:tab/>
        <w:t>(a)</w:t>
      </w:r>
      <w:r w:rsidRPr="00D17D0C">
        <w:tab/>
        <w:t>the opening and closing balances of the account for the period;</w:t>
      </w:r>
    </w:p>
    <w:p w14:paraId="7284BABF" w14:textId="77777777" w:rsidR="00846629" w:rsidRPr="00D17D0C" w:rsidRDefault="00846629" w:rsidP="00846629">
      <w:pPr>
        <w:pStyle w:val="SchApara"/>
      </w:pPr>
      <w:r w:rsidRPr="00D17D0C">
        <w:tab/>
        <w:t>(b)</w:t>
      </w:r>
      <w:r w:rsidRPr="00D17D0C">
        <w:tab/>
        <w:t>the total amount spent on betting during the period;</w:t>
      </w:r>
    </w:p>
    <w:p w14:paraId="68FD1EDB" w14:textId="77777777" w:rsidR="00846629" w:rsidRPr="00D17D0C" w:rsidRDefault="00846629" w:rsidP="00846629">
      <w:pPr>
        <w:pStyle w:val="SchApara"/>
      </w:pPr>
      <w:r w:rsidRPr="00D17D0C">
        <w:tab/>
        <w:t>(c)</w:t>
      </w:r>
      <w:r w:rsidRPr="00D17D0C">
        <w:tab/>
        <w:t>the number of bets made using the account during the period;</w:t>
      </w:r>
    </w:p>
    <w:p w14:paraId="51959FEF" w14:textId="77777777" w:rsidR="00846629" w:rsidRPr="00D17D0C" w:rsidRDefault="00846629" w:rsidP="00846629">
      <w:pPr>
        <w:pStyle w:val="SchApara"/>
      </w:pPr>
      <w:r w:rsidRPr="00D17D0C">
        <w:tab/>
        <w:t>(d)</w:t>
      </w:r>
      <w:r w:rsidRPr="00D17D0C">
        <w:tab/>
        <w:t>the number of winning bets settled using the account during the period;</w:t>
      </w:r>
    </w:p>
    <w:p w14:paraId="74256EA2" w14:textId="77777777" w:rsidR="00846629" w:rsidRPr="00D17D0C" w:rsidRDefault="00846629" w:rsidP="00846629">
      <w:pPr>
        <w:pStyle w:val="SchApara"/>
      </w:pPr>
      <w:r w:rsidRPr="00D17D0C">
        <w:tab/>
        <w:t>(e)</w:t>
      </w:r>
      <w:r w:rsidRPr="00D17D0C">
        <w:tab/>
        <w:t>the number of losing bets settled using the account during the period;</w:t>
      </w:r>
    </w:p>
    <w:p w14:paraId="5B1242BF" w14:textId="77777777" w:rsidR="00846629" w:rsidRPr="00D17D0C" w:rsidRDefault="00846629" w:rsidP="00846629">
      <w:pPr>
        <w:pStyle w:val="SchApara"/>
      </w:pPr>
      <w:r w:rsidRPr="00D17D0C">
        <w:tab/>
        <w:t>(f)</w:t>
      </w:r>
      <w:r w:rsidRPr="00D17D0C">
        <w:tab/>
        <w:t>the net amount spent on, or gained from, betting, taking into account all wins and losses, during the period;</w:t>
      </w:r>
    </w:p>
    <w:p w14:paraId="66978A00" w14:textId="77777777" w:rsidR="00846629" w:rsidRPr="00D17D0C" w:rsidRDefault="00846629" w:rsidP="00846629">
      <w:pPr>
        <w:pStyle w:val="SchApara"/>
      </w:pPr>
      <w:r w:rsidRPr="00D17D0C">
        <w:tab/>
        <w:t>(g)</w:t>
      </w:r>
      <w:r w:rsidRPr="00D17D0C">
        <w:tab/>
        <w:t>any amounts deposited into, or withdrawn from, the account for the period;</w:t>
      </w:r>
    </w:p>
    <w:p w14:paraId="5E96226D" w14:textId="77777777" w:rsidR="00846629" w:rsidRPr="00D17D0C" w:rsidRDefault="00846629" w:rsidP="00846629">
      <w:pPr>
        <w:pStyle w:val="SchApara"/>
      </w:pPr>
      <w:r w:rsidRPr="00D17D0C">
        <w:tab/>
        <w:t>(h)</w:t>
      </w:r>
      <w:r w:rsidRPr="00D17D0C">
        <w:tab/>
        <w:t>a column graph comparing the total amount spent on betting with the net amount spent on, or gained from, betting for—</w:t>
      </w:r>
    </w:p>
    <w:p w14:paraId="40B3962D" w14:textId="77777777" w:rsidR="00846629" w:rsidRPr="00D17D0C" w:rsidRDefault="00846629" w:rsidP="00846629">
      <w:pPr>
        <w:pStyle w:val="SchAsubpara"/>
      </w:pPr>
      <w:r w:rsidRPr="00D17D0C">
        <w:tab/>
        <w:t>(i)</w:t>
      </w:r>
      <w:r w:rsidRPr="00D17D0C">
        <w:tab/>
        <w:t xml:space="preserve">the period, and </w:t>
      </w:r>
    </w:p>
    <w:p w14:paraId="44950960" w14:textId="77777777" w:rsidR="00846629" w:rsidRPr="00D17D0C" w:rsidRDefault="00846629" w:rsidP="0083340B">
      <w:pPr>
        <w:pStyle w:val="SchAsubpara"/>
        <w:keepNext/>
      </w:pPr>
      <w:r w:rsidRPr="00D17D0C">
        <w:lastRenderedPageBreak/>
        <w:tab/>
        <w:t>(ii)</w:t>
      </w:r>
      <w:r w:rsidRPr="00D17D0C">
        <w:tab/>
        <w:t>each of the 5 previous activity statement periods; and</w:t>
      </w:r>
    </w:p>
    <w:p w14:paraId="2495773A" w14:textId="77777777" w:rsidR="00846629" w:rsidRPr="00D17D0C" w:rsidRDefault="00846629" w:rsidP="00846629">
      <w:pPr>
        <w:pStyle w:val="SchAsubpara"/>
      </w:pPr>
      <w:r w:rsidRPr="00D17D0C">
        <w:tab/>
        <w:t>(iii)</w:t>
      </w:r>
      <w:r w:rsidRPr="00D17D0C">
        <w:tab/>
        <w:t xml:space="preserve">the same statement period in the previous year; </w:t>
      </w:r>
    </w:p>
    <w:p w14:paraId="150BAD43" w14:textId="77777777" w:rsidR="00846629" w:rsidRPr="00D17D0C" w:rsidRDefault="00846629" w:rsidP="00846629">
      <w:pPr>
        <w:pStyle w:val="SchApara"/>
      </w:pPr>
      <w:r w:rsidRPr="00D17D0C">
        <w:tab/>
        <w:t>(i)</w:t>
      </w:r>
      <w:r w:rsidRPr="00D17D0C">
        <w:tab/>
        <w:t>information about support services available to gamblers, including websites for the services.</w:t>
      </w:r>
    </w:p>
    <w:p w14:paraId="7C0297DC" w14:textId="77777777" w:rsidR="00846629" w:rsidRPr="00D17D0C" w:rsidRDefault="00846629" w:rsidP="00846629">
      <w:pPr>
        <w:pStyle w:val="SchAmain"/>
      </w:pPr>
      <w:r w:rsidRPr="00D17D0C">
        <w:tab/>
        <w:t>(2)</w:t>
      </w:r>
      <w:r w:rsidRPr="00D17D0C">
        <w:tab/>
        <w:t>An activity statement must be accompanied by—</w:t>
      </w:r>
    </w:p>
    <w:p w14:paraId="0A88DFCA" w14:textId="77777777" w:rsidR="00846629" w:rsidRPr="00D17D0C" w:rsidRDefault="00846629" w:rsidP="00846629">
      <w:pPr>
        <w:pStyle w:val="SchApara"/>
      </w:pPr>
      <w:r w:rsidRPr="00D17D0C">
        <w:tab/>
        <w:t>(a)</w:t>
      </w:r>
      <w:r w:rsidRPr="00D17D0C">
        <w:tab/>
        <w:t>if the activity statement is provided electronically—an online link to a transaction record for the betting account for the statement period; or</w:t>
      </w:r>
    </w:p>
    <w:p w14:paraId="3FFE0E71" w14:textId="77777777" w:rsidR="00846629" w:rsidRPr="00D17D0C" w:rsidRDefault="00846629" w:rsidP="00846629">
      <w:pPr>
        <w:pStyle w:val="SchApara"/>
      </w:pPr>
      <w:r w:rsidRPr="00D17D0C">
        <w:tab/>
        <w:t>(b)</w:t>
      </w:r>
      <w:r w:rsidRPr="00D17D0C">
        <w:tab/>
        <w:t>if the account holder asked the licensee to provide the activity statement by mail—a paper copy of the transaction record.</w:t>
      </w:r>
    </w:p>
    <w:p w14:paraId="107CD886" w14:textId="77777777" w:rsidR="00846629" w:rsidRPr="00D17D0C" w:rsidRDefault="00846629" w:rsidP="00846629">
      <w:pPr>
        <w:pStyle w:val="SchAmain"/>
      </w:pPr>
      <w:r w:rsidRPr="00D17D0C">
        <w:tab/>
        <w:t>(3)</w:t>
      </w:r>
      <w:r w:rsidRPr="00D17D0C">
        <w:tab/>
        <w:t>An activity statement must not include—</w:t>
      </w:r>
    </w:p>
    <w:p w14:paraId="208B4D7F" w14:textId="77777777" w:rsidR="00846629" w:rsidRPr="00D17D0C" w:rsidRDefault="00846629" w:rsidP="00846629">
      <w:pPr>
        <w:pStyle w:val="SchApara"/>
      </w:pPr>
      <w:r w:rsidRPr="00D17D0C">
        <w:tab/>
        <w:t>(a)</w:t>
      </w:r>
      <w:r w:rsidRPr="00D17D0C">
        <w:tab/>
        <w:t>any direct marketing or other advertising, promotion or offer from the licensee; or</w:t>
      </w:r>
    </w:p>
    <w:p w14:paraId="1B28B930" w14:textId="77777777" w:rsidR="00846629" w:rsidRPr="00D17D0C" w:rsidRDefault="00846629" w:rsidP="00846629">
      <w:pPr>
        <w:pStyle w:val="SchApara"/>
      </w:pPr>
      <w:r w:rsidRPr="00D17D0C">
        <w:tab/>
        <w:t>(b)</w:t>
      </w:r>
      <w:r w:rsidRPr="00D17D0C">
        <w:tab/>
        <w:t>any information mentioned in subsection (1) in relation to making or settling a bonus bet.</w:t>
      </w:r>
    </w:p>
    <w:p w14:paraId="045514D2" w14:textId="77777777" w:rsidR="00846629" w:rsidRPr="00D17D0C" w:rsidRDefault="00846629" w:rsidP="00846629">
      <w:pPr>
        <w:pStyle w:val="AH5Sec"/>
      </w:pPr>
      <w:bookmarkStart w:id="90" w:name="_Toc155080745"/>
      <w:r w:rsidRPr="004D57A4">
        <w:rPr>
          <w:rStyle w:val="CharSectNo"/>
        </w:rPr>
        <w:t>1.20N</w:t>
      </w:r>
      <w:r w:rsidRPr="00D17D0C">
        <w:tab/>
        <w:t>Form of activity statements</w:t>
      </w:r>
      <w:bookmarkEnd w:id="90"/>
    </w:p>
    <w:p w14:paraId="4F0C8079" w14:textId="77777777" w:rsidR="00846629" w:rsidRPr="00D17D0C" w:rsidRDefault="00846629" w:rsidP="00846629">
      <w:pPr>
        <w:pStyle w:val="SchAmain"/>
      </w:pPr>
      <w:r w:rsidRPr="00D17D0C">
        <w:tab/>
        <w:t>(1)</w:t>
      </w:r>
      <w:r w:rsidRPr="00D17D0C">
        <w:tab/>
        <w:t>An activity statement must be—</w:t>
      </w:r>
    </w:p>
    <w:p w14:paraId="2DA98709" w14:textId="77777777" w:rsidR="00846629" w:rsidRPr="00D17D0C" w:rsidRDefault="00846629" w:rsidP="00846629">
      <w:pPr>
        <w:pStyle w:val="SchApara"/>
      </w:pPr>
      <w:r w:rsidRPr="00D17D0C">
        <w:tab/>
        <w:t>(a)</w:t>
      </w:r>
      <w:r w:rsidRPr="00D17D0C">
        <w:tab/>
        <w:t>in writing; and</w:t>
      </w:r>
    </w:p>
    <w:p w14:paraId="5BAE3F62" w14:textId="77777777" w:rsidR="00846629" w:rsidRPr="00D17D0C" w:rsidRDefault="00846629" w:rsidP="00846629">
      <w:pPr>
        <w:pStyle w:val="SchApara"/>
      </w:pPr>
      <w:r w:rsidRPr="00D17D0C">
        <w:tab/>
        <w:t>(b)</w:t>
      </w:r>
      <w:r w:rsidRPr="00D17D0C">
        <w:tab/>
        <w:t>simple and easy for an account holder to read.</w:t>
      </w:r>
    </w:p>
    <w:p w14:paraId="46C267A5" w14:textId="77777777" w:rsidR="00846629" w:rsidRPr="00D17D0C" w:rsidRDefault="00846629" w:rsidP="00846629">
      <w:pPr>
        <w:pStyle w:val="SchAmain"/>
      </w:pPr>
      <w:r w:rsidRPr="00D17D0C">
        <w:tab/>
        <w:t>(2)</w:t>
      </w:r>
      <w:r w:rsidRPr="00D17D0C">
        <w:tab/>
        <w:t>An activity statement for a betting account—</w:t>
      </w:r>
    </w:p>
    <w:p w14:paraId="2B0F0500" w14:textId="77777777" w:rsidR="00846629" w:rsidRPr="00D17D0C" w:rsidRDefault="00846629" w:rsidP="00846629">
      <w:pPr>
        <w:pStyle w:val="SchApara"/>
      </w:pPr>
      <w:r w:rsidRPr="00D17D0C">
        <w:tab/>
        <w:t>(a)</w:t>
      </w:r>
      <w:r w:rsidRPr="00D17D0C">
        <w:tab/>
        <w:t>must set out the following information in legible black text on a white background:</w:t>
      </w:r>
    </w:p>
    <w:p w14:paraId="7A3FA597" w14:textId="77777777" w:rsidR="00846629" w:rsidRPr="00D17D0C" w:rsidRDefault="00846629" w:rsidP="00846629">
      <w:pPr>
        <w:pStyle w:val="SchAsubpara"/>
      </w:pPr>
      <w:r w:rsidRPr="00D17D0C">
        <w:tab/>
        <w:t>(i)</w:t>
      </w:r>
      <w:r w:rsidRPr="00D17D0C">
        <w:tab/>
        <w:t>the number of winning bets;</w:t>
      </w:r>
    </w:p>
    <w:p w14:paraId="76C094D4" w14:textId="77777777" w:rsidR="00846629" w:rsidRPr="00D17D0C" w:rsidRDefault="00846629" w:rsidP="00846629">
      <w:pPr>
        <w:pStyle w:val="SchAsubpara"/>
      </w:pPr>
      <w:r w:rsidRPr="00D17D0C">
        <w:tab/>
        <w:t>(ii)</w:t>
      </w:r>
      <w:r w:rsidRPr="00D17D0C">
        <w:tab/>
        <w:t>the net amount gained from betting; and</w:t>
      </w:r>
    </w:p>
    <w:p w14:paraId="551A7656" w14:textId="77777777" w:rsidR="00846629" w:rsidRPr="00D17D0C" w:rsidRDefault="00846629" w:rsidP="0083340B">
      <w:pPr>
        <w:pStyle w:val="SchApara"/>
        <w:keepNext/>
      </w:pPr>
      <w:r w:rsidRPr="00D17D0C">
        <w:lastRenderedPageBreak/>
        <w:tab/>
        <w:t>(b)</w:t>
      </w:r>
      <w:r w:rsidRPr="00D17D0C">
        <w:tab/>
        <w:t>must set out the following information in legible red text on a white background:</w:t>
      </w:r>
    </w:p>
    <w:p w14:paraId="733A9BAE" w14:textId="77777777" w:rsidR="00846629" w:rsidRPr="00D17D0C" w:rsidRDefault="00846629" w:rsidP="00846629">
      <w:pPr>
        <w:pStyle w:val="SchAsubpara"/>
      </w:pPr>
      <w:r w:rsidRPr="00D17D0C">
        <w:tab/>
        <w:t>(i)</w:t>
      </w:r>
      <w:r w:rsidRPr="00D17D0C">
        <w:tab/>
        <w:t>the number of losing bets;</w:t>
      </w:r>
    </w:p>
    <w:p w14:paraId="2A734545" w14:textId="77777777" w:rsidR="00846629" w:rsidRPr="00D17D0C" w:rsidRDefault="00846629" w:rsidP="00846629">
      <w:pPr>
        <w:pStyle w:val="SchAsubpara"/>
      </w:pPr>
      <w:r w:rsidRPr="00D17D0C">
        <w:tab/>
        <w:t>(ii)</w:t>
      </w:r>
      <w:r w:rsidRPr="00D17D0C">
        <w:tab/>
        <w:t xml:space="preserve">the net amount spent on betting; </w:t>
      </w:r>
    </w:p>
    <w:p w14:paraId="233520A4" w14:textId="77777777" w:rsidR="00846629" w:rsidRPr="00D17D0C" w:rsidRDefault="00846629" w:rsidP="00846629">
      <w:pPr>
        <w:pStyle w:val="SchAsubpara"/>
      </w:pPr>
      <w:r w:rsidRPr="00D17D0C">
        <w:tab/>
        <w:t>(iii)</w:t>
      </w:r>
      <w:r w:rsidRPr="00D17D0C">
        <w:tab/>
        <w:t>the total amount spent on betting; and</w:t>
      </w:r>
    </w:p>
    <w:p w14:paraId="4831EC60" w14:textId="77777777" w:rsidR="00846629" w:rsidRPr="00D17D0C" w:rsidRDefault="00846629" w:rsidP="00846629">
      <w:pPr>
        <w:pStyle w:val="SchApara"/>
      </w:pPr>
      <w:r w:rsidRPr="00D17D0C">
        <w:tab/>
        <w:t>(c)</w:t>
      </w:r>
      <w:r w:rsidRPr="00D17D0C">
        <w:tab/>
        <w:t>must not set out any information in green text.</w:t>
      </w:r>
    </w:p>
    <w:p w14:paraId="3E45EC93" w14:textId="77777777" w:rsidR="00846629" w:rsidRPr="00D17D0C" w:rsidRDefault="00846629" w:rsidP="00846629">
      <w:pPr>
        <w:pStyle w:val="AH5Sec"/>
      </w:pPr>
      <w:bookmarkStart w:id="91" w:name="_Toc155080746"/>
      <w:r w:rsidRPr="004D57A4">
        <w:rPr>
          <w:rStyle w:val="CharSectNo"/>
        </w:rPr>
        <w:t>1.20O</w:t>
      </w:r>
      <w:r w:rsidRPr="00D17D0C">
        <w:tab/>
        <w:t>Access to activity statements and transaction records for online betting accounts</w:t>
      </w:r>
      <w:bookmarkEnd w:id="91"/>
    </w:p>
    <w:p w14:paraId="1B91AB1B" w14:textId="77777777" w:rsidR="00846629" w:rsidRPr="00D17D0C" w:rsidRDefault="00846629" w:rsidP="00846629">
      <w:pPr>
        <w:pStyle w:val="SchAmain"/>
      </w:pPr>
      <w:r w:rsidRPr="00D17D0C">
        <w:tab/>
        <w:t>(1)</w:t>
      </w:r>
      <w:r w:rsidRPr="00D17D0C">
        <w:tab/>
        <w:t>This section applies if an account holder holds an online betting account with a licensee.</w:t>
      </w:r>
    </w:p>
    <w:p w14:paraId="3E5DED45" w14:textId="77777777" w:rsidR="00846629" w:rsidRPr="00D17D0C" w:rsidRDefault="00846629" w:rsidP="00846629">
      <w:pPr>
        <w:pStyle w:val="SchAmain"/>
      </w:pPr>
      <w:r w:rsidRPr="00D17D0C">
        <w:tab/>
        <w:t>(2)</w:t>
      </w:r>
      <w:r w:rsidRPr="00D17D0C">
        <w:tab/>
        <w:t>The licensee must ensure that the account holder can access, through the online betting account, all activity statements and transaction records for the account for each active statement period—</w:t>
      </w:r>
    </w:p>
    <w:p w14:paraId="34644E54" w14:textId="77777777" w:rsidR="00846629" w:rsidRPr="00D17D0C" w:rsidRDefault="00846629" w:rsidP="00846629">
      <w:pPr>
        <w:pStyle w:val="SchApara"/>
      </w:pPr>
      <w:r w:rsidRPr="00D17D0C">
        <w:tab/>
        <w:t>(a)</w:t>
      </w:r>
      <w:r w:rsidRPr="00D17D0C">
        <w:tab/>
        <w:t>within the last 7 years; or</w:t>
      </w:r>
    </w:p>
    <w:p w14:paraId="071DB354" w14:textId="77777777" w:rsidR="00846629" w:rsidRPr="00D17D0C" w:rsidRDefault="00846629" w:rsidP="00846629">
      <w:pPr>
        <w:pStyle w:val="SchApara"/>
      </w:pPr>
      <w:r w:rsidRPr="00D17D0C">
        <w:tab/>
        <w:t>(b)</w:t>
      </w:r>
      <w:r w:rsidRPr="00D17D0C">
        <w:tab/>
        <w:t>if the account has been open for less than 7 years—since the account was opened.</w:t>
      </w:r>
    </w:p>
    <w:p w14:paraId="19754395" w14:textId="77777777" w:rsidR="00846629" w:rsidRPr="00D17D0C" w:rsidRDefault="00846629" w:rsidP="00846629">
      <w:pPr>
        <w:pStyle w:val="SchAmain"/>
      </w:pPr>
      <w:r w:rsidRPr="00D17D0C">
        <w:tab/>
        <w:t>(3)</w:t>
      </w:r>
      <w:r w:rsidRPr="00D17D0C">
        <w:tab/>
        <w:t>In this section:</w:t>
      </w:r>
    </w:p>
    <w:p w14:paraId="42AE6918" w14:textId="77777777" w:rsidR="00846629" w:rsidRPr="00D17D0C" w:rsidRDefault="00846629" w:rsidP="00846629">
      <w:pPr>
        <w:pStyle w:val="aDef"/>
      </w:pPr>
      <w:r w:rsidRPr="00D17D0C">
        <w:rPr>
          <w:rStyle w:val="charBoldItals"/>
        </w:rPr>
        <w:t>account holder</w:t>
      </w:r>
      <w:r w:rsidRPr="00D17D0C">
        <w:rPr>
          <w:bCs/>
          <w:iCs/>
        </w:rPr>
        <w:t xml:space="preserve"> includes a person who previously held a betting account with a licensee that is now closed.</w:t>
      </w:r>
    </w:p>
    <w:p w14:paraId="38029FE0" w14:textId="77777777" w:rsidR="00846629" w:rsidRPr="00D17D0C" w:rsidRDefault="00846629" w:rsidP="00846629">
      <w:pPr>
        <w:pStyle w:val="aDef"/>
      </w:pPr>
      <w:r w:rsidRPr="00D17D0C">
        <w:rPr>
          <w:rStyle w:val="charBoldItals"/>
        </w:rPr>
        <w:t>active statement period</w:t>
      </w:r>
      <w:r w:rsidRPr="00D17D0C">
        <w:rPr>
          <w:bCs/>
          <w:iCs/>
        </w:rPr>
        <w:t xml:space="preserve">, for a betting account, means </w:t>
      </w:r>
      <w:r w:rsidRPr="00D17D0C">
        <w:t>a statement period during which the account holder made at least 1 transaction in relation to the betting account.</w:t>
      </w:r>
    </w:p>
    <w:p w14:paraId="57BC2C44" w14:textId="77777777" w:rsidR="00846629" w:rsidRPr="00D17D0C" w:rsidRDefault="00846629" w:rsidP="00846629">
      <w:pPr>
        <w:pStyle w:val="AH5Sec"/>
      </w:pPr>
      <w:bookmarkStart w:id="92" w:name="_Toc155080747"/>
      <w:r w:rsidRPr="004D57A4">
        <w:rPr>
          <w:rStyle w:val="CharSectNo"/>
        </w:rPr>
        <w:lastRenderedPageBreak/>
        <w:t>1.20P</w:t>
      </w:r>
      <w:r w:rsidRPr="00D17D0C">
        <w:tab/>
        <w:t>Requests for transaction records for accounts other than online betting accounts</w:t>
      </w:r>
      <w:bookmarkEnd w:id="92"/>
    </w:p>
    <w:p w14:paraId="68FB0903" w14:textId="77777777" w:rsidR="00846629" w:rsidRPr="00D17D0C" w:rsidRDefault="00846629" w:rsidP="0083340B">
      <w:pPr>
        <w:pStyle w:val="SchAmain"/>
        <w:keepNext/>
      </w:pPr>
      <w:r w:rsidRPr="00D17D0C">
        <w:tab/>
        <w:t>(1)</w:t>
      </w:r>
      <w:r w:rsidRPr="00D17D0C">
        <w:tab/>
        <w:t>This section applies if—</w:t>
      </w:r>
    </w:p>
    <w:p w14:paraId="0195AFE8" w14:textId="77777777" w:rsidR="00846629" w:rsidRPr="00D17D0C" w:rsidRDefault="00846629" w:rsidP="0083340B">
      <w:pPr>
        <w:pStyle w:val="SchApara"/>
        <w:keepNext/>
      </w:pPr>
      <w:r w:rsidRPr="00D17D0C">
        <w:tab/>
        <w:t>(a)</w:t>
      </w:r>
      <w:r w:rsidRPr="00D17D0C">
        <w:tab/>
        <w:t>an account holder holds a betting account with a licensee; and</w:t>
      </w:r>
    </w:p>
    <w:p w14:paraId="6689F567" w14:textId="77777777" w:rsidR="00846629" w:rsidRPr="00D17D0C" w:rsidRDefault="00846629" w:rsidP="00846629">
      <w:pPr>
        <w:pStyle w:val="SchApara"/>
      </w:pPr>
      <w:r w:rsidRPr="00D17D0C">
        <w:tab/>
        <w:t>(b)</w:t>
      </w:r>
      <w:r w:rsidRPr="00D17D0C">
        <w:tab/>
        <w:t>the account is not an online betting account.</w:t>
      </w:r>
    </w:p>
    <w:p w14:paraId="55984B02" w14:textId="77777777" w:rsidR="00846629" w:rsidRPr="00D17D0C" w:rsidRDefault="00846629" w:rsidP="00FF358C">
      <w:pPr>
        <w:pStyle w:val="SchAmain"/>
        <w:keepNext/>
      </w:pPr>
      <w:r w:rsidRPr="00D17D0C">
        <w:tab/>
        <w:t>(2)</w:t>
      </w:r>
      <w:r w:rsidRPr="00D17D0C">
        <w:tab/>
        <w:t>The account holder may, at any time, ask the licensee to give the account holder a transaction record for the betting account for any statement period—</w:t>
      </w:r>
    </w:p>
    <w:p w14:paraId="4E8261D2" w14:textId="77777777" w:rsidR="00846629" w:rsidRPr="00D17D0C" w:rsidRDefault="00846629" w:rsidP="00846629">
      <w:pPr>
        <w:pStyle w:val="SchApara"/>
      </w:pPr>
      <w:r w:rsidRPr="00D17D0C">
        <w:tab/>
        <w:t>(a)</w:t>
      </w:r>
      <w:r w:rsidRPr="00D17D0C">
        <w:tab/>
        <w:t>within the last 7 years; or</w:t>
      </w:r>
    </w:p>
    <w:p w14:paraId="7AEF83D0" w14:textId="77777777" w:rsidR="00846629" w:rsidRPr="00D17D0C" w:rsidRDefault="00846629" w:rsidP="00846629">
      <w:pPr>
        <w:pStyle w:val="SchApara"/>
      </w:pPr>
      <w:r w:rsidRPr="00D17D0C">
        <w:tab/>
        <w:t>(b)</w:t>
      </w:r>
      <w:r w:rsidRPr="00D17D0C">
        <w:tab/>
        <w:t>if the account has been open for less than 7 years—since the account was opened.</w:t>
      </w:r>
    </w:p>
    <w:p w14:paraId="51A0AA30" w14:textId="77777777" w:rsidR="00846629" w:rsidRPr="00D17D0C" w:rsidRDefault="00846629" w:rsidP="00846629">
      <w:pPr>
        <w:pStyle w:val="SchAmain"/>
      </w:pPr>
      <w:r w:rsidRPr="00D17D0C">
        <w:tab/>
        <w:t>(3)</w:t>
      </w:r>
      <w:r w:rsidRPr="00D17D0C">
        <w:tab/>
        <w:t>An account holder may make a request under subsection (2)—</w:t>
      </w:r>
    </w:p>
    <w:p w14:paraId="1BADD55F" w14:textId="77777777" w:rsidR="00846629" w:rsidRPr="00D17D0C" w:rsidRDefault="00846629" w:rsidP="00846629">
      <w:pPr>
        <w:pStyle w:val="SchApara"/>
      </w:pPr>
      <w:r w:rsidRPr="00D17D0C">
        <w:tab/>
        <w:t>(a)</w:t>
      </w:r>
      <w:r w:rsidRPr="00D17D0C">
        <w:tab/>
        <w:t>by email; or</w:t>
      </w:r>
    </w:p>
    <w:p w14:paraId="76DF607F" w14:textId="77777777" w:rsidR="00846629" w:rsidRPr="00D17D0C" w:rsidRDefault="00846629" w:rsidP="00846629">
      <w:pPr>
        <w:pStyle w:val="SchApara"/>
      </w:pPr>
      <w:r w:rsidRPr="00D17D0C">
        <w:tab/>
        <w:t>(b)</w:t>
      </w:r>
      <w:r w:rsidRPr="00D17D0C">
        <w:tab/>
        <w:t>by telephone.</w:t>
      </w:r>
    </w:p>
    <w:p w14:paraId="7285D0CF" w14:textId="77777777" w:rsidR="00846629" w:rsidRPr="00D17D0C" w:rsidRDefault="00846629" w:rsidP="00846629">
      <w:pPr>
        <w:pStyle w:val="SchAmain"/>
      </w:pPr>
      <w:r w:rsidRPr="00D17D0C">
        <w:tab/>
        <w:t>(4)</w:t>
      </w:r>
      <w:r w:rsidRPr="00D17D0C">
        <w:tab/>
        <w:t>A licensee must, within 14 days after the licensee receives a request under subsection (2), give the account holder the transaction record in the way requested by the account holder.</w:t>
      </w:r>
    </w:p>
    <w:p w14:paraId="12A88BF7" w14:textId="77777777" w:rsidR="00846629" w:rsidRPr="00D17D0C" w:rsidRDefault="00846629" w:rsidP="00846629">
      <w:pPr>
        <w:pStyle w:val="aExamHdgss"/>
      </w:pPr>
      <w:r w:rsidRPr="00D17D0C">
        <w:t>Example—in the way requested</w:t>
      </w:r>
    </w:p>
    <w:p w14:paraId="670E3275" w14:textId="77777777" w:rsidR="00846629" w:rsidRPr="00D17D0C" w:rsidRDefault="00846629" w:rsidP="00846629">
      <w:pPr>
        <w:pStyle w:val="aExamss"/>
      </w:pPr>
      <w:r w:rsidRPr="00D17D0C">
        <w:t>an account holder asks a licensee to provide a transaction record by mail</w:t>
      </w:r>
    </w:p>
    <w:p w14:paraId="26B2A765" w14:textId="77777777" w:rsidR="00846629" w:rsidRPr="00D17D0C" w:rsidRDefault="00846629" w:rsidP="00846629">
      <w:pPr>
        <w:pStyle w:val="SchAmain"/>
      </w:pPr>
      <w:r w:rsidRPr="00D17D0C">
        <w:tab/>
        <w:t>(5)</w:t>
      </w:r>
      <w:r w:rsidRPr="00D17D0C">
        <w:tab/>
        <w:t>In this section:</w:t>
      </w:r>
    </w:p>
    <w:p w14:paraId="2ECC8EF5" w14:textId="77777777" w:rsidR="00846629" w:rsidRPr="00D17D0C" w:rsidRDefault="00846629" w:rsidP="0083340B">
      <w:pPr>
        <w:pStyle w:val="aDef"/>
      </w:pPr>
      <w:r w:rsidRPr="00D17D0C">
        <w:rPr>
          <w:rStyle w:val="charBoldItals"/>
        </w:rPr>
        <w:t>account holder</w:t>
      </w:r>
      <w:r w:rsidRPr="00D17D0C">
        <w:rPr>
          <w:bCs/>
          <w:iCs/>
        </w:rPr>
        <w:t xml:space="preserve"> includes a person who previously held a betting account with a licensee that is now closed.</w:t>
      </w:r>
    </w:p>
    <w:p w14:paraId="7895087E" w14:textId="77777777" w:rsidR="00846629" w:rsidRPr="00D17D0C" w:rsidRDefault="00846629" w:rsidP="00846629">
      <w:pPr>
        <w:pStyle w:val="AH5Sec"/>
      </w:pPr>
      <w:bookmarkStart w:id="93" w:name="_Toc155080748"/>
      <w:r w:rsidRPr="004D57A4">
        <w:rPr>
          <w:rStyle w:val="CharSectNo"/>
        </w:rPr>
        <w:lastRenderedPageBreak/>
        <w:t>1.20Q</w:t>
      </w:r>
      <w:r w:rsidRPr="00D17D0C">
        <w:tab/>
        <w:t>Access to electronic activity statements</w:t>
      </w:r>
      <w:bookmarkEnd w:id="93"/>
    </w:p>
    <w:p w14:paraId="0873D285" w14:textId="77777777" w:rsidR="00846629" w:rsidRPr="00D17D0C" w:rsidRDefault="00846629" w:rsidP="0083340B">
      <w:pPr>
        <w:pStyle w:val="SchAmain"/>
        <w:keepNext/>
      </w:pPr>
      <w:r w:rsidRPr="00D17D0C">
        <w:tab/>
        <w:t>(1)</w:t>
      </w:r>
      <w:r w:rsidRPr="00D17D0C">
        <w:tab/>
        <w:t>This section applies if a licensee gives an account holder an activity statement—</w:t>
      </w:r>
    </w:p>
    <w:p w14:paraId="5E5FFED3" w14:textId="77777777" w:rsidR="00846629" w:rsidRPr="00D17D0C" w:rsidRDefault="00846629" w:rsidP="0083340B">
      <w:pPr>
        <w:pStyle w:val="SchApara"/>
        <w:keepNext/>
      </w:pPr>
      <w:r w:rsidRPr="00D17D0C">
        <w:tab/>
        <w:t>(a)</w:t>
      </w:r>
      <w:r w:rsidRPr="00D17D0C">
        <w:tab/>
        <w:t>by email; or</w:t>
      </w:r>
    </w:p>
    <w:p w14:paraId="23BFBB92" w14:textId="77777777" w:rsidR="00846629" w:rsidRPr="00D17D0C" w:rsidRDefault="00846629" w:rsidP="00846629">
      <w:pPr>
        <w:pStyle w:val="SchApara"/>
      </w:pPr>
      <w:r w:rsidRPr="00D17D0C">
        <w:tab/>
        <w:t>(b)</w:t>
      </w:r>
      <w:r w:rsidRPr="00D17D0C">
        <w:tab/>
        <w:t>through an online betting account.</w:t>
      </w:r>
    </w:p>
    <w:p w14:paraId="0D8B9E7E" w14:textId="77777777" w:rsidR="00846629" w:rsidRPr="00D17D0C" w:rsidRDefault="00846629" w:rsidP="00FF358C">
      <w:pPr>
        <w:pStyle w:val="SchAmain"/>
        <w:keepNext/>
        <w:keepLines/>
      </w:pPr>
      <w:r w:rsidRPr="00D17D0C">
        <w:tab/>
        <w:t>(2)</w:t>
      </w:r>
      <w:r w:rsidRPr="00D17D0C">
        <w:tab/>
        <w:t>The licensee must ensure the account holder can access the activity statement without needing to use any kind of security measure, other than a security measure used to access the account holder’s email account or online betting account.</w:t>
      </w:r>
    </w:p>
    <w:p w14:paraId="404C0211" w14:textId="77777777" w:rsidR="00846629" w:rsidRPr="00D17D0C" w:rsidRDefault="00846629" w:rsidP="00FF358C">
      <w:pPr>
        <w:pStyle w:val="aExamHdgss"/>
      </w:pPr>
      <w:r w:rsidRPr="00D17D0C">
        <w:t>Example—security measure</w:t>
      </w:r>
    </w:p>
    <w:p w14:paraId="3EF82C27" w14:textId="77777777" w:rsidR="00846629" w:rsidRPr="00D17D0C" w:rsidRDefault="00846629" w:rsidP="0083340B">
      <w:pPr>
        <w:pStyle w:val="aExamss"/>
      </w:pPr>
      <w:r w:rsidRPr="00D17D0C">
        <w:t>a password</w:t>
      </w:r>
    </w:p>
    <w:p w14:paraId="4C4895CD" w14:textId="77777777" w:rsidR="00D847F1" w:rsidRDefault="00D847F1">
      <w:pPr>
        <w:pStyle w:val="PageBreak"/>
      </w:pPr>
      <w:r>
        <w:br w:type="page"/>
      </w:r>
    </w:p>
    <w:p w14:paraId="17A7CA64" w14:textId="77777777" w:rsidR="00D847F1" w:rsidRPr="004D57A4" w:rsidRDefault="00D847F1">
      <w:pPr>
        <w:pStyle w:val="Sched-Part"/>
        <w:spacing w:before="200"/>
      </w:pPr>
      <w:bookmarkStart w:id="94" w:name="_Toc155080749"/>
      <w:r w:rsidRPr="004D57A4">
        <w:rPr>
          <w:rStyle w:val="CharPartNo"/>
        </w:rPr>
        <w:lastRenderedPageBreak/>
        <w:t>Part 1.3</w:t>
      </w:r>
      <w:r>
        <w:tab/>
      </w:r>
      <w:r w:rsidRPr="004D57A4">
        <w:rPr>
          <w:rStyle w:val="CharPartText"/>
        </w:rPr>
        <w:t>Financial controls and gambling environment</w:t>
      </w:r>
      <w:bookmarkEnd w:id="94"/>
    </w:p>
    <w:p w14:paraId="1B0C2DE8" w14:textId="77777777" w:rsidR="00D847F1" w:rsidRDefault="00D847F1">
      <w:pPr>
        <w:pStyle w:val="Placeholder"/>
      </w:pPr>
      <w:r>
        <w:rPr>
          <w:rStyle w:val="CharDivNo"/>
        </w:rPr>
        <w:t xml:space="preserve">  </w:t>
      </w:r>
      <w:r>
        <w:rPr>
          <w:rStyle w:val="CharDivText"/>
        </w:rPr>
        <w:t xml:space="preserve">  </w:t>
      </w:r>
    </w:p>
    <w:p w14:paraId="3D49CD03" w14:textId="77777777" w:rsidR="00D847F1" w:rsidRDefault="00D847F1">
      <w:pPr>
        <w:pStyle w:val="Schclauseheading"/>
      </w:pPr>
      <w:bookmarkStart w:id="95" w:name="_Toc155080750"/>
      <w:r w:rsidRPr="004D57A4">
        <w:rPr>
          <w:rStyle w:val="CharSectNo"/>
        </w:rPr>
        <w:t>1.21</w:t>
      </w:r>
      <w:r>
        <w:tab/>
        <w:t>Cash facilities</w:t>
      </w:r>
      <w:bookmarkEnd w:id="95"/>
    </w:p>
    <w:p w14:paraId="534ABA9D" w14:textId="77777777" w:rsidR="00D847F1" w:rsidRDefault="00D847F1">
      <w:pPr>
        <w:pStyle w:val="Amain"/>
      </w:pPr>
      <w:r>
        <w:tab/>
        <w:t>(1)</w:t>
      </w:r>
      <w:r>
        <w:tab/>
        <w:t>This section applies to a casino licensee.</w:t>
      </w:r>
    </w:p>
    <w:p w14:paraId="74E600A8" w14:textId="77777777" w:rsidR="00D847F1" w:rsidRDefault="00D847F1">
      <w:pPr>
        <w:pStyle w:val="Amain"/>
      </w:pPr>
      <w:r>
        <w:tab/>
        <w:t>(2)</w:t>
      </w:r>
      <w:r>
        <w:tab/>
        <w:t xml:space="preserve">The licensee of a gambling facility to whom this section applies must ensure that a cash facility is not located in a gaming area of the facility. </w:t>
      </w:r>
    </w:p>
    <w:p w14:paraId="36B43540" w14:textId="77777777" w:rsidR="00D847F1" w:rsidRDefault="00D847F1">
      <w:pPr>
        <w:pStyle w:val="Amain"/>
        <w:keepNext/>
      </w:pPr>
      <w:r>
        <w:tab/>
        <w:t>(3)</w:t>
      </w:r>
      <w:r>
        <w:tab/>
        <w:t>In this section:</w:t>
      </w:r>
    </w:p>
    <w:p w14:paraId="3A6BBAC8" w14:textId="77777777" w:rsidR="00D847F1" w:rsidRDefault="00D847F1">
      <w:pPr>
        <w:pStyle w:val="aDef"/>
        <w:keepNext/>
      </w:pPr>
      <w:r>
        <w:rPr>
          <w:rStyle w:val="charBoldItals"/>
        </w:rPr>
        <w:t>cash facility</w:t>
      </w:r>
      <w:r>
        <w:t xml:space="preserve"> means—</w:t>
      </w:r>
    </w:p>
    <w:p w14:paraId="51E95F06" w14:textId="77777777" w:rsidR="00D847F1" w:rsidRDefault="00D847F1">
      <w:pPr>
        <w:pStyle w:val="aDefpara"/>
      </w:pPr>
      <w:r>
        <w:tab/>
        <w:t>(a)</w:t>
      </w:r>
      <w:r>
        <w:tab/>
        <w:t>an automatic teller machine; or</w:t>
      </w:r>
    </w:p>
    <w:p w14:paraId="00EF5741" w14:textId="77777777" w:rsidR="00D847F1" w:rsidRDefault="00D847F1">
      <w:pPr>
        <w:pStyle w:val="aDefpara"/>
      </w:pPr>
      <w:r>
        <w:tab/>
        <w:t>(b)</w:t>
      </w:r>
      <w:r>
        <w:tab/>
        <w:t>an EFTPOS facility.</w:t>
      </w:r>
    </w:p>
    <w:p w14:paraId="78F30591" w14:textId="77777777" w:rsidR="00D847F1" w:rsidRDefault="00D847F1">
      <w:pPr>
        <w:pStyle w:val="Schclauseheading"/>
      </w:pPr>
      <w:bookmarkStart w:id="96" w:name="_Toc155080751"/>
      <w:r w:rsidRPr="004D57A4">
        <w:rPr>
          <w:rStyle w:val="CharSectNo"/>
        </w:rPr>
        <w:t>1.22</w:t>
      </w:r>
      <w:r>
        <w:tab/>
        <w:t>Cash payment limits for casino licensees</w:t>
      </w:r>
      <w:bookmarkEnd w:id="96"/>
    </w:p>
    <w:p w14:paraId="1E298B48" w14:textId="77777777" w:rsidR="00D847F1" w:rsidRDefault="00D847F1">
      <w:pPr>
        <w:pStyle w:val="Amain"/>
      </w:pPr>
      <w:r>
        <w:tab/>
        <w:t>(1)</w:t>
      </w:r>
      <w:r>
        <w:tab/>
        <w:t>A casino licensee must not pay to a gambling patron w</w:t>
      </w:r>
      <w:r w:rsidR="007F160B">
        <w:t>innings in cash of more than $25</w:t>
      </w:r>
      <w:r>
        <w:t xml:space="preserve"> 000 in any gaming day.</w:t>
      </w:r>
    </w:p>
    <w:p w14:paraId="3AD1150F" w14:textId="77777777" w:rsidR="00D847F1" w:rsidRDefault="00D847F1" w:rsidP="003E3DF8">
      <w:pPr>
        <w:pStyle w:val="aExamHdgss"/>
        <w:keepNext w:val="0"/>
      </w:pPr>
      <w:r>
        <w:t>Example</w:t>
      </w:r>
    </w:p>
    <w:p w14:paraId="0221BA5E" w14:textId="77777777" w:rsidR="00D847F1" w:rsidRDefault="00D847F1" w:rsidP="003E3DF8">
      <w:pPr>
        <w:pStyle w:val="aExamss"/>
      </w:pPr>
      <w:r>
        <w:t xml:space="preserve">A gambling patron in a casino </w:t>
      </w:r>
      <w:r w:rsidR="00F823D7" w:rsidRPr="00A35BB6">
        <w:t>wins $30 000, and at 10 pm on Wednesday the casino pays the person $25 000</w:t>
      </w:r>
      <w:r>
        <w:t xml:space="preserve"> in cash and the balance of $5 000 by cheque or electronic funds transfer.  The casino must not make any further cash payments to the person until the casino re-opens to the general public at 12 noon on Thursday.</w:t>
      </w:r>
    </w:p>
    <w:p w14:paraId="62F75A6C" w14:textId="77777777" w:rsidR="00D847F1" w:rsidRDefault="00D847F1" w:rsidP="003E3DF8">
      <w:pPr>
        <w:pStyle w:val="Amain"/>
      </w:pPr>
      <w:r>
        <w:tab/>
        <w:t>(2)</w:t>
      </w:r>
      <w:r>
        <w:tab/>
        <w:t>To remove any doubt, subsection (1) does not prevent the payme</w:t>
      </w:r>
      <w:r w:rsidR="00F823D7">
        <w:t>nt of winnings, in excess of $25</w:t>
      </w:r>
      <w:r>
        <w:t xml:space="preserve"> 000, in any other way.</w:t>
      </w:r>
    </w:p>
    <w:p w14:paraId="4654DCDE" w14:textId="77777777" w:rsidR="00D847F1" w:rsidRDefault="00D847F1" w:rsidP="000271C8">
      <w:pPr>
        <w:pStyle w:val="Amain"/>
      </w:pPr>
      <w:r>
        <w:tab/>
        <w:t>(3)</w:t>
      </w:r>
      <w:r>
        <w:tab/>
        <w:t>Subsection (1) does not apply to the payment of winnings to a person participating in a commission-based player scheme.</w:t>
      </w:r>
    </w:p>
    <w:p w14:paraId="40AA1640" w14:textId="77777777" w:rsidR="00D847F1" w:rsidRDefault="00D847F1" w:rsidP="000271C8">
      <w:pPr>
        <w:pStyle w:val="Amain"/>
      </w:pPr>
      <w:r>
        <w:tab/>
        <w:t>(4)</w:t>
      </w:r>
      <w:r>
        <w:tab/>
        <w:t>In this section:</w:t>
      </w:r>
    </w:p>
    <w:p w14:paraId="58247AC7" w14:textId="54614FC9" w:rsidR="00D847F1" w:rsidRDefault="00D847F1" w:rsidP="000271C8">
      <w:pPr>
        <w:pStyle w:val="aDef"/>
      </w:pPr>
      <w:r>
        <w:rPr>
          <w:rStyle w:val="charBoldItals"/>
        </w:rPr>
        <w:t>commission-based player scheme</w:t>
      </w:r>
      <w:r>
        <w:t xml:space="preserve">—see the </w:t>
      </w:r>
      <w:hyperlink r:id="rId71" w:tooltip="A2006-2" w:history="1">
        <w:r w:rsidR="00DF21AF" w:rsidRPr="00DF21AF">
          <w:rPr>
            <w:rStyle w:val="charCitHyperlinkItal"/>
          </w:rPr>
          <w:t>Casino Control Act 2006</w:t>
        </w:r>
      </w:hyperlink>
      <w:r>
        <w:t>, dictionary.</w:t>
      </w:r>
    </w:p>
    <w:p w14:paraId="0A8702DB" w14:textId="77777777" w:rsidR="00D847F1" w:rsidRDefault="00D847F1">
      <w:pPr>
        <w:pStyle w:val="Amainreturn"/>
        <w:keepNext/>
      </w:pPr>
      <w:r>
        <w:rPr>
          <w:rStyle w:val="charBoldItals"/>
        </w:rPr>
        <w:lastRenderedPageBreak/>
        <w:t>gaming day</w:t>
      </w:r>
      <w:r>
        <w:rPr>
          <w:b/>
          <w:bCs/>
        </w:rPr>
        <w:t xml:space="preserve"> </w:t>
      </w:r>
      <w:r>
        <w:t>means—</w:t>
      </w:r>
    </w:p>
    <w:p w14:paraId="788547DF" w14:textId="77777777" w:rsidR="00D847F1" w:rsidRDefault="00D847F1">
      <w:pPr>
        <w:pStyle w:val="Apara"/>
      </w:pPr>
      <w:r>
        <w:tab/>
        <w:t>(a)</w:t>
      </w:r>
      <w:r>
        <w:tab/>
        <w:t>the period from when the casino opens to the public on a day until it next closes; but</w:t>
      </w:r>
    </w:p>
    <w:p w14:paraId="2C233EAF" w14:textId="77777777" w:rsidR="00D847F1" w:rsidRDefault="00D847F1">
      <w:pPr>
        <w:pStyle w:val="Apara"/>
      </w:pPr>
      <w:r>
        <w:tab/>
        <w:t>(b)</w:t>
      </w:r>
      <w:r>
        <w:tab/>
        <w:t>if the casino is open to the public for longer than 24 hours continuously—</w:t>
      </w:r>
    </w:p>
    <w:p w14:paraId="5F287F09" w14:textId="77777777" w:rsidR="00D847F1" w:rsidRDefault="00D847F1">
      <w:pPr>
        <w:pStyle w:val="Asubpara"/>
      </w:pPr>
      <w:r>
        <w:tab/>
        <w:t>(i)</w:t>
      </w:r>
      <w:r>
        <w:tab/>
        <w:t>each 24-hour period for which it is open to the public; and</w:t>
      </w:r>
    </w:p>
    <w:p w14:paraId="2F9E76B4" w14:textId="77777777" w:rsidR="00D847F1" w:rsidRDefault="00D847F1">
      <w:pPr>
        <w:pStyle w:val="Asubpara"/>
      </w:pPr>
      <w:r>
        <w:tab/>
        <w:t>(ii)</w:t>
      </w:r>
      <w:r>
        <w:tab/>
        <w:t>if the last period before it closes is less than 24</w:t>
      </w:r>
      <w:r w:rsidR="00A03D08">
        <w:t> </w:t>
      </w:r>
      <w:r>
        <w:t>hours—that period.</w:t>
      </w:r>
    </w:p>
    <w:p w14:paraId="6D3CA996" w14:textId="77777777" w:rsidR="00D847F1" w:rsidRDefault="00D847F1" w:rsidP="000271C8">
      <w:pPr>
        <w:pStyle w:val="Schclauseheading"/>
        <w:keepLines/>
      </w:pPr>
      <w:bookmarkStart w:id="97" w:name="_Toc155080752"/>
      <w:r w:rsidRPr="004D57A4">
        <w:rPr>
          <w:rStyle w:val="CharSectNo"/>
        </w:rPr>
        <w:lastRenderedPageBreak/>
        <w:t>1.23</w:t>
      </w:r>
      <w:r>
        <w:tab/>
        <w:t>Other cash payment limits</w:t>
      </w:r>
      <w:bookmarkEnd w:id="97"/>
    </w:p>
    <w:p w14:paraId="4B42C34C" w14:textId="77777777" w:rsidR="00D847F1" w:rsidRDefault="00D847F1" w:rsidP="000271C8">
      <w:pPr>
        <w:pStyle w:val="Amain"/>
        <w:keepNext/>
        <w:keepLines/>
      </w:pPr>
      <w:r>
        <w:tab/>
        <w:t>(1)</w:t>
      </w:r>
      <w:r>
        <w:tab/>
        <w:t>A licensee must not, for a particular event or contingency on which a gambling patron has staked or risked money, pay the patron winnings in cash that are more than the amount worked out under table 1.23.</w:t>
      </w:r>
    </w:p>
    <w:p w14:paraId="5B4B1259" w14:textId="77777777" w:rsidR="00E32685" w:rsidRPr="00A35BB6" w:rsidRDefault="00E32685" w:rsidP="000271C8">
      <w:pPr>
        <w:pStyle w:val="TableHd"/>
        <w:keepLines/>
      </w:pPr>
      <w:r w:rsidRPr="00A35BB6">
        <w:tab/>
        <w:t>Table 1.23</w:t>
      </w:r>
    </w:p>
    <w:tbl>
      <w:tblPr>
        <w:tblW w:w="5928" w:type="dxa"/>
        <w:tblInd w:w="119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254"/>
        <w:gridCol w:w="2052"/>
        <w:gridCol w:w="2622"/>
      </w:tblGrid>
      <w:tr w:rsidR="00E32685" w:rsidRPr="00A35BB6" w14:paraId="71316DFD" w14:textId="77777777" w:rsidTr="00E32685">
        <w:trPr>
          <w:cantSplit/>
          <w:tblHeader/>
        </w:trPr>
        <w:tc>
          <w:tcPr>
            <w:tcW w:w="1254" w:type="dxa"/>
            <w:tcBorders>
              <w:bottom w:val="single" w:sz="4" w:space="0" w:color="auto"/>
            </w:tcBorders>
          </w:tcPr>
          <w:p w14:paraId="6A0BD511" w14:textId="77777777" w:rsidR="00E32685" w:rsidRPr="00A35BB6" w:rsidRDefault="00E32685" w:rsidP="000271C8">
            <w:pPr>
              <w:pStyle w:val="TableColHd"/>
              <w:keepLines/>
            </w:pPr>
            <w:r w:rsidRPr="00A35BB6">
              <w:t>column 1</w:t>
            </w:r>
          </w:p>
          <w:p w14:paraId="62F9ED3A" w14:textId="77777777" w:rsidR="00E32685" w:rsidRPr="00A35BB6" w:rsidRDefault="00E32685" w:rsidP="000271C8">
            <w:pPr>
              <w:pStyle w:val="TableColHd"/>
              <w:keepLines/>
            </w:pPr>
            <w:r w:rsidRPr="00A35BB6">
              <w:t>item</w:t>
            </w:r>
          </w:p>
        </w:tc>
        <w:tc>
          <w:tcPr>
            <w:tcW w:w="2052" w:type="dxa"/>
            <w:tcBorders>
              <w:bottom w:val="single" w:sz="4" w:space="0" w:color="auto"/>
            </w:tcBorders>
          </w:tcPr>
          <w:p w14:paraId="290EB42C" w14:textId="77777777" w:rsidR="00E32685" w:rsidRPr="00A35BB6" w:rsidRDefault="00E32685" w:rsidP="000271C8">
            <w:pPr>
              <w:pStyle w:val="TableColHd"/>
              <w:keepLines/>
            </w:pPr>
            <w:r w:rsidRPr="00A35BB6">
              <w:t>column 2</w:t>
            </w:r>
          </w:p>
          <w:p w14:paraId="3422B741" w14:textId="77777777" w:rsidR="00E32685" w:rsidRPr="00A35BB6" w:rsidRDefault="00E32685" w:rsidP="000271C8">
            <w:pPr>
              <w:pStyle w:val="TableColHd"/>
              <w:keepLines/>
            </w:pPr>
            <w:r w:rsidRPr="00A35BB6">
              <w:t>type of licensee</w:t>
            </w:r>
          </w:p>
        </w:tc>
        <w:tc>
          <w:tcPr>
            <w:tcW w:w="2622" w:type="dxa"/>
            <w:tcBorders>
              <w:bottom w:val="single" w:sz="4" w:space="0" w:color="auto"/>
            </w:tcBorders>
          </w:tcPr>
          <w:p w14:paraId="32DD0617" w14:textId="77777777" w:rsidR="00E32685" w:rsidRPr="00A35BB6" w:rsidRDefault="00E32685" w:rsidP="000271C8">
            <w:pPr>
              <w:pStyle w:val="TableColHd"/>
              <w:keepLines/>
            </w:pPr>
            <w:r w:rsidRPr="00A35BB6">
              <w:t>column 3</w:t>
            </w:r>
          </w:p>
          <w:p w14:paraId="643F7326" w14:textId="77777777" w:rsidR="00E32685" w:rsidRPr="00A35BB6" w:rsidRDefault="00E32685" w:rsidP="000271C8">
            <w:pPr>
              <w:pStyle w:val="TableColHd"/>
              <w:keepLines/>
            </w:pPr>
            <w:r w:rsidRPr="00A35BB6">
              <w:t>maximum cash payable</w:t>
            </w:r>
          </w:p>
        </w:tc>
      </w:tr>
      <w:tr w:rsidR="00E32685" w:rsidRPr="00A35BB6" w14:paraId="6292A5FA" w14:textId="77777777" w:rsidTr="00E32685">
        <w:trPr>
          <w:cantSplit/>
        </w:trPr>
        <w:tc>
          <w:tcPr>
            <w:tcW w:w="1254" w:type="dxa"/>
            <w:tcBorders>
              <w:top w:val="single" w:sz="4" w:space="0" w:color="auto"/>
            </w:tcBorders>
          </w:tcPr>
          <w:p w14:paraId="1055866A" w14:textId="77777777" w:rsidR="00E32685" w:rsidRPr="00A35BB6" w:rsidRDefault="00E32685" w:rsidP="000271C8">
            <w:pPr>
              <w:pStyle w:val="TableText"/>
              <w:keepNext/>
              <w:keepLines/>
              <w:rPr>
                <w:sz w:val="20"/>
              </w:rPr>
            </w:pPr>
            <w:r w:rsidRPr="00A35BB6">
              <w:rPr>
                <w:sz w:val="20"/>
              </w:rPr>
              <w:t>1</w:t>
            </w:r>
          </w:p>
        </w:tc>
        <w:tc>
          <w:tcPr>
            <w:tcW w:w="2052" w:type="dxa"/>
            <w:tcBorders>
              <w:top w:val="single" w:sz="4" w:space="0" w:color="auto"/>
            </w:tcBorders>
          </w:tcPr>
          <w:p w14:paraId="3C123B98" w14:textId="77777777" w:rsidR="00E32685" w:rsidRPr="00A35BB6" w:rsidRDefault="00E32685" w:rsidP="000271C8">
            <w:pPr>
              <w:pStyle w:val="TableText"/>
              <w:keepNext/>
              <w:keepLines/>
              <w:rPr>
                <w:sz w:val="20"/>
              </w:rPr>
            </w:pPr>
            <w:r w:rsidRPr="00A35BB6">
              <w:rPr>
                <w:sz w:val="20"/>
              </w:rPr>
              <w:t>bookmaker</w:t>
            </w:r>
          </w:p>
        </w:tc>
        <w:tc>
          <w:tcPr>
            <w:tcW w:w="2622" w:type="dxa"/>
            <w:tcBorders>
              <w:top w:val="single" w:sz="4" w:space="0" w:color="auto"/>
            </w:tcBorders>
          </w:tcPr>
          <w:p w14:paraId="2284FAB5" w14:textId="77777777" w:rsidR="00E32685" w:rsidRPr="00A35BB6" w:rsidRDefault="00E32685" w:rsidP="000271C8">
            <w:pPr>
              <w:pStyle w:val="TableText"/>
              <w:keepNext/>
              <w:keepLines/>
              <w:rPr>
                <w:sz w:val="20"/>
              </w:rPr>
            </w:pPr>
            <w:r w:rsidRPr="00A35BB6">
              <w:rPr>
                <w:sz w:val="20"/>
              </w:rPr>
              <w:t>$25 000</w:t>
            </w:r>
          </w:p>
        </w:tc>
      </w:tr>
      <w:tr w:rsidR="00E32685" w:rsidRPr="00A35BB6" w14:paraId="29B05A8F" w14:textId="77777777" w:rsidTr="00E32685">
        <w:trPr>
          <w:cantSplit/>
        </w:trPr>
        <w:tc>
          <w:tcPr>
            <w:tcW w:w="1254" w:type="dxa"/>
          </w:tcPr>
          <w:p w14:paraId="2EF658D0" w14:textId="77777777" w:rsidR="00E32685" w:rsidRPr="00A35BB6" w:rsidRDefault="00E32685" w:rsidP="000271C8">
            <w:pPr>
              <w:pStyle w:val="TableText"/>
              <w:keepNext/>
              <w:keepLines/>
              <w:rPr>
                <w:sz w:val="20"/>
              </w:rPr>
            </w:pPr>
            <w:r w:rsidRPr="00A35BB6">
              <w:rPr>
                <w:sz w:val="20"/>
              </w:rPr>
              <w:t>2</w:t>
            </w:r>
          </w:p>
        </w:tc>
        <w:tc>
          <w:tcPr>
            <w:tcW w:w="2052" w:type="dxa"/>
          </w:tcPr>
          <w:p w14:paraId="3BB9FA1B" w14:textId="77777777" w:rsidR="00E32685" w:rsidRPr="00A35BB6" w:rsidRDefault="00E32685" w:rsidP="000271C8">
            <w:pPr>
              <w:pStyle w:val="TableText"/>
              <w:keepNext/>
              <w:keepLines/>
              <w:rPr>
                <w:sz w:val="20"/>
              </w:rPr>
            </w:pPr>
            <w:r w:rsidRPr="00A35BB6">
              <w:rPr>
                <w:sz w:val="20"/>
              </w:rPr>
              <w:t xml:space="preserve">totalisator </w:t>
            </w:r>
          </w:p>
        </w:tc>
        <w:tc>
          <w:tcPr>
            <w:tcW w:w="2622" w:type="dxa"/>
          </w:tcPr>
          <w:p w14:paraId="68BCAFC7" w14:textId="77777777" w:rsidR="00E32685" w:rsidRPr="00A35BB6" w:rsidRDefault="00E32685" w:rsidP="000271C8">
            <w:pPr>
              <w:pStyle w:val="TableText"/>
              <w:keepNext/>
              <w:keepLines/>
              <w:rPr>
                <w:sz w:val="20"/>
              </w:rPr>
            </w:pPr>
            <w:r w:rsidRPr="00A35BB6">
              <w:rPr>
                <w:sz w:val="20"/>
              </w:rPr>
              <w:t>$25 000</w:t>
            </w:r>
          </w:p>
        </w:tc>
      </w:tr>
      <w:tr w:rsidR="00E32685" w:rsidRPr="00A35BB6" w14:paraId="31D55061" w14:textId="77777777" w:rsidTr="00E32685">
        <w:trPr>
          <w:cantSplit/>
        </w:trPr>
        <w:tc>
          <w:tcPr>
            <w:tcW w:w="1254" w:type="dxa"/>
          </w:tcPr>
          <w:p w14:paraId="6D8EDDB0" w14:textId="77777777" w:rsidR="00E32685" w:rsidRPr="00A35BB6" w:rsidRDefault="00E32685" w:rsidP="000271C8">
            <w:pPr>
              <w:pStyle w:val="TableText"/>
              <w:keepNext/>
              <w:keepLines/>
              <w:rPr>
                <w:sz w:val="20"/>
              </w:rPr>
            </w:pPr>
            <w:r w:rsidRPr="00A35BB6">
              <w:rPr>
                <w:sz w:val="20"/>
              </w:rPr>
              <w:t>3</w:t>
            </w:r>
          </w:p>
        </w:tc>
        <w:tc>
          <w:tcPr>
            <w:tcW w:w="2052" w:type="dxa"/>
          </w:tcPr>
          <w:p w14:paraId="1CDB9C8E" w14:textId="77777777" w:rsidR="00E32685" w:rsidRPr="00A35BB6" w:rsidRDefault="00E32685" w:rsidP="000271C8">
            <w:pPr>
              <w:pStyle w:val="TableText"/>
              <w:keepNext/>
              <w:keepLines/>
              <w:rPr>
                <w:sz w:val="20"/>
              </w:rPr>
            </w:pPr>
            <w:r w:rsidRPr="00A35BB6">
              <w:rPr>
                <w:sz w:val="20"/>
              </w:rPr>
              <w:t>lotteries</w:t>
            </w:r>
          </w:p>
        </w:tc>
        <w:tc>
          <w:tcPr>
            <w:tcW w:w="2622" w:type="dxa"/>
          </w:tcPr>
          <w:p w14:paraId="3011B18E" w14:textId="77777777" w:rsidR="00E32685" w:rsidRPr="00A35BB6" w:rsidRDefault="00E32685" w:rsidP="000271C8">
            <w:pPr>
              <w:pStyle w:val="TableText"/>
              <w:keepNext/>
              <w:keepLines/>
              <w:rPr>
                <w:sz w:val="20"/>
              </w:rPr>
            </w:pPr>
            <w:r w:rsidRPr="00A35BB6">
              <w:rPr>
                <w:sz w:val="20"/>
              </w:rPr>
              <w:t>$5 000</w:t>
            </w:r>
          </w:p>
        </w:tc>
      </w:tr>
      <w:tr w:rsidR="00E32685" w:rsidRPr="00A35BB6" w14:paraId="092FF5B9" w14:textId="77777777" w:rsidTr="00E32685">
        <w:trPr>
          <w:cantSplit/>
        </w:trPr>
        <w:tc>
          <w:tcPr>
            <w:tcW w:w="1254" w:type="dxa"/>
          </w:tcPr>
          <w:p w14:paraId="5F797121" w14:textId="77777777" w:rsidR="00E32685" w:rsidRPr="00A35BB6" w:rsidRDefault="00E32685" w:rsidP="000271C8">
            <w:pPr>
              <w:pStyle w:val="TableText"/>
              <w:keepNext/>
              <w:keepLines/>
              <w:rPr>
                <w:sz w:val="20"/>
              </w:rPr>
            </w:pPr>
            <w:r w:rsidRPr="00A35BB6">
              <w:rPr>
                <w:sz w:val="20"/>
              </w:rPr>
              <w:t>4</w:t>
            </w:r>
          </w:p>
        </w:tc>
        <w:tc>
          <w:tcPr>
            <w:tcW w:w="2052" w:type="dxa"/>
          </w:tcPr>
          <w:p w14:paraId="50F5DB4D" w14:textId="77777777" w:rsidR="00E32685" w:rsidRPr="00A35BB6" w:rsidRDefault="00E32685" w:rsidP="000271C8">
            <w:pPr>
              <w:pStyle w:val="TableText"/>
              <w:keepNext/>
              <w:keepLines/>
              <w:rPr>
                <w:sz w:val="20"/>
              </w:rPr>
            </w:pPr>
            <w:r w:rsidRPr="00A35BB6">
              <w:rPr>
                <w:sz w:val="20"/>
              </w:rPr>
              <w:t>keno</w:t>
            </w:r>
          </w:p>
        </w:tc>
        <w:tc>
          <w:tcPr>
            <w:tcW w:w="2622" w:type="dxa"/>
          </w:tcPr>
          <w:p w14:paraId="02EAEA6C" w14:textId="77777777" w:rsidR="00E32685" w:rsidRPr="00A35BB6" w:rsidRDefault="00E32685" w:rsidP="000271C8">
            <w:pPr>
              <w:pStyle w:val="TableText"/>
              <w:keepNext/>
              <w:keepLines/>
              <w:rPr>
                <w:sz w:val="20"/>
              </w:rPr>
            </w:pPr>
            <w:r w:rsidRPr="00A35BB6">
              <w:rPr>
                <w:sz w:val="20"/>
              </w:rPr>
              <w:t>$5 000</w:t>
            </w:r>
          </w:p>
        </w:tc>
      </w:tr>
      <w:tr w:rsidR="00E32685" w:rsidRPr="00A35BB6" w14:paraId="787AC543" w14:textId="77777777" w:rsidTr="00E32685">
        <w:trPr>
          <w:cantSplit/>
        </w:trPr>
        <w:tc>
          <w:tcPr>
            <w:tcW w:w="1254" w:type="dxa"/>
          </w:tcPr>
          <w:p w14:paraId="0FF26E70" w14:textId="77777777" w:rsidR="00E32685" w:rsidRPr="00A35BB6" w:rsidRDefault="00E32685" w:rsidP="000271C8">
            <w:pPr>
              <w:pStyle w:val="TableText"/>
              <w:keepNext/>
              <w:keepLines/>
              <w:rPr>
                <w:sz w:val="20"/>
              </w:rPr>
            </w:pPr>
            <w:r w:rsidRPr="00A35BB6">
              <w:rPr>
                <w:sz w:val="20"/>
              </w:rPr>
              <w:t>5</w:t>
            </w:r>
          </w:p>
        </w:tc>
        <w:tc>
          <w:tcPr>
            <w:tcW w:w="2052" w:type="dxa"/>
          </w:tcPr>
          <w:p w14:paraId="628379F2" w14:textId="77777777" w:rsidR="00E32685" w:rsidRPr="00A35BB6" w:rsidRDefault="00E32685" w:rsidP="000271C8">
            <w:pPr>
              <w:pStyle w:val="TableText"/>
              <w:keepNext/>
              <w:keepLines/>
              <w:rPr>
                <w:sz w:val="20"/>
              </w:rPr>
            </w:pPr>
            <w:r w:rsidRPr="00A35BB6">
              <w:rPr>
                <w:sz w:val="20"/>
              </w:rPr>
              <w:t>trackside</w:t>
            </w:r>
          </w:p>
        </w:tc>
        <w:tc>
          <w:tcPr>
            <w:tcW w:w="2622" w:type="dxa"/>
          </w:tcPr>
          <w:p w14:paraId="68EA1D81" w14:textId="77777777" w:rsidR="00E32685" w:rsidRPr="00A35BB6" w:rsidRDefault="00E32685" w:rsidP="000271C8">
            <w:pPr>
              <w:pStyle w:val="TableText"/>
              <w:keepNext/>
              <w:keepLines/>
              <w:rPr>
                <w:sz w:val="20"/>
              </w:rPr>
            </w:pPr>
            <w:r w:rsidRPr="00A35BB6">
              <w:rPr>
                <w:sz w:val="20"/>
              </w:rPr>
              <w:t>$5 000</w:t>
            </w:r>
          </w:p>
        </w:tc>
      </w:tr>
      <w:tr w:rsidR="00E32685" w:rsidRPr="00A35BB6" w14:paraId="2AEC6455" w14:textId="77777777" w:rsidTr="00E32685">
        <w:trPr>
          <w:cantSplit/>
        </w:trPr>
        <w:tc>
          <w:tcPr>
            <w:tcW w:w="1254" w:type="dxa"/>
          </w:tcPr>
          <w:p w14:paraId="18EE8EA8" w14:textId="77777777" w:rsidR="00E32685" w:rsidRPr="00A35BB6" w:rsidRDefault="00E32685" w:rsidP="000271C8">
            <w:pPr>
              <w:pStyle w:val="TableText"/>
              <w:keepNext/>
              <w:keepLines/>
              <w:rPr>
                <w:sz w:val="20"/>
              </w:rPr>
            </w:pPr>
            <w:r w:rsidRPr="00A35BB6">
              <w:rPr>
                <w:sz w:val="20"/>
              </w:rPr>
              <w:t>6</w:t>
            </w:r>
          </w:p>
        </w:tc>
        <w:tc>
          <w:tcPr>
            <w:tcW w:w="2052" w:type="dxa"/>
          </w:tcPr>
          <w:p w14:paraId="12E38B7D" w14:textId="77777777" w:rsidR="00E32685" w:rsidRPr="00A35BB6" w:rsidRDefault="00E32685" w:rsidP="000271C8">
            <w:pPr>
              <w:pStyle w:val="TableText"/>
              <w:keepNext/>
              <w:keepLines/>
              <w:rPr>
                <w:sz w:val="20"/>
              </w:rPr>
            </w:pPr>
            <w:r w:rsidRPr="00A35BB6">
              <w:rPr>
                <w:sz w:val="20"/>
              </w:rPr>
              <w:t>gaming machine</w:t>
            </w:r>
          </w:p>
        </w:tc>
        <w:tc>
          <w:tcPr>
            <w:tcW w:w="2622" w:type="dxa"/>
          </w:tcPr>
          <w:p w14:paraId="3E6B06B0" w14:textId="77777777" w:rsidR="00E32685" w:rsidRPr="00A35BB6" w:rsidRDefault="00E32685" w:rsidP="000271C8">
            <w:pPr>
              <w:pStyle w:val="TableText"/>
              <w:keepNext/>
              <w:keepLines/>
              <w:rPr>
                <w:sz w:val="20"/>
              </w:rPr>
            </w:pPr>
            <w:r w:rsidRPr="00A35BB6">
              <w:rPr>
                <w:sz w:val="20"/>
              </w:rPr>
              <w:t>$1 500</w:t>
            </w:r>
          </w:p>
        </w:tc>
      </w:tr>
      <w:tr w:rsidR="00E32685" w:rsidRPr="00A35BB6" w14:paraId="1C8F6631" w14:textId="77777777" w:rsidTr="00E32685">
        <w:trPr>
          <w:cantSplit/>
        </w:trPr>
        <w:tc>
          <w:tcPr>
            <w:tcW w:w="1254" w:type="dxa"/>
          </w:tcPr>
          <w:p w14:paraId="49D1D4EA" w14:textId="77777777" w:rsidR="00E32685" w:rsidRPr="00A35BB6" w:rsidRDefault="00E32685" w:rsidP="000271C8">
            <w:pPr>
              <w:pStyle w:val="TableText"/>
              <w:keepNext/>
              <w:keepLines/>
              <w:rPr>
                <w:sz w:val="20"/>
              </w:rPr>
            </w:pPr>
            <w:r w:rsidRPr="00A35BB6">
              <w:rPr>
                <w:sz w:val="20"/>
              </w:rPr>
              <w:t>7</w:t>
            </w:r>
          </w:p>
        </w:tc>
        <w:tc>
          <w:tcPr>
            <w:tcW w:w="2052" w:type="dxa"/>
          </w:tcPr>
          <w:p w14:paraId="11E1EC27" w14:textId="77777777" w:rsidR="00E32685" w:rsidRPr="00A35BB6" w:rsidRDefault="00E32685" w:rsidP="000271C8">
            <w:pPr>
              <w:pStyle w:val="TableText"/>
              <w:keepNext/>
              <w:keepLines/>
              <w:rPr>
                <w:sz w:val="20"/>
              </w:rPr>
            </w:pPr>
            <w:r w:rsidRPr="00A35BB6">
              <w:rPr>
                <w:sz w:val="20"/>
              </w:rPr>
              <w:t>housie</w:t>
            </w:r>
          </w:p>
        </w:tc>
        <w:tc>
          <w:tcPr>
            <w:tcW w:w="2622" w:type="dxa"/>
          </w:tcPr>
          <w:p w14:paraId="232D5129" w14:textId="77777777" w:rsidR="00E32685" w:rsidRPr="00A35BB6" w:rsidRDefault="00E32685" w:rsidP="000271C8">
            <w:pPr>
              <w:pStyle w:val="TableText"/>
              <w:keepNext/>
              <w:keepLines/>
              <w:rPr>
                <w:sz w:val="20"/>
              </w:rPr>
            </w:pPr>
            <w:r w:rsidRPr="00A35BB6">
              <w:rPr>
                <w:sz w:val="20"/>
              </w:rPr>
              <w:t>$1 250</w:t>
            </w:r>
          </w:p>
        </w:tc>
      </w:tr>
    </w:tbl>
    <w:p w14:paraId="4450268A" w14:textId="77777777" w:rsidR="00E32685" w:rsidRPr="00A35BB6" w:rsidRDefault="00E32685" w:rsidP="000271C8">
      <w:pPr>
        <w:pStyle w:val="aExamHdgss"/>
        <w:keepLines/>
      </w:pPr>
      <w:r w:rsidRPr="00A35BB6">
        <w:t>Example</w:t>
      </w:r>
    </w:p>
    <w:p w14:paraId="51E35393" w14:textId="77777777" w:rsidR="00E32685" w:rsidRPr="00A35BB6" w:rsidRDefault="00E32685" w:rsidP="000271C8">
      <w:pPr>
        <w:pStyle w:val="aExamss"/>
        <w:keepNext/>
        <w:keepLines/>
      </w:pPr>
      <w:r w:rsidRPr="00A35BB6">
        <w:t>A gambling patron wins $30 000 on a totalisator on race 3 Flemington Racecourse. The person must not be paid more than $25 000 in cash and must be paid any balance by cheque or electronic funds transfer. However, the person can be paid winnings in cash of not more than $25 000 if the person wins on a subsequent race.</w:t>
      </w:r>
    </w:p>
    <w:p w14:paraId="190A0745" w14:textId="77777777" w:rsidR="00D847F1" w:rsidRDefault="00D847F1">
      <w:pPr>
        <w:pStyle w:val="Amain"/>
      </w:pPr>
      <w:r>
        <w:tab/>
        <w:t>(2)</w:t>
      </w:r>
      <w:r>
        <w:tab/>
        <w:t>To remove any doubt, subsection (1) does not prevent the payment of winnings, in excess of the maximum amount payable in cash, in any other way.</w:t>
      </w:r>
    </w:p>
    <w:p w14:paraId="30C5A5E1" w14:textId="77777777" w:rsidR="00E32685" w:rsidRPr="00A35BB6" w:rsidRDefault="0063631C" w:rsidP="00E32685">
      <w:pPr>
        <w:pStyle w:val="SchAmain"/>
      </w:pPr>
      <w:r>
        <w:tab/>
        <w:t>(3</w:t>
      </w:r>
      <w:r w:rsidR="00E32685" w:rsidRPr="00A35BB6">
        <w:t>)</w:t>
      </w:r>
      <w:r w:rsidR="00E32685" w:rsidRPr="00A35BB6">
        <w:tab/>
        <w:t>A gaming machine licensee must pay a gambling patron winnings from a gaming machine by cheque or electronic funds transfer if—</w:t>
      </w:r>
    </w:p>
    <w:p w14:paraId="29796AFA" w14:textId="77777777" w:rsidR="00E32685" w:rsidRPr="00A35BB6" w:rsidRDefault="00E32685" w:rsidP="00E32685">
      <w:pPr>
        <w:pStyle w:val="SchApara"/>
      </w:pPr>
      <w:r w:rsidRPr="00A35BB6">
        <w:tab/>
        <w:t>(a)</w:t>
      </w:r>
      <w:r w:rsidRPr="00A35BB6">
        <w:tab/>
        <w:t>the winnings are more than $300; and</w:t>
      </w:r>
    </w:p>
    <w:p w14:paraId="3209C22D" w14:textId="77777777" w:rsidR="00E32685" w:rsidRPr="00A35BB6" w:rsidRDefault="00E32685" w:rsidP="00E32685">
      <w:pPr>
        <w:pStyle w:val="SchApara"/>
      </w:pPr>
      <w:r w:rsidRPr="00A35BB6">
        <w:tab/>
        <w:t>(b)</w:t>
      </w:r>
      <w:r w:rsidRPr="00A35BB6">
        <w:tab/>
        <w:t>the patron has requested the winnings be paid by cheque or electronic funds transfer.</w:t>
      </w:r>
    </w:p>
    <w:p w14:paraId="3B6B0B85" w14:textId="77777777" w:rsidR="00E32685" w:rsidRPr="00A35BB6" w:rsidRDefault="00E32685" w:rsidP="00E32685">
      <w:pPr>
        <w:pStyle w:val="Schclauseheading"/>
      </w:pPr>
      <w:bookmarkStart w:id="98" w:name="_Toc155080753"/>
      <w:r w:rsidRPr="004D57A4">
        <w:rPr>
          <w:rStyle w:val="CharSectNo"/>
        </w:rPr>
        <w:lastRenderedPageBreak/>
        <w:t>1.23AA</w:t>
      </w:r>
      <w:r w:rsidRPr="00A35BB6">
        <w:tab/>
        <w:t>No winnings for excluded or underage patrons</w:t>
      </w:r>
      <w:bookmarkEnd w:id="98"/>
    </w:p>
    <w:p w14:paraId="14A5B89F" w14:textId="77777777" w:rsidR="00E32685" w:rsidRPr="00A35BB6" w:rsidRDefault="00E32685" w:rsidP="00E32685">
      <w:pPr>
        <w:pStyle w:val="SchAmain"/>
      </w:pPr>
      <w:r w:rsidRPr="00A35BB6">
        <w:tab/>
        <w:t>(1)</w:t>
      </w:r>
      <w:r w:rsidRPr="00A35BB6">
        <w:tab/>
        <w:t>A licensee of a gambling facility must not knowingly pay winnings to a person who—</w:t>
      </w:r>
    </w:p>
    <w:p w14:paraId="34A8744B" w14:textId="77777777" w:rsidR="00E32685" w:rsidRPr="00A35BB6" w:rsidRDefault="00E32685" w:rsidP="00E32685">
      <w:pPr>
        <w:pStyle w:val="SchApara"/>
        <w:rPr>
          <w:lang w:eastAsia="en-AU"/>
        </w:rPr>
      </w:pPr>
      <w:r w:rsidRPr="00A35BB6">
        <w:rPr>
          <w:lang w:eastAsia="en-AU"/>
        </w:rPr>
        <w:tab/>
        <w:t>(a)</w:t>
      </w:r>
      <w:r w:rsidRPr="00A35BB6">
        <w:rPr>
          <w:lang w:eastAsia="en-AU"/>
        </w:rPr>
        <w:tab/>
        <w:t>has been excluded from gambling under section 1.14 (Exclusion of people at risk or excluded under deed); or</w:t>
      </w:r>
    </w:p>
    <w:p w14:paraId="3D82347E" w14:textId="77777777" w:rsidR="00E32685" w:rsidRPr="00A35BB6" w:rsidRDefault="00E32685" w:rsidP="00E32685">
      <w:pPr>
        <w:pStyle w:val="SchApara"/>
      </w:pPr>
      <w:r w:rsidRPr="00A35BB6">
        <w:tab/>
        <w:t>(b)</w:t>
      </w:r>
      <w:r w:rsidRPr="00A35BB6">
        <w:tab/>
        <w:t>is under 18 years old.</w:t>
      </w:r>
    </w:p>
    <w:p w14:paraId="4724980B" w14:textId="77777777" w:rsidR="00E32685" w:rsidRPr="00A35BB6" w:rsidRDefault="00E32685" w:rsidP="00E32685">
      <w:pPr>
        <w:pStyle w:val="Amain"/>
      </w:pPr>
      <w:r w:rsidRPr="00A35BB6">
        <w:tab/>
        <w:t>(2)</w:t>
      </w:r>
      <w:r w:rsidRPr="00A35BB6">
        <w:tab/>
        <w:t>The licensee must keep any winnings of a person mentioned in subsection (1) and distribute them to other patrons of the facility in a way approved in writing by the commission.</w:t>
      </w:r>
    </w:p>
    <w:p w14:paraId="61E9C8C4" w14:textId="77777777" w:rsidR="00D847F1" w:rsidRDefault="00D847F1">
      <w:pPr>
        <w:pStyle w:val="Schclauseheading"/>
      </w:pPr>
      <w:bookmarkStart w:id="99" w:name="_Toc155080754"/>
      <w:r w:rsidRPr="004D57A4">
        <w:rPr>
          <w:rStyle w:val="CharSectNo"/>
        </w:rPr>
        <w:t>1.23A</w:t>
      </w:r>
      <w:r>
        <w:tab/>
        <w:t>Non-cash payment of winnings</w:t>
      </w:r>
      <w:bookmarkEnd w:id="99"/>
    </w:p>
    <w:p w14:paraId="60C8012F" w14:textId="77777777" w:rsidR="00D847F1" w:rsidRDefault="00D847F1">
      <w:pPr>
        <w:pStyle w:val="Amain"/>
      </w:pPr>
      <w:r>
        <w:tab/>
        <w:t>(1)</w:t>
      </w:r>
      <w:r>
        <w:tab/>
        <w:t>Winnings to be paid otherwise than in cash must be paid by the licensee as soon as practicable but within 3 days after the day of the winning event or contingency.</w:t>
      </w:r>
    </w:p>
    <w:p w14:paraId="73E25D2F" w14:textId="77777777" w:rsidR="00D847F1" w:rsidRDefault="00D847F1">
      <w:pPr>
        <w:pStyle w:val="Amain"/>
      </w:pPr>
      <w:r>
        <w:tab/>
        <w:t>(2)</w:t>
      </w:r>
      <w:r>
        <w:tab/>
        <w:t xml:space="preserve">This section does not apply to a licensee mentioned in section 1.1, definition of </w:t>
      </w:r>
      <w:r>
        <w:rPr>
          <w:rStyle w:val="charBoldItals"/>
        </w:rPr>
        <w:t>licensee</w:t>
      </w:r>
      <w:r>
        <w:t>, paragraph (f).</w:t>
      </w:r>
    </w:p>
    <w:p w14:paraId="4E1DD09B" w14:textId="77777777" w:rsidR="00D847F1" w:rsidRDefault="00D847F1">
      <w:pPr>
        <w:pStyle w:val="Schclauseheading"/>
      </w:pPr>
      <w:bookmarkStart w:id="100" w:name="_Toc155080755"/>
      <w:r w:rsidRPr="004D57A4">
        <w:rPr>
          <w:rStyle w:val="CharSectNo"/>
        </w:rPr>
        <w:t>1.24</w:t>
      </w:r>
      <w:r>
        <w:tab/>
        <w:t>Cheques</w:t>
      </w:r>
      <w:bookmarkEnd w:id="100"/>
    </w:p>
    <w:p w14:paraId="68D89FF3" w14:textId="77777777" w:rsidR="00D847F1" w:rsidRDefault="00D847F1" w:rsidP="008C0F0D">
      <w:pPr>
        <w:pStyle w:val="Amain"/>
        <w:keepNext/>
      </w:pPr>
      <w:r>
        <w:tab/>
        <w:t>(1)</w:t>
      </w:r>
      <w:r>
        <w:tab/>
        <w:t>This section applies to a gaming machine licensee.</w:t>
      </w:r>
    </w:p>
    <w:p w14:paraId="597D1EB8" w14:textId="77777777" w:rsidR="00D847F1" w:rsidRDefault="00D847F1" w:rsidP="008C0F0D">
      <w:pPr>
        <w:pStyle w:val="Amain"/>
        <w:keepNext/>
      </w:pPr>
      <w:r>
        <w:tab/>
        <w:t>(2)</w:t>
      </w:r>
      <w:r>
        <w:tab/>
        <w:t>The licensee of a gambling facility to whom this section applies must not—</w:t>
      </w:r>
    </w:p>
    <w:p w14:paraId="301052D5" w14:textId="77777777" w:rsidR="00D847F1" w:rsidRDefault="00D847F1">
      <w:pPr>
        <w:pStyle w:val="Apara"/>
      </w:pPr>
      <w:r>
        <w:tab/>
        <w:t>(a)</w:t>
      </w:r>
      <w:r>
        <w:tab/>
        <w:t>cash a cheque within a gaming area of the facility; or</w:t>
      </w:r>
    </w:p>
    <w:p w14:paraId="7D4694FC" w14:textId="77777777" w:rsidR="00D847F1" w:rsidRDefault="00D847F1">
      <w:pPr>
        <w:pStyle w:val="Apara"/>
      </w:pPr>
      <w:r>
        <w:tab/>
        <w:t>(b)</w:t>
      </w:r>
      <w:r>
        <w:tab/>
        <w:t>allow a person to buy back or redeem a previously cashed personal cheque.</w:t>
      </w:r>
    </w:p>
    <w:p w14:paraId="17CE7F0F" w14:textId="77777777" w:rsidR="00D847F1" w:rsidRDefault="00D847F1">
      <w:pPr>
        <w:pStyle w:val="Amain"/>
      </w:pPr>
      <w:r>
        <w:tab/>
        <w:t>(3)</w:t>
      </w:r>
      <w:r>
        <w:tab/>
        <w:t>The licensee of a gambling facility to whom this section applies must not—</w:t>
      </w:r>
    </w:p>
    <w:p w14:paraId="67ED317F" w14:textId="77777777" w:rsidR="00D847F1" w:rsidRDefault="00D847F1">
      <w:pPr>
        <w:pStyle w:val="Apara"/>
      </w:pPr>
      <w:r>
        <w:tab/>
        <w:t>(a)</w:t>
      </w:r>
      <w:r>
        <w:tab/>
        <w:t>cash a patron’s personal cheque for more than $250 on any day</w:t>
      </w:r>
      <w:r>
        <w:rPr>
          <w:b/>
        </w:rPr>
        <w:t xml:space="preserve"> </w:t>
      </w:r>
      <w:r>
        <w:t>unless the person has made arrangements with the licensee on a previous day; or</w:t>
      </w:r>
    </w:p>
    <w:p w14:paraId="1190C72E" w14:textId="77777777" w:rsidR="00D847F1" w:rsidRDefault="00D847F1">
      <w:pPr>
        <w:pStyle w:val="Apara"/>
      </w:pPr>
      <w:r>
        <w:lastRenderedPageBreak/>
        <w:tab/>
        <w:t>(b)</w:t>
      </w:r>
      <w:r>
        <w:tab/>
        <w:t>cash a cheque of any other kind for the patron.</w:t>
      </w:r>
    </w:p>
    <w:p w14:paraId="7A35F4B7" w14:textId="77777777" w:rsidR="00D847F1" w:rsidRDefault="00D847F1">
      <w:pPr>
        <w:pStyle w:val="Schclauseheading"/>
      </w:pPr>
      <w:bookmarkStart w:id="101" w:name="_Toc155080756"/>
      <w:r w:rsidRPr="004D57A4">
        <w:rPr>
          <w:rStyle w:val="CharSectNo"/>
        </w:rPr>
        <w:t>1.25</w:t>
      </w:r>
      <w:r>
        <w:tab/>
        <w:t>Availability of information</w:t>
      </w:r>
      <w:bookmarkEnd w:id="101"/>
    </w:p>
    <w:p w14:paraId="02FA1BDA" w14:textId="77777777" w:rsidR="00D847F1" w:rsidRDefault="00D847F1">
      <w:pPr>
        <w:pStyle w:val="Amain"/>
      </w:pPr>
      <w:r>
        <w:tab/>
        <w:t>(1)</w:t>
      </w:r>
      <w:r>
        <w:tab/>
        <w:t>The licensee of a gambling facility must display in each gaming area of the facility signs to the effect that people under 18 years old, and intoxicated people, are not allowed to gamble.</w:t>
      </w:r>
    </w:p>
    <w:p w14:paraId="500B27FA" w14:textId="77777777" w:rsidR="00D847F1" w:rsidRDefault="00D847F1">
      <w:pPr>
        <w:pStyle w:val="Amain"/>
      </w:pPr>
      <w:r>
        <w:tab/>
        <w:t>(2)</w:t>
      </w:r>
      <w:r>
        <w:tab/>
        <w:t>Each sign must be prominently displayed and able to be readily read.</w:t>
      </w:r>
    </w:p>
    <w:p w14:paraId="57097AFC" w14:textId="77777777" w:rsidR="00D847F1" w:rsidRDefault="00D847F1" w:rsidP="004031BA">
      <w:pPr>
        <w:pStyle w:val="Amain"/>
        <w:keepNext/>
      </w:pPr>
      <w:r>
        <w:tab/>
        <w:t>(3)</w:t>
      </w:r>
      <w:r>
        <w:tab/>
        <w:t>A licensee of a gambling facility must make available at the facility, in a conspicuous way, information that—</w:t>
      </w:r>
    </w:p>
    <w:p w14:paraId="21C00C3C" w14:textId="77777777" w:rsidR="00D847F1" w:rsidRDefault="00D847F1">
      <w:pPr>
        <w:pStyle w:val="Apara"/>
        <w:keepNext/>
      </w:pPr>
      <w:r>
        <w:tab/>
        <w:t>(a)</w:t>
      </w:r>
      <w:r>
        <w:tab/>
        <w:t>tells people about each of the following:</w:t>
      </w:r>
    </w:p>
    <w:p w14:paraId="5FA228D8" w14:textId="77777777" w:rsidR="00D847F1" w:rsidRDefault="00D847F1">
      <w:pPr>
        <w:pStyle w:val="Asubpara"/>
      </w:pPr>
      <w:r>
        <w:tab/>
        <w:t>(i)</w:t>
      </w:r>
      <w:r>
        <w:tab/>
        <w:t>restrictions (if any) on cashing cheques;</w:t>
      </w:r>
    </w:p>
    <w:p w14:paraId="6B05D882" w14:textId="77777777" w:rsidR="00D847F1" w:rsidRDefault="00D847F1">
      <w:pPr>
        <w:pStyle w:val="Asubpara"/>
      </w:pPr>
      <w:r>
        <w:tab/>
        <w:t>(ii)</w:t>
      </w:r>
      <w:r>
        <w:tab/>
        <w:t>gambling l</w:t>
      </w:r>
      <w:r w:rsidR="00987026">
        <w:t>imits (if any) at the facility;</w:t>
      </w:r>
    </w:p>
    <w:p w14:paraId="5A4FDE99" w14:textId="77777777" w:rsidR="00D847F1" w:rsidRDefault="00D847F1">
      <w:pPr>
        <w:pStyle w:val="Asubpara"/>
      </w:pPr>
      <w:r>
        <w:tab/>
        <w:t>(iii)</w:t>
      </w:r>
      <w:r>
        <w:tab/>
        <w:t>the chan</w:t>
      </w:r>
      <w:r w:rsidR="00987026">
        <w:t>ces of winning major prizes;</w:t>
      </w:r>
    </w:p>
    <w:p w14:paraId="451B78A9" w14:textId="77777777" w:rsidR="00AF348D" w:rsidRPr="00A35BB6" w:rsidRDefault="00AF348D" w:rsidP="00AF348D">
      <w:pPr>
        <w:pStyle w:val="SchAsubpara"/>
        <w:rPr>
          <w:lang w:eastAsia="en-AU"/>
        </w:rPr>
      </w:pPr>
      <w:r w:rsidRPr="00A35BB6">
        <w:rPr>
          <w:lang w:eastAsia="en-AU"/>
        </w:rPr>
        <w:tab/>
        <w:t>(iv)</w:t>
      </w:r>
      <w:r w:rsidRPr="00A35BB6">
        <w:rPr>
          <w:lang w:eastAsia="en-AU"/>
        </w:rPr>
        <w:tab/>
        <w:t>the support services available to gamblers;</w:t>
      </w:r>
    </w:p>
    <w:p w14:paraId="49F0C682" w14:textId="77777777" w:rsidR="00AF348D" w:rsidRPr="00A35BB6" w:rsidRDefault="00AF348D" w:rsidP="00AF348D">
      <w:pPr>
        <w:pStyle w:val="SchAsubpara"/>
        <w:rPr>
          <w:lang w:eastAsia="en-AU"/>
        </w:rPr>
      </w:pPr>
      <w:r w:rsidRPr="00A35BB6">
        <w:rPr>
          <w:lang w:eastAsia="en-AU"/>
        </w:rPr>
        <w:tab/>
        <w:t>(v)</w:t>
      </w:r>
      <w:r w:rsidRPr="00A35BB6">
        <w:rPr>
          <w:lang w:eastAsia="en-AU"/>
        </w:rPr>
        <w:tab/>
        <w:t>the use of a deed of exclusion by a person who has a gambling problem, particularly—</w:t>
      </w:r>
    </w:p>
    <w:p w14:paraId="34FC3E45" w14:textId="77777777" w:rsidR="00AF348D" w:rsidRPr="00A35BB6" w:rsidRDefault="00AF348D" w:rsidP="00AF348D">
      <w:pPr>
        <w:pStyle w:val="SchAsubsubpara"/>
        <w:rPr>
          <w:lang w:eastAsia="en-AU"/>
        </w:rPr>
      </w:pPr>
      <w:r w:rsidRPr="00A35BB6">
        <w:rPr>
          <w:lang w:eastAsia="en-AU"/>
        </w:rPr>
        <w:tab/>
        <w:t>(A)</w:t>
      </w:r>
      <w:r w:rsidRPr="00A35BB6">
        <w:rPr>
          <w:lang w:eastAsia="en-AU"/>
        </w:rPr>
        <w:tab/>
        <w:t>the availability and effect of a deed; and</w:t>
      </w:r>
    </w:p>
    <w:p w14:paraId="4BEDBD20" w14:textId="77777777" w:rsidR="00AF348D" w:rsidRPr="00A35BB6" w:rsidRDefault="00AF348D" w:rsidP="00AF348D">
      <w:pPr>
        <w:pStyle w:val="SchAsubsubpara"/>
        <w:rPr>
          <w:lang w:eastAsia="en-AU"/>
        </w:rPr>
      </w:pPr>
      <w:r w:rsidRPr="00A35BB6">
        <w:rPr>
          <w:lang w:eastAsia="en-AU"/>
        </w:rPr>
        <w:tab/>
        <w:t>(B)</w:t>
      </w:r>
      <w:r w:rsidRPr="00A35BB6">
        <w:rPr>
          <w:lang w:eastAsia="en-AU"/>
        </w:rPr>
        <w:tab/>
        <w:t>the confidentiality of a deed; and</w:t>
      </w:r>
    </w:p>
    <w:p w14:paraId="7A7D4937" w14:textId="77777777" w:rsidR="00AF348D" w:rsidRPr="00A35BB6" w:rsidRDefault="00AF348D" w:rsidP="00AF348D">
      <w:pPr>
        <w:pStyle w:val="SchAsubsubpara"/>
        <w:rPr>
          <w:lang w:eastAsia="en-AU"/>
        </w:rPr>
      </w:pPr>
      <w:r w:rsidRPr="00A35BB6">
        <w:rPr>
          <w:lang w:eastAsia="en-AU"/>
        </w:rPr>
        <w:tab/>
        <w:t>(C)</w:t>
      </w:r>
      <w:r w:rsidRPr="00A35BB6">
        <w:rPr>
          <w:lang w:eastAsia="en-AU"/>
        </w:rPr>
        <w:tab/>
        <w:t>who may be given a copy of a deed;</w:t>
      </w:r>
    </w:p>
    <w:p w14:paraId="336EC5F5" w14:textId="77777777" w:rsidR="00AF348D" w:rsidRPr="00A35BB6" w:rsidRDefault="00AF348D" w:rsidP="00AF348D">
      <w:pPr>
        <w:pStyle w:val="SchAsubpara"/>
        <w:rPr>
          <w:lang w:eastAsia="en-AU"/>
        </w:rPr>
      </w:pPr>
      <w:r w:rsidRPr="00A35BB6">
        <w:rPr>
          <w:lang w:eastAsia="en-AU"/>
        </w:rPr>
        <w:tab/>
        <w:t>(vi)</w:t>
      </w:r>
      <w:r w:rsidRPr="00A35BB6">
        <w:rPr>
          <w:lang w:eastAsia="en-AU"/>
        </w:rPr>
        <w:tab/>
        <w:t>the use of a notice of exclusion by the licensee in relation to a person who has a gambling problem;</w:t>
      </w:r>
    </w:p>
    <w:p w14:paraId="3BAD0EF6" w14:textId="77777777" w:rsidR="00AF348D" w:rsidRPr="00A35BB6" w:rsidRDefault="00AF348D" w:rsidP="00AF348D">
      <w:pPr>
        <w:pStyle w:val="SchAsubpara"/>
        <w:rPr>
          <w:lang w:eastAsia="en-AU"/>
        </w:rPr>
      </w:pPr>
      <w:r w:rsidRPr="00A35BB6">
        <w:rPr>
          <w:lang w:eastAsia="en-AU"/>
        </w:rPr>
        <w:tab/>
        <w:t>(vii)</w:t>
      </w:r>
      <w:r w:rsidRPr="00A35BB6">
        <w:rPr>
          <w:lang w:eastAsia="en-AU"/>
        </w:rPr>
        <w:tab/>
        <w:t>the exclusion register; and</w:t>
      </w:r>
    </w:p>
    <w:p w14:paraId="7923CDBA" w14:textId="77777777" w:rsidR="00D847F1" w:rsidRDefault="00D847F1">
      <w:pPr>
        <w:pStyle w:val="Apara"/>
        <w:keepNext/>
      </w:pPr>
      <w:r>
        <w:tab/>
        <w:t>(b)</w:t>
      </w:r>
      <w:r>
        <w:tab/>
        <w:t>tells people where each of the following can be found at the gambling facility:</w:t>
      </w:r>
    </w:p>
    <w:p w14:paraId="6D985B05" w14:textId="77777777" w:rsidR="00D847F1" w:rsidRDefault="00D847F1">
      <w:pPr>
        <w:pStyle w:val="Asubpara"/>
      </w:pPr>
      <w:r>
        <w:tab/>
        <w:t>(i)</w:t>
      </w:r>
      <w:r>
        <w:tab/>
        <w:t xml:space="preserve">a copy of the rules for each kind of gambling offered by the licensee; </w:t>
      </w:r>
    </w:p>
    <w:p w14:paraId="08E8B1CD" w14:textId="77777777" w:rsidR="00D847F1" w:rsidRDefault="00D847F1">
      <w:pPr>
        <w:pStyle w:val="Asubpara"/>
      </w:pPr>
      <w:r>
        <w:tab/>
        <w:t>(ii)</w:t>
      </w:r>
      <w:r>
        <w:tab/>
        <w:t xml:space="preserve">information about programs for exclusion from gambling; </w:t>
      </w:r>
    </w:p>
    <w:p w14:paraId="61F9B700" w14:textId="77777777" w:rsidR="00D847F1" w:rsidRDefault="00D847F1">
      <w:pPr>
        <w:pStyle w:val="Asubpara"/>
      </w:pPr>
      <w:r>
        <w:lastRenderedPageBreak/>
        <w:tab/>
        <w:t>(iii)</w:t>
      </w:r>
      <w:r>
        <w:tab/>
        <w:t>a gambling contact officer for the facility;</w:t>
      </w:r>
    </w:p>
    <w:p w14:paraId="43EE5750" w14:textId="77777777" w:rsidR="00D847F1" w:rsidRDefault="00D847F1">
      <w:pPr>
        <w:pStyle w:val="Asubpara"/>
      </w:pPr>
      <w:r>
        <w:tab/>
        <w:t>(iv)</w:t>
      </w:r>
      <w:r>
        <w:tab/>
        <w:t xml:space="preserve">a copy of the </w:t>
      </w:r>
      <w:r>
        <w:rPr>
          <w:rStyle w:val="charItals"/>
        </w:rPr>
        <w:t>Gambling and Racing Control (Code of Practice) Regulation 2002</w:t>
      </w:r>
      <w:r>
        <w:t xml:space="preserve"> or this code of practice;</w:t>
      </w:r>
    </w:p>
    <w:p w14:paraId="29986983" w14:textId="77777777" w:rsidR="00D847F1" w:rsidRDefault="00D847F1">
      <w:pPr>
        <w:pStyle w:val="Asubpara"/>
      </w:pPr>
      <w:r>
        <w:tab/>
        <w:t>(v)</w:t>
      </w:r>
      <w:r>
        <w:tab/>
        <w:t>information about counselling services available in the ACT for prob</w:t>
      </w:r>
      <w:r w:rsidR="0063631C">
        <w:t>lem gamblers; and</w:t>
      </w:r>
    </w:p>
    <w:p w14:paraId="57148B13" w14:textId="77777777" w:rsidR="00EC0987" w:rsidRPr="00A35BB6" w:rsidRDefault="00EC0987" w:rsidP="00EC0987">
      <w:pPr>
        <w:pStyle w:val="Apara"/>
      </w:pPr>
      <w:r w:rsidRPr="00A35BB6">
        <w:tab/>
        <w:t>(c)</w:t>
      </w:r>
      <w:r w:rsidRPr="00A35BB6">
        <w:tab/>
        <w:t>for a gaming machine licensee—tells people that winnings from a gaming machine must be paid by cheque or electronic funds transfer if—</w:t>
      </w:r>
    </w:p>
    <w:p w14:paraId="4A28327E" w14:textId="77777777" w:rsidR="00EC0987" w:rsidRPr="00A35BB6" w:rsidRDefault="00EC0987" w:rsidP="00EC0987">
      <w:pPr>
        <w:pStyle w:val="Asubpara"/>
      </w:pPr>
      <w:r w:rsidRPr="00A35BB6">
        <w:tab/>
        <w:t>(i)</w:t>
      </w:r>
      <w:r w:rsidRPr="00A35BB6">
        <w:tab/>
        <w:t>the winnings are more than $300; and</w:t>
      </w:r>
    </w:p>
    <w:p w14:paraId="0325D668" w14:textId="77777777" w:rsidR="00EC0987" w:rsidRPr="00A35BB6" w:rsidRDefault="00EC0987" w:rsidP="00EC0987">
      <w:pPr>
        <w:pStyle w:val="Asubpara"/>
      </w:pPr>
      <w:r w:rsidRPr="00A35BB6">
        <w:tab/>
        <w:t>(ii)</w:t>
      </w:r>
      <w:r w:rsidRPr="00A35BB6">
        <w:tab/>
        <w:t>the patron has requested the winnings be paid by cheque or electronic funds transfer.</w:t>
      </w:r>
    </w:p>
    <w:p w14:paraId="5D9F03F5" w14:textId="77777777" w:rsidR="00D847F1" w:rsidRDefault="00D847F1">
      <w:pPr>
        <w:pStyle w:val="Amain"/>
      </w:pPr>
      <w:r>
        <w:tab/>
        <w:t>(4)</w:t>
      </w:r>
      <w:r>
        <w:tab/>
        <w:t xml:space="preserve">If asked for information about the availability of interpreter services to patrons at a gambling facility, the licensee for the facility must give the information. </w:t>
      </w:r>
    </w:p>
    <w:p w14:paraId="3867C658" w14:textId="77777777" w:rsidR="00D847F1" w:rsidRDefault="00D847F1">
      <w:pPr>
        <w:pStyle w:val="Amain"/>
      </w:pPr>
      <w:r>
        <w:tab/>
        <w:t>(5)</w:t>
      </w:r>
      <w:r>
        <w:tab/>
        <w:t>This section is subject to section 1.27 (Directions about information, clocks and lighting).</w:t>
      </w:r>
    </w:p>
    <w:p w14:paraId="0030DD83" w14:textId="77777777" w:rsidR="00D847F1" w:rsidRDefault="00D847F1">
      <w:pPr>
        <w:pStyle w:val="Schclauseheading"/>
      </w:pPr>
      <w:bookmarkStart w:id="102" w:name="_Toc155080757"/>
      <w:r w:rsidRPr="004D57A4">
        <w:rPr>
          <w:rStyle w:val="CharSectNo"/>
        </w:rPr>
        <w:t>1.26</w:t>
      </w:r>
      <w:r>
        <w:tab/>
        <w:t>Clocks and lighting</w:t>
      </w:r>
      <w:bookmarkEnd w:id="102"/>
    </w:p>
    <w:p w14:paraId="6DAE9F43" w14:textId="77777777" w:rsidR="00D847F1" w:rsidRDefault="00D847F1" w:rsidP="004031BA">
      <w:pPr>
        <w:pStyle w:val="Amain"/>
        <w:keepNext/>
      </w:pPr>
      <w:r>
        <w:tab/>
        <w:t>(1)</w:t>
      </w:r>
      <w:r>
        <w:tab/>
        <w:t>This section applies to—</w:t>
      </w:r>
    </w:p>
    <w:p w14:paraId="5F20C1C7" w14:textId="77777777" w:rsidR="00D847F1" w:rsidRDefault="00D847F1" w:rsidP="004031BA">
      <w:pPr>
        <w:pStyle w:val="Apara"/>
        <w:keepNext/>
      </w:pPr>
      <w:r>
        <w:tab/>
        <w:t>(a)</w:t>
      </w:r>
      <w:r>
        <w:tab/>
        <w:t>a casino licensee; and</w:t>
      </w:r>
    </w:p>
    <w:p w14:paraId="06B6E1DD" w14:textId="77777777" w:rsidR="00D847F1" w:rsidRDefault="00D847F1" w:rsidP="004031BA">
      <w:pPr>
        <w:pStyle w:val="Apara"/>
        <w:keepNext/>
      </w:pPr>
      <w:r>
        <w:tab/>
        <w:t>(b)</w:t>
      </w:r>
      <w:r>
        <w:tab/>
        <w:t>a gaming machine licensee.</w:t>
      </w:r>
    </w:p>
    <w:p w14:paraId="31038459" w14:textId="77777777" w:rsidR="00D847F1" w:rsidRDefault="00D847F1">
      <w:pPr>
        <w:pStyle w:val="Amain"/>
      </w:pPr>
      <w:r>
        <w:tab/>
        <w:t>(2)</w:t>
      </w:r>
      <w:r>
        <w:tab/>
        <w:t>The licensee of a gambling facility must prominently display the correct time in the facility.</w:t>
      </w:r>
    </w:p>
    <w:p w14:paraId="6EF9127C" w14:textId="77777777" w:rsidR="00D847F1" w:rsidRDefault="00D847F1">
      <w:pPr>
        <w:pStyle w:val="Amain"/>
      </w:pPr>
      <w:r>
        <w:tab/>
        <w:t>(3)</w:t>
      </w:r>
      <w:r>
        <w:tab/>
        <w:t>The licensee of a gambling facility must ensure that lighting in the facility is adequate to allow clocks and signs required to be displayed under this code of practice to be clearly visible to people in the facility.</w:t>
      </w:r>
    </w:p>
    <w:p w14:paraId="64471C2D" w14:textId="77777777" w:rsidR="00D847F1" w:rsidRDefault="00D847F1">
      <w:pPr>
        <w:pStyle w:val="Amain"/>
      </w:pPr>
      <w:r>
        <w:tab/>
        <w:t>(4)</w:t>
      </w:r>
      <w:r>
        <w:tab/>
        <w:t>This section is subject to section 1.27.</w:t>
      </w:r>
    </w:p>
    <w:p w14:paraId="1710D160" w14:textId="77777777" w:rsidR="00D847F1" w:rsidRDefault="00D847F1" w:rsidP="003E3DF8">
      <w:pPr>
        <w:pStyle w:val="Schclauseheading"/>
      </w:pPr>
      <w:bookmarkStart w:id="103" w:name="_Toc155080758"/>
      <w:r w:rsidRPr="004D57A4">
        <w:rPr>
          <w:rStyle w:val="CharSectNo"/>
        </w:rPr>
        <w:lastRenderedPageBreak/>
        <w:t>1.27</w:t>
      </w:r>
      <w:r>
        <w:tab/>
        <w:t>Directions about information, clocks and lighting</w:t>
      </w:r>
      <w:bookmarkEnd w:id="103"/>
    </w:p>
    <w:p w14:paraId="7B3D2058" w14:textId="77777777" w:rsidR="00D847F1" w:rsidRDefault="00D847F1" w:rsidP="003E3DF8">
      <w:pPr>
        <w:pStyle w:val="Amain"/>
        <w:keepNext/>
      </w:pPr>
      <w:r>
        <w:tab/>
        <w:t>(1)</w:t>
      </w:r>
      <w:r>
        <w:tab/>
        <w:t>The commission may give written directions to the licensee of a gambling facility to ensure compliance with section 1.25 (Availability of information) or section 1.26.</w:t>
      </w:r>
    </w:p>
    <w:p w14:paraId="730ED351" w14:textId="77777777" w:rsidR="00D847F1" w:rsidRDefault="00D847F1">
      <w:pPr>
        <w:pStyle w:val="Amain"/>
      </w:pPr>
      <w:r>
        <w:tab/>
        <w:t>(2)</w:t>
      </w:r>
      <w:r>
        <w:tab/>
        <w:t>If the commission gives a direction to the licensee, the licensee must comply with the direction.</w:t>
      </w:r>
    </w:p>
    <w:p w14:paraId="1ACDB44D" w14:textId="77777777" w:rsidR="00EC0987" w:rsidRPr="00A35BB6" w:rsidRDefault="00EC0987" w:rsidP="00EC0987">
      <w:pPr>
        <w:pStyle w:val="Schclauseheading"/>
      </w:pPr>
      <w:bookmarkStart w:id="104" w:name="_Toc155080759"/>
      <w:r w:rsidRPr="004D57A4">
        <w:rPr>
          <w:rStyle w:val="CharSectNo"/>
        </w:rPr>
        <w:t>1.27A</w:t>
      </w:r>
      <w:r w:rsidRPr="00A35BB6">
        <w:tab/>
        <w:t>Alcohol service prohibited while gambling</w:t>
      </w:r>
      <w:bookmarkEnd w:id="104"/>
    </w:p>
    <w:p w14:paraId="608ABAC6" w14:textId="77777777" w:rsidR="00EC0987" w:rsidRPr="00A35BB6" w:rsidRDefault="00EC0987" w:rsidP="00EC0987">
      <w:pPr>
        <w:pStyle w:val="Amainreturn"/>
        <w:keepNext/>
      </w:pPr>
      <w:r w:rsidRPr="00A35BB6">
        <w:t>A gaming machine licensee</w:t>
      </w:r>
      <w:r w:rsidRPr="00A35BB6">
        <w:rPr>
          <w:szCs w:val="24"/>
          <w:lang w:eastAsia="en-AU"/>
        </w:rPr>
        <w:t xml:space="preserve"> </w:t>
      </w:r>
      <w:r w:rsidRPr="00A35BB6">
        <w:t>must not serve alcohol to a patron of the facility while the patron is—</w:t>
      </w:r>
    </w:p>
    <w:p w14:paraId="452C1EBD" w14:textId="77777777" w:rsidR="00EC0987" w:rsidRPr="00A35BB6" w:rsidRDefault="00EC0987" w:rsidP="00EC0987">
      <w:pPr>
        <w:pStyle w:val="SchApara"/>
        <w:rPr>
          <w:lang w:eastAsia="en-AU"/>
        </w:rPr>
      </w:pPr>
      <w:r w:rsidRPr="00A35BB6">
        <w:tab/>
        <w:t>(a)</w:t>
      </w:r>
      <w:r w:rsidRPr="00A35BB6">
        <w:tab/>
      </w:r>
      <w:r w:rsidRPr="00A35BB6">
        <w:rPr>
          <w:szCs w:val="24"/>
          <w:lang w:eastAsia="en-AU"/>
        </w:rPr>
        <w:t>playing a gaming machine; or</w:t>
      </w:r>
    </w:p>
    <w:p w14:paraId="48A40636" w14:textId="77777777" w:rsidR="00EC0987" w:rsidRPr="00A35BB6" w:rsidRDefault="00EC0987" w:rsidP="00EC0987">
      <w:pPr>
        <w:pStyle w:val="SchApara"/>
      </w:pPr>
      <w:r w:rsidRPr="00A35BB6">
        <w:tab/>
        <w:t>(b)</w:t>
      </w:r>
      <w:r w:rsidRPr="00A35BB6">
        <w:tab/>
        <w:t>sitting at or standing by a gaming machine.</w:t>
      </w:r>
    </w:p>
    <w:p w14:paraId="578F1F61" w14:textId="77777777" w:rsidR="00E02D37" w:rsidRPr="00AE589E" w:rsidRDefault="00E02D37" w:rsidP="00E02D37">
      <w:pPr>
        <w:pStyle w:val="Schclauseheading"/>
      </w:pPr>
      <w:bookmarkStart w:id="105" w:name="_Toc155080760"/>
      <w:r w:rsidRPr="004D57A4">
        <w:rPr>
          <w:rStyle w:val="CharSectNo"/>
        </w:rPr>
        <w:t>1.27B</w:t>
      </w:r>
      <w:r w:rsidRPr="00AE589E">
        <w:tab/>
        <w:t>Operating times of gaming machines</w:t>
      </w:r>
      <w:bookmarkEnd w:id="105"/>
    </w:p>
    <w:p w14:paraId="28B3BD4F" w14:textId="77777777" w:rsidR="00E02D37" w:rsidRPr="00AE589E" w:rsidRDefault="00E02D37" w:rsidP="00E02D37">
      <w:pPr>
        <w:pStyle w:val="Amainreturn"/>
      </w:pPr>
      <w:r w:rsidRPr="00AE589E">
        <w:t>A gaming machine licensee must not operate a gaming machine between 4 am and 9 am.</w:t>
      </w:r>
    </w:p>
    <w:p w14:paraId="127236D9" w14:textId="77777777" w:rsidR="00D847F1" w:rsidRDefault="00D847F1">
      <w:pPr>
        <w:pStyle w:val="PageBreak"/>
      </w:pPr>
      <w:r>
        <w:br w:type="page"/>
      </w:r>
    </w:p>
    <w:p w14:paraId="42AEF0AF" w14:textId="77777777" w:rsidR="00D847F1" w:rsidRPr="004D57A4" w:rsidRDefault="00D847F1">
      <w:pPr>
        <w:pStyle w:val="Sched-Part"/>
      </w:pPr>
      <w:bookmarkStart w:id="106" w:name="_Toc155080761"/>
      <w:r w:rsidRPr="004D57A4">
        <w:rPr>
          <w:rStyle w:val="CharPartNo"/>
        </w:rPr>
        <w:lastRenderedPageBreak/>
        <w:t>Part 1.4</w:t>
      </w:r>
      <w:r>
        <w:tab/>
      </w:r>
      <w:r w:rsidRPr="004D57A4">
        <w:rPr>
          <w:rStyle w:val="CharPartText"/>
        </w:rPr>
        <w:t>Advertising, promotions and inducements</w:t>
      </w:r>
      <w:bookmarkEnd w:id="106"/>
    </w:p>
    <w:p w14:paraId="334B8E3D" w14:textId="77777777" w:rsidR="00142FA2" w:rsidRPr="004D57A4" w:rsidRDefault="00142FA2" w:rsidP="00142FA2">
      <w:pPr>
        <w:pStyle w:val="Sched-Form"/>
      </w:pPr>
      <w:bookmarkStart w:id="107" w:name="_Toc155080762"/>
      <w:r w:rsidRPr="004D57A4">
        <w:rPr>
          <w:rStyle w:val="CharDivNo"/>
        </w:rPr>
        <w:t>Division 1.4.1</w:t>
      </w:r>
      <w:r w:rsidRPr="003042FA">
        <w:tab/>
      </w:r>
      <w:r w:rsidRPr="004D57A4">
        <w:rPr>
          <w:rStyle w:val="CharDivText"/>
        </w:rPr>
        <w:t>Advertising requirements—general</w:t>
      </w:r>
      <w:bookmarkEnd w:id="107"/>
    </w:p>
    <w:p w14:paraId="4C5438D9" w14:textId="6D5BBEE3" w:rsidR="00D847F1" w:rsidRDefault="00D847F1">
      <w:pPr>
        <w:pStyle w:val="Schclauseheading"/>
      </w:pPr>
      <w:bookmarkStart w:id="108" w:name="_Toc155080763"/>
      <w:r w:rsidRPr="004D57A4">
        <w:rPr>
          <w:rStyle w:val="CharSectNo"/>
        </w:rPr>
        <w:t>1.28</w:t>
      </w:r>
      <w:r>
        <w:tab/>
        <w:t>Advertising</w:t>
      </w:r>
      <w:bookmarkEnd w:id="108"/>
    </w:p>
    <w:p w14:paraId="5615BD6A" w14:textId="77777777" w:rsidR="00D847F1" w:rsidRDefault="00D847F1">
      <w:pPr>
        <w:pStyle w:val="Amain"/>
      </w:pPr>
      <w:r>
        <w:tab/>
        <w:t>(1)</w:t>
      </w:r>
      <w:r>
        <w:tab/>
        <w:t>The licensee of a gambling facility must not publish advertising that—</w:t>
      </w:r>
    </w:p>
    <w:p w14:paraId="1B106A85" w14:textId="77777777" w:rsidR="00D847F1" w:rsidRDefault="00D847F1">
      <w:pPr>
        <w:pStyle w:val="Apara"/>
      </w:pPr>
      <w:r>
        <w:tab/>
        <w:t>(a)</w:t>
      </w:r>
      <w:r>
        <w:tab/>
        <w:t>encourages anyone to contravene a gaming law; or</w:t>
      </w:r>
    </w:p>
    <w:p w14:paraId="5FD33014" w14:textId="77777777" w:rsidR="00D847F1" w:rsidRDefault="00D847F1">
      <w:pPr>
        <w:pStyle w:val="Apara"/>
      </w:pPr>
      <w:r>
        <w:tab/>
        <w:t>(b)</w:t>
      </w:r>
      <w:r>
        <w:tab/>
        <w:t>shows people under 25 years old gambling; or</w:t>
      </w:r>
    </w:p>
    <w:p w14:paraId="43E85F35" w14:textId="77777777" w:rsidR="00D847F1" w:rsidRDefault="00D847F1">
      <w:pPr>
        <w:pStyle w:val="Apara"/>
      </w:pPr>
      <w:r>
        <w:tab/>
        <w:t>(c)</w:t>
      </w:r>
      <w:r>
        <w:tab/>
        <w:t>encourages people under 18 years old to gamble, or targets them; or</w:t>
      </w:r>
    </w:p>
    <w:p w14:paraId="44995C54" w14:textId="77777777" w:rsidR="00D847F1" w:rsidRDefault="00D847F1">
      <w:pPr>
        <w:pStyle w:val="Apara"/>
      </w:pPr>
      <w:r>
        <w:tab/>
        <w:t>(d)</w:t>
      </w:r>
      <w:r>
        <w:tab/>
        <w:t>is false or misleading, particularly about the chances of winning or the expected return to a gambler; or</w:t>
      </w:r>
    </w:p>
    <w:p w14:paraId="4A77E7D2" w14:textId="77777777" w:rsidR="00D847F1" w:rsidRDefault="00D847F1">
      <w:pPr>
        <w:pStyle w:val="Apara"/>
      </w:pPr>
      <w:r>
        <w:tab/>
        <w:t>(e)</w:t>
      </w:r>
      <w:r>
        <w:tab/>
        <w:t>suggests that gambling is a form of financial investment; or</w:t>
      </w:r>
    </w:p>
    <w:p w14:paraId="75052CF1" w14:textId="77777777" w:rsidR="00D847F1" w:rsidRDefault="00D847F1">
      <w:pPr>
        <w:pStyle w:val="Apara"/>
      </w:pPr>
      <w:r>
        <w:tab/>
        <w:t>(f)</w:t>
      </w:r>
      <w:r>
        <w:tab/>
        <w:t>suggests that skill can influence games that are games of chance; or</w:t>
      </w:r>
    </w:p>
    <w:p w14:paraId="629A0898" w14:textId="77777777" w:rsidR="00D847F1" w:rsidRDefault="00D847F1">
      <w:pPr>
        <w:pStyle w:val="Apara"/>
      </w:pPr>
      <w:r>
        <w:tab/>
        <w:t>(g)</w:t>
      </w:r>
      <w:r>
        <w:tab/>
        <w:t>shows or promotes the consumption of alcohol while gambling.</w:t>
      </w:r>
    </w:p>
    <w:p w14:paraId="4A48908D" w14:textId="77777777" w:rsidR="00D847F1" w:rsidRDefault="00D847F1">
      <w:pPr>
        <w:pStyle w:val="Amain"/>
      </w:pPr>
      <w:r>
        <w:tab/>
        <w:t>(2)</w:t>
      </w:r>
      <w:r>
        <w:tab/>
        <w:t>This section is subject to section 1.31 (Directions about advertising, promotions and inducements).</w:t>
      </w:r>
    </w:p>
    <w:p w14:paraId="5CDE4930" w14:textId="77777777" w:rsidR="00D847F1" w:rsidRDefault="00D847F1" w:rsidP="000271C8">
      <w:pPr>
        <w:pStyle w:val="Schclauseheading"/>
        <w:keepNext w:val="0"/>
      </w:pPr>
      <w:bookmarkStart w:id="109" w:name="_Toc155080764"/>
      <w:r w:rsidRPr="004D57A4">
        <w:rPr>
          <w:rStyle w:val="CharSectNo"/>
        </w:rPr>
        <w:t>1.29</w:t>
      </w:r>
      <w:r>
        <w:tab/>
        <w:t>Advertising requirements</w:t>
      </w:r>
      <w:bookmarkEnd w:id="109"/>
    </w:p>
    <w:p w14:paraId="56AA99B7" w14:textId="77777777" w:rsidR="00D847F1" w:rsidRDefault="00D847F1" w:rsidP="000271C8">
      <w:pPr>
        <w:pStyle w:val="Amain"/>
      </w:pPr>
      <w:r>
        <w:tab/>
        <w:t>(1)</w:t>
      </w:r>
      <w:r>
        <w:tab/>
        <w:t xml:space="preserve">This section does not apply to someone mentioned in section 1.1, definition of </w:t>
      </w:r>
      <w:r>
        <w:rPr>
          <w:rStyle w:val="charBoldItals"/>
        </w:rPr>
        <w:t>licensee</w:t>
      </w:r>
      <w:r>
        <w:t>, paragraph (f).</w:t>
      </w:r>
    </w:p>
    <w:p w14:paraId="69D7F52B" w14:textId="77777777" w:rsidR="00D847F1" w:rsidRDefault="00D847F1" w:rsidP="000271C8">
      <w:pPr>
        <w:pStyle w:val="Amain"/>
        <w:keepLines/>
      </w:pPr>
      <w:r>
        <w:tab/>
        <w:t>(2)</w:t>
      </w:r>
      <w:r>
        <w:tab/>
        <w:t>The licensee of a gambling facility must not publish gambling advertising in relation to the facility unless it contains, or is published near, the name and telephone number of an approved gambling counselling service in the ACT.</w:t>
      </w:r>
    </w:p>
    <w:p w14:paraId="1CE55DD9" w14:textId="72330E6C" w:rsidR="00D847F1" w:rsidRDefault="00D847F1">
      <w:pPr>
        <w:pStyle w:val="Amain"/>
      </w:pPr>
      <w:r>
        <w:lastRenderedPageBreak/>
        <w:tab/>
        <w:t>(3)</w:t>
      </w:r>
      <w:r>
        <w:tab/>
        <w:t>This section is subject to section 1.31 (Directions about advertising, promotions and inducements).</w:t>
      </w:r>
    </w:p>
    <w:p w14:paraId="6A36037C" w14:textId="77777777" w:rsidR="00CE31AD" w:rsidRPr="003042FA" w:rsidRDefault="00CE31AD" w:rsidP="00CE31AD">
      <w:pPr>
        <w:pStyle w:val="SchAmain"/>
      </w:pPr>
      <w:r w:rsidRPr="003042FA">
        <w:tab/>
        <w:t>(4)</w:t>
      </w:r>
      <w:r w:rsidRPr="003042FA">
        <w:tab/>
        <w:t>In this section:</w:t>
      </w:r>
    </w:p>
    <w:p w14:paraId="2BBD3328" w14:textId="1C76956B" w:rsidR="00CE31AD" w:rsidRDefault="00CE31AD" w:rsidP="00CE31AD">
      <w:pPr>
        <w:pStyle w:val="aDef"/>
      </w:pPr>
      <w:r w:rsidRPr="00CA67C6">
        <w:rPr>
          <w:rStyle w:val="charBoldItals"/>
        </w:rPr>
        <w:t>gambling advertising</w:t>
      </w:r>
      <w:r w:rsidRPr="003042FA">
        <w:t>—see section 1.29B.</w:t>
      </w:r>
    </w:p>
    <w:p w14:paraId="3A811637" w14:textId="77777777" w:rsidR="00CE31AD" w:rsidRPr="004D57A4" w:rsidRDefault="00CE31AD" w:rsidP="00CE31AD">
      <w:pPr>
        <w:pStyle w:val="Sched-Form"/>
      </w:pPr>
      <w:bookmarkStart w:id="110" w:name="_Toc155080765"/>
      <w:r w:rsidRPr="004D57A4">
        <w:rPr>
          <w:rStyle w:val="CharDivNo"/>
        </w:rPr>
        <w:t>Division 1.4.2</w:t>
      </w:r>
      <w:r w:rsidRPr="003042FA">
        <w:tab/>
      </w:r>
      <w:r w:rsidRPr="004D57A4">
        <w:rPr>
          <w:rStyle w:val="CharDivText"/>
        </w:rPr>
        <w:t>Advertising requirements—electronic licensees</w:t>
      </w:r>
      <w:bookmarkEnd w:id="110"/>
    </w:p>
    <w:p w14:paraId="053E13F3" w14:textId="77777777" w:rsidR="00CE31AD" w:rsidRPr="003042FA" w:rsidRDefault="00CE31AD" w:rsidP="00CE31AD">
      <w:pPr>
        <w:pStyle w:val="Schclauseheading"/>
      </w:pPr>
      <w:bookmarkStart w:id="111" w:name="_Toc155080766"/>
      <w:r w:rsidRPr="004D57A4">
        <w:rPr>
          <w:rStyle w:val="CharSectNo"/>
        </w:rPr>
        <w:t>1.29A</w:t>
      </w:r>
      <w:r w:rsidRPr="003042FA">
        <w:tab/>
        <w:t>Application—div 1.4.2</w:t>
      </w:r>
      <w:bookmarkEnd w:id="111"/>
    </w:p>
    <w:p w14:paraId="39900E32" w14:textId="77777777" w:rsidR="00CE31AD" w:rsidRPr="003042FA" w:rsidRDefault="00CE31AD" w:rsidP="00CE31AD">
      <w:pPr>
        <w:pStyle w:val="Amainreturn"/>
      </w:pPr>
      <w:r w:rsidRPr="003042FA">
        <w:t xml:space="preserve">This division applies </w:t>
      </w:r>
      <w:r w:rsidRPr="003042FA">
        <w:rPr>
          <w:shd w:val="clear" w:color="auto" w:fill="FFFFFF"/>
        </w:rPr>
        <w:t>to the following licensees</w:t>
      </w:r>
      <w:r w:rsidRPr="003042FA">
        <w:t>:</w:t>
      </w:r>
    </w:p>
    <w:p w14:paraId="667D617D" w14:textId="77777777" w:rsidR="00CE31AD" w:rsidRPr="003042FA" w:rsidRDefault="00CE31AD" w:rsidP="00CE31AD">
      <w:pPr>
        <w:pStyle w:val="SchApara"/>
      </w:pPr>
      <w:r w:rsidRPr="003042FA">
        <w:tab/>
        <w:t>(a)</w:t>
      </w:r>
      <w:r w:rsidRPr="003042FA">
        <w:tab/>
      </w:r>
      <w:r w:rsidRPr="003042FA">
        <w:rPr>
          <w:shd w:val="clear" w:color="auto" w:fill="FFFFFF"/>
        </w:rPr>
        <w:t xml:space="preserve">an </w:t>
      </w:r>
      <w:r w:rsidRPr="003042FA">
        <w:t>electronic</w:t>
      </w:r>
      <w:r w:rsidRPr="003042FA">
        <w:rPr>
          <w:shd w:val="clear" w:color="auto" w:fill="FFFFFF"/>
        </w:rPr>
        <w:t xml:space="preserve"> race bookmaking licensee;</w:t>
      </w:r>
    </w:p>
    <w:p w14:paraId="7311E3A1" w14:textId="77777777" w:rsidR="00CE31AD" w:rsidRPr="003042FA" w:rsidRDefault="00CE31AD" w:rsidP="00CE31AD">
      <w:pPr>
        <w:pStyle w:val="SchApara"/>
      </w:pPr>
      <w:r w:rsidRPr="003042FA">
        <w:tab/>
        <w:t>(b)</w:t>
      </w:r>
      <w:r w:rsidRPr="003042FA">
        <w:tab/>
      </w:r>
      <w:r w:rsidRPr="003042FA">
        <w:rPr>
          <w:shd w:val="clear" w:color="auto" w:fill="FFFFFF"/>
        </w:rPr>
        <w:t xml:space="preserve">an </w:t>
      </w:r>
      <w:r w:rsidRPr="003042FA">
        <w:t>electronic</w:t>
      </w:r>
      <w:r w:rsidRPr="003042FA">
        <w:rPr>
          <w:shd w:val="clear" w:color="auto" w:fill="FFFFFF"/>
        </w:rPr>
        <w:t xml:space="preserve"> sports bookmaking licensee;</w:t>
      </w:r>
    </w:p>
    <w:p w14:paraId="105694EC" w14:textId="77777777" w:rsidR="00CE31AD" w:rsidRPr="003042FA" w:rsidRDefault="00CE31AD" w:rsidP="00CE31AD">
      <w:pPr>
        <w:pStyle w:val="SchApara"/>
        <w:rPr>
          <w:shd w:val="clear" w:color="auto" w:fill="FFFFFF"/>
        </w:rPr>
      </w:pPr>
      <w:r w:rsidRPr="003042FA">
        <w:rPr>
          <w:shd w:val="clear" w:color="auto" w:fill="FFFFFF"/>
        </w:rPr>
        <w:tab/>
        <w:t>(c)</w:t>
      </w:r>
      <w:r w:rsidRPr="003042FA">
        <w:rPr>
          <w:shd w:val="clear" w:color="auto" w:fill="FFFFFF"/>
        </w:rPr>
        <w:tab/>
        <w:t xml:space="preserve">an </w:t>
      </w:r>
      <w:r w:rsidRPr="003042FA">
        <w:t>electronic</w:t>
      </w:r>
      <w:r w:rsidRPr="003042FA">
        <w:rPr>
          <w:shd w:val="clear" w:color="auto" w:fill="FFFFFF"/>
        </w:rPr>
        <w:t xml:space="preserve"> totalisator licensee.</w:t>
      </w:r>
    </w:p>
    <w:p w14:paraId="649BD7E8" w14:textId="77777777" w:rsidR="00CE31AD" w:rsidRPr="003042FA" w:rsidRDefault="00CE31AD" w:rsidP="00CE31AD">
      <w:pPr>
        <w:pStyle w:val="Schclauseheading"/>
        <w:rPr>
          <w:shd w:val="clear" w:color="auto" w:fill="FFFFFF"/>
        </w:rPr>
      </w:pPr>
      <w:bookmarkStart w:id="112" w:name="_Toc155080767"/>
      <w:r w:rsidRPr="004D57A4">
        <w:rPr>
          <w:rStyle w:val="CharSectNo"/>
        </w:rPr>
        <w:t>1.29B</w:t>
      </w:r>
      <w:r w:rsidRPr="003042FA">
        <w:tab/>
        <w:t>Definitions</w:t>
      </w:r>
      <w:r w:rsidRPr="003042FA">
        <w:rPr>
          <w:color w:val="000000"/>
          <w:shd w:val="clear" w:color="auto" w:fill="FFFFFF"/>
        </w:rPr>
        <w:t>—div 1.4.2</w:t>
      </w:r>
      <w:bookmarkEnd w:id="112"/>
    </w:p>
    <w:p w14:paraId="49B6C5A2" w14:textId="77777777" w:rsidR="00CE31AD" w:rsidRPr="003042FA" w:rsidRDefault="00CE31AD" w:rsidP="00CE31AD">
      <w:pPr>
        <w:pStyle w:val="Amainreturn"/>
      </w:pPr>
      <w:r w:rsidRPr="003042FA">
        <w:t>In this division:</w:t>
      </w:r>
    </w:p>
    <w:p w14:paraId="03C8B657" w14:textId="77777777" w:rsidR="00CE31AD" w:rsidRPr="003042FA" w:rsidRDefault="00CE31AD" w:rsidP="00CE31AD">
      <w:pPr>
        <w:pStyle w:val="aDef"/>
      </w:pPr>
      <w:r w:rsidRPr="00CA67C6">
        <w:rPr>
          <w:rStyle w:val="charBoldItals"/>
        </w:rPr>
        <w:t>app advertising</w:t>
      </w:r>
      <w:r w:rsidRPr="003042FA">
        <w:rPr>
          <w:bCs/>
          <w:iCs/>
        </w:rPr>
        <w:t xml:space="preserve"> means gambling advertising published or communicated on an app, including a smartphone or tablet app, but does not include—</w:t>
      </w:r>
    </w:p>
    <w:p w14:paraId="4607DCF4" w14:textId="77777777" w:rsidR="00CE31AD" w:rsidRPr="003042FA" w:rsidRDefault="00CE31AD" w:rsidP="00CE31AD">
      <w:pPr>
        <w:pStyle w:val="aDefpara"/>
      </w:pPr>
      <w:r w:rsidRPr="003042FA">
        <w:tab/>
        <w:t>(a)</w:t>
      </w:r>
      <w:r w:rsidRPr="003042FA">
        <w:tab/>
        <w:t>radio advertising; or</w:t>
      </w:r>
    </w:p>
    <w:p w14:paraId="36B46312" w14:textId="77777777" w:rsidR="00CE31AD" w:rsidRPr="003042FA" w:rsidRDefault="00CE31AD" w:rsidP="00CE31AD">
      <w:pPr>
        <w:pStyle w:val="aDefpara"/>
      </w:pPr>
      <w:r w:rsidRPr="003042FA">
        <w:tab/>
        <w:t>(b)</w:t>
      </w:r>
      <w:r w:rsidRPr="003042FA">
        <w:tab/>
        <w:t>television or video advertising.</w:t>
      </w:r>
    </w:p>
    <w:p w14:paraId="414968A1" w14:textId="77777777" w:rsidR="00CE31AD" w:rsidRPr="003042FA" w:rsidRDefault="00CE31AD" w:rsidP="00CE31AD">
      <w:pPr>
        <w:pStyle w:val="aDef"/>
      </w:pPr>
      <w:r w:rsidRPr="00CA67C6">
        <w:rPr>
          <w:rStyle w:val="charBoldItals"/>
        </w:rPr>
        <w:t>call to action</w:t>
      </w:r>
      <w:r w:rsidRPr="003042FA">
        <w:rPr>
          <w:bCs/>
          <w:iCs/>
        </w:rPr>
        <w:t>—see section 1.29D.</w:t>
      </w:r>
    </w:p>
    <w:p w14:paraId="383FC015" w14:textId="77777777" w:rsidR="00CE31AD" w:rsidRPr="003042FA" w:rsidRDefault="00CE31AD" w:rsidP="00CE31AD">
      <w:pPr>
        <w:pStyle w:val="aDef"/>
      </w:pPr>
      <w:r w:rsidRPr="00CA67C6">
        <w:rPr>
          <w:rStyle w:val="charBoldItals"/>
        </w:rPr>
        <w:t>digital advertising</w:t>
      </w:r>
      <w:r w:rsidRPr="003042FA">
        <w:rPr>
          <w:bCs/>
          <w:iCs/>
        </w:rPr>
        <w:t xml:space="preserve"> means visual or audiovisual gambling advertising published or communicated in a digital display or on a website, but does not include the following:</w:t>
      </w:r>
    </w:p>
    <w:p w14:paraId="00B8A612" w14:textId="77777777" w:rsidR="00CE31AD" w:rsidRPr="003042FA" w:rsidRDefault="00CE31AD" w:rsidP="00CE31AD">
      <w:pPr>
        <w:pStyle w:val="aDefpara"/>
      </w:pPr>
      <w:r w:rsidRPr="003042FA">
        <w:tab/>
        <w:t>(a)</w:t>
      </w:r>
      <w:r w:rsidRPr="003042FA">
        <w:tab/>
        <w:t>app advertising;</w:t>
      </w:r>
    </w:p>
    <w:p w14:paraId="46C7BC1B" w14:textId="77777777" w:rsidR="00CE31AD" w:rsidRPr="003042FA" w:rsidRDefault="00CE31AD" w:rsidP="00CE31AD">
      <w:pPr>
        <w:pStyle w:val="aDefpara"/>
      </w:pPr>
      <w:r w:rsidRPr="003042FA">
        <w:tab/>
        <w:t>(b)</w:t>
      </w:r>
      <w:r w:rsidRPr="003042FA">
        <w:tab/>
        <w:t>direct marketing;</w:t>
      </w:r>
    </w:p>
    <w:p w14:paraId="77884128" w14:textId="77777777" w:rsidR="00CE31AD" w:rsidRPr="003042FA" w:rsidRDefault="00CE31AD" w:rsidP="00CE31AD">
      <w:pPr>
        <w:pStyle w:val="aDefpara"/>
      </w:pPr>
      <w:r w:rsidRPr="003042FA">
        <w:tab/>
        <w:t>(c)</w:t>
      </w:r>
      <w:r w:rsidRPr="003042FA">
        <w:tab/>
        <w:t>radio advertising;</w:t>
      </w:r>
    </w:p>
    <w:p w14:paraId="41388FAC" w14:textId="77777777" w:rsidR="00CE31AD" w:rsidRPr="003042FA" w:rsidRDefault="00CE31AD" w:rsidP="00CE31AD">
      <w:pPr>
        <w:pStyle w:val="aDefpara"/>
      </w:pPr>
      <w:r w:rsidRPr="003042FA">
        <w:lastRenderedPageBreak/>
        <w:tab/>
        <w:t>(d)</w:t>
      </w:r>
      <w:r w:rsidRPr="003042FA">
        <w:tab/>
        <w:t>social media advertising;</w:t>
      </w:r>
    </w:p>
    <w:p w14:paraId="31EC81F1" w14:textId="77777777" w:rsidR="00CE31AD" w:rsidRPr="003042FA" w:rsidRDefault="00CE31AD" w:rsidP="00CE31AD">
      <w:pPr>
        <w:pStyle w:val="aDefpara"/>
      </w:pPr>
      <w:r w:rsidRPr="003042FA">
        <w:tab/>
        <w:t>(e)</w:t>
      </w:r>
      <w:r w:rsidRPr="003042FA">
        <w:tab/>
        <w:t>television or video advertising;</w:t>
      </w:r>
    </w:p>
    <w:p w14:paraId="5941C6D4" w14:textId="77777777" w:rsidR="00CE31AD" w:rsidRPr="003042FA" w:rsidRDefault="00CE31AD" w:rsidP="00CE31AD">
      <w:pPr>
        <w:pStyle w:val="aDefpara"/>
      </w:pPr>
      <w:r w:rsidRPr="003042FA">
        <w:tab/>
        <w:t>(f)</w:t>
      </w:r>
      <w:r w:rsidRPr="003042FA">
        <w:tab/>
        <w:t>website advertising.</w:t>
      </w:r>
    </w:p>
    <w:p w14:paraId="4B758968" w14:textId="77777777" w:rsidR="00CE31AD" w:rsidRPr="003042FA" w:rsidRDefault="00CE31AD" w:rsidP="00CE31AD">
      <w:pPr>
        <w:pStyle w:val="aDef"/>
      </w:pPr>
      <w:r w:rsidRPr="00CA67C6">
        <w:rPr>
          <w:rStyle w:val="charBoldItals"/>
        </w:rPr>
        <w:t>direct marketing</w:t>
      </w:r>
      <w:r w:rsidRPr="003042FA">
        <w:rPr>
          <w:bCs/>
          <w:iCs/>
        </w:rPr>
        <w:t xml:space="preserve"> includes any gambling advertising sent by the licensee, or by another person on behalf of the licensee, by telephone, SMS, email, app, post or other direct means.</w:t>
      </w:r>
    </w:p>
    <w:p w14:paraId="7725452D" w14:textId="77777777" w:rsidR="00CE31AD" w:rsidRPr="003042FA" w:rsidRDefault="00CE31AD" w:rsidP="00CE31AD">
      <w:pPr>
        <w:pStyle w:val="aDef"/>
      </w:pPr>
      <w:r w:rsidRPr="00CA67C6">
        <w:rPr>
          <w:rStyle w:val="charBoldItals"/>
        </w:rPr>
        <w:t>gambling advertising</w:t>
      </w:r>
      <w:r w:rsidRPr="003042FA">
        <w:rPr>
          <w:bCs/>
          <w:iCs/>
        </w:rPr>
        <w:t xml:space="preserve"> means any advertising that promotes, refers to, depicts or otherwise mentions a gambling product or activity.</w:t>
      </w:r>
    </w:p>
    <w:p w14:paraId="6BDBCCDA" w14:textId="77777777" w:rsidR="00CE31AD" w:rsidRPr="003042FA" w:rsidRDefault="00CE31AD" w:rsidP="00CE31AD">
      <w:pPr>
        <w:pStyle w:val="aDef"/>
      </w:pPr>
      <w:r w:rsidRPr="00CA67C6">
        <w:rPr>
          <w:rStyle w:val="charBoldItals"/>
        </w:rPr>
        <w:t>print advertising</w:t>
      </w:r>
      <w:r w:rsidRPr="003042FA">
        <w:t xml:space="preserve"> means gambling advertising published or communicated in print but does not include direct marketing.</w:t>
      </w:r>
    </w:p>
    <w:p w14:paraId="6A4EAA9F" w14:textId="77777777" w:rsidR="00CE31AD" w:rsidRPr="003042FA" w:rsidRDefault="00CE31AD" w:rsidP="00CE31AD">
      <w:pPr>
        <w:pStyle w:val="aDef"/>
      </w:pPr>
      <w:r w:rsidRPr="00CA67C6">
        <w:rPr>
          <w:rStyle w:val="charBoldItals"/>
        </w:rPr>
        <w:t>radio advertising</w:t>
      </w:r>
      <w:r w:rsidRPr="003042FA">
        <w:rPr>
          <w:bCs/>
          <w:iCs/>
        </w:rPr>
        <w:t xml:space="preserve"> means gambling advertising published or communicated by radio, including by—</w:t>
      </w:r>
    </w:p>
    <w:p w14:paraId="66F49776" w14:textId="77777777" w:rsidR="00CE31AD" w:rsidRPr="003042FA" w:rsidRDefault="00CE31AD" w:rsidP="00CE31AD">
      <w:pPr>
        <w:pStyle w:val="aDefpara"/>
      </w:pPr>
      <w:r w:rsidRPr="003042FA">
        <w:tab/>
        <w:t>(a)</w:t>
      </w:r>
      <w:r w:rsidRPr="003042FA">
        <w:tab/>
        <w:t>a podcast; or</w:t>
      </w:r>
    </w:p>
    <w:p w14:paraId="506373D1" w14:textId="77777777" w:rsidR="00CE31AD" w:rsidRPr="003042FA" w:rsidRDefault="00CE31AD" w:rsidP="00CE31AD">
      <w:pPr>
        <w:pStyle w:val="aDefpara"/>
      </w:pPr>
      <w:r w:rsidRPr="003042FA">
        <w:tab/>
        <w:t>(b)</w:t>
      </w:r>
      <w:r w:rsidRPr="003042FA">
        <w:tab/>
        <w:t>a digital radio on-demand or streaming service; or</w:t>
      </w:r>
    </w:p>
    <w:p w14:paraId="125EECA0" w14:textId="77777777" w:rsidR="00CE31AD" w:rsidRPr="003042FA" w:rsidRDefault="00CE31AD" w:rsidP="00CE31AD">
      <w:pPr>
        <w:pStyle w:val="aDefpara"/>
      </w:pPr>
      <w:r w:rsidRPr="003042FA">
        <w:tab/>
        <w:t>(c)</w:t>
      </w:r>
      <w:r w:rsidRPr="003042FA">
        <w:tab/>
        <w:t>a website, social media or app.</w:t>
      </w:r>
    </w:p>
    <w:p w14:paraId="5EA8657A" w14:textId="77777777" w:rsidR="00CE31AD" w:rsidRPr="003042FA" w:rsidRDefault="00CE31AD" w:rsidP="00CE31AD">
      <w:pPr>
        <w:pStyle w:val="aDef"/>
        <w:keepNext/>
      </w:pPr>
      <w:r w:rsidRPr="00CA67C6">
        <w:rPr>
          <w:rStyle w:val="charBoldItals"/>
        </w:rPr>
        <w:t>social media advertising</w:t>
      </w:r>
      <w:r w:rsidRPr="003042FA">
        <w:rPr>
          <w:bCs/>
          <w:iCs/>
        </w:rPr>
        <w:t>—</w:t>
      </w:r>
    </w:p>
    <w:p w14:paraId="7D49F1BA" w14:textId="77777777" w:rsidR="00CE31AD" w:rsidRPr="003042FA" w:rsidRDefault="00CE31AD" w:rsidP="00CE31AD">
      <w:pPr>
        <w:pStyle w:val="aDefpara"/>
      </w:pPr>
      <w:r w:rsidRPr="003042FA">
        <w:tab/>
        <w:t>(a)</w:t>
      </w:r>
      <w:r w:rsidRPr="003042FA">
        <w:tab/>
        <w:t>means gambling advertising published or communicated on social media by a licensee or another person on behalf of the licensee; and</w:t>
      </w:r>
    </w:p>
    <w:p w14:paraId="18CB68CE" w14:textId="77777777" w:rsidR="00CE31AD" w:rsidRPr="003042FA" w:rsidRDefault="00CE31AD" w:rsidP="00CE31AD">
      <w:pPr>
        <w:pStyle w:val="aDefpara"/>
      </w:pPr>
      <w:r w:rsidRPr="003042FA">
        <w:tab/>
        <w:t>(b)</w:t>
      </w:r>
      <w:r w:rsidRPr="003042FA">
        <w:tab/>
        <w:t>includes</w:t>
      </w:r>
      <w:r w:rsidRPr="003042FA">
        <w:rPr>
          <w:bCs/>
          <w:iCs/>
        </w:rPr>
        <w:t xml:space="preserve"> </w:t>
      </w:r>
      <w:r w:rsidRPr="003042FA">
        <w:t>direct marketing published or communicated using social media and sent by SMS, text message, or push notification.</w:t>
      </w:r>
    </w:p>
    <w:p w14:paraId="4E80609B" w14:textId="77777777" w:rsidR="00CE31AD" w:rsidRPr="003042FA" w:rsidRDefault="00CE31AD" w:rsidP="00CE31AD">
      <w:pPr>
        <w:pStyle w:val="aDef"/>
      </w:pPr>
      <w:r w:rsidRPr="00CA67C6">
        <w:rPr>
          <w:rStyle w:val="charBoldItals"/>
        </w:rPr>
        <w:t>tagline</w:t>
      </w:r>
      <w:r w:rsidRPr="003042FA">
        <w:rPr>
          <w:bCs/>
          <w:iCs/>
        </w:rPr>
        <w:t>—see section 1.29C.</w:t>
      </w:r>
    </w:p>
    <w:p w14:paraId="2E06F5DF" w14:textId="77777777" w:rsidR="00CE31AD" w:rsidRPr="003042FA" w:rsidRDefault="00CE31AD" w:rsidP="00CE31AD">
      <w:pPr>
        <w:pStyle w:val="aDef"/>
        <w:rPr>
          <w:shd w:val="clear" w:color="auto" w:fill="FFFFFF"/>
        </w:rPr>
      </w:pPr>
      <w:r w:rsidRPr="00CA67C6">
        <w:rPr>
          <w:rStyle w:val="charBoldItals"/>
        </w:rPr>
        <w:t>television</w:t>
      </w:r>
      <w:r w:rsidRPr="003042FA">
        <w:rPr>
          <w:shd w:val="clear" w:color="auto" w:fill="FFFFFF"/>
        </w:rPr>
        <w:t xml:space="preserve"> includes free</w:t>
      </w:r>
      <w:r w:rsidRPr="003042FA">
        <w:rPr>
          <w:shd w:val="clear" w:color="auto" w:fill="FFFFFF"/>
        </w:rPr>
        <w:noBreakHyphen/>
        <w:t>to</w:t>
      </w:r>
      <w:r w:rsidRPr="003042FA">
        <w:rPr>
          <w:shd w:val="clear" w:color="auto" w:fill="FFFFFF"/>
        </w:rPr>
        <w:noBreakHyphen/>
        <w:t>air television, subscription television and over-the-top television.</w:t>
      </w:r>
    </w:p>
    <w:p w14:paraId="5C134480" w14:textId="77777777" w:rsidR="00CE31AD" w:rsidRPr="003042FA" w:rsidRDefault="00CE31AD" w:rsidP="00CE31AD">
      <w:pPr>
        <w:pStyle w:val="aExamHdgss"/>
      </w:pPr>
      <w:r w:rsidRPr="003042FA">
        <w:t>Example</w:t>
      </w:r>
      <w:r w:rsidRPr="003042FA">
        <w:rPr>
          <w:color w:val="000000"/>
          <w:shd w:val="clear" w:color="auto" w:fill="FFFFFF"/>
        </w:rPr>
        <w:t>—over-the-top television</w:t>
      </w:r>
    </w:p>
    <w:p w14:paraId="6A37D031" w14:textId="77777777" w:rsidR="00CE31AD" w:rsidRPr="003042FA" w:rsidRDefault="00CE31AD" w:rsidP="00CE31AD">
      <w:pPr>
        <w:pStyle w:val="aExamss"/>
      </w:pPr>
      <w:r w:rsidRPr="003042FA">
        <w:t>a television streaming service</w:t>
      </w:r>
    </w:p>
    <w:p w14:paraId="7A3AE501" w14:textId="77777777" w:rsidR="00CE31AD" w:rsidRPr="003042FA" w:rsidRDefault="00CE31AD" w:rsidP="00CE31AD">
      <w:pPr>
        <w:pStyle w:val="aDef"/>
        <w:rPr>
          <w:shd w:val="clear" w:color="auto" w:fill="FFFFFF"/>
        </w:rPr>
      </w:pPr>
      <w:r w:rsidRPr="00CA67C6">
        <w:rPr>
          <w:rStyle w:val="charBoldItals"/>
        </w:rPr>
        <w:lastRenderedPageBreak/>
        <w:t>television or video advertising</w:t>
      </w:r>
      <w:r w:rsidRPr="003042FA">
        <w:rPr>
          <w:shd w:val="clear" w:color="auto" w:fill="FFFFFF"/>
        </w:rPr>
        <w:t xml:space="preserve"> means gambling advertising published or communicated by television, including by a website, social media or app.</w:t>
      </w:r>
    </w:p>
    <w:p w14:paraId="40704535" w14:textId="77777777" w:rsidR="00CE31AD" w:rsidRPr="003042FA" w:rsidRDefault="00CE31AD" w:rsidP="00CE31AD">
      <w:pPr>
        <w:pStyle w:val="aDef"/>
        <w:rPr>
          <w:shd w:val="clear" w:color="auto" w:fill="FFFFFF"/>
        </w:rPr>
      </w:pPr>
      <w:r w:rsidRPr="00CA67C6">
        <w:rPr>
          <w:rStyle w:val="charBoldItals"/>
        </w:rPr>
        <w:t>website advertising</w:t>
      </w:r>
      <w:r w:rsidRPr="003042FA">
        <w:rPr>
          <w:shd w:val="clear" w:color="auto" w:fill="FFFFFF"/>
        </w:rPr>
        <w:t xml:space="preserve"> means gambling advertising published or communicated on the website of a licensee, but does not include—</w:t>
      </w:r>
    </w:p>
    <w:p w14:paraId="2E1BE72F" w14:textId="77777777" w:rsidR="00CE31AD" w:rsidRPr="003042FA" w:rsidRDefault="00CE31AD" w:rsidP="00CE31AD">
      <w:pPr>
        <w:pStyle w:val="aDefpara"/>
        <w:rPr>
          <w:shd w:val="clear" w:color="auto" w:fill="FFFFFF"/>
        </w:rPr>
      </w:pPr>
      <w:r w:rsidRPr="003042FA">
        <w:rPr>
          <w:shd w:val="clear" w:color="auto" w:fill="FFFFFF"/>
        </w:rPr>
        <w:tab/>
        <w:t>(a)</w:t>
      </w:r>
      <w:r w:rsidRPr="003042FA">
        <w:rPr>
          <w:shd w:val="clear" w:color="auto" w:fill="FFFFFF"/>
        </w:rPr>
        <w:tab/>
        <w:t>radio advertising; or</w:t>
      </w:r>
    </w:p>
    <w:p w14:paraId="7F80C33F" w14:textId="77777777" w:rsidR="00CE31AD" w:rsidRPr="003042FA" w:rsidRDefault="00CE31AD" w:rsidP="00CE31AD">
      <w:pPr>
        <w:pStyle w:val="aDefpara"/>
        <w:rPr>
          <w:shd w:val="clear" w:color="auto" w:fill="FFFFFF"/>
        </w:rPr>
      </w:pPr>
      <w:r w:rsidRPr="003042FA">
        <w:rPr>
          <w:shd w:val="clear" w:color="auto" w:fill="FFFFFF"/>
        </w:rPr>
        <w:tab/>
        <w:t>(b)</w:t>
      </w:r>
      <w:r w:rsidRPr="003042FA">
        <w:rPr>
          <w:shd w:val="clear" w:color="auto" w:fill="FFFFFF"/>
        </w:rPr>
        <w:tab/>
        <w:t>television or video advertising.</w:t>
      </w:r>
    </w:p>
    <w:p w14:paraId="09CF4B8A" w14:textId="77777777" w:rsidR="00CE31AD" w:rsidRPr="003042FA" w:rsidRDefault="00CE31AD" w:rsidP="000271C8">
      <w:pPr>
        <w:pStyle w:val="Schclauseheading"/>
        <w:keepNext w:val="0"/>
        <w:rPr>
          <w:shd w:val="clear" w:color="auto" w:fill="FFFFFF"/>
        </w:rPr>
      </w:pPr>
      <w:bookmarkStart w:id="113" w:name="_Toc155080768"/>
      <w:r w:rsidRPr="004D57A4">
        <w:rPr>
          <w:rStyle w:val="CharSectNo"/>
        </w:rPr>
        <w:t>1.29C</w:t>
      </w:r>
      <w:r w:rsidRPr="003042FA">
        <w:tab/>
        <w:t xml:space="preserve">Meaning of </w:t>
      </w:r>
      <w:r w:rsidRPr="00CA67C6">
        <w:rPr>
          <w:rStyle w:val="charItals"/>
        </w:rPr>
        <w:t>tagline</w:t>
      </w:r>
      <w:r w:rsidRPr="003042FA">
        <w:t>—div 1.4.2</w:t>
      </w:r>
      <w:bookmarkEnd w:id="113"/>
    </w:p>
    <w:p w14:paraId="7091A627" w14:textId="77777777" w:rsidR="00CE31AD" w:rsidRPr="003042FA" w:rsidRDefault="00CE31AD" w:rsidP="000271C8">
      <w:pPr>
        <w:pStyle w:val="Amainreturn"/>
      </w:pPr>
      <w:r w:rsidRPr="003042FA">
        <w:t xml:space="preserve">For this division, each statement mentioned in an item in table 1.29C is a </w:t>
      </w:r>
      <w:r w:rsidRPr="00CA67C6">
        <w:rPr>
          <w:rStyle w:val="charBoldItals"/>
        </w:rPr>
        <w:t>tagline</w:t>
      </w:r>
      <w:r w:rsidRPr="003042FA">
        <w:t>.</w:t>
      </w:r>
    </w:p>
    <w:p w14:paraId="1EA008C7" w14:textId="77777777" w:rsidR="00CE31AD" w:rsidRPr="003042FA" w:rsidRDefault="00CE31AD" w:rsidP="000271C8">
      <w:pPr>
        <w:pStyle w:val="TableHd"/>
        <w:keepNext w:val="0"/>
        <w:spacing w:after="120"/>
      </w:pPr>
      <w:r w:rsidRPr="003042FA">
        <w:t>Table 1.29C</w:t>
      </w:r>
      <w:r w:rsidRPr="003042FA">
        <w:tab/>
        <w:t>Taglines</w:t>
      </w:r>
    </w:p>
    <w:tbl>
      <w:tblPr>
        <w:tblW w:w="7645" w:type="dxa"/>
        <w:tblLayout w:type="fixed"/>
        <w:tblCellMar>
          <w:left w:w="0" w:type="dxa"/>
          <w:right w:w="0" w:type="dxa"/>
        </w:tblCellMar>
        <w:tblLook w:val="04A0" w:firstRow="1" w:lastRow="0" w:firstColumn="1" w:lastColumn="0" w:noHBand="0" w:noVBand="1"/>
      </w:tblPr>
      <w:tblGrid>
        <w:gridCol w:w="1200"/>
        <w:gridCol w:w="6445"/>
      </w:tblGrid>
      <w:tr w:rsidR="00CE31AD" w:rsidRPr="003042FA" w14:paraId="2E25B690" w14:textId="77777777" w:rsidTr="00D25735">
        <w:trPr>
          <w:cantSplit/>
          <w:tblHeader/>
        </w:trPr>
        <w:tc>
          <w:tcPr>
            <w:tcW w:w="1200" w:type="dxa"/>
            <w:tcBorders>
              <w:top w:val="single" w:sz="8" w:space="0" w:color="C0C0C0"/>
              <w:left w:val="single" w:sz="8" w:space="0" w:color="C0C0C0"/>
              <w:bottom w:val="single" w:sz="8" w:space="0" w:color="auto"/>
              <w:right w:val="single" w:sz="8" w:space="0" w:color="C0C0C0"/>
            </w:tcBorders>
            <w:tcMar>
              <w:top w:w="0" w:type="dxa"/>
              <w:left w:w="108" w:type="dxa"/>
              <w:bottom w:w="0" w:type="dxa"/>
              <w:right w:w="108" w:type="dxa"/>
            </w:tcMar>
            <w:hideMark/>
          </w:tcPr>
          <w:p w14:paraId="7C7D6F44" w14:textId="77777777" w:rsidR="00CE31AD" w:rsidRPr="003042FA" w:rsidRDefault="00CE31AD" w:rsidP="000271C8">
            <w:pPr>
              <w:pStyle w:val="TableColHd"/>
              <w:keepNext w:val="0"/>
            </w:pPr>
            <w:r w:rsidRPr="003042FA">
              <w:t>column 1</w:t>
            </w:r>
          </w:p>
          <w:p w14:paraId="73226DA6" w14:textId="77777777" w:rsidR="00CE31AD" w:rsidRPr="003042FA" w:rsidRDefault="00CE31AD" w:rsidP="000271C8">
            <w:pPr>
              <w:pStyle w:val="TableColHd"/>
              <w:keepNext w:val="0"/>
            </w:pPr>
            <w:r w:rsidRPr="003042FA">
              <w:t>item</w:t>
            </w:r>
          </w:p>
        </w:tc>
        <w:tc>
          <w:tcPr>
            <w:tcW w:w="6445" w:type="dxa"/>
            <w:tcBorders>
              <w:top w:val="single" w:sz="8" w:space="0" w:color="C0C0C0"/>
              <w:left w:val="nil"/>
              <w:bottom w:val="single" w:sz="8" w:space="0" w:color="auto"/>
              <w:right w:val="single" w:sz="8" w:space="0" w:color="C0C0C0"/>
            </w:tcBorders>
            <w:tcMar>
              <w:top w:w="0" w:type="dxa"/>
              <w:left w:w="108" w:type="dxa"/>
              <w:bottom w:w="0" w:type="dxa"/>
              <w:right w:w="108" w:type="dxa"/>
            </w:tcMar>
            <w:hideMark/>
          </w:tcPr>
          <w:p w14:paraId="0AD57384" w14:textId="77777777" w:rsidR="00CE31AD" w:rsidRPr="003042FA" w:rsidRDefault="00CE31AD" w:rsidP="000271C8">
            <w:pPr>
              <w:pStyle w:val="TableColHd"/>
              <w:keepNext w:val="0"/>
            </w:pPr>
            <w:r w:rsidRPr="003042FA">
              <w:t>column 2</w:t>
            </w:r>
          </w:p>
          <w:p w14:paraId="39BD4C52" w14:textId="77777777" w:rsidR="00CE31AD" w:rsidRPr="003042FA" w:rsidRDefault="00CE31AD" w:rsidP="000271C8">
            <w:pPr>
              <w:pStyle w:val="TableColHd"/>
              <w:keepNext w:val="0"/>
            </w:pPr>
            <w:r w:rsidRPr="003042FA">
              <w:t>tagline</w:t>
            </w:r>
          </w:p>
        </w:tc>
      </w:tr>
      <w:tr w:rsidR="00CE31AD" w:rsidRPr="003042FA" w14:paraId="2940D936" w14:textId="77777777" w:rsidTr="00D25735">
        <w:trPr>
          <w:cantSplit/>
        </w:trPr>
        <w:tc>
          <w:tcPr>
            <w:tcW w:w="1200"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14:paraId="77D984CE" w14:textId="77777777" w:rsidR="00CE31AD" w:rsidRPr="003042FA" w:rsidRDefault="00CE31AD" w:rsidP="000271C8">
            <w:pPr>
              <w:pStyle w:val="TableText10"/>
            </w:pPr>
            <w:r w:rsidRPr="003042FA">
              <w:t>1</w:t>
            </w:r>
          </w:p>
        </w:tc>
        <w:tc>
          <w:tcPr>
            <w:tcW w:w="6445" w:type="dxa"/>
            <w:tcBorders>
              <w:top w:val="nil"/>
              <w:left w:val="nil"/>
              <w:bottom w:val="single" w:sz="8" w:space="0" w:color="C0C0C0"/>
              <w:right w:val="single" w:sz="8" w:space="0" w:color="C0C0C0"/>
            </w:tcBorders>
            <w:tcMar>
              <w:top w:w="0" w:type="dxa"/>
              <w:left w:w="108" w:type="dxa"/>
              <w:bottom w:w="0" w:type="dxa"/>
              <w:right w:w="108" w:type="dxa"/>
            </w:tcMar>
            <w:hideMark/>
          </w:tcPr>
          <w:p w14:paraId="6EC8D283" w14:textId="77777777" w:rsidR="00CE31AD" w:rsidRPr="003042FA" w:rsidRDefault="00CE31AD" w:rsidP="000271C8">
            <w:pPr>
              <w:pStyle w:val="TableText10"/>
            </w:pPr>
            <w:r w:rsidRPr="003042FA">
              <w:t>You win some. You lose more.</w:t>
            </w:r>
          </w:p>
        </w:tc>
      </w:tr>
      <w:tr w:rsidR="00CE31AD" w:rsidRPr="003042FA" w14:paraId="7552262B" w14:textId="77777777" w:rsidTr="00D25735">
        <w:trPr>
          <w:cantSplit/>
        </w:trPr>
        <w:tc>
          <w:tcPr>
            <w:tcW w:w="1200"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14:paraId="37D9BC91" w14:textId="77777777" w:rsidR="00CE31AD" w:rsidRPr="003042FA" w:rsidRDefault="00CE31AD" w:rsidP="000271C8">
            <w:pPr>
              <w:pStyle w:val="TableText10"/>
            </w:pPr>
            <w:r w:rsidRPr="003042FA">
              <w:t>2</w:t>
            </w:r>
          </w:p>
        </w:tc>
        <w:tc>
          <w:tcPr>
            <w:tcW w:w="6445" w:type="dxa"/>
            <w:tcBorders>
              <w:top w:val="nil"/>
              <w:left w:val="nil"/>
              <w:bottom w:val="single" w:sz="8" w:space="0" w:color="C0C0C0"/>
              <w:right w:val="single" w:sz="8" w:space="0" w:color="C0C0C0"/>
            </w:tcBorders>
            <w:tcMar>
              <w:top w:w="0" w:type="dxa"/>
              <w:left w:w="108" w:type="dxa"/>
              <w:bottom w:w="0" w:type="dxa"/>
              <w:right w:w="108" w:type="dxa"/>
            </w:tcMar>
            <w:hideMark/>
          </w:tcPr>
          <w:p w14:paraId="3723D93F" w14:textId="77777777" w:rsidR="00CE31AD" w:rsidRPr="003042FA" w:rsidRDefault="00CE31AD" w:rsidP="000271C8">
            <w:pPr>
              <w:pStyle w:val="TableText10"/>
            </w:pPr>
            <w:r w:rsidRPr="003042FA">
              <w:t>Chances are you’re about to lose.</w:t>
            </w:r>
          </w:p>
        </w:tc>
      </w:tr>
      <w:tr w:rsidR="00CE31AD" w:rsidRPr="003042FA" w14:paraId="43821BBF" w14:textId="77777777" w:rsidTr="00D25735">
        <w:trPr>
          <w:cantSplit/>
        </w:trPr>
        <w:tc>
          <w:tcPr>
            <w:tcW w:w="1200"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14:paraId="6B8F291E" w14:textId="77777777" w:rsidR="00CE31AD" w:rsidRPr="003042FA" w:rsidRDefault="00CE31AD" w:rsidP="000271C8">
            <w:pPr>
              <w:pStyle w:val="TableText10"/>
            </w:pPr>
            <w:r w:rsidRPr="003042FA">
              <w:t>3</w:t>
            </w:r>
          </w:p>
        </w:tc>
        <w:tc>
          <w:tcPr>
            <w:tcW w:w="6445" w:type="dxa"/>
            <w:tcBorders>
              <w:top w:val="nil"/>
              <w:left w:val="nil"/>
              <w:bottom w:val="single" w:sz="8" w:space="0" w:color="C0C0C0"/>
              <w:right w:val="single" w:sz="8" w:space="0" w:color="C0C0C0"/>
            </w:tcBorders>
            <w:tcMar>
              <w:top w:w="0" w:type="dxa"/>
              <w:left w:w="108" w:type="dxa"/>
              <w:bottom w:w="0" w:type="dxa"/>
              <w:right w:w="108" w:type="dxa"/>
            </w:tcMar>
            <w:hideMark/>
          </w:tcPr>
          <w:p w14:paraId="6E295A82" w14:textId="77777777" w:rsidR="00CE31AD" w:rsidRPr="003042FA" w:rsidRDefault="00CE31AD" w:rsidP="000271C8">
            <w:pPr>
              <w:pStyle w:val="TableText10"/>
            </w:pPr>
            <w:r w:rsidRPr="003042FA">
              <w:t>What’s gambling really costing you?</w:t>
            </w:r>
          </w:p>
        </w:tc>
      </w:tr>
      <w:tr w:rsidR="00CE31AD" w:rsidRPr="003042FA" w14:paraId="58CC88EF" w14:textId="77777777" w:rsidTr="00D25735">
        <w:trPr>
          <w:cantSplit/>
        </w:trPr>
        <w:tc>
          <w:tcPr>
            <w:tcW w:w="1200"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14:paraId="716F453A" w14:textId="77777777" w:rsidR="00CE31AD" w:rsidRPr="003042FA" w:rsidRDefault="00CE31AD" w:rsidP="000271C8">
            <w:pPr>
              <w:pStyle w:val="TableText10"/>
            </w:pPr>
            <w:r w:rsidRPr="003042FA">
              <w:t>4</w:t>
            </w:r>
          </w:p>
        </w:tc>
        <w:tc>
          <w:tcPr>
            <w:tcW w:w="6445" w:type="dxa"/>
            <w:tcBorders>
              <w:top w:val="nil"/>
              <w:left w:val="nil"/>
              <w:bottom w:val="single" w:sz="8" w:space="0" w:color="C0C0C0"/>
              <w:right w:val="single" w:sz="8" w:space="0" w:color="C0C0C0"/>
            </w:tcBorders>
            <w:tcMar>
              <w:top w:w="0" w:type="dxa"/>
              <w:left w:w="108" w:type="dxa"/>
              <w:bottom w:w="0" w:type="dxa"/>
              <w:right w:w="108" w:type="dxa"/>
            </w:tcMar>
            <w:hideMark/>
          </w:tcPr>
          <w:p w14:paraId="54BFAFEA" w14:textId="77777777" w:rsidR="00CE31AD" w:rsidRPr="003042FA" w:rsidRDefault="00CE31AD" w:rsidP="000271C8">
            <w:pPr>
              <w:pStyle w:val="TableText10"/>
            </w:pPr>
            <w:r w:rsidRPr="003042FA">
              <w:t>Imagine what you could be buying instead.</w:t>
            </w:r>
          </w:p>
        </w:tc>
      </w:tr>
      <w:tr w:rsidR="00CE31AD" w:rsidRPr="003042FA" w14:paraId="227696DA" w14:textId="77777777" w:rsidTr="00D25735">
        <w:trPr>
          <w:cantSplit/>
        </w:trPr>
        <w:tc>
          <w:tcPr>
            <w:tcW w:w="1200"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14:paraId="39AE2C5D" w14:textId="77777777" w:rsidR="00CE31AD" w:rsidRPr="003042FA" w:rsidRDefault="00CE31AD" w:rsidP="000271C8">
            <w:pPr>
              <w:pStyle w:val="TableText10"/>
            </w:pPr>
            <w:r w:rsidRPr="003042FA">
              <w:t>5</w:t>
            </w:r>
          </w:p>
        </w:tc>
        <w:tc>
          <w:tcPr>
            <w:tcW w:w="6445" w:type="dxa"/>
            <w:tcBorders>
              <w:top w:val="nil"/>
              <w:left w:val="nil"/>
              <w:bottom w:val="single" w:sz="8" w:space="0" w:color="C0C0C0"/>
              <w:right w:val="single" w:sz="8" w:space="0" w:color="C0C0C0"/>
            </w:tcBorders>
            <w:tcMar>
              <w:top w:w="0" w:type="dxa"/>
              <w:left w:w="108" w:type="dxa"/>
              <w:bottom w:w="0" w:type="dxa"/>
              <w:right w:w="108" w:type="dxa"/>
            </w:tcMar>
            <w:hideMark/>
          </w:tcPr>
          <w:p w14:paraId="69E8C912" w14:textId="77777777" w:rsidR="00CE31AD" w:rsidRPr="003042FA" w:rsidRDefault="00CE31AD" w:rsidP="000271C8">
            <w:pPr>
              <w:pStyle w:val="TableText10"/>
            </w:pPr>
            <w:r w:rsidRPr="003042FA">
              <w:t>What are you really gambling with?</w:t>
            </w:r>
          </w:p>
        </w:tc>
      </w:tr>
      <w:tr w:rsidR="00CE31AD" w:rsidRPr="003042FA" w14:paraId="73C7B94B" w14:textId="77777777" w:rsidTr="00D25735">
        <w:trPr>
          <w:cantSplit/>
        </w:trPr>
        <w:tc>
          <w:tcPr>
            <w:tcW w:w="1200"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14:paraId="3A85DE78" w14:textId="77777777" w:rsidR="00CE31AD" w:rsidRPr="003042FA" w:rsidRDefault="00CE31AD" w:rsidP="000271C8">
            <w:pPr>
              <w:pStyle w:val="TableText10"/>
            </w:pPr>
            <w:r w:rsidRPr="003042FA">
              <w:t>6</w:t>
            </w:r>
          </w:p>
        </w:tc>
        <w:tc>
          <w:tcPr>
            <w:tcW w:w="6445" w:type="dxa"/>
            <w:tcBorders>
              <w:top w:val="nil"/>
              <w:left w:val="nil"/>
              <w:bottom w:val="single" w:sz="8" w:space="0" w:color="C0C0C0"/>
              <w:right w:val="single" w:sz="8" w:space="0" w:color="C0C0C0"/>
            </w:tcBorders>
            <w:tcMar>
              <w:top w:w="0" w:type="dxa"/>
              <w:left w:w="108" w:type="dxa"/>
              <w:bottom w:w="0" w:type="dxa"/>
              <w:right w:w="108" w:type="dxa"/>
            </w:tcMar>
            <w:hideMark/>
          </w:tcPr>
          <w:p w14:paraId="3CB4810E" w14:textId="77777777" w:rsidR="00CE31AD" w:rsidRPr="003042FA" w:rsidRDefault="00CE31AD" w:rsidP="000271C8">
            <w:pPr>
              <w:pStyle w:val="TableText10"/>
            </w:pPr>
            <w:r w:rsidRPr="003042FA">
              <w:t>Think. Is this a bet you really want to place?</w:t>
            </w:r>
          </w:p>
        </w:tc>
      </w:tr>
      <w:tr w:rsidR="00CE31AD" w:rsidRPr="003042FA" w14:paraId="4BD5D5FE" w14:textId="77777777" w:rsidTr="00D25735">
        <w:trPr>
          <w:cantSplit/>
        </w:trPr>
        <w:tc>
          <w:tcPr>
            <w:tcW w:w="1200"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14:paraId="501C6FD3" w14:textId="77777777" w:rsidR="00CE31AD" w:rsidRPr="003042FA" w:rsidRDefault="00CE31AD" w:rsidP="000271C8">
            <w:pPr>
              <w:pStyle w:val="TableText10"/>
            </w:pPr>
            <w:r w:rsidRPr="003042FA">
              <w:t>7</w:t>
            </w:r>
          </w:p>
        </w:tc>
        <w:tc>
          <w:tcPr>
            <w:tcW w:w="6445" w:type="dxa"/>
            <w:tcBorders>
              <w:top w:val="nil"/>
              <w:left w:val="nil"/>
              <w:bottom w:val="single" w:sz="8" w:space="0" w:color="C0C0C0"/>
              <w:right w:val="single" w:sz="8" w:space="0" w:color="C0C0C0"/>
            </w:tcBorders>
            <w:tcMar>
              <w:top w:w="0" w:type="dxa"/>
              <w:left w:w="108" w:type="dxa"/>
              <w:bottom w:w="0" w:type="dxa"/>
              <w:right w:w="108" w:type="dxa"/>
            </w:tcMar>
            <w:hideMark/>
          </w:tcPr>
          <w:p w14:paraId="6DFADBF9" w14:textId="77777777" w:rsidR="00CE31AD" w:rsidRPr="003042FA" w:rsidRDefault="00CE31AD" w:rsidP="000271C8">
            <w:pPr>
              <w:pStyle w:val="TableText10"/>
            </w:pPr>
            <w:r w:rsidRPr="003042FA">
              <w:t>What are you prepared to lose today? Set a deposit limit.</w:t>
            </w:r>
          </w:p>
        </w:tc>
      </w:tr>
    </w:tbl>
    <w:p w14:paraId="657F58E6" w14:textId="77777777" w:rsidR="00CE31AD" w:rsidRPr="003042FA" w:rsidRDefault="00CE31AD" w:rsidP="000271C8">
      <w:pPr>
        <w:pStyle w:val="Schclauseheading"/>
      </w:pPr>
      <w:bookmarkStart w:id="114" w:name="_Toc155080769"/>
      <w:r w:rsidRPr="004D57A4">
        <w:rPr>
          <w:rStyle w:val="CharSectNo"/>
        </w:rPr>
        <w:lastRenderedPageBreak/>
        <w:t>1.29D</w:t>
      </w:r>
      <w:r w:rsidRPr="003042FA">
        <w:tab/>
        <w:t xml:space="preserve">Meaning of </w:t>
      </w:r>
      <w:r w:rsidRPr="00CA67C6">
        <w:rPr>
          <w:rStyle w:val="charItals"/>
        </w:rPr>
        <w:t>call to action</w:t>
      </w:r>
      <w:r w:rsidRPr="003042FA">
        <w:t>—div 1.4.2</w:t>
      </w:r>
      <w:bookmarkEnd w:id="114"/>
    </w:p>
    <w:p w14:paraId="61825169" w14:textId="77777777" w:rsidR="00CE31AD" w:rsidRPr="003042FA" w:rsidRDefault="00CE31AD" w:rsidP="000271C8">
      <w:pPr>
        <w:pStyle w:val="Amainreturn"/>
        <w:keepNext/>
      </w:pPr>
      <w:r w:rsidRPr="003042FA">
        <w:t xml:space="preserve">For this division, each statement mentioned in an item in table 1.29D is a </w:t>
      </w:r>
      <w:r w:rsidRPr="00CA67C6">
        <w:rPr>
          <w:rStyle w:val="charBoldItals"/>
        </w:rPr>
        <w:t>call to action</w:t>
      </w:r>
      <w:r w:rsidRPr="003042FA">
        <w:t>.</w:t>
      </w:r>
    </w:p>
    <w:p w14:paraId="5F7A0B86" w14:textId="77777777" w:rsidR="00CE31AD" w:rsidRPr="003042FA" w:rsidRDefault="00CE31AD" w:rsidP="00CE31AD">
      <w:pPr>
        <w:pStyle w:val="TableHd"/>
        <w:spacing w:after="120"/>
      </w:pPr>
      <w:r w:rsidRPr="003042FA">
        <w:t>Table 1.29D</w:t>
      </w:r>
      <w:r w:rsidRPr="003042FA">
        <w:tab/>
        <w:t>Calls to action</w:t>
      </w:r>
    </w:p>
    <w:tbl>
      <w:tblPr>
        <w:tblW w:w="7645" w:type="dxa"/>
        <w:tblCellMar>
          <w:left w:w="0" w:type="dxa"/>
          <w:right w:w="0" w:type="dxa"/>
        </w:tblCellMar>
        <w:tblLook w:val="04A0" w:firstRow="1" w:lastRow="0" w:firstColumn="1" w:lastColumn="0" w:noHBand="0" w:noVBand="1"/>
      </w:tblPr>
      <w:tblGrid>
        <w:gridCol w:w="1200"/>
        <w:gridCol w:w="6445"/>
      </w:tblGrid>
      <w:tr w:rsidR="00CE31AD" w:rsidRPr="003042FA" w14:paraId="1C5393A3" w14:textId="77777777" w:rsidTr="00D25735">
        <w:trPr>
          <w:cantSplit/>
          <w:tblHeader/>
        </w:trPr>
        <w:tc>
          <w:tcPr>
            <w:tcW w:w="1200" w:type="dxa"/>
            <w:tcBorders>
              <w:top w:val="single" w:sz="8" w:space="0" w:color="C0C0C0"/>
              <w:left w:val="single" w:sz="8" w:space="0" w:color="C0C0C0"/>
              <w:bottom w:val="single" w:sz="8" w:space="0" w:color="auto"/>
              <w:right w:val="single" w:sz="8" w:space="0" w:color="C0C0C0"/>
            </w:tcBorders>
            <w:tcMar>
              <w:top w:w="0" w:type="dxa"/>
              <w:left w:w="108" w:type="dxa"/>
              <w:bottom w:w="0" w:type="dxa"/>
              <w:right w:w="108" w:type="dxa"/>
            </w:tcMar>
            <w:hideMark/>
          </w:tcPr>
          <w:p w14:paraId="68190079" w14:textId="77777777" w:rsidR="00CE31AD" w:rsidRPr="003042FA" w:rsidRDefault="00CE31AD" w:rsidP="00D25735">
            <w:pPr>
              <w:pStyle w:val="TableColHd"/>
            </w:pPr>
            <w:r w:rsidRPr="003042FA">
              <w:t>column 1</w:t>
            </w:r>
          </w:p>
          <w:p w14:paraId="22341845" w14:textId="77777777" w:rsidR="00CE31AD" w:rsidRPr="003042FA" w:rsidRDefault="00CE31AD" w:rsidP="00D25735">
            <w:pPr>
              <w:pStyle w:val="TableColHd"/>
            </w:pPr>
            <w:r w:rsidRPr="003042FA">
              <w:t>item</w:t>
            </w:r>
          </w:p>
        </w:tc>
        <w:tc>
          <w:tcPr>
            <w:tcW w:w="6445" w:type="dxa"/>
            <w:tcBorders>
              <w:top w:val="single" w:sz="8" w:space="0" w:color="C0C0C0"/>
              <w:left w:val="nil"/>
              <w:bottom w:val="single" w:sz="8" w:space="0" w:color="auto"/>
              <w:right w:val="single" w:sz="8" w:space="0" w:color="C0C0C0"/>
            </w:tcBorders>
            <w:tcMar>
              <w:top w:w="0" w:type="dxa"/>
              <w:left w:w="108" w:type="dxa"/>
              <w:bottom w:w="0" w:type="dxa"/>
              <w:right w:w="108" w:type="dxa"/>
            </w:tcMar>
            <w:hideMark/>
          </w:tcPr>
          <w:p w14:paraId="4393E1A3" w14:textId="77777777" w:rsidR="00CE31AD" w:rsidRPr="003042FA" w:rsidRDefault="00CE31AD" w:rsidP="00D25735">
            <w:pPr>
              <w:pStyle w:val="TableColHd"/>
            </w:pPr>
            <w:r w:rsidRPr="003042FA">
              <w:t>column 2</w:t>
            </w:r>
          </w:p>
          <w:p w14:paraId="1B440A80" w14:textId="77777777" w:rsidR="00CE31AD" w:rsidRPr="003042FA" w:rsidRDefault="00CE31AD" w:rsidP="00D25735">
            <w:pPr>
              <w:pStyle w:val="TableColHd"/>
            </w:pPr>
            <w:r w:rsidRPr="003042FA">
              <w:t>call to action</w:t>
            </w:r>
          </w:p>
        </w:tc>
      </w:tr>
      <w:tr w:rsidR="00CE31AD" w:rsidRPr="003042FA" w14:paraId="534599DC" w14:textId="77777777" w:rsidTr="00D25735">
        <w:trPr>
          <w:cantSplit/>
        </w:trPr>
        <w:tc>
          <w:tcPr>
            <w:tcW w:w="1200"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14:paraId="4D53A476" w14:textId="77777777" w:rsidR="00CE31AD" w:rsidRPr="003042FA" w:rsidRDefault="00CE31AD" w:rsidP="00D25735">
            <w:pPr>
              <w:pStyle w:val="TableText10"/>
            </w:pPr>
            <w:r w:rsidRPr="003042FA">
              <w:t>1</w:t>
            </w:r>
          </w:p>
        </w:tc>
        <w:tc>
          <w:tcPr>
            <w:tcW w:w="6445" w:type="dxa"/>
            <w:tcBorders>
              <w:top w:val="nil"/>
              <w:left w:val="nil"/>
              <w:bottom w:val="single" w:sz="8" w:space="0" w:color="C0C0C0"/>
              <w:right w:val="single" w:sz="8" w:space="0" w:color="C0C0C0"/>
            </w:tcBorders>
            <w:tcMar>
              <w:top w:w="0" w:type="dxa"/>
              <w:left w:w="108" w:type="dxa"/>
              <w:bottom w:w="0" w:type="dxa"/>
              <w:right w:w="108" w:type="dxa"/>
            </w:tcMar>
            <w:hideMark/>
          </w:tcPr>
          <w:p w14:paraId="1CD93150" w14:textId="77777777" w:rsidR="00CE31AD" w:rsidRPr="003042FA" w:rsidRDefault="00CE31AD" w:rsidP="00D25735">
            <w:pPr>
              <w:pStyle w:val="TableText10"/>
            </w:pPr>
            <w:r w:rsidRPr="003042FA">
              <w:t>For free and confidential support visit gamblinghelponline.org.au</w:t>
            </w:r>
          </w:p>
        </w:tc>
      </w:tr>
      <w:tr w:rsidR="00CE31AD" w:rsidRPr="003042FA" w14:paraId="1008EBF2" w14:textId="77777777" w:rsidTr="00D25735">
        <w:trPr>
          <w:cantSplit/>
        </w:trPr>
        <w:tc>
          <w:tcPr>
            <w:tcW w:w="1200"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14:paraId="302C77EC" w14:textId="77777777" w:rsidR="00CE31AD" w:rsidRPr="003042FA" w:rsidRDefault="00CE31AD" w:rsidP="00D25735">
            <w:pPr>
              <w:pStyle w:val="TableText10"/>
            </w:pPr>
            <w:r w:rsidRPr="003042FA">
              <w:t>2</w:t>
            </w:r>
          </w:p>
        </w:tc>
        <w:tc>
          <w:tcPr>
            <w:tcW w:w="6445" w:type="dxa"/>
            <w:tcBorders>
              <w:top w:val="nil"/>
              <w:left w:val="nil"/>
              <w:bottom w:val="single" w:sz="8" w:space="0" w:color="C0C0C0"/>
              <w:right w:val="single" w:sz="8" w:space="0" w:color="C0C0C0"/>
            </w:tcBorders>
            <w:tcMar>
              <w:top w:w="0" w:type="dxa"/>
              <w:left w:w="108" w:type="dxa"/>
              <w:bottom w:w="0" w:type="dxa"/>
              <w:right w:w="108" w:type="dxa"/>
            </w:tcMar>
            <w:hideMark/>
          </w:tcPr>
          <w:p w14:paraId="35015AE6" w14:textId="77777777" w:rsidR="00CE31AD" w:rsidRPr="003042FA" w:rsidRDefault="00CE31AD" w:rsidP="00D25735">
            <w:pPr>
              <w:pStyle w:val="TableText10"/>
            </w:pPr>
            <w:r w:rsidRPr="003042FA">
              <w:t>For free and confidential support, call the number on the screen or visit the website.</w:t>
            </w:r>
          </w:p>
        </w:tc>
      </w:tr>
      <w:tr w:rsidR="00CE31AD" w:rsidRPr="003042FA" w14:paraId="30F2251C" w14:textId="77777777" w:rsidTr="00D25735">
        <w:trPr>
          <w:cantSplit/>
        </w:trPr>
        <w:tc>
          <w:tcPr>
            <w:tcW w:w="1200"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14:paraId="415053D8" w14:textId="77777777" w:rsidR="00CE31AD" w:rsidRPr="003042FA" w:rsidRDefault="00CE31AD" w:rsidP="00D25735">
            <w:pPr>
              <w:pStyle w:val="TableText10"/>
            </w:pPr>
            <w:r w:rsidRPr="003042FA">
              <w:t>3</w:t>
            </w:r>
          </w:p>
        </w:tc>
        <w:tc>
          <w:tcPr>
            <w:tcW w:w="6445" w:type="dxa"/>
            <w:tcBorders>
              <w:top w:val="nil"/>
              <w:left w:val="nil"/>
              <w:bottom w:val="single" w:sz="8" w:space="0" w:color="C0C0C0"/>
              <w:right w:val="single" w:sz="8" w:space="0" w:color="C0C0C0"/>
            </w:tcBorders>
            <w:tcMar>
              <w:top w:w="0" w:type="dxa"/>
              <w:left w:w="108" w:type="dxa"/>
              <w:bottom w:w="0" w:type="dxa"/>
              <w:right w:w="108" w:type="dxa"/>
            </w:tcMar>
            <w:hideMark/>
          </w:tcPr>
          <w:p w14:paraId="41AD5066" w14:textId="77777777" w:rsidR="00CE31AD" w:rsidRPr="003042FA" w:rsidRDefault="00CE31AD" w:rsidP="00D25735">
            <w:pPr>
              <w:pStyle w:val="TableText10"/>
            </w:pPr>
            <w:r w:rsidRPr="003042FA">
              <w:t>Set a deposit limit</w:t>
            </w:r>
          </w:p>
        </w:tc>
      </w:tr>
      <w:tr w:rsidR="00CE31AD" w:rsidRPr="003042FA" w14:paraId="52907CC3" w14:textId="77777777" w:rsidTr="00D25735">
        <w:trPr>
          <w:cantSplit/>
        </w:trPr>
        <w:tc>
          <w:tcPr>
            <w:tcW w:w="1200"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14:paraId="548664A9" w14:textId="77777777" w:rsidR="00CE31AD" w:rsidRPr="003042FA" w:rsidRDefault="00CE31AD" w:rsidP="00D25735">
            <w:pPr>
              <w:pStyle w:val="TableText10"/>
            </w:pPr>
            <w:r w:rsidRPr="003042FA">
              <w:t>4</w:t>
            </w:r>
          </w:p>
        </w:tc>
        <w:tc>
          <w:tcPr>
            <w:tcW w:w="6445" w:type="dxa"/>
            <w:tcBorders>
              <w:top w:val="nil"/>
              <w:left w:val="nil"/>
              <w:bottom w:val="single" w:sz="8" w:space="0" w:color="C0C0C0"/>
              <w:right w:val="single" w:sz="8" w:space="0" w:color="C0C0C0"/>
            </w:tcBorders>
            <w:tcMar>
              <w:top w:w="0" w:type="dxa"/>
              <w:left w:w="108" w:type="dxa"/>
              <w:bottom w:w="0" w:type="dxa"/>
              <w:right w:w="108" w:type="dxa"/>
            </w:tcMar>
            <w:hideMark/>
          </w:tcPr>
          <w:p w14:paraId="42D077CB" w14:textId="77777777" w:rsidR="00CE31AD" w:rsidRPr="003042FA" w:rsidRDefault="00CE31AD" w:rsidP="00D25735">
            <w:pPr>
              <w:pStyle w:val="TableText10"/>
            </w:pPr>
            <w:r w:rsidRPr="003042FA">
              <w:t>For free and confidential support call 1 800 858 858 or visit gamblinghelponline.org.au</w:t>
            </w:r>
          </w:p>
        </w:tc>
      </w:tr>
    </w:tbl>
    <w:p w14:paraId="0C0F32C3" w14:textId="77777777" w:rsidR="00CE31AD" w:rsidRPr="003042FA" w:rsidRDefault="00CE31AD" w:rsidP="000271C8">
      <w:pPr>
        <w:pStyle w:val="Schclauseheading"/>
      </w:pPr>
      <w:bookmarkStart w:id="115" w:name="_Toc155080770"/>
      <w:r w:rsidRPr="004D57A4">
        <w:rPr>
          <w:rStyle w:val="CharSectNo"/>
        </w:rPr>
        <w:lastRenderedPageBreak/>
        <w:t>1.29E</w:t>
      </w:r>
      <w:r w:rsidRPr="003042FA">
        <w:tab/>
        <w:t>Statements to be included in gambling advertising</w:t>
      </w:r>
      <w:bookmarkEnd w:id="115"/>
    </w:p>
    <w:p w14:paraId="3E1B2839" w14:textId="77777777" w:rsidR="00CE31AD" w:rsidRPr="003042FA" w:rsidRDefault="00CE31AD" w:rsidP="000271C8">
      <w:pPr>
        <w:pStyle w:val="Amainreturn"/>
        <w:keepNext/>
      </w:pPr>
      <w:r w:rsidRPr="003042FA">
        <w:t>A licensee must ensure that gambling advertising of a kind mentioned in column 2 of an item in table 1.29E includes—</w:t>
      </w:r>
    </w:p>
    <w:p w14:paraId="32E2F431" w14:textId="77777777" w:rsidR="00CE31AD" w:rsidRPr="003042FA" w:rsidRDefault="00CE31AD" w:rsidP="000271C8">
      <w:pPr>
        <w:pStyle w:val="SchApara"/>
        <w:keepNext/>
      </w:pPr>
      <w:r w:rsidRPr="003042FA">
        <w:tab/>
        <w:t>(a)</w:t>
      </w:r>
      <w:r w:rsidRPr="003042FA">
        <w:tab/>
        <w:t>a tagline mentioned in the item, column 3; and</w:t>
      </w:r>
    </w:p>
    <w:p w14:paraId="47BEBB57" w14:textId="77777777" w:rsidR="00CE31AD" w:rsidRPr="003042FA" w:rsidRDefault="00CE31AD" w:rsidP="000271C8">
      <w:pPr>
        <w:pStyle w:val="SchApara"/>
        <w:keepNext/>
      </w:pPr>
      <w:r w:rsidRPr="003042FA">
        <w:tab/>
        <w:t>(b)</w:t>
      </w:r>
      <w:r w:rsidRPr="003042FA">
        <w:tab/>
        <w:t>the call to action mentioned in the item, column 4.</w:t>
      </w:r>
    </w:p>
    <w:p w14:paraId="7B25D3A4" w14:textId="77777777" w:rsidR="00CE31AD" w:rsidRPr="003042FA" w:rsidRDefault="00CE31AD" w:rsidP="000271C8">
      <w:pPr>
        <w:pStyle w:val="TableHd"/>
        <w:spacing w:after="120"/>
      </w:pPr>
      <w:r w:rsidRPr="003042FA">
        <w:t>Table 1.29E</w:t>
      </w:r>
      <w:r w:rsidRPr="003042FA">
        <w:tab/>
        <w:t>Statements to be included in gambling advertising</w:t>
      </w:r>
    </w:p>
    <w:tbl>
      <w:tblPr>
        <w:tblW w:w="76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303"/>
        <w:gridCol w:w="1621"/>
        <w:gridCol w:w="1526"/>
      </w:tblGrid>
      <w:tr w:rsidR="00CE31AD" w:rsidRPr="003042FA" w14:paraId="55E0A7F2" w14:textId="77777777" w:rsidTr="00D25735">
        <w:trPr>
          <w:cantSplit/>
          <w:tblHeader/>
        </w:trPr>
        <w:tc>
          <w:tcPr>
            <w:tcW w:w="1200" w:type="dxa"/>
            <w:tcBorders>
              <w:bottom w:val="single" w:sz="4" w:space="0" w:color="auto"/>
            </w:tcBorders>
          </w:tcPr>
          <w:p w14:paraId="75352F04" w14:textId="77777777" w:rsidR="00CE31AD" w:rsidRPr="003042FA" w:rsidRDefault="00CE31AD" w:rsidP="000271C8">
            <w:pPr>
              <w:pStyle w:val="TableColHd"/>
            </w:pPr>
            <w:r w:rsidRPr="003042FA">
              <w:t>column 1</w:t>
            </w:r>
          </w:p>
          <w:p w14:paraId="145990C9" w14:textId="77777777" w:rsidR="00CE31AD" w:rsidRPr="003042FA" w:rsidRDefault="00CE31AD" w:rsidP="000271C8">
            <w:pPr>
              <w:pStyle w:val="TableColHd"/>
            </w:pPr>
            <w:r w:rsidRPr="003042FA">
              <w:t>item</w:t>
            </w:r>
          </w:p>
        </w:tc>
        <w:tc>
          <w:tcPr>
            <w:tcW w:w="3303" w:type="dxa"/>
            <w:tcBorders>
              <w:bottom w:val="single" w:sz="4" w:space="0" w:color="auto"/>
            </w:tcBorders>
          </w:tcPr>
          <w:p w14:paraId="4B142AE3" w14:textId="77777777" w:rsidR="00CE31AD" w:rsidRPr="003042FA" w:rsidRDefault="00CE31AD" w:rsidP="000271C8">
            <w:pPr>
              <w:pStyle w:val="TableColHd"/>
            </w:pPr>
            <w:r w:rsidRPr="003042FA">
              <w:t>column 2</w:t>
            </w:r>
          </w:p>
          <w:p w14:paraId="5FBE2553" w14:textId="77777777" w:rsidR="00CE31AD" w:rsidRPr="003042FA" w:rsidRDefault="00CE31AD" w:rsidP="000271C8">
            <w:pPr>
              <w:pStyle w:val="TableColHd"/>
            </w:pPr>
            <w:r w:rsidRPr="003042FA">
              <w:t>gambling advertising</w:t>
            </w:r>
          </w:p>
        </w:tc>
        <w:tc>
          <w:tcPr>
            <w:tcW w:w="1621" w:type="dxa"/>
            <w:tcBorders>
              <w:bottom w:val="single" w:sz="4" w:space="0" w:color="auto"/>
            </w:tcBorders>
          </w:tcPr>
          <w:p w14:paraId="1CAAB958" w14:textId="77777777" w:rsidR="00CE31AD" w:rsidRPr="003042FA" w:rsidRDefault="00CE31AD" w:rsidP="000271C8">
            <w:pPr>
              <w:pStyle w:val="TableColHd"/>
            </w:pPr>
            <w:r w:rsidRPr="003042FA">
              <w:t>column 3</w:t>
            </w:r>
          </w:p>
          <w:p w14:paraId="5C9536CA" w14:textId="77777777" w:rsidR="00CE31AD" w:rsidRPr="003042FA" w:rsidRDefault="00CE31AD" w:rsidP="000271C8">
            <w:pPr>
              <w:pStyle w:val="TableColHd"/>
            </w:pPr>
            <w:r w:rsidRPr="003042FA">
              <w:t>table 1.29C,</w:t>
            </w:r>
            <w:r w:rsidRPr="003042FA">
              <w:br/>
              <w:t>tagline item</w:t>
            </w:r>
          </w:p>
        </w:tc>
        <w:tc>
          <w:tcPr>
            <w:tcW w:w="1526" w:type="dxa"/>
            <w:tcBorders>
              <w:bottom w:val="single" w:sz="4" w:space="0" w:color="auto"/>
            </w:tcBorders>
          </w:tcPr>
          <w:p w14:paraId="6363CAB5" w14:textId="77777777" w:rsidR="00CE31AD" w:rsidRPr="003042FA" w:rsidRDefault="00CE31AD" w:rsidP="000271C8">
            <w:pPr>
              <w:pStyle w:val="TableColHd"/>
            </w:pPr>
            <w:r w:rsidRPr="003042FA">
              <w:t>column 4</w:t>
            </w:r>
          </w:p>
          <w:p w14:paraId="06646E1B" w14:textId="77777777" w:rsidR="00CE31AD" w:rsidRPr="003042FA" w:rsidRDefault="00CE31AD" w:rsidP="000271C8">
            <w:pPr>
              <w:pStyle w:val="TableColHd"/>
            </w:pPr>
            <w:r w:rsidRPr="003042FA">
              <w:t>table 1.29D,</w:t>
            </w:r>
            <w:r w:rsidRPr="003042FA">
              <w:br/>
              <w:t>call to action item</w:t>
            </w:r>
          </w:p>
        </w:tc>
      </w:tr>
      <w:tr w:rsidR="00CE31AD" w:rsidRPr="003042FA" w14:paraId="4D08E03D" w14:textId="77777777" w:rsidTr="00D25735">
        <w:trPr>
          <w:cantSplit/>
        </w:trPr>
        <w:tc>
          <w:tcPr>
            <w:tcW w:w="1200" w:type="dxa"/>
            <w:tcBorders>
              <w:bottom w:val="single" w:sz="4" w:space="0" w:color="D9D9D9" w:themeColor="background1" w:themeShade="D9"/>
            </w:tcBorders>
          </w:tcPr>
          <w:p w14:paraId="2697DA37" w14:textId="77777777" w:rsidR="00CE31AD" w:rsidRPr="003042FA" w:rsidRDefault="00CE31AD" w:rsidP="000271C8">
            <w:pPr>
              <w:pStyle w:val="TableText10"/>
              <w:keepNext/>
            </w:pPr>
            <w:r w:rsidRPr="003042FA">
              <w:t>1</w:t>
            </w:r>
          </w:p>
        </w:tc>
        <w:tc>
          <w:tcPr>
            <w:tcW w:w="3303" w:type="dxa"/>
            <w:tcBorders>
              <w:bottom w:val="single" w:sz="4" w:space="0" w:color="D9D9D9" w:themeColor="background1" w:themeShade="D9"/>
            </w:tcBorders>
          </w:tcPr>
          <w:p w14:paraId="2A9B27A7" w14:textId="77777777" w:rsidR="00CE31AD" w:rsidRPr="003042FA" w:rsidRDefault="00CE31AD" w:rsidP="000271C8">
            <w:pPr>
              <w:pStyle w:val="TableText10"/>
              <w:keepNext/>
            </w:pPr>
            <w:r w:rsidRPr="003042FA">
              <w:t>app advertising</w:t>
            </w:r>
          </w:p>
        </w:tc>
        <w:tc>
          <w:tcPr>
            <w:tcW w:w="1621" w:type="dxa"/>
            <w:tcBorders>
              <w:bottom w:val="single" w:sz="4" w:space="0" w:color="D9D9D9" w:themeColor="background1" w:themeShade="D9"/>
            </w:tcBorders>
          </w:tcPr>
          <w:p w14:paraId="1D4D09F0" w14:textId="77777777" w:rsidR="00CE31AD" w:rsidRPr="003042FA" w:rsidRDefault="00CE31AD" w:rsidP="000271C8">
            <w:pPr>
              <w:pStyle w:val="TableText10"/>
              <w:keepNext/>
            </w:pPr>
            <w:r w:rsidRPr="003042FA">
              <w:t>2, 3, 4, 5, 6, 7</w:t>
            </w:r>
          </w:p>
        </w:tc>
        <w:tc>
          <w:tcPr>
            <w:tcW w:w="1526" w:type="dxa"/>
            <w:tcBorders>
              <w:bottom w:val="single" w:sz="4" w:space="0" w:color="D9D9D9" w:themeColor="background1" w:themeShade="D9"/>
            </w:tcBorders>
          </w:tcPr>
          <w:p w14:paraId="2F82EE9E" w14:textId="77777777" w:rsidR="00CE31AD" w:rsidRPr="003042FA" w:rsidRDefault="00CE31AD" w:rsidP="000271C8">
            <w:pPr>
              <w:pStyle w:val="TableText10"/>
              <w:keepNext/>
            </w:pPr>
            <w:r w:rsidRPr="003042FA">
              <w:t>3</w:t>
            </w:r>
          </w:p>
        </w:tc>
      </w:tr>
      <w:tr w:rsidR="00CE31AD" w:rsidRPr="003042FA" w14:paraId="72860DAF" w14:textId="77777777" w:rsidTr="00D25735">
        <w:trPr>
          <w:cantSplit/>
        </w:trPr>
        <w:tc>
          <w:tcPr>
            <w:tcW w:w="12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88F70E1" w14:textId="77777777" w:rsidR="00CE31AD" w:rsidRPr="003042FA" w:rsidRDefault="00CE31AD" w:rsidP="000271C8">
            <w:pPr>
              <w:pStyle w:val="TableText10"/>
              <w:keepNext/>
            </w:pPr>
            <w:r w:rsidRPr="003042FA">
              <w:t>2</w:t>
            </w:r>
          </w:p>
        </w:tc>
        <w:tc>
          <w:tcPr>
            <w:tcW w:w="33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EA5714" w14:textId="77777777" w:rsidR="00CE31AD" w:rsidRPr="003042FA" w:rsidRDefault="00CE31AD" w:rsidP="000271C8">
            <w:pPr>
              <w:pStyle w:val="TableText10"/>
              <w:keepNext/>
            </w:pPr>
            <w:r w:rsidRPr="003042FA">
              <w:t>digital advertising</w:t>
            </w:r>
          </w:p>
        </w:tc>
        <w:tc>
          <w:tcPr>
            <w:tcW w:w="16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1B9751" w14:textId="77777777" w:rsidR="00CE31AD" w:rsidRPr="003042FA" w:rsidRDefault="00CE31AD" w:rsidP="000271C8">
            <w:pPr>
              <w:pStyle w:val="TableText10"/>
              <w:keepNext/>
            </w:pPr>
            <w:r w:rsidRPr="003042FA">
              <w:t>2, 3, 4, 5, 6, 7</w:t>
            </w:r>
          </w:p>
        </w:tc>
        <w:tc>
          <w:tcPr>
            <w:tcW w:w="15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8904B3" w14:textId="77777777" w:rsidR="00CE31AD" w:rsidRPr="003042FA" w:rsidRDefault="00CE31AD" w:rsidP="000271C8">
            <w:pPr>
              <w:pStyle w:val="TableText10"/>
              <w:keepNext/>
            </w:pPr>
            <w:r w:rsidRPr="003042FA">
              <w:t>3</w:t>
            </w:r>
          </w:p>
        </w:tc>
      </w:tr>
      <w:tr w:rsidR="00CE31AD" w:rsidRPr="003042FA" w14:paraId="38E522E3" w14:textId="77777777" w:rsidTr="00D25735">
        <w:trPr>
          <w:cantSplit/>
        </w:trPr>
        <w:tc>
          <w:tcPr>
            <w:tcW w:w="1200" w:type="dxa"/>
            <w:tcBorders>
              <w:top w:val="single" w:sz="4" w:space="0" w:color="D9D9D9" w:themeColor="background1" w:themeShade="D9"/>
            </w:tcBorders>
          </w:tcPr>
          <w:p w14:paraId="1BC7D76E" w14:textId="77777777" w:rsidR="00CE31AD" w:rsidRPr="003042FA" w:rsidRDefault="00CE31AD" w:rsidP="000271C8">
            <w:pPr>
              <w:pStyle w:val="TableText10"/>
              <w:keepNext/>
            </w:pPr>
            <w:r w:rsidRPr="003042FA">
              <w:t>3</w:t>
            </w:r>
          </w:p>
        </w:tc>
        <w:tc>
          <w:tcPr>
            <w:tcW w:w="3303" w:type="dxa"/>
            <w:tcBorders>
              <w:top w:val="single" w:sz="4" w:space="0" w:color="D9D9D9" w:themeColor="background1" w:themeShade="D9"/>
            </w:tcBorders>
          </w:tcPr>
          <w:p w14:paraId="5CA05D51" w14:textId="77777777" w:rsidR="00CE31AD" w:rsidRPr="003042FA" w:rsidRDefault="00CE31AD" w:rsidP="000271C8">
            <w:pPr>
              <w:pStyle w:val="TableText10"/>
              <w:keepNext/>
            </w:pPr>
            <w:r w:rsidRPr="003042FA">
              <w:t>print advertising</w:t>
            </w:r>
          </w:p>
        </w:tc>
        <w:tc>
          <w:tcPr>
            <w:tcW w:w="1621" w:type="dxa"/>
            <w:tcBorders>
              <w:top w:val="single" w:sz="4" w:space="0" w:color="D9D9D9" w:themeColor="background1" w:themeShade="D9"/>
            </w:tcBorders>
          </w:tcPr>
          <w:p w14:paraId="0F28DBC6" w14:textId="77777777" w:rsidR="00CE31AD" w:rsidRPr="003042FA" w:rsidRDefault="00CE31AD" w:rsidP="000271C8">
            <w:pPr>
              <w:pStyle w:val="TableText10"/>
              <w:keepNext/>
            </w:pPr>
            <w:r w:rsidRPr="003042FA">
              <w:t>2, 3, 4, 5, 6, 7</w:t>
            </w:r>
          </w:p>
        </w:tc>
        <w:tc>
          <w:tcPr>
            <w:tcW w:w="1526" w:type="dxa"/>
            <w:tcBorders>
              <w:top w:val="single" w:sz="4" w:space="0" w:color="D9D9D9" w:themeColor="background1" w:themeShade="D9"/>
            </w:tcBorders>
          </w:tcPr>
          <w:p w14:paraId="2D83EB43" w14:textId="77777777" w:rsidR="00CE31AD" w:rsidRPr="003042FA" w:rsidRDefault="00CE31AD" w:rsidP="000271C8">
            <w:pPr>
              <w:pStyle w:val="TableText10"/>
              <w:keepNext/>
            </w:pPr>
            <w:r w:rsidRPr="003042FA">
              <w:t>4</w:t>
            </w:r>
          </w:p>
        </w:tc>
      </w:tr>
      <w:tr w:rsidR="00CE31AD" w:rsidRPr="003042FA" w14:paraId="5A0A49EA" w14:textId="77777777" w:rsidTr="00D25735">
        <w:trPr>
          <w:cantSplit/>
        </w:trPr>
        <w:tc>
          <w:tcPr>
            <w:tcW w:w="1200" w:type="dxa"/>
          </w:tcPr>
          <w:p w14:paraId="4978251F" w14:textId="77777777" w:rsidR="00CE31AD" w:rsidRPr="003042FA" w:rsidRDefault="00CE31AD" w:rsidP="000271C8">
            <w:pPr>
              <w:pStyle w:val="TableText10"/>
              <w:keepNext/>
            </w:pPr>
            <w:r w:rsidRPr="003042FA">
              <w:t>4</w:t>
            </w:r>
          </w:p>
        </w:tc>
        <w:tc>
          <w:tcPr>
            <w:tcW w:w="3303" w:type="dxa"/>
          </w:tcPr>
          <w:p w14:paraId="2134FB1E" w14:textId="77777777" w:rsidR="00CE31AD" w:rsidRPr="003042FA" w:rsidRDefault="00CE31AD" w:rsidP="000271C8">
            <w:pPr>
              <w:pStyle w:val="TableText10"/>
              <w:keepNext/>
            </w:pPr>
            <w:r w:rsidRPr="003042FA">
              <w:t>radio advertising—15 seconds or less</w:t>
            </w:r>
          </w:p>
        </w:tc>
        <w:tc>
          <w:tcPr>
            <w:tcW w:w="1621" w:type="dxa"/>
          </w:tcPr>
          <w:p w14:paraId="0892741C" w14:textId="77777777" w:rsidR="00CE31AD" w:rsidRPr="003042FA" w:rsidRDefault="00CE31AD" w:rsidP="000271C8">
            <w:pPr>
              <w:pStyle w:val="TableText10"/>
              <w:keepNext/>
            </w:pPr>
            <w:r w:rsidRPr="003042FA">
              <w:t>1, 2, 3, 4, 5</w:t>
            </w:r>
          </w:p>
        </w:tc>
        <w:tc>
          <w:tcPr>
            <w:tcW w:w="1526" w:type="dxa"/>
          </w:tcPr>
          <w:p w14:paraId="757D1136" w14:textId="77777777" w:rsidR="00CE31AD" w:rsidRPr="003042FA" w:rsidRDefault="00CE31AD" w:rsidP="000271C8">
            <w:pPr>
              <w:pStyle w:val="TableText10"/>
              <w:keepNext/>
            </w:pPr>
            <w:r w:rsidRPr="003042FA">
              <w:t>not required</w:t>
            </w:r>
          </w:p>
        </w:tc>
      </w:tr>
      <w:tr w:rsidR="00CE31AD" w:rsidRPr="003042FA" w14:paraId="1DEE806E" w14:textId="77777777" w:rsidTr="00D25735">
        <w:trPr>
          <w:cantSplit/>
        </w:trPr>
        <w:tc>
          <w:tcPr>
            <w:tcW w:w="1200" w:type="dxa"/>
          </w:tcPr>
          <w:p w14:paraId="57C2753E" w14:textId="77777777" w:rsidR="00CE31AD" w:rsidRPr="003042FA" w:rsidRDefault="00CE31AD" w:rsidP="000271C8">
            <w:pPr>
              <w:pStyle w:val="TableText10"/>
              <w:keepNext/>
            </w:pPr>
            <w:r w:rsidRPr="003042FA">
              <w:t>5</w:t>
            </w:r>
          </w:p>
        </w:tc>
        <w:tc>
          <w:tcPr>
            <w:tcW w:w="3303" w:type="dxa"/>
          </w:tcPr>
          <w:p w14:paraId="5A18A031" w14:textId="77777777" w:rsidR="00CE31AD" w:rsidRPr="003042FA" w:rsidRDefault="00CE31AD" w:rsidP="000271C8">
            <w:pPr>
              <w:pStyle w:val="TableText10"/>
              <w:keepNext/>
            </w:pPr>
            <w:r w:rsidRPr="003042FA">
              <w:t>radio advertising—more than 15 seconds</w:t>
            </w:r>
          </w:p>
        </w:tc>
        <w:tc>
          <w:tcPr>
            <w:tcW w:w="1621" w:type="dxa"/>
          </w:tcPr>
          <w:p w14:paraId="7DC65B61" w14:textId="77777777" w:rsidR="00CE31AD" w:rsidRPr="003042FA" w:rsidRDefault="00CE31AD" w:rsidP="000271C8">
            <w:pPr>
              <w:pStyle w:val="TableText10"/>
              <w:keepNext/>
            </w:pPr>
            <w:r w:rsidRPr="003042FA">
              <w:t>1, 2, 3, 4, 5</w:t>
            </w:r>
          </w:p>
        </w:tc>
        <w:tc>
          <w:tcPr>
            <w:tcW w:w="1526" w:type="dxa"/>
          </w:tcPr>
          <w:p w14:paraId="3DAC8170" w14:textId="77777777" w:rsidR="00CE31AD" w:rsidRPr="003042FA" w:rsidRDefault="00CE31AD" w:rsidP="000271C8">
            <w:pPr>
              <w:pStyle w:val="TableText10"/>
              <w:keepNext/>
            </w:pPr>
            <w:r w:rsidRPr="003042FA">
              <w:t>4</w:t>
            </w:r>
          </w:p>
        </w:tc>
      </w:tr>
      <w:tr w:rsidR="00CE31AD" w:rsidRPr="003042FA" w14:paraId="125C4BDE" w14:textId="77777777" w:rsidTr="00D25735">
        <w:trPr>
          <w:cantSplit/>
        </w:trPr>
        <w:tc>
          <w:tcPr>
            <w:tcW w:w="1200" w:type="dxa"/>
          </w:tcPr>
          <w:p w14:paraId="61C1AE29" w14:textId="77777777" w:rsidR="00CE31AD" w:rsidRPr="003042FA" w:rsidRDefault="00CE31AD" w:rsidP="000271C8">
            <w:pPr>
              <w:pStyle w:val="TableText10"/>
              <w:keepNext/>
            </w:pPr>
            <w:r w:rsidRPr="003042FA">
              <w:t>6</w:t>
            </w:r>
          </w:p>
        </w:tc>
        <w:tc>
          <w:tcPr>
            <w:tcW w:w="3303" w:type="dxa"/>
          </w:tcPr>
          <w:p w14:paraId="5E434F8E" w14:textId="77777777" w:rsidR="00CE31AD" w:rsidRPr="003042FA" w:rsidRDefault="00CE31AD" w:rsidP="000271C8">
            <w:pPr>
              <w:pStyle w:val="TableText10"/>
              <w:keepNext/>
            </w:pPr>
            <w:r w:rsidRPr="003042FA">
              <w:t>social media advertising—160 written characters or less</w:t>
            </w:r>
          </w:p>
        </w:tc>
        <w:tc>
          <w:tcPr>
            <w:tcW w:w="1621" w:type="dxa"/>
          </w:tcPr>
          <w:p w14:paraId="574FF3AB" w14:textId="77777777" w:rsidR="00CE31AD" w:rsidRPr="003042FA" w:rsidRDefault="00CE31AD" w:rsidP="000271C8">
            <w:pPr>
              <w:pStyle w:val="TableText10"/>
              <w:keepNext/>
            </w:pPr>
            <w:r w:rsidRPr="003042FA">
              <w:t>2, 3, 4, 5, 6, 7</w:t>
            </w:r>
          </w:p>
        </w:tc>
        <w:tc>
          <w:tcPr>
            <w:tcW w:w="1526" w:type="dxa"/>
          </w:tcPr>
          <w:p w14:paraId="3143D558" w14:textId="77777777" w:rsidR="00CE31AD" w:rsidRPr="003042FA" w:rsidRDefault="00CE31AD" w:rsidP="000271C8">
            <w:pPr>
              <w:pStyle w:val="TableText10"/>
              <w:keepNext/>
            </w:pPr>
            <w:r w:rsidRPr="003042FA">
              <w:t>3</w:t>
            </w:r>
          </w:p>
        </w:tc>
      </w:tr>
      <w:tr w:rsidR="00CE31AD" w:rsidRPr="003042FA" w14:paraId="1612EA49" w14:textId="77777777" w:rsidTr="00D25735">
        <w:trPr>
          <w:cantSplit/>
        </w:trPr>
        <w:tc>
          <w:tcPr>
            <w:tcW w:w="1200" w:type="dxa"/>
          </w:tcPr>
          <w:p w14:paraId="79D72E48" w14:textId="77777777" w:rsidR="00CE31AD" w:rsidRPr="003042FA" w:rsidRDefault="00CE31AD" w:rsidP="000271C8">
            <w:pPr>
              <w:pStyle w:val="TableText10"/>
              <w:keepNext/>
            </w:pPr>
            <w:r w:rsidRPr="003042FA">
              <w:t>7</w:t>
            </w:r>
          </w:p>
        </w:tc>
        <w:tc>
          <w:tcPr>
            <w:tcW w:w="3303" w:type="dxa"/>
          </w:tcPr>
          <w:p w14:paraId="4F17678F" w14:textId="77777777" w:rsidR="00CE31AD" w:rsidRPr="003042FA" w:rsidRDefault="00CE31AD" w:rsidP="000271C8">
            <w:pPr>
              <w:pStyle w:val="TableText10"/>
              <w:keepNext/>
            </w:pPr>
            <w:r w:rsidRPr="003042FA">
              <w:t>social media advertising—more than 160 written characters</w:t>
            </w:r>
          </w:p>
        </w:tc>
        <w:tc>
          <w:tcPr>
            <w:tcW w:w="1621" w:type="dxa"/>
          </w:tcPr>
          <w:p w14:paraId="4FECA5E6" w14:textId="77777777" w:rsidR="00CE31AD" w:rsidRPr="003042FA" w:rsidRDefault="00CE31AD" w:rsidP="000271C8">
            <w:pPr>
              <w:pStyle w:val="TableText10"/>
              <w:keepNext/>
            </w:pPr>
            <w:r w:rsidRPr="003042FA">
              <w:t>2, 3, 4, 5, 6, 7</w:t>
            </w:r>
          </w:p>
        </w:tc>
        <w:tc>
          <w:tcPr>
            <w:tcW w:w="1526" w:type="dxa"/>
          </w:tcPr>
          <w:p w14:paraId="44A5574C" w14:textId="77777777" w:rsidR="00CE31AD" w:rsidRPr="003042FA" w:rsidRDefault="00CE31AD" w:rsidP="000271C8">
            <w:pPr>
              <w:pStyle w:val="TableText10"/>
              <w:keepNext/>
            </w:pPr>
            <w:r w:rsidRPr="003042FA">
              <w:t>4</w:t>
            </w:r>
          </w:p>
        </w:tc>
      </w:tr>
      <w:tr w:rsidR="00CE31AD" w:rsidRPr="003042FA" w14:paraId="32456918" w14:textId="77777777" w:rsidTr="00D25735">
        <w:trPr>
          <w:cantSplit/>
        </w:trPr>
        <w:tc>
          <w:tcPr>
            <w:tcW w:w="1200" w:type="dxa"/>
          </w:tcPr>
          <w:p w14:paraId="6EB2A6AB" w14:textId="77777777" w:rsidR="00CE31AD" w:rsidRPr="003042FA" w:rsidRDefault="00CE31AD" w:rsidP="000271C8">
            <w:pPr>
              <w:pStyle w:val="TableText10"/>
              <w:keepNext/>
            </w:pPr>
            <w:r w:rsidRPr="003042FA">
              <w:t>8</w:t>
            </w:r>
          </w:p>
        </w:tc>
        <w:tc>
          <w:tcPr>
            <w:tcW w:w="3303" w:type="dxa"/>
          </w:tcPr>
          <w:p w14:paraId="56B0D825" w14:textId="77777777" w:rsidR="00CE31AD" w:rsidRPr="003042FA" w:rsidRDefault="00CE31AD" w:rsidP="000271C8">
            <w:pPr>
              <w:pStyle w:val="TableText10"/>
              <w:keepNext/>
            </w:pPr>
            <w:r w:rsidRPr="003042FA">
              <w:t>television or video advertising—15 seconds or less</w:t>
            </w:r>
          </w:p>
        </w:tc>
        <w:tc>
          <w:tcPr>
            <w:tcW w:w="1621" w:type="dxa"/>
          </w:tcPr>
          <w:p w14:paraId="5960DE2E" w14:textId="77777777" w:rsidR="00CE31AD" w:rsidRPr="003042FA" w:rsidRDefault="00CE31AD" w:rsidP="000271C8">
            <w:pPr>
              <w:pStyle w:val="TableText10"/>
              <w:keepNext/>
            </w:pPr>
            <w:r w:rsidRPr="003042FA">
              <w:t>1, 2, 3, 4, 5</w:t>
            </w:r>
          </w:p>
        </w:tc>
        <w:tc>
          <w:tcPr>
            <w:tcW w:w="1526" w:type="dxa"/>
          </w:tcPr>
          <w:p w14:paraId="74386346" w14:textId="77777777" w:rsidR="00CE31AD" w:rsidRPr="003042FA" w:rsidRDefault="00CE31AD" w:rsidP="000271C8">
            <w:pPr>
              <w:pStyle w:val="TableText10"/>
              <w:keepNext/>
            </w:pPr>
            <w:r w:rsidRPr="003042FA">
              <w:t>4</w:t>
            </w:r>
          </w:p>
        </w:tc>
      </w:tr>
      <w:tr w:rsidR="00CE31AD" w:rsidRPr="003042FA" w14:paraId="4A8B5EA1" w14:textId="77777777" w:rsidTr="00D25735">
        <w:trPr>
          <w:cantSplit/>
        </w:trPr>
        <w:tc>
          <w:tcPr>
            <w:tcW w:w="1200" w:type="dxa"/>
            <w:tcBorders>
              <w:bottom w:val="single" w:sz="4" w:space="0" w:color="C0C0C0"/>
            </w:tcBorders>
          </w:tcPr>
          <w:p w14:paraId="2BDD9084" w14:textId="77777777" w:rsidR="00CE31AD" w:rsidRPr="003042FA" w:rsidRDefault="00CE31AD" w:rsidP="000271C8">
            <w:pPr>
              <w:pStyle w:val="TableText10"/>
              <w:keepNext/>
            </w:pPr>
            <w:r w:rsidRPr="003042FA">
              <w:t>9</w:t>
            </w:r>
          </w:p>
        </w:tc>
        <w:tc>
          <w:tcPr>
            <w:tcW w:w="3303" w:type="dxa"/>
            <w:tcBorders>
              <w:bottom w:val="single" w:sz="4" w:space="0" w:color="C0C0C0"/>
            </w:tcBorders>
          </w:tcPr>
          <w:p w14:paraId="6DFDE6C6" w14:textId="77777777" w:rsidR="00CE31AD" w:rsidRPr="003042FA" w:rsidRDefault="00CE31AD" w:rsidP="000271C8">
            <w:pPr>
              <w:pStyle w:val="TableText10"/>
              <w:keepNext/>
            </w:pPr>
            <w:r w:rsidRPr="003042FA">
              <w:t>television or video advertising—more than 15 seconds</w:t>
            </w:r>
          </w:p>
        </w:tc>
        <w:tc>
          <w:tcPr>
            <w:tcW w:w="1621" w:type="dxa"/>
            <w:tcBorders>
              <w:bottom w:val="single" w:sz="4" w:space="0" w:color="C0C0C0"/>
            </w:tcBorders>
          </w:tcPr>
          <w:p w14:paraId="408B3D6E" w14:textId="77777777" w:rsidR="00CE31AD" w:rsidRPr="003042FA" w:rsidRDefault="00CE31AD" w:rsidP="000271C8">
            <w:pPr>
              <w:pStyle w:val="TableText10"/>
              <w:keepNext/>
            </w:pPr>
            <w:r w:rsidRPr="003042FA">
              <w:t>1, 2, 3, 4, 5</w:t>
            </w:r>
          </w:p>
        </w:tc>
        <w:tc>
          <w:tcPr>
            <w:tcW w:w="1526" w:type="dxa"/>
            <w:tcBorders>
              <w:bottom w:val="single" w:sz="4" w:space="0" w:color="C0C0C0"/>
            </w:tcBorders>
          </w:tcPr>
          <w:p w14:paraId="38C07669" w14:textId="77777777" w:rsidR="00CE31AD" w:rsidRPr="003042FA" w:rsidRDefault="00CE31AD" w:rsidP="000271C8">
            <w:pPr>
              <w:pStyle w:val="TableText10"/>
              <w:keepNext/>
            </w:pPr>
            <w:r w:rsidRPr="003042FA">
              <w:t>2 in spoken form together with 4 in visual form</w:t>
            </w:r>
          </w:p>
        </w:tc>
      </w:tr>
      <w:tr w:rsidR="00CE31AD" w:rsidRPr="003042FA" w14:paraId="0113000C" w14:textId="77777777" w:rsidTr="00D25735">
        <w:trPr>
          <w:cantSplit/>
        </w:trPr>
        <w:tc>
          <w:tcPr>
            <w:tcW w:w="1200" w:type="dxa"/>
            <w:tcBorders>
              <w:bottom w:val="single" w:sz="4" w:space="0" w:color="C0C0C0"/>
              <w:right w:val="single" w:sz="4" w:space="0" w:color="C0C0C0"/>
            </w:tcBorders>
          </w:tcPr>
          <w:p w14:paraId="5FBA2113" w14:textId="77777777" w:rsidR="00CE31AD" w:rsidRPr="003042FA" w:rsidRDefault="00CE31AD" w:rsidP="000271C8">
            <w:pPr>
              <w:pStyle w:val="TableText10"/>
            </w:pPr>
            <w:r w:rsidRPr="003042FA">
              <w:t>10</w:t>
            </w:r>
          </w:p>
        </w:tc>
        <w:tc>
          <w:tcPr>
            <w:tcW w:w="3303" w:type="dxa"/>
            <w:tcBorders>
              <w:left w:val="single" w:sz="4" w:space="0" w:color="C0C0C0"/>
              <w:bottom w:val="single" w:sz="4" w:space="0" w:color="C0C0C0"/>
              <w:right w:val="single" w:sz="4" w:space="0" w:color="C0C0C0"/>
            </w:tcBorders>
          </w:tcPr>
          <w:p w14:paraId="0293C6E6" w14:textId="77777777" w:rsidR="00CE31AD" w:rsidRPr="003042FA" w:rsidRDefault="00CE31AD" w:rsidP="000271C8">
            <w:pPr>
              <w:pStyle w:val="TableText10"/>
            </w:pPr>
            <w:r w:rsidRPr="003042FA">
              <w:t>website advertising</w:t>
            </w:r>
          </w:p>
        </w:tc>
        <w:tc>
          <w:tcPr>
            <w:tcW w:w="1621" w:type="dxa"/>
            <w:tcBorders>
              <w:left w:val="single" w:sz="4" w:space="0" w:color="C0C0C0"/>
              <w:bottom w:val="single" w:sz="4" w:space="0" w:color="C0C0C0"/>
              <w:right w:val="single" w:sz="4" w:space="0" w:color="C0C0C0"/>
            </w:tcBorders>
          </w:tcPr>
          <w:p w14:paraId="7A4215BB" w14:textId="77777777" w:rsidR="00CE31AD" w:rsidRPr="003042FA" w:rsidRDefault="00CE31AD" w:rsidP="000271C8">
            <w:pPr>
              <w:pStyle w:val="TableText10"/>
            </w:pPr>
            <w:r w:rsidRPr="003042FA">
              <w:t>2, 3, 4, 5, 6, 7</w:t>
            </w:r>
          </w:p>
        </w:tc>
        <w:tc>
          <w:tcPr>
            <w:tcW w:w="1526" w:type="dxa"/>
            <w:tcBorders>
              <w:left w:val="single" w:sz="4" w:space="0" w:color="C0C0C0"/>
              <w:bottom w:val="single" w:sz="4" w:space="0" w:color="C0C0C0"/>
            </w:tcBorders>
          </w:tcPr>
          <w:p w14:paraId="54489F45" w14:textId="77777777" w:rsidR="00CE31AD" w:rsidRPr="003042FA" w:rsidRDefault="00CE31AD" w:rsidP="000271C8">
            <w:pPr>
              <w:pStyle w:val="TableText10"/>
            </w:pPr>
            <w:r w:rsidRPr="003042FA">
              <w:t>3</w:t>
            </w:r>
          </w:p>
        </w:tc>
      </w:tr>
    </w:tbl>
    <w:p w14:paraId="50F58800" w14:textId="77777777" w:rsidR="00CE31AD" w:rsidRPr="003042FA" w:rsidRDefault="00CE31AD" w:rsidP="000271C8">
      <w:pPr>
        <w:pStyle w:val="Schclauseheading"/>
      </w:pPr>
      <w:bookmarkStart w:id="116" w:name="_Toc155080771"/>
      <w:r w:rsidRPr="004D57A4">
        <w:rPr>
          <w:rStyle w:val="CharSectNo"/>
        </w:rPr>
        <w:lastRenderedPageBreak/>
        <w:t>1.29F</w:t>
      </w:r>
      <w:r w:rsidRPr="003042FA">
        <w:tab/>
        <w:t>Additional requirements about taglines and calls to action</w:t>
      </w:r>
      <w:bookmarkEnd w:id="116"/>
    </w:p>
    <w:p w14:paraId="766F5851" w14:textId="77777777" w:rsidR="00CE31AD" w:rsidRPr="003042FA" w:rsidRDefault="00CE31AD" w:rsidP="00CE31AD">
      <w:pPr>
        <w:pStyle w:val="SchAmain"/>
      </w:pPr>
      <w:r w:rsidRPr="003042FA">
        <w:tab/>
        <w:t>(1)</w:t>
      </w:r>
      <w:r w:rsidRPr="003042FA">
        <w:tab/>
        <w:t xml:space="preserve">A licensee must ensure that a tagline or call to action in spoken form is clearly intelligible to a person listening to the tagline or call to action. </w:t>
      </w:r>
    </w:p>
    <w:p w14:paraId="289C0B72" w14:textId="77777777" w:rsidR="00CE31AD" w:rsidRPr="003042FA" w:rsidRDefault="00CE31AD" w:rsidP="00CE31AD">
      <w:pPr>
        <w:pStyle w:val="SchAmain"/>
      </w:pPr>
      <w:r w:rsidRPr="003042FA">
        <w:tab/>
        <w:t>(2)</w:t>
      </w:r>
      <w:r w:rsidRPr="003042FA">
        <w:tab/>
        <w:t xml:space="preserve">A licensee must ensure that a tagline or call to action that is in visual form is displayed in font that is of a type and size that is clearly legible to a person reading the tagline or call to action </w:t>
      </w:r>
      <w:r w:rsidRPr="003042FA">
        <w:rPr>
          <w:shd w:val="clear" w:color="auto" w:fill="FFFFFF"/>
        </w:rPr>
        <w:t>at the distance at which the gambling advertising is intended to be viewed</w:t>
      </w:r>
      <w:r w:rsidRPr="003042FA">
        <w:t>.</w:t>
      </w:r>
    </w:p>
    <w:p w14:paraId="056FDD2C" w14:textId="77777777" w:rsidR="00CE31AD" w:rsidRPr="003042FA" w:rsidRDefault="00CE31AD" w:rsidP="00CE31AD">
      <w:pPr>
        <w:pStyle w:val="SchAmain"/>
      </w:pPr>
      <w:r w:rsidRPr="003042FA">
        <w:tab/>
        <w:t>(3)</w:t>
      </w:r>
      <w:r w:rsidRPr="003042FA">
        <w:tab/>
        <w:t>A licensee must take reasonable steps to ensure that each tagline that can be used for a kind of gambling advertising is used approximately equally over a 12-month period.</w:t>
      </w:r>
    </w:p>
    <w:p w14:paraId="2F84A2C6" w14:textId="77777777" w:rsidR="00CE31AD" w:rsidRPr="003042FA" w:rsidRDefault="00CE31AD" w:rsidP="00CE31AD">
      <w:pPr>
        <w:pStyle w:val="SchAmain"/>
        <w:rPr>
          <w:sz w:val="22"/>
        </w:rPr>
      </w:pPr>
      <w:r w:rsidRPr="003042FA">
        <w:tab/>
        <w:t>(4)</w:t>
      </w:r>
      <w:r w:rsidRPr="003042FA">
        <w:tab/>
        <w:t>The following must be published or communicated only in spoken form:</w:t>
      </w:r>
    </w:p>
    <w:p w14:paraId="0E654BD7" w14:textId="77777777" w:rsidR="00CE31AD" w:rsidRPr="003042FA" w:rsidRDefault="00CE31AD" w:rsidP="00CE31AD">
      <w:pPr>
        <w:pStyle w:val="SchApara"/>
      </w:pPr>
      <w:r w:rsidRPr="003042FA">
        <w:tab/>
        <w:t>(a)</w:t>
      </w:r>
      <w:r w:rsidRPr="003042FA">
        <w:tab/>
        <w:t>a tagline mentioned in table 1.29C, item 1 (</w:t>
      </w:r>
      <w:r w:rsidRPr="00CA67C6">
        <w:rPr>
          <w:rStyle w:val="charBoldItals"/>
        </w:rPr>
        <w:t>tagline 1</w:t>
      </w:r>
      <w:r w:rsidRPr="003042FA">
        <w:t>);</w:t>
      </w:r>
    </w:p>
    <w:p w14:paraId="5F1B3CA3" w14:textId="77777777" w:rsidR="00CE31AD" w:rsidRPr="003042FA" w:rsidRDefault="00CE31AD" w:rsidP="00CE31AD">
      <w:pPr>
        <w:pStyle w:val="SchApara"/>
      </w:pPr>
      <w:r w:rsidRPr="003042FA">
        <w:tab/>
        <w:t>(b)</w:t>
      </w:r>
      <w:r w:rsidRPr="003042FA">
        <w:tab/>
        <w:t>a call to action mentioned in table 1.29D, item 1 or 2.</w:t>
      </w:r>
    </w:p>
    <w:p w14:paraId="32F228A2" w14:textId="77777777" w:rsidR="00CE31AD" w:rsidRPr="003042FA" w:rsidRDefault="00CE31AD" w:rsidP="00CE31AD">
      <w:pPr>
        <w:pStyle w:val="SchAmain"/>
      </w:pPr>
      <w:r w:rsidRPr="003042FA">
        <w:tab/>
        <w:t>(5)</w:t>
      </w:r>
      <w:r w:rsidRPr="003042FA">
        <w:tab/>
        <w:t>However, if tagline 1 is published or communicated as part of a television or video advertisement, it must be published or communicated in visual and spoken form at the same time.</w:t>
      </w:r>
    </w:p>
    <w:p w14:paraId="0F0DAC84" w14:textId="77777777" w:rsidR="00CE31AD" w:rsidRPr="003042FA" w:rsidRDefault="00CE31AD" w:rsidP="00CE31AD">
      <w:pPr>
        <w:pStyle w:val="SchAmain"/>
      </w:pPr>
      <w:r w:rsidRPr="003042FA">
        <w:tab/>
        <w:t>(6)</w:t>
      </w:r>
      <w:r w:rsidRPr="003042FA">
        <w:tab/>
        <w:t>If the content of the call to action is included in the tagline, it is not necessary to repeat the content of the call to action.</w:t>
      </w:r>
    </w:p>
    <w:p w14:paraId="1A9FF961" w14:textId="77777777" w:rsidR="00CE31AD" w:rsidRPr="003042FA" w:rsidRDefault="00CE31AD" w:rsidP="00CE31AD">
      <w:pPr>
        <w:pStyle w:val="Schclauseheading"/>
      </w:pPr>
      <w:bookmarkStart w:id="117" w:name="_Toc155080772"/>
      <w:r w:rsidRPr="004D57A4">
        <w:rPr>
          <w:rStyle w:val="CharSectNo"/>
        </w:rPr>
        <w:lastRenderedPageBreak/>
        <w:t>1.29G</w:t>
      </w:r>
      <w:r w:rsidRPr="003042FA">
        <w:tab/>
        <w:t xml:space="preserve">Electronic licensee </w:t>
      </w:r>
      <w:r w:rsidRPr="003042FA">
        <w:rPr>
          <w:color w:val="000000"/>
          <w:shd w:val="clear" w:color="auto" w:fill="FFFFFF"/>
        </w:rPr>
        <w:t>must keep gambling advertising records</w:t>
      </w:r>
      <w:bookmarkEnd w:id="117"/>
    </w:p>
    <w:p w14:paraId="062EC546" w14:textId="77777777" w:rsidR="00CE31AD" w:rsidRPr="003042FA" w:rsidRDefault="00CE31AD" w:rsidP="00CE31AD">
      <w:pPr>
        <w:pStyle w:val="Amainreturn"/>
        <w:keepNext/>
      </w:pPr>
      <w:r w:rsidRPr="003042FA">
        <w:t>A licensee must keep a copy of gambling advertising published or communicated by or for the licensee for at least 12 months after the day the advertising was last published or communicated.</w:t>
      </w:r>
    </w:p>
    <w:p w14:paraId="4B52C966" w14:textId="77777777" w:rsidR="00CE31AD" w:rsidRPr="003042FA" w:rsidRDefault="00CE31AD" w:rsidP="00CE31AD">
      <w:pPr>
        <w:pStyle w:val="aExamHdgss"/>
        <w:keepLines/>
      </w:pPr>
      <w:r w:rsidRPr="003042FA">
        <w:t>Example</w:t>
      </w:r>
    </w:p>
    <w:p w14:paraId="0C4EE72A" w14:textId="402195F5" w:rsidR="00CE31AD" w:rsidRDefault="00CE31AD" w:rsidP="00CE31AD">
      <w:pPr>
        <w:pStyle w:val="aExamss"/>
        <w:keepNext/>
        <w:keepLines/>
      </w:pPr>
      <w:r w:rsidRPr="003042FA">
        <w:t>A licensee runs an advertising campaign commencing on 1 January 2024. The campaign consists of 1 television advertisement and 1 radio advertisement. The television advertisement is broadcast for the last time on 1 March 2024 and the radio advertisement is broadcast for the last time on 1 April 2024. The licensee must keep a copy of the television advertisement until 28 February 2025 and a copy of the radio advertisement until 31 March 2025.</w:t>
      </w:r>
    </w:p>
    <w:p w14:paraId="6382A015" w14:textId="6D73BD78" w:rsidR="00996BB2" w:rsidRPr="004D57A4" w:rsidRDefault="00996BB2" w:rsidP="00996BB2">
      <w:pPr>
        <w:pStyle w:val="Sched-Form"/>
      </w:pPr>
      <w:bookmarkStart w:id="118" w:name="_Toc155080773"/>
      <w:r w:rsidRPr="004D57A4">
        <w:rPr>
          <w:rStyle w:val="CharDivNo"/>
        </w:rPr>
        <w:t>Division 1.4.3</w:t>
      </w:r>
      <w:r w:rsidRPr="003042FA">
        <w:tab/>
      </w:r>
      <w:r w:rsidRPr="004D57A4">
        <w:rPr>
          <w:rStyle w:val="CharDivText"/>
        </w:rPr>
        <w:t>Promotions and inducements</w:t>
      </w:r>
      <w:bookmarkEnd w:id="118"/>
    </w:p>
    <w:p w14:paraId="264DFE8A" w14:textId="77777777" w:rsidR="00D847F1" w:rsidRDefault="00D847F1">
      <w:pPr>
        <w:pStyle w:val="Schclauseheading"/>
      </w:pPr>
      <w:bookmarkStart w:id="119" w:name="_Toc155080774"/>
      <w:r w:rsidRPr="004D57A4">
        <w:rPr>
          <w:rStyle w:val="CharSectNo"/>
        </w:rPr>
        <w:t>1.30</w:t>
      </w:r>
      <w:r>
        <w:tab/>
        <w:t>Promotions and inducements</w:t>
      </w:r>
      <w:bookmarkEnd w:id="119"/>
    </w:p>
    <w:p w14:paraId="192AAA29" w14:textId="77777777" w:rsidR="00D847F1" w:rsidRDefault="00D847F1">
      <w:pPr>
        <w:pStyle w:val="Amain"/>
      </w:pPr>
      <w:r>
        <w:tab/>
        <w:t>(1)</w:t>
      </w:r>
      <w:r>
        <w:tab/>
        <w:t>The licensee of a gambling facility must not—</w:t>
      </w:r>
    </w:p>
    <w:p w14:paraId="14CE98F3" w14:textId="77777777" w:rsidR="00D847F1" w:rsidRDefault="00D847F1">
      <w:pPr>
        <w:pStyle w:val="Apara"/>
      </w:pPr>
      <w:r>
        <w:tab/>
        <w:t>(a)</w:t>
      </w:r>
      <w:r>
        <w:tab/>
        <w:t>conduct a promotion that requires or encourages people to gamble at the facility for a minimum period of time to qualify for rewards;</w:t>
      </w:r>
    </w:p>
    <w:p w14:paraId="54CE62A4" w14:textId="77777777" w:rsidR="00D847F1" w:rsidRDefault="00D847F1">
      <w:pPr>
        <w:pStyle w:val="Apara"/>
      </w:pPr>
      <w:r>
        <w:tab/>
        <w:t>(b)</w:t>
      </w:r>
      <w:r>
        <w:tab/>
        <w:t>conduct a promotion that requires or encourages people to gamble a minimum amount to qualify for rewards; or</w:t>
      </w:r>
    </w:p>
    <w:p w14:paraId="0CAB088B" w14:textId="77777777" w:rsidR="00D847F1" w:rsidRDefault="00D847F1">
      <w:pPr>
        <w:pStyle w:val="Apara"/>
      </w:pPr>
      <w:r>
        <w:tab/>
        <w:t>(c)</w:t>
      </w:r>
      <w:r>
        <w:tab/>
        <w:t>conduct a promotion for or including gambling at the facility that includes an offer of free or discounted alcohol.</w:t>
      </w:r>
    </w:p>
    <w:p w14:paraId="1873839B" w14:textId="77777777" w:rsidR="00D847F1" w:rsidRDefault="00D847F1">
      <w:pPr>
        <w:pStyle w:val="Amain"/>
      </w:pPr>
      <w:r>
        <w:tab/>
        <w:t>(2)</w:t>
      </w:r>
      <w:r>
        <w:tab/>
        <w:t>Subsection (1) (b) does not apply to—</w:t>
      </w:r>
    </w:p>
    <w:p w14:paraId="228C933F" w14:textId="64427DDC" w:rsidR="00D847F1" w:rsidRDefault="00D847F1">
      <w:pPr>
        <w:pStyle w:val="Apara"/>
      </w:pPr>
      <w:r>
        <w:tab/>
        <w:t>(a)</w:t>
      </w:r>
      <w:r>
        <w:tab/>
        <w:t xml:space="preserve">the promotion of a commission-based player scheme under the </w:t>
      </w:r>
      <w:hyperlink r:id="rId72" w:tooltip="A2006-2" w:history="1">
        <w:r w:rsidR="00DF21AF" w:rsidRPr="00DF21AF">
          <w:rPr>
            <w:rStyle w:val="charCitHyperlinkItal"/>
          </w:rPr>
          <w:t>Casino Control Act 2006</w:t>
        </w:r>
      </w:hyperlink>
      <w:r>
        <w:t>; or</w:t>
      </w:r>
    </w:p>
    <w:p w14:paraId="05F9ABBC" w14:textId="77777777" w:rsidR="00D847F1" w:rsidRDefault="00D847F1">
      <w:pPr>
        <w:pStyle w:val="Apara"/>
      </w:pPr>
      <w:r>
        <w:tab/>
        <w:t>(b)</w:t>
      </w:r>
      <w:r>
        <w:tab/>
        <w:t>a player reward scheme that is advertised only within the gambling facility or directly to members of the facility; or</w:t>
      </w:r>
    </w:p>
    <w:p w14:paraId="563E0896" w14:textId="77777777" w:rsidR="00D847F1" w:rsidRDefault="0063631C">
      <w:pPr>
        <w:pStyle w:val="Apara"/>
      </w:pPr>
      <w:r>
        <w:tab/>
        <w:t>(c</w:t>
      </w:r>
      <w:r w:rsidR="00D847F1">
        <w:t>)</w:t>
      </w:r>
      <w:r w:rsidR="00D847F1">
        <w:tab/>
        <w:t xml:space="preserve">someone mentioned in section 1.1, definition of </w:t>
      </w:r>
      <w:r w:rsidR="00D847F1">
        <w:rPr>
          <w:rStyle w:val="charBoldItals"/>
        </w:rPr>
        <w:t>licensee</w:t>
      </w:r>
      <w:r w:rsidR="00D847F1">
        <w:t>, paragraph (f); or</w:t>
      </w:r>
    </w:p>
    <w:p w14:paraId="24DC52A9" w14:textId="77777777" w:rsidR="00D847F1" w:rsidRDefault="0063631C">
      <w:pPr>
        <w:pStyle w:val="Apara"/>
        <w:keepNext/>
      </w:pPr>
      <w:r>
        <w:lastRenderedPageBreak/>
        <w:tab/>
        <w:t>(d</w:t>
      </w:r>
      <w:r w:rsidR="00D847F1">
        <w:t>)</w:t>
      </w:r>
      <w:r w:rsidR="00D847F1">
        <w:tab/>
        <w:t>a promotion that requires or encourages the single lowest available bet on a gambling activity unless the bet is combined with, or required to be made in addition to, any other bet.</w:t>
      </w:r>
    </w:p>
    <w:p w14:paraId="335BF403" w14:textId="77777777" w:rsidR="00E02D37" w:rsidRDefault="00E02D37" w:rsidP="00E02D37">
      <w:pPr>
        <w:pStyle w:val="aExamHdgpar"/>
      </w:pPr>
      <w:r>
        <w:t>Examples—par (d)</w:t>
      </w:r>
    </w:p>
    <w:p w14:paraId="69ACF007" w14:textId="77777777" w:rsidR="00D847F1" w:rsidRDefault="00D847F1">
      <w:pPr>
        <w:pStyle w:val="AExamIPara"/>
      </w:pPr>
      <w:r>
        <w:tab/>
        <w:t>1</w:t>
      </w:r>
      <w:r>
        <w:tab/>
        <w:t>The requirement to have a single unit on a boxed trifecta could be used as an entry to a promotion as this is the lowest available bet on this wager.</w:t>
      </w:r>
    </w:p>
    <w:p w14:paraId="2A812DB0" w14:textId="77777777" w:rsidR="00D847F1" w:rsidRDefault="00D847F1">
      <w:pPr>
        <w:pStyle w:val="AExamIPara"/>
      </w:pPr>
      <w:r>
        <w:tab/>
        <w:t>2</w:t>
      </w:r>
      <w:r>
        <w:tab/>
        <w:t>The requirement to have 3 betting tickets for a win cannot be used as an entry requirement into a promotion as this requires the combination of bets.</w:t>
      </w:r>
    </w:p>
    <w:p w14:paraId="38C2770E" w14:textId="77777777" w:rsidR="00D847F1" w:rsidRDefault="00D847F1">
      <w:pPr>
        <w:pStyle w:val="AExamIPara"/>
      </w:pPr>
      <w:r>
        <w:tab/>
        <w:t>3</w:t>
      </w:r>
      <w:r>
        <w:tab/>
        <w:t>The requirement to have a win bet ticket, regardless of the amount of the bet, can be used as an entry into a promotion as it does not require a particular size of bet above the minimum.</w:t>
      </w:r>
    </w:p>
    <w:p w14:paraId="175E1DD1" w14:textId="77777777" w:rsidR="00D847F1" w:rsidRDefault="00E5599F" w:rsidP="003E3DF8">
      <w:pPr>
        <w:pStyle w:val="Amain"/>
        <w:keepNext/>
      </w:pPr>
      <w:r>
        <w:tab/>
        <w:t>(3</w:t>
      </w:r>
      <w:r w:rsidR="00D847F1">
        <w:t>)</w:t>
      </w:r>
      <w:r w:rsidR="00D847F1">
        <w:tab/>
        <w:t>A gaming machine licensee must not—</w:t>
      </w:r>
    </w:p>
    <w:p w14:paraId="10AAAA94" w14:textId="77777777" w:rsidR="00EC0987" w:rsidRPr="00A35BB6" w:rsidRDefault="00EC0987" w:rsidP="00EC0987">
      <w:pPr>
        <w:pStyle w:val="SchApara"/>
      </w:pPr>
      <w:r w:rsidRPr="00A35BB6">
        <w:tab/>
        <w:t>(a)</w:t>
      </w:r>
      <w:r w:rsidRPr="00A35BB6">
        <w:tab/>
        <w:t>conduct a promotion or offer an inducement that encourages people to increase their intensity of betting at the facility; or</w:t>
      </w:r>
    </w:p>
    <w:p w14:paraId="7E5EA676" w14:textId="77777777" w:rsidR="00EC0987" w:rsidRPr="00A35BB6" w:rsidRDefault="00EC0987" w:rsidP="00EC0987">
      <w:pPr>
        <w:pStyle w:val="aExamHdgpar"/>
      </w:pPr>
      <w:r w:rsidRPr="00A35BB6">
        <w:t>Examples—increased intensity of betting</w:t>
      </w:r>
    </w:p>
    <w:p w14:paraId="1024EDA3" w14:textId="77777777" w:rsidR="00EC0987" w:rsidRPr="00A35BB6" w:rsidRDefault="00EC0987" w:rsidP="00EC0987">
      <w:pPr>
        <w:pStyle w:val="aExamINumpar"/>
      </w:pPr>
      <w:r w:rsidRPr="00A35BB6">
        <w:t>1</w:t>
      </w:r>
      <w:r w:rsidRPr="00A35BB6">
        <w:tab/>
        <w:t>increasing the amount of money spent on betting at the facility in a particular period of time</w:t>
      </w:r>
    </w:p>
    <w:p w14:paraId="73BD47ED" w14:textId="77777777" w:rsidR="00EC0987" w:rsidRPr="00A35BB6" w:rsidRDefault="00EC0987" w:rsidP="00EC0987">
      <w:pPr>
        <w:pStyle w:val="aExamINumpar"/>
      </w:pPr>
      <w:r w:rsidRPr="00A35BB6">
        <w:t>2</w:t>
      </w:r>
      <w:r w:rsidRPr="00A35BB6">
        <w:tab/>
        <w:t>increasing the amount of each individual bet made at the facility</w:t>
      </w:r>
    </w:p>
    <w:p w14:paraId="3F7D3467" w14:textId="77777777" w:rsidR="00D847F1" w:rsidRDefault="00D847F1">
      <w:pPr>
        <w:pStyle w:val="Apara"/>
      </w:pPr>
      <w:r>
        <w:tab/>
        <w:t>(b)</w:t>
      </w:r>
      <w:r>
        <w:tab/>
        <w:t>induce people to gamble at the licensee’s facility by offering—</w:t>
      </w:r>
    </w:p>
    <w:p w14:paraId="41501D13" w14:textId="77777777" w:rsidR="00D847F1" w:rsidRDefault="00D847F1">
      <w:pPr>
        <w:pStyle w:val="Asubpara"/>
      </w:pPr>
      <w:r>
        <w:tab/>
        <w:t>(i)</w:t>
      </w:r>
      <w:r>
        <w:tab/>
        <w:t>free or discounted alcohol; or</w:t>
      </w:r>
    </w:p>
    <w:p w14:paraId="39782A95" w14:textId="77777777" w:rsidR="00D847F1" w:rsidRDefault="00D847F1">
      <w:pPr>
        <w:pStyle w:val="Asubpara"/>
      </w:pPr>
      <w:r>
        <w:tab/>
        <w:t>(ii)</w:t>
      </w:r>
      <w:r>
        <w:tab/>
        <w:t>cash, or free or discounted gambling credits, unless the offer of cash or credits is made to all patrons of the facility all of the time as part of the facility’s usual or regular prize schedule.</w:t>
      </w:r>
    </w:p>
    <w:p w14:paraId="5206774F" w14:textId="77777777" w:rsidR="00D847F1" w:rsidRDefault="00E5599F">
      <w:pPr>
        <w:pStyle w:val="Amain"/>
        <w:keepNext/>
      </w:pPr>
      <w:r>
        <w:tab/>
        <w:t>(4</w:t>
      </w:r>
      <w:r w:rsidR="00D847F1">
        <w:t>)</w:t>
      </w:r>
      <w:r w:rsidR="00D847F1">
        <w:tab/>
        <w:t>The licensee of a gambling facility must ensure that promotional material relating to gambling at the facility—</w:t>
      </w:r>
    </w:p>
    <w:p w14:paraId="5D1C0217" w14:textId="77777777" w:rsidR="00D847F1" w:rsidRDefault="00D847F1">
      <w:pPr>
        <w:pStyle w:val="Apara"/>
      </w:pPr>
      <w:r>
        <w:tab/>
        <w:t>(a)</w:t>
      </w:r>
      <w:r>
        <w:tab/>
        <w:t>contains the rules and conditions of the promotion; or</w:t>
      </w:r>
    </w:p>
    <w:p w14:paraId="168917E1" w14:textId="77777777" w:rsidR="00D847F1" w:rsidRDefault="00D847F1">
      <w:pPr>
        <w:pStyle w:val="Apara"/>
      </w:pPr>
      <w:r>
        <w:tab/>
        <w:t>(b)</w:t>
      </w:r>
      <w:r>
        <w:tab/>
        <w:t xml:space="preserve">states where at the facility the rules and conditions of the promotion can be inspected. </w:t>
      </w:r>
    </w:p>
    <w:p w14:paraId="2465DF51" w14:textId="77777777" w:rsidR="00D847F1" w:rsidRDefault="00BA5A94">
      <w:pPr>
        <w:pStyle w:val="Amain"/>
      </w:pPr>
      <w:r>
        <w:lastRenderedPageBreak/>
        <w:tab/>
        <w:t>(5</w:t>
      </w:r>
      <w:r w:rsidR="00D847F1">
        <w:t>)</w:t>
      </w:r>
      <w:r w:rsidR="00D847F1">
        <w:tab/>
        <w:t>The licensee of a gambling facility must make the rules and conditions of the promotion available for inspection at the facility.</w:t>
      </w:r>
    </w:p>
    <w:p w14:paraId="7334F253" w14:textId="6C91F71E" w:rsidR="00991BFF" w:rsidRPr="001E4518" w:rsidRDefault="00991BFF" w:rsidP="00991BFF">
      <w:pPr>
        <w:pStyle w:val="Amain"/>
      </w:pPr>
      <w:r w:rsidRPr="001E4518">
        <w:tab/>
        <w:t>(6)</w:t>
      </w:r>
      <w:r w:rsidRPr="001E4518">
        <w:tab/>
        <w:t xml:space="preserve">A </w:t>
      </w:r>
      <w:r w:rsidR="00846629" w:rsidRPr="00D17D0C">
        <w:rPr>
          <w:shd w:val="clear" w:color="auto" w:fill="FFFFFF"/>
        </w:rPr>
        <w:t>totalisator licensee, electronic race bookmaking licensee or sports bookmaking licensee</w:t>
      </w:r>
      <w:r w:rsidRPr="001E4518">
        <w:t xml:space="preserve"> must not offer an inducement to a person</w:t>
      </w:r>
      <w:r w:rsidRPr="001E4518">
        <w:rPr>
          <w:color w:val="000000"/>
        </w:rPr>
        <w:t>—</w:t>
      </w:r>
    </w:p>
    <w:p w14:paraId="51415A6E" w14:textId="77777777" w:rsidR="00991BFF" w:rsidRPr="001E4518" w:rsidRDefault="00991BFF" w:rsidP="00991BFF">
      <w:pPr>
        <w:pStyle w:val="Apara"/>
      </w:pPr>
      <w:r w:rsidRPr="001E4518">
        <w:tab/>
        <w:t>(a)</w:t>
      </w:r>
      <w:r w:rsidRPr="001E4518">
        <w:tab/>
        <w:t>to open a betting account with the licensee; or</w:t>
      </w:r>
    </w:p>
    <w:p w14:paraId="5337069A" w14:textId="77777777" w:rsidR="00991BFF" w:rsidRPr="001E4518" w:rsidRDefault="00991BFF" w:rsidP="00991BFF">
      <w:pPr>
        <w:pStyle w:val="Apara"/>
      </w:pPr>
      <w:r w:rsidRPr="001E4518">
        <w:tab/>
        <w:t>(b)</w:t>
      </w:r>
      <w:r w:rsidRPr="001E4518">
        <w:tab/>
        <w:t>to refer another person to open a betting account with the licensee.</w:t>
      </w:r>
    </w:p>
    <w:p w14:paraId="01051738" w14:textId="77777777" w:rsidR="00991BFF" w:rsidRPr="001E4518" w:rsidRDefault="00991BFF" w:rsidP="00991BFF">
      <w:pPr>
        <w:pStyle w:val="aExamHdgss"/>
      </w:pPr>
      <w:r w:rsidRPr="001E4518">
        <w:t>Examples—inducements</w:t>
      </w:r>
    </w:p>
    <w:p w14:paraId="3B586795" w14:textId="77777777" w:rsidR="00991BFF" w:rsidRPr="001E4518" w:rsidRDefault="00991BFF" w:rsidP="00991BFF">
      <w:pPr>
        <w:pStyle w:val="aExamINumss"/>
      </w:pPr>
      <w:r w:rsidRPr="001E4518">
        <w:t>1</w:t>
      </w:r>
      <w:r w:rsidRPr="001E4518">
        <w:tab/>
        <w:t>free or discounted gambling credits</w:t>
      </w:r>
    </w:p>
    <w:p w14:paraId="498A875C" w14:textId="77777777" w:rsidR="00991BFF" w:rsidRPr="001E4518" w:rsidRDefault="00991BFF" w:rsidP="00991BFF">
      <w:pPr>
        <w:pStyle w:val="aExamINumss"/>
      </w:pPr>
      <w:r w:rsidRPr="001E4518">
        <w:t>2</w:t>
      </w:r>
      <w:r w:rsidRPr="001E4518">
        <w:tab/>
        <w:t>vouchers or other rewards</w:t>
      </w:r>
    </w:p>
    <w:p w14:paraId="6277BD9F" w14:textId="060BB11A" w:rsidR="00991BFF" w:rsidRPr="001E4518" w:rsidRDefault="00991BFF" w:rsidP="00991BFF">
      <w:pPr>
        <w:pStyle w:val="Amain"/>
      </w:pPr>
      <w:r w:rsidRPr="001E4518">
        <w:tab/>
        <w:t>(</w:t>
      </w:r>
      <w:r>
        <w:t>7</w:t>
      </w:r>
      <w:r w:rsidRPr="001E4518">
        <w:t>)</w:t>
      </w:r>
      <w:r w:rsidRPr="001E4518">
        <w:tab/>
        <w:t xml:space="preserve">A </w:t>
      </w:r>
      <w:r w:rsidR="00846629" w:rsidRPr="00D17D0C">
        <w:rPr>
          <w:shd w:val="clear" w:color="auto" w:fill="FFFFFF"/>
        </w:rPr>
        <w:t>totalisator licensee, electronic race bookmaking licensee or sports bookmaking licensee</w:t>
      </w:r>
      <w:r w:rsidRPr="001E4518">
        <w:t xml:space="preserve"> must not give or offer a person a complimentary or discounted betting credit or token (a </w:t>
      </w:r>
      <w:r w:rsidRPr="001E4518">
        <w:rPr>
          <w:rStyle w:val="charBoldItals"/>
        </w:rPr>
        <w:t>bonus bet</w:t>
      </w:r>
      <w:r w:rsidRPr="001E4518">
        <w:t>) unless any winnings from the bonus bet</w:t>
      </w:r>
      <w:r w:rsidRPr="001E4518">
        <w:rPr>
          <w:color w:val="000000"/>
        </w:rPr>
        <w:t>—</w:t>
      </w:r>
    </w:p>
    <w:p w14:paraId="26B25780" w14:textId="77777777" w:rsidR="00991BFF" w:rsidRPr="001E4518" w:rsidRDefault="00991BFF" w:rsidP="00991BFF">
      <w:pPr>
        <w:pStyle w:val="Apara"/>
      </w:pPr>
      <w:r w:rsidRPr="001E4518">
        <w:tab/>
        <w:t>(a)</w:t>
      </w:r>
      <w:r w:rsidRPr="001E4518">
        <w:tab/>
        <w:t xml:space="preserve">can be withdrawn by the person; and </w:t>
      </w:r>
    </w:p>
    <w:p w14:paraId="22D3A211" w14:textId="77777777" w:rsidR="00991BFF" w:rsidRPr="001E4518" w:rsidRDefault="00991BFF" w:rsidP="00991BFF">
      <w:pPr>
        <w:pStyle w:val="Apara"/>
      </w:pPr>
      <w:r w:rsidRPr="001E4518">
        <w:tab/>
        <w:t>(b)</w:t>
      </w:r>
      <w:r w:rsidRPr="001E4518">
        <w:tab/>
        <w:t>are not subject to a requirement that they be used to place further bets.</w:t>
      </w:r>
    </w:p>
    <w:p w14:paraId="2BFD347A" w14:textId="77777777" w:rsidR="00A139D8" w:rsidRPr="00A35BB6" w:rsidRDefault="00BA5A94" w:rsidP="00A139D8">
      <w:pPr>
        <w:pStyle w:val="SchAmain"/>
      </w:pPr>
      <w:r>
        <w:tab/>
        <w:t>(</w:t>
      </w:r>
      <w:r w:rsidR="00991BFF">
        <w:t>8</w:t>
      </w:r>
      <w:r w:rsidR="00A139D8" w:rsidRPr="00A35BB6">
        <w:t>)</w:t>
      </w:r>
      <w:r w:rsidR="00A139D8" w:rsidRPr="00A35BB6">
        <w:tab/>
        <w:t>If a person wishes to redeem points under a player reward scheme conducted by—</w:t>
      </w:r>
    </w:p>
    <w:p w14:paraId="2BD2FF0B" w14:textId="77777777" w:rsidR="00A139D8" w:rsidRPr="00A35BB6" w:rsidRDefault="00A139D8" w:rsidP="00A139D8">
      <w:pPr>
        <w:pStyle w:val="SchApara"/>
      </w:pPr>
      <w:r w:rsidRPr="00A35BB6">
        <w:tab/>
        <w:t>(a)</w:t>
      </w:r>
      <w:r w:rsidRPr="00A35BB6">
        <w:tab/>
        <w:t>a gaming machine licensee or a casino licensee at a gambling facility and the licensee offers gambling credits, the licensee must offer the person rewards or benefits other than gambling credits for the points; or</w:t>
      </w:r>
    </w:p>
    <w:p w14:paraId="588F10DA" w14:textId="77777777" w:rsidR="00A139D8" w:rsidRPr="00A35BB6" w:rsidRDefault="00A139D8" w:rsidP="00A139D8">
      <w:pPr>
        <w:pStyle w:val="SchApara"/>
      </w:pPr>
      <w:r w:rsidRPr="00A35BB6">
        <w:tab/>
        <w:t>(b)</w:t>
      </w:r>
      <w:r w:rsidRPr="00A35BB6">
        <w:tab/>
        <w:t>a gaming machine licensee at a gambling facility, the licensee must not offer a reward or benefit to the person if the value of the reward or benefit is more than $1000.</w:t>
      </w:r>
    </w:p>
    <w:p w14:paraId="03865C75" w14:textId="77777777" w:rsidR="00A139D8" w:rsidRPr="00A35BB6" w:rsidRDefault="00BA5A94" w:rsidP="00A139D8">
      <w:pPr>
        <w:pStyle w:val="SchAmain"/>
      </w:pPr>
      <w:r>
        <w:tab/>
        <w:t>(</w:t>
      </w:r>
      <w:r w:rsidR="00991BFF">
        <w:t>9</w:t>
      </w:r>
      <w:r w:rsidR="00A139D8" w:rsidRPr="00A35BB6">
        <w:t>)</w:t>
      </w:r>
      <w:r w:rsidR="00A139D8" w:rsidRPr="00A35BB6">
        <w:tab/>
        <w:t>For subsectio</w:t>
      </w:r>
      <w:r w:rsidR="001C5459">
        <w:t>n (</w:t>
      </w:r>
      <w:r w:rsidR="008E539A">
        <w:t>8</w:t>
      </w:r>
      <w:r w:rsidR="00A139D8" w:rsidRPr="00A35BB6">
        <w:t>) (b), if a reward or benefit is made up of 2 or more parts, the value of the reward or benefit is the total value of all the parts.</w:t>
      </w:r>
    </w:p>
    <w:p w14:paraId="54959F23" w14:textId="77777777" w:rsidR="00A139D8" w:rsidRDefault="00BA5A94" w:rsidP="00A139D8">
      <w:pPr>
        <w:pStyle w:val="SchAmain"/>
      </w:pPr>
      <w:r>
        <w:lastRenderedPageBreak/>
        <w:tab/>
        <w:t>(</w:t>
      </w:r>
      <w:r w:rsidR="00991BFF">
        <w:t>10</w:t>
      </w:r>
      <w:r w:rsidR="00A139D8" w:rsidRPr="00A35BB6">
        <w:t>)</w:t>
      </w:r>
      <w:r w:rsidR="00A139D8" w:rsidRPr="00A35BB6">
        <w:tab/>
        <w:t>In this section:</w:t>
      </w:r>
    </w:p>
    <w:p w14:paraId="2329F0DA" w14:textId="77777777" w:rsidR="00A139D8" w:rsidRPr="00A35BB6" w:rsidRDefault="00A139D8" w:rsidP="00A139D8">
      <w:pPr>
        <w:pStyle w:val="aDef"/>
      </w:pPr>
      <w:r w:rsidRPr="00A35BB6">
        <w:rPr>
          <w:rStyle w:val="charBoldItals"/>
        </w:rPr>
        <w:t>player reward scheme</w:t>
      </w:r>
      <w:r w:rsidRPr="00A35BB6">
        <w:t>, at a gambling facility includes a player loyalty scheme, and means a scheme in which a patron of the facility—</w:t>
      </w:r>
    </w:p>
    <w:p w14:paraId="1B09A394" w14:textId="77777777" w:rsidR="00A139D8" w:rsidRPr="00A35BB6" w:rsidRDefault="00A139D8" w:rsidP="00A139D8">
      <w:pPr>
        <w:pStyle w:val="aDefpara"/>
      </w:pPr>
      <w:r w:rsidRPr="00A35BB6">
        <w:tab/>
        <w:t>(a)</w:t>
      </w:r>
      <w:r w:rsidRPr="00A35BB6">
        <w:tab/>
        <w:t>earns points by participating in an activity at the facility; and</w:t>
      </w:r>
    </w:p>
    <w:p w14:paraId="5BD52A13" w14:textId="77777777" w:rsidR="00A139D8" w:rsidRDefault="00A139D8" w:rsidP="00A139D8">
      <w:pPr>
        <w:pStyle w:val="aDefpara"/>
      </w:pPr>
      <w:r w:rsidRPr="00A35BB6">
        <w:tab/>
        <w:t>(b)</w:t>
      </w:r>
      <w:r w:rsidRPr="00A35BB6">
        <w:tab/>
        <w:t>may redeem the points for a reward or benefit.</w:t>
      </w:r>
    </w:p>
    <w:p w14:paraId="1BBBF56B" w14:textId="77777777" w:rsidR="00D11833" w:rsidRPr="00A35BB6" w:rsidRDefault="00D11833" w:rsidP="00D11833">
      <w:pPr>
        <w:pStyle w:val="aDef"/>
      </w:pPr>
      <w:r w:rsidRPr="001E4518">
        <w:rPr>
          <w:rStyle w:val="charBoldItals"/>
        </w:rPr>
        <w:t>winnings</w:t>
      </w:r>
      <w:r w:rsidRPr="001E4518">
        <w:t>, from a bonus bet by a person, means the amount to be paid or credited to the person if the bet is successful.</w:t>
      </w:r>
    </w:p>
    <w:p w14:paraId="14C2CD89" w14:textId="77777777" w:rsidR="00D847F1" w:rsidRDefault="00BA5A94">
      <w:pPr>
        <w:pStyle w:val="Amain"/>
      </w:pPr>
      <w:r>
        <w:tab/>
        <w:t>(1</w:t>
      </w:r>
      <w:r w:rsidR="00991BFF">
        <w:t>1</w:t>
      </w:r>
      <w:r w:rsidR="00D847F1">
        <w:t>)</w:t>
      </w:r>
      <w:r w:rsidR="00D847F1">
        <w:tab/>
        <w:t>This section is subject to section 1.31.</w:t>
      </w:r>
    </w:p>
    <w:p w14:paraId="1053B513" w14:textId="77777777" w:rsidR="00A139D8" w:rsidRPr="00A35BB6" w:rsidRDefault="00A139D8" w:rsidP="00A139D8">
      <w:pPr>
        <w:pStyle w:val="Schclauseheading"/>
      </w:pPr>
      <w:bookmarkStart w:id="120" w:name="_Toc155080775"/>
      <w:r w:rsidRPr="004D57A4">
        <w:rPr>
          <w:rStyle w:val="CharSectNo"/>
        </w:rPr>
        <w:t>1.30A</w:t>
      </w:r>
      <w:r w:rsidRPr="00A35BB6">
        <w:tab/>
        <w:t>Gaming machine promotions—alternative ways to participate</w:t>
      </w:r>
      <w:bookmarkEnd w:id="120"/>
    </w:p>
    <w:p w14:paraId="76564522" w14:textId="77777777" w:rsidR="00A139D8" w:rsidRPr="00A35BB6" w:rsidRDefault="00A139D8" w:rsidP="00A139D8">
      <w:pPr>
        <w:pStyle w:val="SchAmain"/>
      </w:pPr>
      <w:r w:rsidRPr="00A35BB6">
        <w:tab/>
        <w:t>(1)</w:t>
      </w:r>
      <w:r w:rsidRPr="00A35BB6">
        <w:tab/>
        <w:t>This section applies to a promotion conducted at a gambling facility that a patron of the facility may take part in by playing a gaming machine.</w:t>
      </w:r>
    </w:p>
    <w:p w14:paraId="66A72222" w14:textId="77777777" w:rsidR="00A139D8" w:rsidRPr="00A35BB6" w:rsidRDefault="00A139D8" w:rsidP="00A139D8">
      <w:pPr>
        <w:pStyle w:val="SchAmain"/>
      </w:pPr>
      <w:r w:rsidRPr="00A35BB6">
        <w:tab/>
        <w:t>(2)</w:t>
      </w:r>
      <w:r w:rsidRPr="00A35BB6">
        <w:tab/>
        <w:t xml:space="preserve">The licensee of the gambling facility must ensure that there is at least 1 other way a patron of the facility may take part in the promotion. </w:t>
      </w:r>
    </w:p>
    <w:p w14:paraId="34D56B10" w14:textId="77777777" w:rsidR="00A139D8" w:rsidRPr="00A35BB6" w:rsidRDefault="00A139D8" w:rsidP="00A139D8">
      <w:pPr>
        <w:pStyle w:val="aExamHdgss"/>
      </w:pPr>
      <w:r w:rsidRPr="00A35BB6">
        <w:t>Examples</w:t>
      </w:r>
    </w:p>
    <w:p w14:paraId="7A791030" w14:textId="77777777" w:rsidR="00A139D8" w:rsidRPr="00A35BB6" w:rsidRDefault="00A139D8" w:rsidP="00A139D8">
      <w:pPr>
        <w:pStyle w:val="aExamINumss"/>
      </w:pPr>
      <w:r w:rsidRPr="00A35BB6">
        <w:t>1</w:t>
      </w:r>
      <w:r w:rsidRPr="00A35BB6">
        <w:tab/>
        <w:t>entry to the facility</w:t>
      </w:r>
    </w:p>
    <w:p w14:paraId="116EF74E" w14:textId="77777777" w:rsidR="00A139D8" w:rsidRPr="00A35BB6" w:rsidRDefault="00A139D8" w:rsidP="00A139D8">
      <w:pPr>
        <w:pStyle w:val="aExamINumss"/>
        <w:keepNext/>
      </w:pPr>
      <w:r w:rsidRPr="00A35BB6">
        <w:t>2</w:t>
      </w:r>
      <w:r w:rsidRPr="00A35BB6">
        <w:tab/>
        <w:t>buying food or drink at the facility</w:t>
      </w:r>
    </w:p>
    <w:p w14:paraId="6912142B" w14:textId="77777777" w:rsidR="00231D83" w:rsidRPr="001E4518" w:rsidRDefault="00231D83" w:rsidP="007C2DE6">
      <w:pPr>
        <w:pStyle w:val="AH5Sec"/>
        <w:rPr>
          <w:color w:val="000000"/>
        </w:rPr>
      </w:pPr>
      <w:bookmarkStart w:id="121" w:name="_Toc155080776"/>
      <w:r w:rsidRPr="004D57A4">
        <w:rPr>
          <w:rStyle w:val="CharSectNo"/>
        </w:rPr>
        <w:t>1.30B</w:t>
      </w:r>
      <w:r w:rsidRPr="001E4518">
        <w:tab/>
        <w:t>Personally addressed promotional material</w:t>
      </w:r>
      <w:r w:rsidRPr="001E4518">
        <w:rPr>
          <w:color w:val="000000"/>
        </w:rPr>
        <w:t>—gaming machine and casino licensees</w:t>
      </w:r>
      <w:bookmarkEnd w:id="121"/>
    </w:p>
    <w:p w14:paraId="759CB598" w14:textId="77777777" w:rsidR="002C47BB" w:rsidRPr="001E4518" w:rsidRDefault="002C47BB" w:rsidP="002C47BB">
      <w:pPr>
        <w:pStyle w:val="Amain"/>
      </w:pPr>
      <w:r w:rsidRPr="001E4518">
        <w:tab/>
        <w:t>(1)</w:t>
      </w:r>
      <w:r w:rsidRPr="001E4518">
        <w:tab/>
        <w:t>This section applies only to a gaming machine licensee or casino licensee.</w:t>
      </w:r>
    </w:p>
    <w:p w14:paraId="17EF91B7" w14:textId="77777777" w:rsidR="00A139D8" w:rsidRPr="00A35BB6" w:rsidRDefault="00A139D8" w:rsidP="00A139D8">
      <w:pPr>
        <w:pStyle w:val="SchAmain"/>
      </w:pPr>
      <w:r w:rsidRPr="00A35BB6">
        <w:tab/>
        <w:t>(2)</w:t>
      </w:r>
      <w:r w:rsidRPr="00A35BB6">
        <w:tab/>
        <w:t>A patron of a gambling facility may, in writing, ask the licensee of the facility to not send the patron promotional material.</w:t>
      </w:r>
    </w:p>
    <w:p w14:paraId="5CB5D8F1" w14:textId="77777777" w:rsidR="00A139D8" w:rsidRPr="00A35BB6" w:rsidRDefault="00A139D8" w:rsidP="00A139D8">
      <w:pPr>
        <w:pStyle w:val="SchAmain"/>
      </w:pPr>
      <w:r w:rsidRPr="00A35BB6">
        <w:tab/>
        <w:t>(3)</w:t>
      </w:r>
      <w:r w:rsidRPr="00A35BB6">
        <w:tab/>
        <w:t>The patron may, in writing, revoke the patron’s request under subsection (2) at any time.</w:t>
      </w:r>
    </w:p>
    <w:p w14:paraId="47508FFC" w14:textId="200F8D6D" w:rsidR="00A139D8" w:rsidRDefault="00A139D8" w:rsidP="00A139D8">
      <w:pPr>
        <w:pStyle w:val="SchAmain"/>
      </w:pPr>
      <w:r w:rsidRPr="00A35BB6">
        <w:lastRenderedPageBreak/>
        <w:tab/>
        <w:t>(4)</w:t>
      </w:r>
      <w:r w:rsidRPr="00A35BB6">
        <w:tab/>
        <w:t>If a patron makes a request under subsection (2), and does not revoke the request under subsection (3), the licensee must not send any promotional material to the patron that is personally-addressed to the patron.</w:t>
      </w:r>
    </w:p>
    <w:p w14:paraId="0FB162E5" w14:textId="5AA81778" w:rsidR="00996BB2" w:rsidRPr="004D57A4" w:rsidRDefault="00996BB2" w:rsidP="00996BB2">
      <w:pPr>
        <w:pStyle w:val="Sched-Form"/>
      </w:pPr>
      <w:bookmarkStart w:id="122" w:name="_Toc155080777"/>
      <w:r w:rsidRPr="004D57A4">
        <w:rPr>
          <w:rStyle w:val="CharDivNo"/>
        </w:rPr>
        <w:t>Division 1.4.4</w:t>
      </w:r>
      <w:r w:rsidRPr="003042FA">
        <w:tab/>
      </w:r>
      <w:r w:rsidRPr="004D57A4">
        <w:rPr>
          <w:rStyle w:val="CharDivText"/>
        </w:rPr>
        <w:t>Direct marketing</w:t>
      </w:r>
      <w:bookmarkEnd w:id="122"/>
    </w:p>
    <w:p w14:paraId="291DFFE6" w14:textId="77777777" w:rsidR="00846629" w:rsidRPr="00D17D0C" w:rsidRDefault="00846629" w:rsidP="00846629">
      <w:pPr>
        <w:pStyle w:val="Schclauseheading"/>
        <w:rPr>
          <w:shd w:val="clear" w:color="auto" w:fill="FFFFFF"/>
        </w:rPr>
      </w:pPr>
      <w:bookmarkStart w:id="123" w:name="_Toc155080778"/>
      <w:r w:rsidRPr="004D57A4">
        <w:rPr>
          <w:rStyle w:val="CharSectNo"/>
        </w:rPr>
        <w:t>1.30C</w:t>
      </w:r>
      <w:r w:rsidRPr="00D17D0C">
        <w:rPr>
          <w:shd w:val="clear" w:color="auto" w:fill="FFFFFF"/>
        </w:rPr>
        <w:tab/>
        <w:t>Direct marketing—electronic race bookmaking, sports bookmaking and totalisator licensees</w:t>
      </w:r>
      <w:bookmarkEnd w:id="123"/>
    </w:p>
    <w:p w14:paraId="5A325333" w14:textId="77777777" w:rsidR="00846629" w:rsidRPr="00D17D0C" w:rsidRDefault="00846629" w:rsidP="00846629">
      <w:pPr>
        <w:pStyle w:val="Amain"/>
        <w:rPr>
          <w:shd w:val="clear" w:color="auto" w:fill="FFFFFF"/>
        </w:rPr>
      </w:pPr>
      <w:r w:rsidRPr="00D17D0C">
        <w:rPr>
          <w:shd w:val="clear" w:color="auto" w:fill="FFFFFF"/>
        </w:rPr>
        <w:tab/>
        <w:t>(1)</w:t>
      </w:r>
      <w:r w:rsidRPr="00D17D0C">
        <w:rPr>
          <w:shd w:val="clear" w:color="auto" w:fill="FFFFFF"/>
        </w:rPr>
        <w:tab/>
        <w:t>This section applies to the following licensees:</w:t>
      </w:r>
    </w:p>
    <w:p w14:paraId="57AEB7F3" w14:textId="77777777" w:rsidR="00846629" w:rsidRPr="00D17D0C" w:rsidRDefault="00846629" w:rsidP="00846629">
      <w:pPr>
        <w:pStyle w:val="SchApara"/>
      </w:pPr>
      <w:r w:rsidRPr="00D17D0C">
        <w:tab/>
        <w:t>(a)</w:t>
      </w:r>
      <w:r w:rsidRPr="00D17D0C">
        <w:tab/>
        <w:t>an electronic race bookmaking licensee;</w:t>
      </w:r>
    </w:p>
    <w:p w14:paraId="64D3B8BF" w14:textId="77777777" w:rsidR="00846629" w:rsidRPr="00D17D0C" w:rsidRDefault="00846629" w:rsidP="00846629">
      <w:pPr>
        <w:pStyle w:val="SchApara"/>
      </w:pPr>
      <w:r w:rsidRPr="00D17D0C">
        <w:tab/>
        <w:t>(b)</w:t>
      </w:r>
      <w:r w:rsidRPr="00D17D0C">
        <w:tab/>
        <w:t>a sports bookmaking licensee;</w:t>
      </w:r>
    </w:p>
    <w:p w14:paraId="29635E91" w14:textId="77777777" w:rsidR="00846629" w:rsidRPr="00D17D0C" w:rsidRDefault="00846629" w:rsidP="00846629">
      <w:pPr>
        <w:pStyle w:val="SchApara"/>
      </w:pPr>
      <w:r w:rsidRPr="00D17D0C">
        <w:tab/>
        <w:t>(c)</w:t>
      </w:r>
      <w:r w:rsidRPr="00D17D0C">
        <w:tab/>
        <w:t>a totalisator licensee.</w:t>
      </w:r>
    </w:p>
    <w:p w14:paraId="2BDDD0C2" w14:textId="77777777" w:rsidR="002C47BB" w:rsidRPr="001E4518" w:rsidRDefault="002C47BB" w:rsidP="003E3DF8">
      <w:pPr>
        <w:pStyle w:val="Amain"/>
        <w:keepNext/>
        <w:rPr>
          <w:color w:val="000000"/>
        </w:rPr>
      </w:pPr>
      <w:r w:rsidRPr="001E4518">
        <w:tab/>
        <w:t>(2)</w:t>
      </w:r>
      <w:r w:rsidRPr="001E4518">
        <w:tab/>
        <w:t>The licensee</w:t>
      </w:r>
      <w:r w:rsidRPr="001E4518">
        <w:rPr>
          <w:color w:val="000000"/>
        </w:rPr>
        <w:t xml:space="preserve"> must ensure that the licensee’s direct marketing is not sent to a person unless—</w:t>
      </w:r>
    </w:p>
    <w:p w14:paraId="779E70D9" w14:textId="77777777" w:rsidR="002C47BB" w:rsidRPr="001E4518" w:rsidRDefault="002C47BB" w:rsidP="002C47BB">
      <w:pPr>
        <w:pStyle w:val="Apara"/>
      </w:pPr>
      <w:r w:rsidRPr="001E4518">
        <w:tab/>
        <w:t>(a)</w:t>
      </w:r>
      <w:r w:rsidRPr="001E4518">
        <w:tab/>
        <w:t>the person has expressly consented to receive the direct marketing; and</w:t>
      </w:r>
    </w:p>
    <w:p w14:paraId="145C34E3" w14:textId="77777777" w:rsidR="002C47BB" w:rsidRPr="001E4518" w:rsidRDefault="002C47BB" w:rsidP="002C47BB">
      <w:pPr>
        <w:pStyle w:val="Apara"/>
      </w:pPr>
      <w:r w:rsidRPr="001E4518">
        <w:tab/>
        <w:t>(b)</w:t>
      </w:r>
      <w:r w:rsidRPr="001E4518">
        <w:tab/>
        <w:t>the direct marketing complies with any guidelines made under section 1.30D.</w:t>
      </w:r>
    </w:p>
    <w:p w14:paraId="3065AC47" w14:textId="77777777" w:rsidR="002C47BB" w:rsidRPr="001E4518" w:rsidRDefault="002C47BB" w:rsidP="002C47BB">
      <w:pPr>
        <w:pStyle w:val="Amain"/>
      </w:pPr>
      <w:r w:rsidRPr="001E4518">
        <w:rPr>
          <w:color w:val="000000"/>
        </w:rPr>
        <w:tab/>
        <w:t>(3)</w:t>
      </w:r>
      <w:r w:rsidRPr="001E4518">
        <w:rPr>
          <w:color w:val="000000"/>
        </w:rPr>
        <w:tab/>
        <w:t>The licensee must ensure that the licensee’s direct marketing is not sent to a person after 5</w:t>
      </w:r>
      <w:r>
        <w:rPr>
          <w:color w:val="000000"/>
        </w:rPr>
        <w:t xml:space="preserve"> business</w:t>
      </w:r>
      <w:r w:rsidRPr="001E4518">
        <w:rPr>
          <w:color w:val="000000"/>
        </w:rPr>
        <w:t xml:space="preserve"> days from the date </w:t>
      </w:r>
      <w:r w:rsidRPr="001E4518">
        <w:t>a request is received from the person to</w:t>
      </w:r>
      <w:r w:rsidRPr="001E4518">
        <w:rPr>
          <w:color w:val="000000"/>
        </w:rPr>
        <w:t>—</w:t>
      </w:r>
    </w:p>
    <w:p w14:paraId="478EE208" w14:textId="77777777" w:rsidR="002C47BB" w:rsidRPr="001E4518" w:rsidRDefault="002C47BB" w:rsidP="002C47BB">
      <w:pPr>
        <w:pStyle w:val="Apara"/>
      </w:pPr>
      <w:r w:rsidRPr="001E4518">
        <w:tab/>
        <w:t>(a)</w:t>
      </w:r>
      <w:r w:rsidRPr="001E4518">
        <w:tab/>
        <w:t xml:space="preserve">stop getting the direct marketing; or </w:t>
      </w:r>
    </w:p>
    <w:p w14:paraId="4F821643" w14:textId="77777777" w:rsidR="002C47BB" w:rsidRPr="001E4518" w:rsidRDefault="002C47BB" w:rsidP="002C47BB">
      <w:pPr>
        <w:pStyle w:val="Apara"/>
        <w:rPr>
          <w:color w:val="000000"/>
        </w:rPr>
      </w:pPr>
      <w:r w:rsidRPr="001E4518">
        <w:tab/>
        <w:t>(b)</w:t>
      </w:r>
      <w:r w:rsidRPr="001E4518">
        <w:tab/>
        <w:t>close their betting account.</w:t>
      </w:r>
    </w:p>
    <w:p w14:paraId="7EEF2C02" w14:textId="77777777" w:rsidR="00846629" w:rsidRPr="00D17D0C" w:rsidRDefault="00846629" w:rsidP="000271C8">
      <w:pPr>
        <w:pStyle w:val="Schclauseheading"/>
        <w:rPr>
          <w:shd w:val="clear" w:color="auto" w:fill="FFFFFF"/>
        </w:rPr>
      </w:pPr>
      <w:bookmarkStart w:id="124" w:name="_Toc155080779"/>
      <w:r w:rsidRPr="004D57A4">
        <w:rPr>
          <w:rStyle w:val="CharSectNo"/>
        </w:rPr>
        <w:lastRenderedPageBreak/>
        <w:t>1.30D</w:t>
      </w:r>
      <w:r w:rsidRPr="00D17D0C">
        <w:rPr>
          <w:shd w:val="clear" w:color="auto" w:fill="FFFFFF"/>
        </w:rPr>
        <w:tab/>
        <w:t xml:space="preserve">Guidelines for direct marketing by </w:t>
      </w:r>
      <w:r>
        <w:rPr>
          <w:shd w:val="clear" w:color="auto" w:fill="FFFFFF"/>
        </w:rPr>
        <w:t xml:space="preserve">electronic </w:t>
      </w:r>
      <w:r w:rsidRPr="00D17D0C">
        <w:rPr>
          <w:shd w:val="clear" w:color="auto" w:fill="FFFFFF"/>
        </w:rPr>
        <w:t>race bookmaking, sports bookmaking and totalisator licensees</w:t>
      </w:r>
      <w:bookmarkEnd w:id="124"/>
    </w:p>
    <w:p w14:paraId="50363E7B" w14:textId="670F0ECD" w:rsidR="00846629" w:rsidRPr="00D17D0C" w:rsidRDefault="00846629" w:rsidP="000271C8">
      <w:pPr>
        <w:pStyle w:val="Amain"/>
        <w:keepNext/>
        <w:rPr>
          <w:shd w:val="clear" w:color="auto" w:fill="FFFFFF"/>
        </w:rPr>
      </w:pPr>
      <w:r w:rsidRPr="00D17D0C">
        <w:rPr>
          <w:shd w:val="clear" w:color="auto" w:fill="FFFFFF"/>
        </w:rPr>
        <w:tab/>
        <w:t>(1)</w:t>
      </w:r>
      <w:r w:rsidRPr="00D17D0C">
        <w:rPr>
          <w:shd w:val="clear" w:color="auto" w:fill="FFFFFF"/>
        </w:rPr>
        <w:tab/>
      </w:r>
      <w:r w:rsidR="00EF52A4">
        <w:rPr>
          <w:shd w:val="clear" w:color="auto" w:fill="FFFFFF"/>
        </w:rPr>
        <w:t>T</w:t>
      </w:r>
      <w:r w:rsidRPr="00D17D0C">
        <w:rPr>
          <w:shd w:val="clear" w:color="auto" w:fill="FFFFFF"/>
        </w:rPr>
        <w:t>he Minister may make guidelines about direct marketing by the following licensees:</w:t>
      </w:r>
    </w:p>
    <w:p w14:paraId="4C07E6E0" w14:textId="77777777" w:rsidR="00846629" w:rsidRPr="00D17D0C" w:rsidRDefault="00846629" w:rsidP="00EF52A4">
      <w:pPr>
        <w:pStyle w:val="Apara"/>
      </w:pPr>
      <w:r w:rsidRPr="00D17D0C">
        <w:tab/>
        <w:t>(a)</w:t>
      </w:r>
      <w:r w:rsidRPr="00D17D0C">
        <w:tab/>
        <w:t>an electronic race bookmaking licensee;</w:t>
      </w:r>
    </w:p>
    <w:p w14:paraId="6630F252" w14:textId="77777777" w:rsidR="00846629" w:rsidRPr="00D17D0C" w:rsidRDefault="00846629" w:rsidP="00EF52A4">
      <w:pPr>
        <w:pStyle w:val="SchApara"/>
      </w:pPr>
      <w:r w:rsidRPr="00D17D0C">
        <w:tab/>
        <w:t>(b)</w:t>
      </w:r>
      <w:r w:rsidRPr="00D17D0C">
        <w:tab/>
        <w:t>a sports bookmaking licensee;</w:t>
      </w:r>
    </w:p>
    <w:p w14:paraId="7ECD108C" w14:textId="77777777" w:rsidR="00846629" w:rsidRPr="00D17D0C" w:rsidRDefault="00846629" w:rsidP="00EF52A4">
      <w:pPr>
        <w:pStyle w:val="SchApara"/>
      </w:pPr>
      <w:r w:rsidRPr="00D17D0C">
        <w:tab/>
        <w:t>(c)</w:t>
      </w:r>
      <w:r w:rsidRPr="00D17D0C">
        <w:tab/>
        <w:t>a totalisator licensee.</w:t>
      </w:r>
    </w:p>
    <w:p w14:paraId="2A3E986A" w14:textId="77777777" w:rsidR="002C47BB" w:rsidRPr="001E4518" w:rsidRDefault="002C47BB" w:rsidP="002C47BB">
      <w:pPr>
        <w:pStyle w:val="Amain"/>
      </w:pPr>
      <w:r w:rsidRPr="001E4518">
        <w:tab/>
        <w:t>(2)</w:t>
      </w:r>
      <w:r w:rsidRPr="001E4518">
        <w:tab/>
        <w:t>A guideline is a notifiable instrument.</w:t>
      </w:r>
    </w:p>
    <w:p w14:paraId="3E69DEEB" w14:textId="59BC77BA" w:rsidR="002C47BB" w:rsidRDefault="002C47BB" w:rsidP="002C47BB">
      <w:pPr>
        <w:pStyle w:val="aNote"/>
      </w:pPr>
      <w:r w:rsidRPr="001E4518">
        <w:rPr>
          <w:rStyle w:val="charItals"/>
        </w:rPr>
        <w:t>Note</w:t>
      </w:r>
      <w:r w:rsidRPr="001E4518">
        <w:rPr>
          <w:rStyle w:val="charItals"/>
        </w:rPr>
        <w:tab/>
      </w:r>
      <w:r w:rsidRPr="001E4518">
        <w:t xml:space="preserve">A notifiable instrument must be notified under the </w:t>
      </w:r>
      <w:hyperlink r:id="rId73" w:tooltip="A2001-14" w:history="1">
        <w:r w:rsidRPr="001E4518">
          <w:rPr>
            <w:rStyle w:val="charCitHyperlinkAbbrev"/>
          </w:rPr>
          <w:t>Legislation Act</w:t>
        </w:r>
      </w:hyperlink>
      <w:r w:rsidRPr="001E4518">
        <w:t>.</w:t>
      </w:r>
    </w:p>
    <w:p w14:paraId="32FC7BA4" w14:textId="55E2F272" w:rsidR="00996BB2" w:rsidRPr="004D57A4" w:rsidRDefault="00996BB2" w:rsidP="00996BB2">
      <w:pPr>
        <w:pStyle w:val="Sched-Form"/>
      </w:pPr>
      <w:bookmarkStart w:id="125" w:name="_Toc155080780"/>
      <w:r w:rsidRPr="004D57A4">
        <w:rPr>
          <w:rStyle w:val="CharDivNo"/>
        </w:rPr>
        <w:t>Division 1.4.5</w:t>
      </w:r>
      <w:r w:rsidRPr="003042FA">
        <w:tab/>
      </w:r>
      <w:r w:rsidRPr="004D57A4">
        <w:rPr>
          <w:rStyle w:val="CharDivText"/>
        </w:rPr>
        <w:t>Miscellaneous</w:t>
      </w:r>
      <w:bookmarkEnd w:id="125"/>
    </w:p>
    <w:p w14:paraId="373DEF6C" w14:textId="77777777" w:rsidR="00D847F1" w:rsidRDefault="00D847F1">
      <w:pPr>
        <w:pStyle w:val="Schclauseheading"/>
      </w:pPr>
      <w:bookmarkStart w:id="126" w:name="_Toc155080781"/>
      <w:r w:rsidRPr="004D57A4">
        <w:rPr>
          <w:rStyle w:val="CharSectNo"/>
        </w:rPr>
        <w:t>1.31</w:t>
      </w:r>
      <w:r>
        <w:tab/>
        <w:t>Directions about advertising, promotions and inducements</w:t>
      </w:r>
      <w:bookmarkEnd w:id="126"/>
    </w:p>
    <w:p w14:paraId="5E16DEB2" w14:textId="77777777" w:rsidR="002C47BB" w:rsidRPr="001E4518" w:rsidRDefault="002C47BB" w:rsidP="004A006F">
      <w:pPr>
        <w:pStyle w:val="Amain"/>
      </w:pPr>
      <w:r w:rsidRPr="001E4518">
        <w:tab/>
        <w:t>(1)</w:t>
      </w:r>
      <w:r w:rsidRPr="001E4518">
        <w:tab/>
        <w:t>The commission may give a written direction to a licensee to ensure compliance with this part.</w:t>
      </w:r>
    </w:p>
    <w:p w14:paraId="2E6A320D" w14:textId="77777777" w:rsidR="00CE2FCA" w:rsidRPr="001A6F65" w:rsidRDefault="00D847F1">
      <w:pPr>
        <w:pStyle w:val="Amain"/>
      </w:pPr>
      <w:r>
        <w:tab/>
        <w:t>(2)</w:t>
      </w:r>
      <w:r>
        <w:tab/>
        <w:t>If the commission gives a direction to the licensee, the licensee must comply with the direction.</w:t>
      </w:r>
    </w:p>
    <w:p w14:paraId="595565C2" w14:textId="77777777" w:rsidR="001D55C6" w:rsidRPr="001D55C6" w:rsidRDefault="001D55C6" w:rsidP="001D55C6">
      <w:pPr>
        <w:pStyle w:val="PageBreak"/>
      </w:pPr>
      <w:r w:rsidRPr="001D55C6">
        <w:br w:type="page"/>
      </w:r>
    </w:p>
    <w:p w14:paraId="65BD47E2" w14:textId="53F42C54" w:rsidR="001D55C6" w:rsidRPr="004D57A4" w:rsidRDefault="001D55C6" w:rsidP="001D55C6">
      <w:pPr>
        <w:pStyle w:val="Sched-Part"/>
      </w:pPr>
      <w:bookmarkStart w:id="127" w:name="_Toc155080782"/>
      <w:r w:rsidRPr="004D57A4">
        <w:rPr>
          <w:rStyle w:val="CharPartNo"/>
        </w:rPr>
        <w:lastRenderedPageBreak/>
        <w:t>Part 1.5</w:t>
      </w:r>
      <w:r>
        <w:tab/>
      </w:r>
      <w:r w:rsidRPr="004D57A4">
        <w:rPr>
          <w:rStyle w:val="CharPartText"/>
        </w:rPr>
        <w:t>Club licensee obligations—club refuge declarations</w:t>
      </w:r>
      <w:bookmarkEnd w:id="127"/>
    </w:p>
    <w:p w14:paraId="437F251F" w14:textId="77777777" w:rsidR="001D55C6" w:rsidRDefault="001D55C6" w:rsidP="00DB23AE">
      <w:pPr>
        <w:pStyle w:val="Placeholder"/>
        <w:suppressLineNumbers/>
      </w:pPr>
      <w:r>
        <w:rPr>
          <w:rStyle w:val="CharDivNo"/>
        </w:rPr>
        <w:t xml:space="preserve">  </w:t>
      </w:r>
      <w:r>
        <w:rPr>
          <w:rStyle w:val="CharDivText"/>
        </w:rPr>
        <w:t xml:space="preserve">  </w:t>
      </w:r>
    </w:p>
    <w:p w14:paraId="297BA868" w14:textId="77777777" w:rsidR="001D55C6" w:rsidRDefault="001D55C6" w:rsidP="001D55C6">
      <w:pPr>
        <w:pStyle w:val="Schclauseheading"/>
      </w:pPr>
      <w:bookmarkStart w:id="128" w:name="_Toc155080783"/>
      <w:r w:rsidRPr="004D57A4">
        <w:rPr>
          <w:rStyle w:val="CharSectNo"/>
        </w:rPr>
        <w:t>1.32</w:t>
      </w:r>
      <w:r>
        <w:tab/>
        <w:t>Application—pt 1.5</w:t>
      </w:r>
      <w:bookmarkEnd w:id="128"/>
      <w:r>
        <w:t xml:space="preserve"> </w:t>
      </w:r>
    </w:p>
    <w:p w14:paraId="07F86890" w14:textId="77777777" w:rsidR="001D55C6" w:rsidRDefault="001D55C6" w:rsidP="001D55C6">
      <w:pPr>
        <w:pStyle w:val="Amainreturn"/>
        <w:rPr>
          <w:sz w:val="23"/>
          <w:szCs w:val="23"/>
        </w:rPr>
      </w:pPr>
      <w:r>
        <w:t xml:space="preserve">This part applies to a club licensee </w:t>
      </w:r>
      <w:r>
        <w:rPr>
          <w:sz w:val="23"/>
          <w:szCs w:val="23"/>
        </w:rPr>
        <w:t>if a club refuge declaration is in force for the licensee’s club.</w:t>
      </w:r>
    </w:p>
    <w:p w14:paraId="5FD01A6D" w14:textId="77777777" w:rsidR="001D55C6" w:rsidRDefault="001D55C6" w:rsidP="001D55C6">
      <w:pPr>
        <w:pStyle w:val="Schclauseheading"/>
      </w:pPr>
      <w:bookmarkStart w:id="129" w:name="_Toc155080784"/>
      <w:r w:rsidRPr="004D57A4">
        <w:rPr>
          <w:rStyle w:val="CharSectNo"/>
        </w:rPr>
        <w:t>1.33</w:t>
      </w:r>
      <w:r>
        <w:tab/>
        <w:t xml:space="preserve">Meaning of </w:t>
      </w:r>
      <w:r w:rsidRPr="00886E69">
        <w:rPr>
          <w:rStyle w:val="charItals"/>
        </w:rPr>
        <w:t>club refuge declaration</w:t>
      </w:r>
      <w:r>
        <w:t>—pt 1.5</w:t>
      </w:r>
      <w:bookmarkEnd w:id="129"/>
    </w:p>
    <w:p w14:paraId="4D92B7B1" w14:textId="77777777" w:rsidR="001D55C6" w:rsidRDefault="001D55C6" w:rsidP="001D55C6">
      <w:pPr>
        <w:pStyle w:val="Amainreturn"/>
      </w:pPr>
      <w:r>
        <w:t>In this part:</w:t>
      </w:r>
    </w:p>
    <w:p w14:paraId="109DD0F4" w14:textId="664650E9" w:rsidR="001D55C6" w:rsidRPr="00872128" w:rsidRDefault="001D55C6" w:rsidP="001D55C6">
      <w:pPr>
        <w:pStyle w:val="aDef"/>
        <w:numPr>
          <w:ilvl w:val="5"/>
          <w:numId w:val="18"/>
        </w:numPr>
        <w:outlineLvl w:val="5"/>
      </w:pPr>
      <w:r w:rsidRPr="00886E69">
        <w:rPr>
          <w:rStyle w:val="charBoldItals"/>
        </w:rPr>
        <w:t>club refuge declaration</w:t>
      </w:r>
      <w:r>
        <w:rPr>
          <w:bCs/>
          <w:iCs/>
        </w:rPr>
        <w:t xml:space="preserve">—see the </w:t>
      </w:r>
      <w:hyperlink r:id="rId74" w:tooltip="A2004-34" w:history="1">
        <w:r w:rsidRPr="00886E69">
          <w:rPr>
            <w:rStyle w:val="charCitHyperlinkItal"/>
          </w:rPr>
          <w:t>Gaming Machine Act 2004</w:t>
        </w:r>
      </w:hyperlink>
      <w:r>
        <w:rPr>
          <w:bCs/>
          <w:iCs/>
        </w:rPr>
        <w:t>, section 166B (1).</w:t>
      </w:r>
      <w:r>
        <w:t xml:space="preserve"> </w:t>
      </w:r>
    </w:p>
    <w:p w14:paraId="1165D757" w14:textId="77777777" w:rsidR="001D55C6" w:rsidRDefault="001D55C6" w:rsidP="001D55C6">
      <w:pPr>
        <w:pStyle w:val="Schclauseheading"/>
      </w:pPr>
      <w:bookmarkStart w:id="130" w:name="_Toc155080785"/>
      <w:r w:rsidRPr="004D57A4">
        <w:rPr>
          <w:rStyle w:val="CharSectNo"/>
        </w:rPr>
        <w:t>1.34</w:t>
      </w:r>
      <w:r>
        <w:tab/>
        <w:t>Club refuge declaration—refuge area</w:t>
      </w:r>
      <w:bookmarkEnd w:id="130"/>
    </w:p>
    <w:p w14:paraId="0B02EF03" w14:textId="77777777" w:rsidR="001D55C6" w:rsidRPr="001B5FDC" w:rsidRDefault="001D55C6" w:rsidP="001D55C6">
      <w:pPr>
        <w:pStyle w:val="SchAmain"/>
      </w:pPr>
      <w:r>
        <w:tab/>
        <w:t>(1)</w:t>
      </w:r>
      <w:r>
        <w:tab/>
        <w:t xml:space="preserve">The club licensee must make an area in the club (a </w:t>
      </w:r>
      <w:r w:rsidRPr="00886E69">
        <w:rPr>
          <w:rStyle w:val="charBoldItals"/>
        </w:rPr>
        <w:t>refuge area</w:t>
      </w:r>
      <w:r>
        <w:t>) available to</w:t>
      </w:r>
      <w:r>
        <w:rPr>
          <w:sz w:val="23"/>
          <w:szCs w:val="23"/>
        </w:rPr>
        <w:t xml:space="preserve"> a person who accesses the club as a refug</w:t>
      </w:r>
      <w:r w:rsidRPr="001B5FDC">
        <w:rPr>
          <w:sz w:val="23"/>
          <w:szCs w:val="23"/>
        </w:rPr>
        <w:t>e.</w:t>
      </w:r>
    </w:p>
    <w:p w14:paraId="0A9807BB" w14:textId="77777777" w:rsidR="001D55C6" w:rsidRDefault="001D55C6" w:rsidP="001D55C6">
      <w:pPr>
        <w:pStyle w:val="SchAmain"/>
      </w:pPr>
      <w:r w:rsidRPr="001B5FDC">
        <w:tab/>
        <w:t>(2)</w:t>
      </w:r>
      <w:r w:rsidRPr="001B5FDC">
        <w:tab/>
        <w:t>The refuge area must b</w:t>
      </w:r>
      <w:r w:rsidRPr="00C67AB2">
        <w:t>e separate f</w:t>
      </w:r>
      <w:r w:rsidRPr="001B5FDC">
        <w:t>rom the gaming area.</w:t>
      </w:r>
    </w:p>
    <w:p w14:paraId="056D48E9" w14:textId="77777777" w:rsidR="001D55C6" w:rsidRPr="00AB2CAB" w:rsidRDefault="001D55C6" w:rsidP="001D55C6">
      <w:pPr>
        <w:pStyle w:val="SchAmain"/>
      </w:pPr>
      <w:r>
        <w:tab/>
        <w:t>(3)</w:t>
      </w:r>
      <w:r>
        <w:tab/>
      </w:r>
      <w:r w:rsidRPr="001B5FDC">
        <w:t>The club licensee must not serve alcohol in the refuge are</w:t>
      </w:r>
      <w:r>
        <w:t>a.</w:t>
      </w:r>
    </w:p>
    <w:p w14:paraId="4C92BA0E" w14:textId="77777777" w:rsidR="001D55C6" w:rsidRPr="00F846F6" w:rsidRDefault="001D55C6" w:rsidP="001D55C6">
      <w:pPr>
        <w:pStyle w:val="Schclauseheading"/>
      </w:pPr>
      <w:bookmarkStart w:id="131" w:name="_Toc155080786"/>
      <w:r w:rsidRPr="004D57A4">
        <w:rPr>
          <w:rStyle w:val="CharSectNo"/>
        </w:rPr>
        <w:t>1.35</w:t>
      </w:r>
      <w:r w:rsidRPr="00F846F6">
        <w:tab/>
        <w:t>Club refuge declaration—information about emergencies and refuges</w:t>
      </w:r>
      <w:bookmarkEnd w:id="131"/>
    </w:p>
    <w:p w14:paraId="33F899C2" w14:textId="7A323B11" w:rsidR="001D55C6" w:rsidRPr="00F846F6" w:rsidRDefault="001D55C6" w:rsidP="001D55C6">
      <w:pPr>
        <w:pStyle w:val="SchAmain"/>
      </w:pPr>
      <w:r w:rsidRPr="00F846F6">
        <w:tab/>
        <w:t>(1)</w:t>
      </w:r>
      <w:r w:rsidRPr="00F846F6">
        <w:tab/>
        <w:t xml:space="preserve">If the emergency services commissioner gives information to the community under the </w:t>
      </w:r>
      <w:hyperlink r:id="rId75" w:tooltip="A2004-28" w:history="1">
        <w:r w:rsidRPr="00886E69">
          <w:rPr>
            <w:rStyle w:val="charCitHyperlinkItal"/>
          </w:rPr>
          <w:t>Emergencies Act 2004</w:t>
        </w:r>
      </w:hyperlink>
      <w:r w:rsidRPr="00F846F6">
        <w:t>, section 149B about an emergency to which the club refuge declaration relates, the club licensee must make that information available to people who access the club as a refuge.</w:t>
      </w:r>
    </w:p>
    <w:p w14:paraId="632F65D1" w14:textId="77777777" w:rsidR="001D55C6" w:rsidRDefault="001D55C6" w:rsidP="001D55C6">
      <w:pPr>
        <w:pStyle w:val="SchAmain"/>
      </w:pPr>
      <w:r w:rsidRPr="00F846F6">
        <w:tab/>
        <w:t>(2)</w:t>
      </w:r>
      <w:r w:rsidRPr="00F846F6">
        <w:tab/>
        <w:t>If the director-general for an administrative unit gives information to the club licensee about other places that may be accessed as a refuge while the club refuge declaration is in force</w:t>
      </w:r>
      <w:r>
        <w:t xml:space="preserve"> for the licensee’s club</w:t>
      </w:r>
      <w:r w:rsidRPr="00F846F6">
        <w:t>, the club licensee must make that information available to people who access the club as a refuge.</w:t>
      </w:r>
    </w:p>
    <w:p w14:paraId="2C61E190" w14:textId="77777777" w:rsidR="001D55C6" w:rsidRDefault="001D55C6" w:rsidP="001D55C6">
      <w:pPr>
        <w:pStyle w:val="Schclauseheading"/>
      </w:pPr>
      <w:bookmarkStart w:id="132" w:name="_Toc155080787"/>
      <w:r w:rsidRPr="004D57A4">
        <w:rPr>
          <w:rStyle w:val="CharSectNo"/>
        </w:rPr>
        <w:lastRenderedPageBreak/>
        <w:t>1.36</w:t>
      </w:r>
      <w:r>
        <w:tab/>
        <w:t>Club refuge declaration—gambling contact officers</w:t>
      </w:r>
      <w:bookmarkEnd w:id="132"/>
    </w:p>
    <w:p w14:paraId="42171499" w14:textId="77777777" w:rsidR="001D55C6" w:rsidRDefault="001D55C6" w:rsidP="001D55C6">
      <w:pPr>
        <w:pStyle w:val="Amainreturn"/>
      </w:pPr>
      <w:r>
        <w:t>The club licensee must ensure that a gambling contact officer for the club is present in the club.</w:t>
      </w:r>
    </w:p>
    <w:p w14:paraId="0A7E0FC5" w14:textId="77777777" w:rsidR="001D55C6" w:rsidRDefault="001D55C6" w:rsidP="001D55C6">
      <w:pPr>
        <w:pStyle w:val="Schclauseheading"/>
      </w:pPr>
      <w:bookmarkStart w:id="133" w:name="_Toc155080788"/>
      <w:r w:rsidRPr="004D57A4">
        <w:rPr>
          <w:rStyle w:val="CharSectNo"/>
        </w:rPr>
        <w:t>1.37</w:t>
      </w:r>
      <w:r>
        <w:tab/>
        <w:t>Club refuge declaration—direct marketing</w:t>
      </w:r>
      <w:bookmarkEnd w:id="133"/>
    </w:p>
    <w:p w14:paraId="212FB868" w14:textId="77777777" w:rsidR="001D55C6" w:rsidRPr="00883069" w:rsidRDefault="001D55C6" w:rsidP="001D55C6">
      <w:pPr>
        <w:pStyle w:val="Amainreturn"/>
      </w:pPr>
      <w:r>
        <w:t>The club licensee must ensure a person accessing the club as a refuge does not receive direct marketing about club membership.</w:t>
      </w:r>
    </w:p>
    <w:p w14:paraId="3B0ED8F7" w14:textId="77777777" w:rsidR="00CE2FCA" w:rsidRPr="00CE2FCA" w:rsidRDefault="00CE2FCA" w:rsidP="00CE2FCA">
      <w:pPr>
        <w:pStyle w:val="PageBreak"/>
      </w:pPr>
      <w:r w:rsidRPr="00CE2FCA">
        <w:br w:type="page"/>
      </w:r>
    </w:p>
    <w:p w14:paraId="7FB16C2F" w14:textId="77777777" w:rsidR="0051286C" w:rsidRDefault="0051286C">
      <w:pPr>
        <w:pStyle w:val="03Schedule"/>
        <w:sectPr w:rsidR="0051286C">
          <w:headerReference w:type="even" r:id="rId76"/>
          <w:headerReference w:type="default" r:id="rId77"/>
          <w:footerReference w:type="even" r:id="rId78"/>
          <w:footerReference w:type="default" r:id="rId79"/>
          <w:type w:val="continuous"/>
          <w:pgSz w:w="11907" w:h="16839" w:code="9"/>
          <w:pgMar w:top="3880" w:right="1900" w:bottom="3100" w:left="2300" w:header="1920" w:footer="1760" w:gutter="0"/>
          <w:cols w:space="720"/>
        </w:sectPr>
      </w:pPr>
    </w:p>
    <w:p w14:paraId="46349893" w14:textId="77777777" w:rsidR="00D847F1" w:rsidRDefault="00D847F1">
      <w:pPr>
        <w:pStyle w:val="Dict-Heading"/>
      </w:pPr>
      <w:bookmarkStart w:id="134" w:name="_Toc155080789"/>
      <w:r>
        <w:lastRenderedPageBreak/>
        <w:t>Dictionary</w:t>
      </w:r>
      <w:bookmarkEnd w:id="134"/>
    </w:p>
    <w:p w14:paraId="6ACE2753" w14:textId="77777777" w:rsidR="00D847F1" w:rsidRDefault="00D847F1">
      <w:pPr>
        <w:pStyle w:val="ref"/>
        <w:keepNext/>
      </w:pPr>
      <w:r>
        <w:t>(see s 3)</w:t>
      </w:r>
    </w:p>
    <w:p w14:paraId="14DC8EB7" w14:textId="4A7A2AB5" w:rsidR="00EF52A4" w:rsidRPr="00D17D0C" w:rsidRDefault="00EF52A4" w:rsidP="00EF52A4">
      <w:pPr>
        <w:pStyle w:val="aNote"/>
      </w:pPr>
      <w:r w:rsidRPr="00D17D0C">
        <w:rPr>
          <w:rStyle w:val="charItals"/>
        </w:rPr>
        <w:t>Note 1</w:t>
      </w:r>
      <w:r w:rsidRPr="00D17D0C">
        <w:rPr>
          <w:rStyle w:val="charItals"/>
        </w:rPr>
        <w:tab/>
      </w:r>
      <w:r w:rsidRPr="00D17D0C">
        <w:t xml:space="preserve">The </w:t>
      </w:r>
      <w:hyperlink r:id="rId80" w:tooltip="A2001-14" w:history="1">
        <w:r w:rsidRPr="00D17D0C">
          <w:rPr>
            <w:rStyle w:val="charCitHyperlinkAbbrev"/>
          </w:rPr>
          <w:t>Legislation Act</w:t>
        </w:r>
      </w:hyperlink>
      <w:r w:rsidRPr="00D17D0C">
        <w:t xml:space="preserve"> contains definitions relevant to this regulation. For example:</w:t>
      </w:r>
    </w:p>
    <w:p w14:paraId="6C5BC71D" w14:textId="77777777" w:rsidR="00EF52A4" w:rsidRPr="00D17D0C" w:rsidRDefault="00EF52A4" w:rsidP="00EF52A4">
      <w:pPr>
        <w:pStyle w:val="aNoteBulletss"/>
        <w:tabs>
          <w:tab w:val="left" w:pos="2300"/>
        </w:tabs>
      </w:pPr>
      <w:r w:rsidRPr="00D17D0C">
        <w:rPr>
          <w:rFonts w:ascii="Symbol" w:hAnsi="Symbol"/>
        </w:rPr>
        <w:t></w:t>
      </w:r>
      <w:r w:rsidRPr="00D17D0C">
        <w:rPr>
          <w:rFonts w:ascii="Symbol" w:hAnsi="Symbol"/>
        </w:rPr>
        <w:tab/>
      </w:r>
      <w:r w:rsidRPr="00D17D0C">
        <w:t>ACAT</w:t>
      </w:r>
    </w:p>
    <w:p w14:paraId="17F28C10" w14:textId="77777777" w:rsidR="00EF52A4" w:rsidRPr="00D17D0C" w:rsidRDefault="00EF52A4" w:rsidP="00EF52A4">
      <w:pPr>
        <w:pStyle w:val="aNoteBulletss"/>
        <w:tabs>
          <w:tab w:val="left" w:pos="2300"/>
        </w:tabs>
      </w:pPr>
      <w:r w:rsidRPr="00D17D0C">
        <w:rPr>
          <w:rFonts w:ascii="Symbol" w:hAnsi="Symbol"/>
        </w:rPr>
        <w:t></w:t>
      </w:r>
      <w:r w:rsidRPr="00D17D0C">
        <w:rPr>
          <w:rFonts w:ascii="Symbol" w:hAnsi="Symbol"/>
        </w:rPr>
        <w:tab/>
      </w:r>
      <w:r w:rsidRPr="00D17D0C">
        <w:t>amend</w:t>
      </w:r>
    </w:p>
    <w:p w14:paraId="4EF40446" w14:textId="77777777" w:rsidR="00EF52A4" w:rsidRPr="00D17D0C" w:rsidRDefault="00EF52A4" w:rsidP="00EF52A4">
      <w:pPr>
        <w:pStyle w:val="aNoteBulletss"/>
        <w:tabs>
          <w:tab w:val="left" w:pos="2300"/>
        </w:tabs>
      </w:pPr>
      <w:r w:rsidRPr="00D17D0C">
        <w:rPr>
          <w:rFonts w:ascii="Symbol" w:hAnsi="Symbol"/>
        </w:rPr>
        <w:t></w:t>
      </w:r>
      <w:r w:rsidRPr="00D17D0C">
        <w:rPr>
          <w:rFonts w:ascii="Symbol" w:hAnsi="Symbol"/>
        </w:rPr>
        <w:tab/>
      </w:r>
      <w:r w:rsidRPr="00D17D0C">
        <w:t>contravene</w:t>
      </w:r>
    </w:p>
    <w:p w14:paraId="42D085CC" w14:textId="77777777" w:rsidR="002F4768" w:rsidRDefault="002F4768" w:rsidP="002F4768">
      <w:pPr>
        <w:pStyle w:val="aNoteBulletss"/>
        <w:numPr>
          <w:ilvl w:val="0"/>
          <w:numId w:val="19"/>
        </w:numPr>
        <w:tabs>
          <w:tab w:val="clear" w:pos="0"/>
        </w:tabs>
      </w:pPr>
      <w:r>
        <w:t>emergency services commissioner</w:t>
      </w:r>
    </w:p>
    <w:p w14:paraId="0254CFB2" w14:textId="77777777" w:rsidR="00EF52A4" w:rsidRPr="00D17D0C" w:rsidRDefault="00EF52A4" w:rsidP="00EF52A4">
      <w:pPr>
        <w:pStyle w:val="aNoteBulletss"/>
        <w:tabs>
          <w:tab w:val="left" w:pos="2300"/>
        </w:tabs>
      </w:pPr>
      <w:r w:rsidRPr="00D17D0C">
        <w:rPr>
          <w:rFonts w:ascii="Symbol" w:hAnsi="Symbol"/>
        </w:rPr>
        <w:t></w:t>
      </w:r>
      <w:r w:rsidRPr="00D17D0C">
        <w:rPr>
          <w:rFonts w:ascii="Symbol" w:hAnsi="Symbol"/>
        </w:rPr>
        <w:tab/>
      </w:r>
      <w:r w:rsidRPr="00D17D0C">
        <w:t>may (see s 146)</w:t>
      </w:r>
    </w:p>
    <w:p w14:paraId="0AB0801D" w14:textId="77777777" w:rsidR="00EF52A4" w:rsidRPr="00D17D0C" w:rsidRDefault="00EF52A4" w:rsidP="00EF52A4">
      <w:pPr>
        <w:pStyle w:val="aNoteBulletss"/>
        <w:tabs>
          <w:tab w:val="left" w:pos="2300"/>
        </w:tabs>
      </w:pPr>
      <w:r w:rsidRPr="00D17D0C">
        <w:rPr>
          <w:rFonts w:ascii="Symbol" w:hAnsi="Symbol"/>
        </w:rPr>
        <w:t></w:t>
      </w:r>
      <w:r w:rsidRPr="00D17D0C">
        <w:rPr>
          <w:rFonts w:ascii="Symbol" w:hAnsi="Symbol"/>
        </w:rPr>
        <w:tab/>
      </w:r>
      <w:r w:rsidRPr="00D17D0C">
        <w:t>month</w:t>
      </w:r>
    </w:p>
    <w:p w14:paraId="302F7E9A" w14:textId="77777777" w:rsidR="00EF52A4" w:rsidRPr="00D17D0C" w:rsidRDefault="00EF52A4" w:rsidP="00EF52A4">
      <w:pPr>
        <w:pStyle w:val="aNoteBulletss"/>
        <w:tabs>
          <w:tab w:val="left" w:pos="2300"/>
        </w:tabs>
      </w:pPr>
      <w:r w:rsidRPr="00D17D0C">
        <w:rPr>
          <w:rFonts w:ascii="Symbol" w:hAnsi="Symbol"/>
        </w:rPr>
        <w:t></w:t>
      </w:r>
      <w:r w:rsidRPr="00D17D0C">
        <w:rPr>
          <w:rFonts w:ascii="Symbol" w:hAnsi="Symbol"/>
        </w:rPr>
        <w:tab/>
      </w:r>
      <w:r w:rsidRPr="00D17D0C">
        <w:t>must (see s 146)</w:t>
      </w:r>
    </w:p>
    <w:p w14:paraId="2918AEE8" w14:textId="77777777" w:rsidR="00EF52A4" w:rsidRPr="00D17D0C" w:rsidRDefault="00EF52A4" w:rsidP="00EF52A4">
      <w:pPr>
        <w:pStyle w:val="aNoteBulletss"/>
        <w:keepNext/>
        <w:tabs>
          <w:tab w:val="left" w:pos="2300"/>
        </w:tabs>
      </w:pPr>
      <w:r w:rsidRPr="00D17D0C">
        <w:rPr>
          <w:rFonts w:ascii="Symbol" w:hAnsi="Symbol"/>
        </w:rPr>
        <w:t></w:t>
      </w:r>
      <w:r w:rsidRPr="00D17D0C">
        <w:rPr>
          <w:rFonts w:ascii="Symbol" w:hAnsi="Symbol"/>
        </w:rPr>
        <w:tab/>
      </w:r>
      <w:r w:rsidRPr="00D17D0C">
        <w:t>reviewable decision notice.</w:t>
      </w:r>
    </w:p>
    <w:p w14:paraId="32FAC420" w14:textId="6D2C9A36" w:rsidR="00EF52A4" w:rsidRPr="00D17D0C" w:rsidRDefault="00EF52A4" w:rsidP="00EF52A4">
      <w:pPr>
        <w:pStyle w:val="aNote"/>
        <w:rPr>
          <w:iCs/>
        </w:rPr>
      </w:pPr>
      <w:r w:rsidRPr="00D17D0C">
        <w:rPr>
          <w:rStyle w:val="charItals"/>
        </w:rPr>
        <w:t>Note 2</w:t>
      </w:r>
      <w:r w:rsidRPr="00D17D0C">
        <w:rPr>
          <w:rStyle w:val="charItals"/>
        </w:rPr>
        <w:tab/>
      </w:r>
      <w:r w:rsidRPr="00D17D0C">
        <w:rPr>
          <w:iCs/>
        </w:rPr>
        <w:t xml:space="preserve">Terms used in this regulation have the same meaning that they have in the </w:t>
      </w:r>
      <w:hyperlink r:id="rId81" w:tooltip="A1999-46" w:history="1">
        <w:r w:rsidRPr="00D17D0C">
          <w:rPr>
            <w:rStyle w:val="charCitHyperlinkItal"/>
          </w:rPr>
          <w:t>Gambling and Racing Control Act 1999</w:t>
        </w:r>
      </w:hyperlink>
      <w:r w:rsidRPr="00D17D0C">
        <w:rPr>
          <w:iCs/>
        </w:rPr>
        <w:t xml:space="preserve">. For example, the following terms are defined in the </w:t>
      </w:r>
      <w:hyperlink r:id="rId82" w:tooltip="A1999-46" w:history="1">
        <w:r w:rsidRPr="00D17D0C">
          <w:rPr>
            <w:rStyle w:val="charCitHyperlinkItal"/>
          </w:rPr>
          <w:t>Gambling and Racing Control Act 1999</w:t>
        </w:r>
      </w:hyperlink>
      <w:r w:rsidRPr="00D17D0C">
        <w:rPr>
          <w:iCs/>
        </w:rPr>
        <w:t>, dict:</w:t>
      </w:r>
    </w:p>
    <w:p w14:paraId="5942C68B" w14:textId="77777777" w:rsidR="00EF52A4" w:rsidRPr="00D17D0C" w:rsidRDefault="00EF52A4" w:rsidP="00EF52A4">
      <w:pPr>
        <w:pStyle w:val="aNoteBulletss"/>
        <w:tabs>
          <w:tab w:val="left" w:pos="2300"/>
        </w:tabs>
      </w:pPr>
      <w:r w:rsidRPr="00D17D0C">
        <w:rPr>
          <w:rFonts w:ascii="Symbol" w:hAnsi="Symbol"/>
        </w:rPr>
        <w:t></w:t>
      </w:r>
      <w:r w:rsidRPr="00D17D0C">
        <w:rPr>
          <w:rFonts w:ascii="Symbol" w:hAnsi="Symbol"/>
        </w:rPr>
        <w:tab/>
      </w:r>
      <w:r w:rsidRPr="00D17D0C">
        <w:t>casino</w:t>
      </w:r>
    </w:p>
    <w:p w14:paraId="31EB38C5" w14:textId="77777777" w:rsidR="002F4768" w:rsidRDefault="002F4768" w:rsidP="002F4768">
      <w:pPr>
        <w:pStyle w:val="aNoteBulletss"/>
        <w:numPr>
          <w:ilvl w:val="0"/>
          <w:numId w:val="19"/>
        </w:numPr>
        <w:tabs>
          <w:tab w:val="clear" w:pos="0"/>
        </w:tabs>
      </w:pPr>
      <w:r>
        <w:t xml:space="preserve">club licensee </w:t>
      </w:r>
    </w:p>
    <w:p w14:paraId="71C7AC8E" w14:textId="77777777" w:rsidR="00EF52A4" w:rsidRPr="00D17D0C" w:rsidRDefault="00EF52A4" w:rsidP="00EF52A4">
      <w:pPr>
        <w:pStyle w:val="aNoteBulletss"/>
        <w:tabs>
          <w:tab w:val="left" w:pos="2300"/>
        </w:tabs>
      </w:pPr>
      <w:r w:rsidRPr="00D17D0C">
        <w:rPr>
          <w:rFonts w:ascii="Symbol" w:hAnsi="Symbol"/>
        </w:rPr>
        <w:t></w:t>
      </w:r>
      <w:r w:rsidRPr="00D17D0C">
        <w:rPr>
          <w:rFonts w:ascii="Symbol" w:hAnsi="Symbol"/>
        </w:rPr>
        <w:tab/>
      </w:r>
      <w:r w:rsidRPr="00D17D0C">
        <w:t>commission</w:t>
      </w:r>
    </w:p>
    <w:p w14:paraId="1433B4E1" w14:textId="77777777" w:rsidR="00EF52A4" w:rsidRPr="00D17D0C" w:rsidRDefault="00EF52A4" w:rsidP="00EF52A4">
      <w:pPr>
        <w:pStyle w:val="aNoteBulletss"/>
        <w:tabs>
          <w:tab w:val="left" w:pos="2300"/>
        </w:tabs>
      </w:pPr>
      <w:r w:rsidRPr="00D17D0C">
        <w:rPr>
          <w:rFonts w:ascii="Symbol" w:hAnsi="Symbol"/>
        </w:rPr>
        <w:t></w:t>
      </w:r>
      <w:r w:rsidRPr="00D17D0C">
        <w:rPr>
          <w:rFonts w:ascii="Symbol" w:hAnsi="Symbol"/>
        </w:rPr>
        <w:tab/>
      </w:r>
      <w:r w:rsidRPr="00D17D0C">
        <w:t>gaming law.</w:t>
      </w:r>
    </w:p>
    <w:p w14:paraId="429F78AB" w14:textId="77777777" w:rsidR="00EF52A4" w:rsidRPr="00D17D0C" w:rsidRDefault="00EF52A4" w:rsidP="00EF52A4">
      <w:pPr>
        <w:pStyle w:val="aDef"/>
      </w:pPr>
      <w:r w:rsidRPr="00D17D0C">
        <w:rPr>
          <w:rStyle w:val="charBoldItals"/>
        </w:rPr>
        <w:t>account holder</w:t>
      </w:r>
      <w:r w:rsidRPr="00D17D0C">
        <w:t>, for a betting account, for schedule 1, division 1.2.5 (Betting accounts—activity statements)—see schedule 1, section 1.20K (1).</w:t>
      </w:r>
    </w:p>
    <w:p w14:paraId="7AE51076" w14:textId="40BB6B1B" w:rsidR="00EF52A4" w:rsidRDefault="00EF52A4" w:rsidP="00EF52A4">
      <w:pPr>
        <w:pStyle w:val="aDef"/>
      </w:pPr>
      <w:r w:rsidRPr="00D17D0C">
        <w:rPr>
          <w:rStyle w:val="charBoldItals"/>
        </w:rPr>
        <w:t>activity statement</w:t>
      </w:r>
      <w:r w:rsidRPr="00D17D0C">
        <w:t>, for a betting account, for schedule 1, division 1.2.5 (Betting accounts—activity statements)—see schedule 1, section</w:t>
      </w:r>
      <w:r>
        <w:t> </w:t>
      </w:r>
      <w:r w:rsidRPr="00D17D0C">
        <w:t>1.20K (1).</w:t>
      </w:r>
    </w:p>
    <w:p w14:paraId="7108B9B5" w14:textId="0D8B7B7F" w:rsidR="00996BB2" w:rsidRPr="00D17D0C" w:rsidRDefault="00996BB2" w:rsidP="00996BB2">
      <w:pPr>
        <w:pStyle w:val="aDef"/>
      </w:pPr>
      <w:r w:rsidRPr="00CA67C6">
        <w:rPr>
          <w:rStyle w:val="charBoldItals"/>
        </w:rPr>
        <w:t>app advertising</w:t>
      </w:r>
      <w:r w:rsidRPr="003042FA">
        <w:rPr>
          <w:bCs/>
          <w:iCs/>
        </w:rPr>
        <w:t>, for schedule 1, division 1.4.2 (</w:t>
      </w:r>
      <w:r w:rsidRPr="003042FA">
        <w:t>Advertising requirements</w:t>
      </w:r>
      <w:r w:rsidRPr="003042FA">
        <w:rPr>
          <w:color w:val="000000"/>
          <w:shd w:val="clear" w:color="auto" w:fill="FFFFFF"/>
        </w:rPr>
        <w:t>—electronic licensees)</w:t>
      </w:r>
      <w:r w:rsidRPr="003042FA">
        <w:rPr>
          <w:bCs/>
          <w:iCs/>
        </w:rPr>
        <w:t>—see schedule 1, section 1.29B.</w:t>
      </w:r>
    </w:p>
    <w:p w14:paraId="18E6E34E" w14:textId="77777777" w:rsidR="00D847F1" w:rsidRDefault="00D847F1">
      <w:pPr>
        <w:pStyle w:val="aDef"/>
      </w:pPr>
      <w:r>
        <w:rPr>
          <w:rStyle w:val="charBoldItals"/>
        </w:rPr>
        <w:t>approved</w:t>
      </w:r>
      <w:r>
        <w:t xml:space="preserve"> means approved by the commission.</w:t>
      </w:r>
    </w:p>
    <w:p w14:paraId="6CAAE2FA" w14:textId="77777777" w:rsidR="00D847F1" w:rsidRDefault="00D847F1">
      <w:pPr>
        <w:pStyle w:val="aDef"/>
      </w:pPr>
      <w:r>
        <w:rPr>
          <w:rStyle w:val="charBoldItals"/>
        </w:rPr>
        <w:t>approved training program</w:t>
      </w:r>
      <w:r>
        <w:t xml:space="preserve"> means a training program approved under section 9 (</w:t>
      </w:r>
      <w:r w:rsidR="001670ED" w:rsidRPr="00A35BB6">
        <w:t>Approved training programs</w:t>
      </w:r>
      <w:r>
        <w:t>).</w:t>
      </w:r>
    </w:p>
    <w:p w14:paraId="1F469821" w14:textId="77777777" w:rsidR="00EF52A4" w:rsidRPr="00D17D0C" w:rsidRDefault="00EF52A4" w:rsidP="00EF52A4">
      <w:pPr>
        <w:pStyle w:val="aDef"/>
      </w:pPr>
      <w:r w:rsidRPr="00D17D0C">
        <w:rPr>
          <w:rStyle w:val="charBoldItals"/>
        </w:rPr>
        <w:lastRenderedPageBreak/>
        <w:t>betting account</w:t>
      </w:r>
      <w:r w:rsidRPr="00D17D0C">
        <w:t>, for schedule 1 (Code of practice)—see schedule 1, section 1.1A.</w:t>
      </w:r>
    </w:p>
    <w:p w14:paraId="7246FB6F" w14:textId="0FFBB577" w:rsidR="00EF52A4" w:rsidRDefault="00EF52A4" w:rsidP="00EF52A4">
      <w:pPr>
        <w:pStyle w:val="aDef"/>
      </w:pPr>
      <w:r w:rsidRPr="00D17D0C">
        <w:rPr>
          <w:rStyle w:val="charBoldItals"/>
        </w:rPr>
        <w:t>bonus bet</w:t>
      </w:r>
      <w:r w:rsidRPr="00D17D0C">
        <w:t>, for schedule 1 , division 1.2.5 (Betting accounts—activity statements)—see schedule 1, section 1.30 (7).</w:t>
      </w:r>
    </w:p>
    <w:p w14:paraId="466D4BA7" w14:textId="68C193AF" w:rsidR="00996BB2" w:rsidRPr="00D17D0C" w:rsidRDefault="00996BB2" w:rsidP="00996BB2">
      <w:pPr>
        <w:pStyle w:val="aDef"/>
      </w:pPr>
      <w:r w:rsidRPr="00CA67C6">
        <w:rPr>
          <w:rStyle w:val="charBoldItals"/>
        </w:rPr>
        <w:t>call to action</w:t>
      </w:r>
      <w:r w:rsidRPr="003042FA">
        <w:rPr>
          <w:bCs/>
          <w:iCs/>
        </w:rPr>
        <w:t>, for schedule 1, division 1.4.2 (</w:t>
      </w:r>
      <w:r w:rsidRPr="003042FA">
        <w:t>Advertising requirements</w:t>
      </w:r>
      <w:r w:rsidRPr="003042FA">
        <w:rPr>
          <w:color w:val="000000"/>
          <w:shd w:val="clear" w:color="auto" w:fill="FFFFFF"/>
        </w:rPr>
        <w:t>—electronic licensees)</w:t>
      </w:r>
      <w:r w:rsidRPr="003042FA">
        <w:rPr>
          <w:bCs/>
          <w:iCs/>
        </w:rPr>
        <w:t>—see schedule 1, section 1.29D.</w:t>
      </w:r>
    </w:p>
    <w:p w14:paraId="72D28123" w14:textId="1DA91E0A" w:rsidR="00D847F1" w:rsidRDefault="00D847F1">
      <w:pPr>
        <w:pStyle w:val="aDef"/>
      </w:pPr>
      <w:r>
        <w:rPr>
          <w:rStyle w:val="charBoldItals"/>
        </w:rPr>
        <w:t>casino licensee—</w:t>
      </w:r>
      <w:r>
        <w:t xml:space="preserve">see the </w:t>
      </w:r>
      <w:hyperlink r:id="rId83" w:tooltip="A2006-2" w:history="1">
        <w:r w:rsidR="00DF21AF" w:rsidRPr="00DF21AF">
          <w:rPr>
            <w:rStyle w:val="charCitHyperlinkItal"/>
          </w:rPr>
          <w:t>Casino Control Act 2006</w:t>
        </w:r>
      </w:hyperlink>
      <w:r>
        <w:t xml:space="preserve">, dictionary. </w:t>
      </w:r>
    </w:p>
    <w:p w14:paraId="1FBF4D7F" w14:textId="155A8F13" w:rsidR="002F4768" w:rsidRDefault="002F4768" w:rsidP="002F4768">
      <w:pPr>
        <w:pStyle w:val="Amainreturn"/>
        <w:rPr>
          <w:bCs/>
          <w:iCs/>
        </w:rPr>
      </w:pPr>
      <w:r w:rsidRPr="00886E69">
        <w:rPr>
          <w:rStyle w:val="charBoldItals"/>
        </w:rPr>
        <w:t>club refuge declaration</w:t>
      </w:r>
      <w:r>
        <w:rPr>
          <w:bCs/>
          <w:iCs/>
        </w:rPr>
        <w:t>, for schedule 1, part 1.5 (</w:t>
      </w:r>
      <w:r>
        <w:t>Club licensee obligations—club refuge declarations</w:t>
      </w:r>
      <w:r>
        <w:rPr>
          <w:bCs/>
          <w:iCs/>
        </w:rPr>
        <w:t xml:space="preserve">)—see the </w:t>
      </w:r>
      <w:hyperlink r:id="rId84" w:tooltip="A2004-34" w:history="1">
        <w:r w:rsidRPr="00886E69">
          <w:rPr>
            <w:rStyle w:val="charCitHyperlinkItal"/>
          </w:rPr>
          <w:t>Gaming Machine Act 2004</w:t>
        </w:r>
      </w:hyperlink>
      <w:r>
        <w:rPr>
          <w:bCs/>
          <w:iCs/>
        </w:rPr>
        <w:t>, section 166B (1).</w:t>
      </w:r>
    </w:p>
    <w:p w14:paraId="10B10059" w14:textId="77777777" w:rsidR="00D847F1" w:rsidRDefault="00D847F1">
      <w:pPr>
        <w:pStyle w:val="aDef"/>
      </w:pPr>
      <w:r>
        <w:rPr>
          <w:rStyle w:val="charBoldItals"/>
        </w:rPr>
        <w:t>code of practice</w:t>
      </w:r>
      <w:r>
        <w:t xml:space="preserve"> means the code of practice in schedule 1.</w:t>
      </w:r>
    </w:p>
    <w:p w14:paraId="7ACAEFDF" w14:textId="0BC84FD6" w:rsidR="00EF52A4" w:rsidRPr="00D17D0C" w:rsidRDefault="00EF52A4" w:rsidP="00EF52A4">
      <w:pPr>
        <w:pStyle w:val="aDef"/>
      </w:pPr>
      <w:r w:rsidRPr="00D17D0C">
        <w:rPr>
          <w:rStyle w:val="charBoldItals"/>
        </w:rPr>
        <w:t>deed of exclusion</w:t>
      </w:r>
      <w:r w:rsidRPr="00D17D0C">
        <w:t>, for schedule 1 (Code of practice)—see schedule</w:t>
      </w:r>
      <w:r>
        <w:t> </w:t>
      </w:r>
      <w:r w:rsidRPr="00D17D0C">
        <w:t>1, section 1.13.</w:t>
      </w:r>
    </w:p>
    <w:p w14:paraId="0B1CC3AF" w14:textId="1F7DF9D3" w:rsidR="00EF52A4" w:rsidRDefault="00EF52A4" w:rsidP="00EF52A4">
      <w:pPr>
        <w:pStyle w:val="aDef"/>
        <w:rPr>
          <w:rStyle w:val="charbolditals0"/>
          <w:color w:val="000000"/>
        </w:rPr>
      </w:pPr>
      <w:r w:rsidRPr="00D17D0C">
        <w:rPr>
          <w:rStyle w:val="charBoldItals"/>
        </w:rPr>
        <w:t>deposit limit</w:t>
      </w:r>
      <w:r w:rsidRPr="00D17D0C">
        <w:rPr>
          <w:rStyle w:val="charbolditals0"/>
          <w:color w:val="000000"/>
        </w:rPr>
        <w:t>, for schedule 1, division 1.2.4 (</w:t>
      </w:r>
      <w:r w:rsidRPr="00D17D0C">
        <w:t>Betting accounts—electronic race bookmaking, sports bookmaking and totalisator licensees</w:t>
      </w:r>
      <w:r w:rsidRPr="00D17D0C">
        <w:rPr>
          <w:rStyle w:val="charbolditals0"/>
          <w:color w:val="000000"/>
        </w:rPr>
        <w:t>)—see schedule 1, section 1.20B.</w:t>
      </w:r>
    </w:p>
    <w:p w14:paraId="3EE5CC99" w14:textId="1A37E947" w:rsidR="00996BB2" w:rsidRPr="00D17D0C" w:rsidRDefault="00996BB2" w:rsidP="00996BB2">
      <w:pPr>
        <w:pStyle w:val="aDef"/>
        <w:rPr>
          <w:rStyle w:val="charbolditals0"/>
          <w:color w:val="000000"/>
        </w:rPr>
      </w:pPr>
      <w:r w:rsidRPr="00CA67C6">
        <w:rPr>
          <w:rStyle w:val="charBoldItals"/>
        </w:rPr>
        <w:t>digital advertising</w:t>
      </w:r>
      <w:r w:rsidRPr="003042FA">
        <w:rPr>
          <w:bCs/>
          <w:iCs/>
        </w:rPr>
        <w:t>, for schedule 1, division 1.4.2 (</w:t>
      </w:r>
      <w:r w:rsidRPr="003042FA">
        <w:t>Advertising requirements</w:t>
      </w:r>
      <w:r w:rsidRPr="003042FA">
        <w:rPr>
          <w:color w:val="000000"/>
          <w:shd w:val="clear" w:color="auto" w:fill="FFFFFF"/>
        </w:rPr>
        <w:t>—electronic licensees)</w:t>
      </w:r>
      <w:r w:rsidRPr="003042FA">
        <w:rPr>
          <w:bCs/>
          <w:iCs/>
        </w:rPr>
        <w:t>—see schedule 1, section 1.29B.</w:t>
      </w:r>
    </w:p>
    <w:p w14:paraId="3D6167E3" w14:textId="77777777" w:rsidR="009E42A0" w:rsidRPr="003042FA" w:rsidRDefault="009E42A0" w:rsidP="009E42A0">
      <w:pPr>
        <w:pStyle w:val="aDef"/>
      </w:pPr>
      <w:r w:rsidRPr="00CA67C6">
        <w:rPr>
          <w:rStyle w:val="charBoldItals"/>
        </w:rPr>
        <w:t>direct marketing</w:t>
      </w:r>
      <w:r w:rsidRPr="003042FA">
        <w:rPr>
          <w:color w:val="000000"/>
          <w:shd w:val="clear" w:color="auto" w:fill="FFFFFF"/>
        </w:rPr>
        <w:t>—</w:t>
      </w:r>
    </w:p>
    <w:p w14:paraId="5CDB3ED0" w14:textId="77777777" w:rsidR="009E42A0" w:rsidRPr="003042FA" w:rsidRDefault="009E42A0" w:rsidP="009E42A0">
      <w:pPr>
        <w:pStyle w:val="aDefpara"/>
      </w:pPr>
      <w:r w:rsidRPr="003042FA">
        <w:rPr>
          <w:shd w:val="clear" w:color="auto" w:fill="FFFFFF"/>
        </w:rPr>
        <w:tab/>
        <w:t>(a)</w:t>
      </w:r>
      <w:r w:rsidRPr="003042FA">
        <w:rPr>
          <w:shd w:val="clear" w:color="auto" w:fill="FFFFFF"/>
        </w:rPr>
        <w:tab/>
        <w:t>for schedule 1 (Code of Practice) generally—see schedule 1, section 1.1A; and</w:t>
      </w:r>
    </w:p>
    <w:p w14:paraId="6205991D" w14:textId="77777777" w:rsidR="009E42A0" w:rsidRPr="003042FA" w:rsidRDefault="009E42A0" w:rsidP="009E42A0">
      <w:pPr>
        <w:pStyle w:val="aDefpara"/>
      </w:pPr>
      <w:r w:rsidRPr="003042FA">
        <w:rPr>
          <w:color w:val="000000"/>
          <w:shd w:val="clear" w:color="auto" w:fill="FFFFFF"/>
        </w:rPr>
        <w:tab/>
        <w:t>(b)</w:t>
      </w:r>
      <w:r w:rsidRPr="003042FA">
        <w:rPr>
          <w:color w:val="000000"/>
          <w:shd w:val="clear" w:color="auto" w:fill="FFFFFF"/>
        </w:rPr>
        <w:tab/>
        <w:t xml:space="preserve">for </w:t>
      </w:r>
      <w:r w:rsidRPr="003042FA">
        <w:rPr>
          <w:bCs/>
          <w:iCs/>
        </w:rPr>
        <w:t>schedule 1, division 1.4.2 (</w:t>
      </w:r>
      <w:r w:rsidRPr="003042FA">
        <w:t>Advertising requirements</w:t>
      </w:r>
      <w:r w:rsidRPr="003042FA">
        <w:rPr>
          <w:color w:val="000000"/>
          <w:shd w:val="clear" w:color="auto" w:fill="FFFFFF"/>
        </w:rPr>
        <w:t>—electronic licensees)</w:t>
      </w:r>
      <w:r w:rsidRPr="003042FA">
        <w:rPr>
          <w:bCs/>
          <w:iCs/>
        </w:rPr>
        <w:t>—see schedule 1, section 1.29B.</w:t>
      </w:r>
    </w:p>
    <w:p w14:paraId="32741251" w14:textId="57199844" w:rsidR="00EF52A4" w:rsidRDefault="00EF52A4" w:rsidP="009E42A0">
      <w:pPr>
        <w:pStyle w:val="aDef"/>
      </w:pPr>
      <w:r w:rsidRPr="00D17D0C">
        <w:rPr>
          <w:rStyle w:val="charBoldItals"/>
        </w:rPr>
        <w:t>electronic race bookmaking licensee</w:t>
      </w:r>
      <w:r w:rsidRPr="00D17D0C">
        <w:t>, for schedule 1 (Code of practice)—see schedule 1, section 1.1A.</w:t>
      </w:r>
    </w:p>
    <w:p w14:paraId="0BF354C1" w14:textId="1E522A88" w:rsidR="009E42A0" w:rsidRDefault="009E42A0" w:rsidP="009E42A0">
      <w:pPr>
        <w:pStyle w:val="aDef"/>
        <w:rPr>
          <w:color w:val="000000"/>
          <w:shd w:val="clear" w:color="auto" w:fill="FFFFFF"/>
        </w:rPr>
      </w:pPr>
      <w:r w:rsidRPr="00CA67C6">
        <w:rPr>
          <w:rStyle w:val="charBoldItals"/>
        </w:rPr>
        <w:t>electronic sports bookmaking licensee</w:t>
      </w:r>
      <w:r w:rsidRPr="003042FA">
        <w:rPr>
          <w:color w:val="000000"/>
          <w:shd w:val="clear" w:color="auto" w:fill="FFFFFF"/>
        </w:rPr>
        <w:t>, for schedule 1 (Code of practice)—see schedule 1, section 1.1A.</w:t>
      </w:r>
    </w:p>
    <w:p w14:paraId="51365981" w14:textId="396BF95A" w:rsidR="009E42A0" w:rsidRPr="009E42A0" w:rsidRDefault="009E42A0" w:rsidP="009E42A0">
      <w:pPr>
        <w:pStyle w:val="aDef"/>
        <w:rPr>
          <w:rStyle w:val="charbolditals0"/>
        </w:rPr>
      </w:pPr>
      <w:r w:rsidRPr="00CA67C6">
        <w:rPr>
          <w:rStyle w:val="charBoldItals"/>
        </w:rPr>
        <w:lastRenderedPageBreak/>
        <w:t>electronic totalisator licensee</w:t>
      </w:r>
      <w:r w:rsidRPr="003042FA">
        <w:rPr>
          <w:color w:val="000000"/>
          <w:shd w:val="clear" w:color="auto" w:fill="FFFFFF"/>
        </w:rPr>
        <w:t>, for schedule 1 (Code of practice)—see schedule 1, section 1.1A.</w:t>
      </w:r>
    </w:p>
    <w:p w14:paraId="35E7A8F0" w14:textId="77777777" w:rsidR="00EF52A4" w:rsidRPr="00D17D0C" w:rsidRDefault="00EF52A4" w:rsidP="00EF52A4">
      <w:pPr>
        <w:pStyle w:val="aDef"/>
      </w:pPr>
      <w:r w:rsidRPr="00D17D0C">
        <w:rPr>
          <w:rStyle w:val="charBoldItals"/>
        </w:rPr>
        <w:t>exclusion register</w:t>
      </w:r>
      <w:r w:rsidRPr="00D17D0C">
        <w:t>—see section 20.</w:t>
      </w:r>
    </w:p>
    <w:p w14:paraId="3EB67E9D" w14:textId="10E5AA84" w:rsidR="00D847F1" w:rsidRDefault="00D847F1">
      <w:pPr>
        <w:pStyle w:val="aDef"/>
      </w:pPr>
      <w:r>
        <w:rPr>
          <w:rStyle w:val="charBoldItals"/>
        </w:rPr>
        <w:t>exempt lottery</w:t>
      </w:r>
      <w:r>
        <w:t xml:space="preserve">—see the </w:t>
      </w:r>
      <w:hyperlink r:id="rId85" w:tooltip="A1964-13" w:history="1">
        <w:r w:rsidR="00DF21AF" w:rsidRPr="00DF21AF">
          <w:rPr>
            <w:rStyle w:val="charCitHyperlinkItal"/>
          </w:rPr>
          <w:t>Lotteries Act 1964</w:t>
        </w:r>
      </w:hyperlink>
      <w:r>
        <w:t>, dictionary.</w:t>
      </w:r>
    </w:p>
    <w:p w14:paraId="7A241EB4" w14:textId="6F20A34D" w:rsidR="00D847F1" w:rsidRDefault="00D847F1">
      <w:pPr>
        <w:pStyle w:val="aDef"/>
      </w:pPr>
      <w:r>
        <w:rPr>
          <w:rStyle w:val="charBoldItals"/>
        </w:rPr>
        <w:t>gambling</w:t>
      </w:r>
      <w:r>
        <w:t xml:space="preserve"> means gaming or betting under a gaming law.</w:t>
      </w:r>
    </w:p>
    <w:p w14:paraId="5225C1C6" w14:textId="3DACE722" w:rsidR="009E42A0" w:rsidRDefault="009E42A0" w:rsidP="009E42A0">
      <w:pPr>
        <w:pStyle w:val="aDef"/>
      </w:pPr>
      <w:r w:rsidRPr="00CA67C6">
        <w:rPr>
          <w:rStyle w:val="charBoldItals"/>
        </w:rPr>
        <w:t>gambling advertising</w:t>
      </w:r>
      <w:r w:rsidRPr="003042FA">
        <w:rPr>
          <w:bCs/>
          <w:iCs/>
        </w:rPr>
        <w:t>, for schedule 1, division 1.4.2 (</w:t>
      </w:r>
      <w:r w:rsidRPr="003042FA">
        <w:t>Advertising requirements</w:t>
      </w:r>
      <w:r w:rsidRPr="003042FA">
        <w:rPr>
          <w:color w:val="000000"/>
          <w:shd w:val="clear" w:color="auto" w:fill="FFFFFF"/>
        </w:rPr>
        <w:t>—electronic licensees)</w:t>
      </w:r>
      <w:r w:rsidRPr="003042FA">
        <w:rPr>
          <w:bCs/>
          <w:iCs/>
        </w:rPr>
        <w:t>—see schedule 1, section 1.29B.</w:t>
      </w:r>
    </w:p>
    <w:p w14:paraId="56BADF24" w14:textId="77777777" w:rsidR="00D847F1" w:rsidRDefault="00D847F1">
      <w:pPr>
        <w:pStyle w:val="aDef"/>
      </w:pPr>
      <w:r>
        <w:rPr>
          <w:rStyle w:val="charBoldItals"/>
        </w:rPr>
        <w:t>gambling contact officer</w:t>
      </w:r>
      <w:r>
        <w:t>, for a gambling facility, means a person whose details are given to the commission under section 11 (Gambling facility to have gambling contact officer).</w:t>
      </w:r>
    </w:p>
    <w:p w14:paraId="5A0F5CBD" w14:textId="77777777" w:rsidR="00D847F1" w:rsidRDefault="00D847F1">
      <w:pPr>
        <w:pStyle w:val="aDef"/>
      </w:pPr>
      <w:r>
        <w:rPr>
          <w:rStyle w:val="charBoldItals"/>
        </w:rPr>
        <w:t>gambling facility</w:t>
      </w:r>
      <w:r>
        <w:t>, of a licensee, means each place used by the licensee to conduct gambling under the licence.</w:t>
      </w:r>
    </w:p>
    <w:p w14:paraId="13F6EAEA" w14:textId="77777777" w:rsidR="00EF52A4" w:rsidRPr="00D17D0C" w:rsidRDefault="00EF52A4" w:rsidP="00EF52A4">
      <w:pPr>
        <w:pStyle w:val="aDef"/>
        <w:rPr>
          <w:color w:val="000000"/>
        </w:rPr>
      </w:pPr>
      <w:r w:rsidRPr="00D17D0C">
        <w:rPr>
          <w:rStyle w:val="charBoldItals"/>
        </w:rPr>
        <w:t>gambling problem</w:t>
      </w:r>
      <w:r w:rsidRPr="00D17D0C">
        <w:t>, for schedule 1 (Code of practice)</w:t>
      </w:r>
      <w:r w:rsidRPr="00D17D0C">
        <w:rPr>
          <w:color w:val="000000"/>
        </w:rPr>
        <w:t>—see schedule 1, section 1.2.</w:t>
      </w:r>
    </w:p>
    <w:p w14:paraId="4B46E23E" w14:textId="77777777" w:rsidR="00D847F1" w:rsidRDefault="00D847F1">
      <w:pPr>
        <w:pStyle w:val="aDef"/>
      </w:pPr>
      <w:r>
        <w:rPr>
          <w:rStyle w:val="charBoldItals"/>
        </w:rPr>
        <w:t>gaming area</w:t>
      </w:r>
      <w:r>
        <w:t xml:space="preserve"> means the part of a gaming facility—</w:t>
      </w:r>
    </w:p>
    <w:p w14:paraId="796245C7" w14:textId="77777777" w:rsidR="00D847F1" w:rsidRDefault="00D847F1">
      <w:pPr>
        <w:pStyle w:val="aDefpara"/>
      </w:pPr>
      <w:r>
        <w:tab/>
        <w:t>(a)</w:t>
      </w:r>
      <w:r>
        <w:tab/>
        <w:t>approved under a gaming law for the conduct of gambling; or</w:t>
      </w:r>
    </w:p>
    <w:p w14:paraId="4A1BDAA7" w14:textId="77777777" w:rsidR="00D847F1" w:rsidRDefault="00D847F1">
      <w:pPr>
        <w:pStyle w:val="aDefpara"/>
      </w:pPr>
      <w:r>
        <w:tab/>
        <w:t>(b)</w:t>
      </w:r>
      <w:r>
        <w:tab/>
        <w:t>where gambling takes place.</w:t>
      </w:r>
    </w:p>
    <w:p w14:paraId="29A02025" w14:textId="70487EE8" w:rsidR="00D847F1" w:rsidRDefault="00D847F1">
      <w:pPr>
        <w:pStyle w:val="aDef"/>
      </w:pPr>
      <w:r>
        <w:rPr>
          <w:rStyle w:val="charBoldItals"/>
        </w:rPr>
        <w:t>gaming machine licensee</w:t>
      </w:r>
      <w:r>
        <w:t xml:space="preserve"> means the holder of a licence under the </w:t>
      </w:r>
      <w:hyperlink r:id="rId86" w:tooltip="A2004-34" w:history="1">
        <w:r w:rsidR="00DF21AF" w:rsidRPr="00DF21AF">
          <w:rPr>
            <w:rStyle w:val="charCitHyperlinkItal"/>
          </w:rPr>
          <w:t>Gaming Machine Act 2004</w:t>
        </w:r>
      </w:hyperlink>
      <w:r>
        <w:t>.</w:t>
      </w:r>
    </w:p>
    <w:p w14:paraId="210FCE2C" w14:textId="77777777" w:rsidR="00EF52A4" w:rsidRPr="00D17D0C" w:rsidRDefault="00EF52A4" w:rsidP="00EF52A4">
      <w:pPr>
        <w:pStyle w:val="aDef"/>
        <w:rPr>
          <w:color w:val="000000"/>
        </w:rPr>
      </w:pPr>
      <w:r w:rsidRPr="00D17D0C">
        <w:rPr>
          <w:rStyle w:val="charBoldItals"/>
        </w:rPr>
        <w:t>licensee</w:t>
      </w:r>
      <w:r w:rsidRPr="00D17D0C">
        <w:rPr>
          <w:color w:val="000000"/>
        </w:rPr>
        <w:t>—</w:t>
      </w:r>
    </w:p>
    <w:p w14:paraId="76653D2E" w14:textId="77777777" w:rsidR="00EF52A4" w:rsidRPr="00D17D0C" w:rsidRDefault="00EF52A4" w:rsidP="009E4F02">
      <w:pPr>
        <w:pStyle w:val="aDefpara"/>
      </w:pPr>
      <w:r w:rsidRPr="00D17D0C">
        <w:tab/>
        <w:t>(a)</w:t>
      </w:r>
      <w:r w:rsidRPr="00D17D0C">
        <w:tab/>
        <w:t>for this regulation generally—see section 5.</w:t>
      </w:r>
    </w:p>
    <w:p w14:paraId="24E90DB1" w14:textId="77777777" w:rsidR="00EF52A4" w:rsidRPr="00D17D0C" w:rsidRDefault="00EF52A4" w:rsidP="009E4F02">
      <w:pPr>
        <w:pStyle w:val="aDefpara"/>
      </w:pPr>
      <w:r w:rsidRPr="00D17D0C">
        <w:tab/>
        <w:t>(b)</w:t>
      </w:r>
      <w:r w:rsidRPr="00D17D0C">
        <w:tab/>
        <w:t>for schedule 1 (Code of practice)—see schedule 1, section 1.1.</w:t>
      </w:r>
    </w:p>
    <w:p w14:paraId="67C6B1B6" w14:textId="77777777" w:rsidR="009E4F02" w:rsidRPr="00D17D0C" w:rsidRDefault="009E4F02" w:rsidP="009E4F02">
      <w:pPr>
        <w:pStyle w:val="aDef"/>
        <w:rPr>
          <w:color w:val="000000"/>
        </w:rPr>
      </w:pPr>
      <w:r w:rsidRPr="00D17D0C">
        <w:rPr>
          <w:rStyle w:val="charBoldItals"/>
        </w:rPr>
        <w:t>notice of exclusion</w:t>
      </w:r>
      <w:r w:rsidRPr="00D17D0C">
        <w:rPr>
          <w:color w:val="000000"/>
        </w:rPr>
        <w:t>—see schedule 1, section 1.14 (2) (a).</w:t>
      </w:r>
    </w:p>
    <w:p w14:paraId="70B48FCD" w14:textId="1A4E3533" w:rsidR="009E4F02" w:rsidRDefault="009E4F02" w:rsidP="009E4F02">
      <w:pPr>
        <w:pStyle w:val="aDef"/>
      </w:pPr>
      <w:r w:rsidRPr="00D17D0C">
        <w:rPr>
          <w:rStyle w:val="charBoldItals"/>
        </w:rPr>
        <w:t>online betting account</w:t>
      </w:r>
      <w:r w:rsidRPr="00D17D0C">
        <w:t>, for schedule 1, division 1.2.5 (Betting accounts—activity statements)—see schedule 1, section 1.20J.</w:t>
      </w:r>
    </w:p>
    <w:p w14:paraId="455B9B07" w14:textId="6CE93AD9" w:rsidR="002B5930" w:rsidRDefault="002B5930" w:rsidP="002B5930">
      <w:pPr>
        <w:pStyle w:val="aDef"/>
        <w:rPr>
          <w:bCs/>
          <w:iCs/>
        </w:rPr>
      </w:pPr>
      <w:r w:rsidRPr="00CA67C6">
        <w:rPr>
          <w:rStyle w:val="charBoldItals"/>
        </w:rPr>
        <w:t>print advertising</w:t>
      </w:r>
      <w:r w:rsidRPr="003042FA">
        <w:rPr>
          <w:bCs/>
          <w:iCs/>
        </w:rPr>
        <w:t>, for schedule 1, division 1.4.2 (</w:t>
      </w:r>
      <w:r w:rsidRPr="003042FA">
        <w:t>Advertising requirements</w:t>
      </w:r>
      <w:r w:rsidRPr="003042FA">
        <w:rPr>
          <w:color w:val="000000"/>
          <w:shd w:val="clear" w:color="auto" w:fill="FFFFFF"/>
        </w:rPr>
        <w:t>—electronic licensees)</w:t>
      </w:r>
      <w:r w:rsidRPr="003042FA">
        <w:rPr>
          <w:bCs/>
          <w:iCs/>
        </w:rPr>
        <w:t>—see schedule 1, section 1.29B.</w:t>
      </w:r>
    </w:p>
    <w:p w14:paraId="4A838AAC" w14:textId="76906FD0" w:rsidR="002B5930" w:rsidRDefault="002B5930" w:rsidP="002B5930">
      <w:pPr>
        <w:pStyle w:val="aDef"/>
        <w:rPr>
          <w:bCs/>
          <w:iCs/>
        </w:rPr>
      </w:pPr>
      <w:r w:rsidRPr="00CA67C6">
        <w:rPr>
          <w:rStyle w:val="charBoldItals"/>
        </w:rPr>
        <w:lastRenderedPageBreak/>
        <w:t>radio advertising</w:t>
      </w:r>
      <w:r w:rsidRPr="003042FA">
        <w:rPr>
          <w:bCs/>
          <w:iCs/>
        </w:rPr>
        <w:t>, for schedule 1, division 1.4.2 (</w:t>
      </w:r>
      <w:r w:rsidRPr="003042FA">
        <w:t>Advertising requirements</w:t>
      </w:r>
      <w:r w:rsidRPr="003042FA">
        <w:rPr>
          <w:color w:val="000000"/>
          <w:shd w:val="clear" w:color="auto" w:fill="FFFFFF"/>
        </w:rPr>
        <w:t>—electronic licensees)</w:t>
      </w:r>
      <w:r w:rsidRPr="003042FA">
        <w:rPr>
          <w:bCs/>
          <w:iCs/>
        </w:rPr>
        <w:t>—see schedule 1, section 1.29B.</w:t>
      </w:r>
    </w:p>
    <w:p w14:paraId="1E1E6E0F" w14:textId="3A56334B" w:rsidR="002B5930" w:rsidRPr="00D17D0C" w:rsidRDefault="002B5930" w:rsidP="002B5930">
      <w:pPr>
        <w:pStyle w:val="aDef"/>
      </w:pPr>
      <w:r w:rsidRPr="00CA67C6">
        <w:rPr>
          <w:rStyle w:val="charBoldItals"/>
        </w:rPr>
        <w:t>social media advertising</w:t>
      </w:r>
      <w:r w:rsidRPr="003042FA">
        <w:rPr>
          <w:bCs/>
          <w:iCs/>
        </w:rPr>
        <w:t>, for schedule 1, division 1.4.2 (</w:t>
      </w:r>
      <w:r w:rsidRPr="003042FA">
        <w:t>Advertising requirements</w:t>
      </w:r>
      <w:r w:rsidRPr="003042FA">
        <w:rPr>
          <w:color w:val="000000"/>
          <w:shd w:val="clear" w:color="auto" w:fill="FFFFFF"/>
        </w:rPr>
        <w:t>—electronic licensees)</w:t>
      </w:r>
      <w:r w:rsidRPr="003042FA">
        <w:rPr>
          <w:bCs/>
          <w:iCs/>
        </w:rPr>
        <w:t>—see schedule 1, section 1.29B.</w:t>
      </w:r>
    </w:p>
    <w:p w14:paraId="662A2D1E" w14:textId="41B951D9" w:rsidR="002D319E" w:rsidRPr="00A35BB6" w:rsidRDefault="002D319E" w:rsidP="00B776B3">
      <w:pPr>
        <w:pStyle w:val="aDef"/>
      </w:pPr>
      <w:r w:rsidRPr="00A35BB6">
        <w:rPr>
          <w:rStyle w:val="charBoldItals"/>
        </w:rPr>
        <w:t>sports bookmaking licensee</w:t>
      </w:r>
      <w:r w:rsidRPr="00A35BB6">
        <w:t xml:space="preserve"> means the holder of a sports bookmaking licence under the </w:t>
      </w:r>
      <w:hyperlink r:id="rId87" w:tooltip="A2001-49" w:history="1">
        <w:r w:rsidRPr="00A35BB6">
          <w:rPr>
            <w:rStyle w:val="charCitHyperlinkItal"/>
          </w:rPr>
          <w:t>Race and Sports Bookmaking Act 2001</w:t>
        </w:r>
      </w:hyperlink>
      <w:r w:rsidR="00C76D2D">
        <w:t>.</w:t>
      </w:r>
    </w:p>
    <w:p w14:paraId="7B11B5EE" w14:textId="77777777" w:rsidR="00D847F1" w:rsidRDefault="00D847F1">
      <w:pPr>
        <w:pStyle w:val="aDef"/>
      </w:pPr>
      <w:r>
        <w:rPr>
          <w:rStyle w:val="charBoldItals"/>
        </w:rPr>
        <w:t>staff member</w:t>
      </w:r>
      <w:r>
        <w:t xml:space="preserve">, for a gambling facility, means a member of the staff of the facility. </w:t>
      </w:r>
    </w:p>
    <w:p w14:paraId="6C6D1B7C" w14:textId="00C10F82" w:rsidR="009E4F02" w:rsidRDefault="009E4F02" w:rsidP="009E4F02">
      <w:pPr>
        <w:pStyle w:val="aDef"/>
      </w:pPr>
      <w:r w:rsidRPr="00D17D0C">
        <w:rPr>
          <w:rStyle w:val="charBoldItals"/>
        </w:rPr>
        <w:t>statement period</w:t>
      </w:r>
      <w:r w:rsidRPr="00D17D0C">
        <w:t>, for an activity statement, for schedule 1, division 1.2.5 (Betting accounts—activity statements)—see schedule 1, section 1.20K (1).</w:t>
      </w:r>
    </w:p>
    <w:p w14:paraId="097CB137" w14:textId="1F37BAB7" w:rsidR="002B5930" w:rsidRDefault="002B5930" w:rsidP="002B5930">
      <w:pPr>
        <w:pStyle w:val="aDef"/>
        <w:rPr>
          <w:bCs/>
          <w:iCs/>
        </w:rPr>
      </w:pPr>
      <w:r w:rsidRPr="00CA67C6">
        <w:rPr>
          <w:rStyle w:val="charBoldItals"/>
        </w:rPr>
        <w:t>tagline</w:t>
      </w:r>
      <w:r w:rsidRPr="003042FA">
        <w:rPr>
          <w:bCs/>
          <w:iCs/>
        </w:rPr>
        <w:t>, for schedule 1, division 1.4.2 (</w:t>
      </w:r>
      <w:r w:rsidRPr="003042FA">
        <w:t>Advertising requirements</w:t>
      </w:r>
      <w:r w:rsidRPr="003042FA">
        <w:rPr>
          <w:color w:val="000000"/>
          <w:shd w:val="clear" w:color="auto" w:fill="FFFFFF"/>
        </w:rPr>
        <w:t>—electronic licensees)</w:t>
      </w:r>
      <w:r w:rsidRPr="003042FA">
        <w:rPr>
          <w:bCs/>
          <w:iCs/>
        </w:rPr>
        <w:t>—see schedule 1, section 1.29C.</w:t>
      </w:r>
    </w:p>
    <w:p w14:paraId="3802BE52" w14:textId="2ADE78F0" w:rsidR="002B5930" w:rsidRDefault="002B5930" w:rsidP="002B5930">
      <w:pPr>
        <w:pStyle w:val="aDef"/>
        <w:rPr>
          <w:bCs/>
          <w:iCs/>
        </w:rPr>
      </w:pPr>
      <w:r w:rsidRPr="00CA67C6">
        <w:rPr>
          <w:rStyle w:val="charBoldItals"/>
        </w:rPr>
        <w:t>television</w:t>
      </w:r>
      <w:r w:rsidRPr="003042FA">
        <w:rPr>
          <w:bCs/>
          <w:iCs/>
        </w:rPr>
        <w:t>, for schedule 1, division 1.4.2 (</w:t>
      </w:r>
      <w:r w:rsidRPr="003042FA">
        <w:t>Advertising requirements</w:t>
      </w:r>
      <w:r w:rsidRPr="003042FA">
        <w:rPr>
          <w:color w:val="000000"/>
          <w:shd w:val="clear" w:color="auto" w:fill="FFFFFF"/>
        </w:rPr>
        <w:t>—electronic licensees)</w:t>
      </w:r>
      <w:r w:rsidRPr="003042FA">
        <w:rPr>
          <w:bCs/>
          <w:iCs/>
        </w:rPr>
        <w:t>—see schedule 1, section 1.29B.</w:t>
      </w:r>
    </w:p>
    <w:p w14:paraId="33D269A1" w14:textId="51F61557" w:rsidR="002B5930" w:rsidRPr="002B5930" w:rsidRDefault="002B5930" w:rsidP="002B5930">
      <w:pPr>
        <w:pStyle w:val="aDef"/>
        <w:rPr>
          <w:shd w:val="clear" w:color="auto" w:fill="FFFFFF"/>
        </w:rPr>
      </w:pPr>
      <w:r w:rsidRPr="00CA67C6">
        <w:rPr>
          <w:rStyle w:val="charBoldItals"/>
        </w:rPr>
        <w:t>television or video advertising</w:t>
      </w:r>
      <w:r w:rsidRPr="003042FA">
        <w:rPr>
          <w:bCs/>
          <w:iCs/>
        </w:rPr>
        <w:t>, for schedule 1, division 1.4.2 (</w:t>
      </w:r>
      <w:r w:rsidRPr="003042FA">
        <w:t>Advertising requirements</w:t>
      </w:r>
      <w:r w:rsidRPr="003042FA">
        <w:rPr>
          <w:color w:val="000000"/>
          <w:shd w:val="clear" w:color="auto" w:fill="FFFFFF"/>
        </w:rPr>
        <w:t>—electronic licensees)</w:t>
      </w:r>
      <w:r w:rsidRPr="003042FA">
        <w:rPr>
          <w:bCs/>
          <w:iCs/>
        </w:rPr>
        <w:t>—see schedule 1, section 1.29B.</w:t>
      </w:r>
    </w:p>
    <w:p w14:paraId="717D6A16" w14:textId="0F1A4BB9" w:rsidR="00B776B3" w:rsidRPr="00A35BB6" w:rsidRDefault="00B776B3" w:rsidP="00B776B3">
      <w:pPr>
        <w:pStyle w:val="aDef"/>
      </w:pPr>
      <w:r w:rsidRPr="00A35BB6">
        <w:rPr>
          <w:rStyle w:val="charBoldItals"/>
        </w:rPr>
        <w:t>totalisator licensee</w:t>
      </w:r>
      <w:r w:rsidRPr="00A35BB6">
        <w:t xml:space="preserve"> means a licensee under the </w:t>
      </w:r>
      <w:hyperlink r:id="rId88" w:tooltip="A2014-4" w:history="1">
        <w:r>
          <w:rPr>
            <w:rStyle w:val="charCitHyperlinkItal"/>
          </w:rPr>
          <w:t>Totalisator Act 2014</w:t>
        </w:r>
      </w:hyperlink>
      <w:r w:rsidRPr="00A35BB6">
        <w:t xml:space="preserve">. </w:t>
      </w:r>
    </w:p>
    <w:p w14:paraId="735BCD4B" w14:textId="77777777" w:rsidR="00B776B3" w:rsidRPr="00A35BB6" w:rsidRDefault="00B776B3" w:rsidP="00B776B3">
      <w:pPr>
        <w:pStyle w:val="aDef"/>
      </w:pPr>
      <w:r w:rsidRPr="00A35BB6">
        <w:rPr>
          <w:rStyle w:val="charBoldItals"/>
        </w:rPr>
        <w:t>trading day</w:t>
      </w:r>
      <w:r w:rsidRPr="00A35BB6">
        <w:t>, for a licensee of a gambling facility, means a day when the licensee is open for business.</w:t>
      </w:r>
    </w:p>
    <w:p w14:paraId="3C8DC8E3" w14:textId="77777777" w:rsidR="009E4F02" w:rsidRPr="00D17D0C" w:rsidRDefault="009E4F02" w:rsidP="009E4F02">
      <w:pPr>
        <w:pStyle w:val="aDef"/>
      </w:pPr>
      <w:r w:rsidRPr="00D17D0C">
        <w:rPr>
          <w:rStyle w:val="charBoldItals"/>
        </w:rPr>
        <w:t>transaction</w:t>
      </w:r>
      <w:r w:rsidRPr="00D17D0C">
        <w:t>, in relation to a betting account, for schedule 1, division 1.2.5 (Betting accounts—activity statements)—see schedule 1, section 1.20J.</w:t>
      </w:r>
    </w:p>
    <w:p w14:paraId="26607226" w14:textId="6FB8C61C" w:rsidR="009E4F02" w:rsidRDefault="009E4F02" w:rsidP="009E4F02">
      <w:pPr>
        <w:pStyle w:val="aDef"/>
      </w:pPr>
      <w:r w:rsidRPr="00D17D0C">
        <w:rPr>
          <w:rStyle w:val="charBoldItals"/>
        </w:rPr>
        <w:t>transaction record</w:t>
      </w:r>
      <w:r w:rsidRPr="00D17D0C">
        <w:t>, for a betting account, , for schedule 1, division 1.2.5 (Betting accounts—activity statements)—see schedule 1, section 1.20J.</w:t>
      </w:r>
    </w:p>
    <w:p w14:paraId="1E951104" w14:textId="2B14CC68" w:rsidR="00F323A5" w:rsidRPr="00F323A5" w:rsidRDefault="00F323A5" w:rsidP="009E4F02">
      <w:pPr>
        <w:pStyle w:val="aDef"/>
        <w:rPr>
          <w:shd w:val="clear" w:color="auto" w:fill="FFFFFF"/>
        </w:rPr>
      </w:pPr>
      <w:r w:rsidRPr="00CA67C6">
        <w:rPr>
          <w:rStyle w:val="charBoldItals"/>
        </w:rPr>
        <w:t>website advertising</w:t>
      </w:r>
      <w:r w:rsidRPr="003042FA">
        <w:rPr>
          <w:bCs/>
          <w:iCs/>
        </w:rPr>
        <w:t>, for schedule 1, division 1.4.2 (</w:t>
      </w:r>
      <w:r w:rsidRPr="003042FA">
        <w:t>Advertising requirements</w:t>
      </w:r>
      <w:r w:rsidRPr="003042FA">
        <w:rPr>
          <w:color w:val="000000"/>
          <w:shd w:val="clear" w:color="auto" w:fill="FFFFFF"/>
        </w:rPr>
        <w:t>—electronic licensees)</w:t>
      </w:r>
      <w:r w:rsidRPr="003042FA">
        <w:rPr>
          <w:bCs/>
          <w:iCs/>
        </w:rPr>
        <w:t>—see schedule 1, section 1.29B.</w:t>
      </w:r>
    </w:p>
    <w:p w14:paraId="23DFA777" w14:textId="30C44DAA" w:rsidR="00B776B3" w:rsidRDefault="00B776B3" w:rsidP="00B776B3">
      <w:pPr>
        <w:pStyle w:val="aDef"/>
      </w:pPr>
      <w:r w:rsidRPr="00A35BB6">
        <w:rPr>
          <w:rStyle w:val="charBoldItals"/>
        </w:rPr>
        <w:lastRenderedPageBreak/>
        <w:t>winnings</w:t>
      </w:r>
      <w:r w:rsidRPr="00A35BB6">
        <w:t>, from a gaming machine, includes all accumulated credits on the machine (whether the credits were added by machine play or by a person adding credits to the machine).</w:t>
      </w:r>
    </w:p>
    <w:p w14:paraId="5AB45263" w14:textId="77777777" w:rsidR="0051286C" w:rsidRDefault="0051286C">
      <w:pPr>
        <w:pStyle w:val="04Dictionary"/>
        <w:sectPr w:rsidR="0051286C">
          <w:headerReference w:type="even" r:id="rId89"/>
          <w:headerReference w:type="default" r:id="rId90"/>
          <w:footerReference w:type="even" r:id="rId91"/>
          <w:footerReference w:type="default" r:id="rId92"/>
          <w:type w:val="continuous"/>
          <w:pgSz w:w="11907" w:h="16839" w:code="9"/>
          <w:pgMar w:top="3000" w:right="1900" w:bottom="2500" w:left="2300" w:header="2480" w:footer="2100" w:gutter="0"/>
          <w:cols w:space="720"/>
          <w:docGrid w:linePitch="254"/>
        </w:sectPr>
      </w:pPr>
    </w:p>
    <w:p w14:paraId="61FAD9E7" w14:textId="77777777" w:rsidR="00A10FCD" w:rsidRDefault="00A10FCD">
      <w:pPr>
        <w:pStyle w:val="Endnote1"/>
      </w:pPr>
      <w:bookmarkStart w:id="135" w:name="_Toc155080790"/>
      <w:r>
        <w:lastRenderedPageBreak/>
        <w:t>Endnotes</w:t>
      </w:r>
      <w:bookmarkEnd w:id="135"/>
    </w:p>
    <w:p w14:paraId="6F86652E" w14:textId="77777777" w:rsidR="00A10FCD" w:rsidRPr="004D57A4" w:rsidRDefault="00A10FCD">
      <w:pPr>
        <w:pStyle w:val="Endnote20"/>
      </w:pPr>
      <w:bookmarkStart w:id="136" w:name="_Toc155080791"/>
      <w:r w:rsidRPr="004D57A4">
        <w:rPr>
          <w:rStyle w:val="charTableNo"/>
        </w:rPr>
        <w:t>1</w:t>
      </w:r>
      <w:r>
        <w:tab/>
      </w:r>
      <w:r w:rsidRPr="004D57A4">
        <w:rPr>
          <w:rStyle w:val="charTableText"/>
        </w:rPr>
        <w:t>About the endnotes</w:t>
      </w:r>
      <w:bookmarkEnd w:id="136"/>
    </w:p>
    <w:p w14:paraId="11E495FE" w14:textId="77777777" w:rsidR="00A10FCD" w:rsidRDefault="00A10FCD">
      <w:pPr>
        <w:pStyle w:val="EndNoteTextPub"/>
      </w:pPr>
      <w:r>
        <w:t>Amending and modifying laws are annotated in the legislation history and the amendment history.  Current modifications are not included in the republished law but are set out in the endnotes.</w:t>
      </w:r>
    </w:p>
    <w:p w14:paraId="095AE38E" w14:textId="3349A597" w:rsidR="00A10FCD" w:rsidRDefault="00A10FCD">
      <w:pPr>
        <w:pStyle w:val="EndNoteTextPub"/>
      </w:pPr>
      <w:r>
        <w:t xml:space="preserve">Not all editorial amendments made under the </w:t>
      </w:r>
      <w:hyperlink r:id="rId93" w:tooltip="A2001-14" w:history="1">
        <w:r w:rsidR="008F00E1" w:rsidRPr="008F00E1">
          <w:rPr>
            <w:rStyle w:val="charCitHyperlinkItal"/>
          </w:rPr>
          <w:t>Legislation Act 2001</w:t>
        </w:r>
      </w:hyperlink>
      <w:r>
        <w:t>, part 11.3 are annotated in the amendment history.  Full details of any amendments can be obtained from the Parliamentary Counsel’s Office.</w:t>
      </w:r>
    </w:p>
    <w:p w14:paraId="7ED86D7D" w14:textId="77777777" w:rsidR="00A10FCD" w:rsidRDefault="00A10FCD" w:rsidP="00C349D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FED495F" w14:textId="77777777" w:rsidR="00A10FCD" w:rsidRDefault="00A10FCD">
      <w:pPr>
        <w:pStyle w:val="EndNoteTextPub"/>
      </w:pPr>
      <w:r>
        <w:t xml:space="preserve">If all the provisions of the law have been renumbered, a table of renumbered provisions gives details of previous and current numbering.  </w:t>
      </w:r>
    </w:p>
    <w:p w14:paraId="5D24B02E" w14:textId="77777777" w:rsidR="00A10FCD" w:rsidRDefault="00A10FCD">
      <w:pPr>
        <w:pStyle w:val="EndNoteTextPub"/>
      </w:pPr>
      <w:r>
        <w:t>The endnotes also include a table of earlier republications.</w:t>
      </w:r>
    </w:p>
    <w:p w14:paraId="6387B96A" w14:textId="77777777" w:rsidR="00A10FCD" w:rsidRPr="004D57A4" w:rsidRDefault="00A10FCD">
      <w:pPr>
        <w:pStyle w:val="Endnote20"/>
      </w:pPr>
      <w:bookmarkStart w:id="137" w:name="_Toc155080792"/>
      <w:r w:rsidRPr="004D57A4">
        <w:rPr>
          <w:rStyle w:val="charTableNo"/>
        </w:rPr>
        <w:t>2</w:t>
      </w:r>
      <w:r>
        <w:tab/>
      </w:r>
      <w:r w:rsidRPr="004D57A4">
        <w:rPr>
          <w:rStyle w:val="charTableText"/>
        </w:rPr>
        <w:t>Abbreviation key</w:t>
      </w:r>
      <w:bookmarkEnd w:id="137"/>
    </w:p>
    <w:p w14:paraId="68E0F624" w14:textId="77777777" w:rsidR="00A10FCD" w:rsidRDefault="00A10FCD">
      <w:pPr>
        <w:rPr>
          <w:sz w:val="4"/>
        </w:rPr>
      </w:pPr>
    </w:p>
    <w:tbl>
      <w:tblPr>
        <w:tblW w:w="7372" w:type="dxa"/>
        <w:tblInd w:w="1100" w:type="dxa"/>
        <w:tblLayout w:type="fixed"/>
        <w:tblLook w:val="0000" w:firstRow="0" w:lastRow="0" w:firstColumn="0" w:lastColumn="0" w:noHBand="0" w:noVBand="0"/>
      </w:tblPr>
      <w:tblGrid>
        <w:gridCol w:w="3720"/>
        <w:gridCol w:w="3652"/>
      </w:tblGrid>
      <w:tr w:rsidR="00A10FCD" w14:paraId="0A8E8752" w14:textId="77777777" w:rsidTr="00C349DC">
        <w:tc>
          <w:tcPr>
            <w:tcW w:w="3720" w:type="dxa"/>
          </w:tcPr>
          <w:p w14:paraId="194FACBB" w14:textId="77777777" w:rsidR="00A10FCD" w:rsidRDefault="00A10FCD">
            <w:pPr>
              <w:pStyle w:val="EndnotesAbbrev"/>
            </w:pPr>
            <w:r>
              <w:t>A = Act</w:t>
            </w:r>
          </w:p>
        </w:tc>
        <w:tc>
          <w:tcPr>
            <w:tcW w:w="3652" w:type="dxa"/>
          </w:tcPr>
          <w:p w14:paraId="20A239C2" w14:textId="77777777" w:rsidR="00A10FCD" w:rsidRDefault="00A10FCD" w:rsidP="00C349DC">
            <w:pPr>
              <w:pStyle w:val="EndnotesAbbrev"/>
            </w:pPr>
            <w:r>
              <w:t>NI = Notifiable instrument</w:t>
            </w:r>
          </w:p>
        </w:tc>
      </w:tr>
      <w:tr w:rsidR="00A10FCD" w14:paraId="424FF3D3" w14:textId="77777777" w:rsidTr="00C349DC">
        <w:tc>
          <w:tcPr>
            <w:tcW w:w="3720" w:type="dxa"/>
          </w:tcPr>
          <w:p w14:paraId="18E9FEFA" w14:textId="77777777" w:rsidR="00A10FCD" w:rsidRDefault="00A10FCD" w:rsidP="00C349DC">
            <w:pPr>
              <w:pStyle w:val="EndnotesAbbrev"/>
            </w:pPr>
            <w:r>
              <w:t>AF = Approved form</w:t>
            </w:r>
          </w:p>
        </w:tc>
        <w:tc>
          <w:tcPr>
            <w:tcW w:w="3652" w:type="dxa"/>
          </w:tcPr>
          <w:p w14:paraId="63E77A69" w14:textId="77777777" w:rsidR="00A10FCD" w:rsidRDefault="00A10FCD" w:rsidP="00C349DC">
            <w:pPr>
              <w:pStyle w:val="EndnotesAbbrev"/>
            </w:pPr>
            <w:r>
              <w:t>o = order</w:t>
            </w:r>
          </w:p>
        </w:tc>
      </w:tr>
      <w:tr w:rsidR="00A10FCD" w14:paraId="1CC72390" w14:textId="77777777" w:rsidTr="00C349DC">
        <w:tc>
          <w:tcPr>
            <w:tcW w:w="3720" w:type="dxa"/>
          </w:tcPr>
          <w:p w14:paraId="1049ABCA" w14:textId="77777777" w:rsidR="00A10FCD" w:rsidRDefault="00A10FCD">
            <w:pPr>
              <w:pStyle w:val="EndnotesAbbrev"/>
            </w:pPr>
            <w:r>
              <w:t>am = amended</w:t>
            </w:r>
          </w:p>
        </w:tc>
        <w:tc>
          <w:tcPr>
            <w:tcW w:w="3652" w:type="dxa"/>
          </w:tcPr>
          <w:p w14:paraId="75501874" w14:textId="77777777" w:rsidR="00A10FCD" w:rsidRDefault="00A10FCD" w:rsidP="00C349DC">
            <w:pPr>
              <w:pStyle w:val="EndnotesAbbrev"/>
            </w:pPr>
            <w:r>
              <w:t>om = omitted/repealed</w:t>
            </w:r>
          </w:p>
        </w:tc>
      </w:tr>
      <w:tr w:rsidR="00A10FCD" w14:paraId="3B64DC0B" w14:textId="77777777" w:rsidTr="00C349DC">
        <w:tc>
          <w:tcPr>
            <w:tcW w:w="3720" w:type="dxa"/>
          </w:tcPr>
          <w:p w14:paraId="1EAC03E3" w14:textId="77777777" w:rsidR="00A10FCD" w:rsidRDefault="00A10FCD">
            <w:pPr>
              <w:pStyle w:val="EndnotesAbbrev"/>
            </w:pPr>
            <w:r>
              <w:t>amdt = amendment</w:t>
            </w:r>
          </w:p>
        </w:tc>
        <w:tc>
          <w:tcPr>
            <w:tcW w:w="3652" w:type="dxa"/>
          </w:tcPr>
          <w:p w14:paraId="481DD443" w14:textId="77777777" w:rsidR="00A10FCD" w:rsidRDefault="00A10FCD" w:rsidP="00C349DC">
            <w:pPr>
              <w:pStyle w:val="EndnotesAbbrev"/>
            </w:pPr>
            <w:r>
              <w:t>ord = ordinance</w:t>
            </w:r>
          </w:p>
        </w:tc>
      </w:tr>
      <w:tr w:rsidR="00A10FCD" w14:paraId="4428F3A7" w14:textId="77777777" w:rsidTr="00C349DC">
        <w:tc>
          <w:tcPr>
            <w:tcW w:w="3720" w:type="dxa"/>
          </w:tcPr>
          <w:p w14:paraId="275A5356" w14:textId="77777777" w:rsidR="00A10FCD" w:rsidRDefault="00A10FCD">
            <w:pPr>
              <w:pStyle w:val="EndnotesAbbrev"/>
            </w:pPr>
            <w:r>
              <w:t>AR = Assembly resolution</w:t>
            </w:r>
          </w:p>
        </w:tc>
        <w:tc>
          <w:tcPr>
            <w:tcW w:w="3652" w:type="dxa"/>
          </w:tcPr>
          <w:p w14:paraId="4F3BCCB4" w14:textId="77777777" w:rsidR="00A10FCD" w:rsidRDefault="00A10FCD" w:rsidP="00C349DC">
            <w:pPr>
              <w:pStyle w:val="EndnotesAbbrev"/>
            </w:pPr>
            <w:r>
              <w:t>orig = original</w:t>
            </w:r>
          </w:p>
        </w:tc>
      </w:tr>
      <w:tr w:rsidR="00A10FCD" w14:paraId="5A177BB7" w14:textId="77777777" w:rsidTr="00C349DC">
        <w:tc>
          <w:tcPr>
            <w:tcW w:w="3720" w:type="dxa"/>
          </w:tcPr>
          <w:p w14:paraId="72181479" w14:textId="77777777" w:rsidR="00A10FCD" w:rsidRDefault="00A10FCD">
            <w:pPr>
              <w:pStyle w:val="EndnotesAbbrev"/>
            </w:pPr>
            <w:r>
              <w:t>ch = chapter</w:t>
            </w:r>
          </w:p>
        </w:tc>
        <w:tc>
          <w:tcPr>
            <w:tcW w:w="3652" w:type="dxa"/>
          </w:tcPr>
          <w:p w14:paraId="20D658C0" w14:textId="77777777" w:rsidR="00A10FCD" w:rsidRDefault="00A10FCD" w:rsidP="00C349DC">
            <w:pPr>
              <w:pStyle w:val="EndnotesAbbrev"/>
            </w:pPr>
            <w:r>
              <w:t>par = paragraph/subparagraph</w:t>
            </w:r>
          </w:p>
        </w:tc>
      </w:tr>
      <w:tr w:rsidR="00A10FCD" w14:paraId="41A19E1F" w14:textId="77777777" w:rsidTr="00C349DC">
        <w:tc>
          <w:tcPr>
            <w:tcW w:w="3720" w:type="dxa"/>
          </w:tcPr>
          <w:p w14:paraId="51F1FDA3" w14:textId="77777777" w:rsidR="00A10FCD" w:rsidRDefault="00A10FCD">
            <w:pPr>
              <w:pStyle w:val="EndnotesAbbrev"/>
            </w:pPr>
            <w:r>
              <w:t>CN = Commencement notice</w:t>
            </w:r>
          </w:p>
        </w:tc>
        <w:tc>
          <w:tcPr>
            <w:tcW w:w="3652" w:type="dxa"/>
          </w:tcPr>
          <w:p w14:paraId="4B9C2E1B" w14:textId="77777777" w:rsidR="00A10FCD" w:rsidRDefault="00A10FCD" w:rsidP="00C349DC">
            <w:pPr>
              <w:pStyle w:val="EndnotesAbbrev"/>
            </w:pPr>
            <w:r>
              <w:t>pres = present</w:t>
            </w:r>
          </w:p>
        </w:tc>
      </w:tr>
      <w:tr w:rsidR="00A10FCD" w14:paraId="5E974CAF" w14:textId="77777777" w:rsidTr="00C349DC">
        <w:tc>
          <w:tcPr>
            <w:tcW w:w="3720" w:type="dxa"/>
          </w:tcPr>
          <w:p w14:paraId="703BDCB5" w14:textId="77777777" w:rsidR="00A10FCD" w:rsidRDefault="00A10FCD">
            <w:pPr>
              <w:pStyle w:val="EndnotesAbbrev"/>
            </w:pPr>
            <w:r>
              <w:t>def = definition</w:t>
            </w:r>
          </w:p>
        </w:tc>
        <w:tc>
          <w:tcPr>
            <w:tcW w:w="3652" w:type="dxa"/>
          </w:tcPr>
          <w:p w14:paraId="438EF69A" w14:textId="77777777" w:rsidR="00A10FCD" w:rsidRDefault="00A10FCD" w:rsidP="00C349DC">
            <w:pPr>
              <w:pStyle w:val="EndnotesAbbrev"/>
            </w:pPr>
            <w:r>
              <w:t>prev = previous</w:t>
            </w:r>
          </w:p>
        </w:tc>
      </w:tr>
      <w:tr w:rsidR="00A10FCD" w14:paraId="6C958108" w14:textId="77777777" w:rsidTr="00C349DC">
        <w:tc>
          <w:tcPr>
            <w:tcW w:w="3720" w:type="dxa"/>
          </w:tcPr>
          <w:p w14:paraId="6D65AE23" w14:textId="77777777" w:rsidR="00A10FCD" w:rsidRDefault="00A10FCD">
            <w:pPr>
              <w:pStyle w:val="EndnotesAbbrev"/>
            </w:pPr>
            <w:r>
              <w:t>DI = Disallowable instrument</w:t>
            </w:r>
          </w:p>
        </w:tc>
        <w:tc>
          <w:tcPr>
            <w:tcW w:w="3652" w:type="dxa"/>
          </w:tcPr>
          <w:p w14:paraId="70D66960" w14:textId="77777777" w:rsidR="00A10FCD" w:rsidRDefault="00A10FCD" w:rsidP="00C349DC">
            <w:pPr>
              <w:pStyle w:val="EndnotesAbbrev"/>
            </w:pPr>
            <w:r>
              <w:t>(prev...) = previously</w:t>
            </w:r>
          </w:p>
        </w:tc>
      </w:tr>
      <w:tr w:rsidR="00A10FCD" w14:paraId="18285AB2" w14:textId="77777777" w:rsidTr="00C349DC">
        <w:tc>
          <w:tcPr>
            <w:tcW w:w="3720" w:type="dxa"/>
          </w:tcPr>
          <w:p w14:paraId="3E84052B" w14:textId="77777777" w:rsidR="00A10FCD" w:rsidRDefault="00A10FCD">
            <w:pPr>
              <w:pStyle w:val="EndnotesAbbrev"/>
            </w:pPr>
            <w:r>
              <w:t>dict = dictionary</w:t>
            </w:r>
          </w:p>
        </w:tc>
        <w:tc>
          <w:tcPr>
            <w:tcW w:w="3652" w:type="dxa"/>
          </w:tcPr>
          <w:p w14:paraId="69C726CC" w14:textId="77777777" w:rsidR="00A10FCD" w:rsidRDefault="00A10FCD" w:rsidP="00C349DC">
            <w:pPr>
              <w:pStyle w:val="EndnotesAbbrev"/>
            </w:pPr>
            <w:r>
              <w:t>pt = part</w:t>
            </w:r>
          </w:p>
        </w:tc>
      </w:tr>
      <w:tr w:rsidR="00A10FCD" w14:paraId="04CA1DF6" w14:textId="77777777" w:rsidTr="00C349DC">
        <w:tc>
          <w:tcPr>
            <w:tcW w:w="3720" w:type="dxa"/>
          </w:tcPr>
          <w:p w14:paraId="5F2C186F" w14:textId="77777777" w:rsidR="00A10FCD" w:rsidRDefault="00A10FCD">
            <w:pPr>
              <w:pStyle w:val="EndnotesAbbrev"/>
            </w:pPr>
            <w:r>
              <w:t xml:space="preserve">disallowed = disallowed by the Legislative </w:t>
            </w:r>
          </w:p>
        </w:tc>
        <w:tc>
          <w:tcPr>
            <w:tcW w:w="3652" w:type="dxa"/>
          </w:tcPr>
          <w:p w14:paraId="39B235E3" w14:textId="77777777" w:rsidR="00A10FCD" w:rsidRDefault="00A10FCD" w:rsidP="00C349DC">
            <w:pPr>
              <w:pStyle w:val="EndnotesAbbrev"/>
            </w:pPr>
            <w:r>
              <w:t>r = rule/subrule</w:t>
            </w:r>
          </w:p>
        </w:tc>
      </w:tr>
      <w:tr w:rsidR="00A10FCD" w14:paraId="1081247A" w14:textId="77777777" w:rsidTr="00C349DC">
        <w:tc>
          <w:tcPr>
            <w:tcW w:w="3720" w:type="dxa"/>
          </w:tcPr>
          <w:p w14:paraId="58EC0756" w14:textId="77777777" w:rsidR="00A10FCD" w:rsidRDefault="00A10FCD">
            <w:pPr>
              <w:pStyle w:val="EndnotesAbbrev"/>
              <w:ind w:left="972"/>
            </w:pPr>
            <w:r>
              <w:t>Assembly</w:t>
            </w:r>
          </w:p>
        </w:tc>
        <w:tc>
          <w:tcPr>
            <w:tcW w:w="3652" w:type="dxa"/>
          </w:tcPr>
          <w:p w14:paraId="71E24515" w14:textId="77777777" w:rsidR="00A10FCD" w:rsidRDefault="00A10FCD" w:rsidP="00C349DC">
            <w:pPr>
              <w:pStyle w:val="EndnotesAbbrev"/>
            </w:pPr>
            <w:r>
              <w:t>reloc = relocated</w:t>
            </w:r>
          </w:p>
        </w:tc>
      </w:tr>
      <w:tr w:rsidR="00A10FCD" w14:paraId="7D9CC7DC" w14:textId="77777777" w:rsidTr="00C349DC">
        <w:tc>
          <w:tcPr>
            <w:tcW w:w="3720" w:type="dxa"/>
          </w:tcPr>
          <w:p w14:paraId="45611AE3" w14:textId="77777777" w:rsidR="00A10FCD" w:rsidRDefault="00A10FCD">
            <w:pPr>
              <w:pStyle w:val="EndnotesAbbrev"/>
            </w:pPr>
            <w:r>
              <w:t>div = division</w:t>
            </w:r>
          </w:p>
        </w:tc>
        <w:tc>
          <w:tcPr>
            <w:tcW w:w="3652" w:type="dxa"/>
          </w:tcPr>
          <w:p w14:paraId="395143A4" w14:textId="77777777" w:rsidR="00A10FCD" w:rsidRDefault="00A10FCD" w:rsidP="00C349DC">
            <w:pPr>
              <w:pStyle w:val="EndnotesAbbrev"/>
            </w:pPr>
            <w:r>
              <w:t>renum = renumbered</w:t>
            </w:r>
          </w:p>
        </w:tc>
      </w:tr>
      <w:tr w:rsidR="00A10FCD" w14:paraId="43981305" w14:textId="77777777" w:rsidTr="00C349DC">
        <w:tc>
          <w:tcPr>
            <w:tcW w:w="3720" w:type="dxa"/>
          </w:tcPr>
          <w:p w14:paraId="02AC4899" w14:textId="77777777" w:rsidR="00A10FCD" w:rsidRDefault="00A10FCD">
            <w:pPr>
              <w:pStyle w:val="EndnotesAbbrev"/>
            </w:pPr>
            <w:r>
              <w:t>exp = expires/expired</w:t>
            </w:r>
          </w:p>
        </w:tc>
        <w:tc>
          <w:tcPr>
            <w:tcW w:w="3652" w:type="dxa"/>
          </w:tcPr>
          <w:p w14:paraId="2669CADC" w14:textId="77777777" w:rsidR="00A10FCD" w:rsidRDefault="00A10FCD" w:rsidP="00C349DC">
            <w:pPr>
              <w:pStyle w:val="EndnotesAbbrev"/>
            </w:pPr>
            <w:r>
              <w:t>R[X] = Republication No</w:t>
            </w:r>
          </w:p>
        </w:tc>
      </w:tr>
      <w:tr w:rsidR="00A10FCD" w14:paraId="7B7BAA3B" w14:textId="77777777" w:rsidTr="00C349DC">
        <w:tc>
          <w:tcPr>
            <w:tcW w:w="3720" w:type="dxa"/>
          </w:tcPr>
          <w:p w14:paraId="3C1E8108" w14:textId="77777777" w:rsidR="00A10FCD" w:rsidRDefault="00A10FCD">
            <w:pPr>
              <w:pStyle w:val="EndnotesAbbrev"/>
            </w:pPr>
            <w:r>
              <w:t>Gaz = gazette</w:t>
            </w:r>
          </w:p>
        </w:tc>
        <w:tc>
          <w:tcPr>
            <w:tcW w:w="3652" w:type="dxa"/>
          </w:tcPr>
          <w:p w14:paraId="7948DE0E" w14:textId="77777777" w:rsidR="00A10FCD" w:rsidRDefault="00A10FCD" w:rsidP="00C349DC">
            <w:pPr>
              <w:pStyle w:val="EndnotesAbbrev"/>
            </w:pPr>
            <w:r>
              <w:t>RI = reissue</w:t>
            </w:r>
          </w:p>
        </w:tc>
      </w:tr>
      <w:tr w:rsidR="00A10FCD" w14:paraId="4CD372B8" w14:textId="77777777" w:rsidTr="00C349DC">
        <w:tc>
          <w:tcPr>
            <w:tcW w:w="3720" w:type="dxa"/>
          </w:tcPr>
          <w:p w14:paraId="523E900B" w14:textId="77777777" w:rsidR="00A10FCD" w:rsidRDefault="00A10FCD">
            <w:pPr>
              <w:pStyle w:val="EndnotesAbbrev"/>
            </w:pPr>
            <w:r>
              <w:t>hdg = heading</w:t>
            </w:r>
          </w:p>
        </w:tc>
        <w:tc>
          <w:tcPr>
            <w:tcW w:w="3652" w:type="dxa"/>
          </w:tcPr>
          <w:p w14:paraId="4528E484" w14:textId="77777777" w:rsidR="00A10FCD" w:rsidRDefault="00A10FCD" w:rsidP="00C349DC">
            <w:pPr>
              <w:pStyle w:val="EndnotesAbbrev"/>
            </w:pPr>
            <w:r>
              <w:t>s = section/subsection</w:t>
            </w:r>
          </w:p>
        </w:tc>
      </w:tr>
      <w:tr w:rsidR="00A10FCD" w14:paraId="1D6D4841" w14:textId="77777777" w:rsidTr="00C349DC">
        <w:tc>
          <w:tcPr>
            <w:tcW w:w="3720" w:type="dxa"/>
          </w:tcPr>
          <w:p w14:paraId="66E4E3B8" w14:textId="77777777" w:rsidR="00A10FCD" w:rsidRDefault="00A10FCD">
            <w:pPr>
              <w:pStyle w:val="EndnotesAbbrev"/>
            </w:pPr>
            <w:r>
              <w:t>IA = Interpretation Act 1967</w:t>
            </w:r>
          </w:p>
        </w:tc>
        <w:tc>
          <w:tcPr>
            <w:tcW w:w="3652" w:type="dxa"/>
          </w:tcPr>
          <w:p w14:paraId="7600F2BE" w14:textId="77777777" w:rsidR="00A10FCD" w:rsidRDefault="00A10FCD" w:rsidP="00C349DC">
            <w:pPr>
              <w:pStyle w:val="EndnotesAbbrev"/>
            </w:pPr>
            <w:r>
              <w:t>sch = schedule</w:t>
            </w:r>
          </w:p>
        </w:tc>
      </w:tr>
      <w:tr w:rsidR="00A10FCD" w14:paraId="2A991CA1" w14:textId="77777777" w:rsidTr="00C349DC">
        <w:tc>
          <w:tcPr>
            <w:tcW w:w="3720" w:type="dxa"/>
          </w:tcPr>
          <w:p w14:paraId="0479A861" w14:textId="77777777" w:rsidR="00A10FCD" w:rsidRDefault="00A10FCD">
            <w:pPr>
              <w:pStyle w:val="EndnotesAbbrev"/>
            </w:pPr>
            <w:r>
              <w:t>ins = inserted/added</w:t>
            </w:r>
          </w:p>
        </w:tc>
        <w:tc>
          <w:tcPr>
            <w:tcW w:w="3652" w:type="dxa"/>
          </w:tcPr>
          <w:p w14:paraId="4A3D3EA5" w14:textId="77777777" w:rsidR="00A10FCD" w:rsidRDefault="00A10FCD" w:rsidP="00C349DC">
            <w:pPr>
              <w:pStyle w:val="EndnotesAbbrev"/>
            </w:pPr>
            <w:r>
              <w:t>sdiv = subdivision</w:t>
            </w:r>
          </w:p>
        </w:tc>
      </w:tr>
      <w:tr w:rsidR="00A10FCD" w14:paraId="647AE436" w14:textId="77777777" w:rsidTr="00C349DC">
        <w:tc>
          <w:tcPr>
            <w:tcW w:w="3720" w:type="dxa"/>
          </w:tcPr>
          <w:p w14:paraId="4EEC1A6A" w14:textId="77777777" w:rsidR="00A10FCD" w:rsidRDefault="00A10FCD">
            <w:pPr>
              <w:pStyle w:val="EndnotesAbbrev"/>
            </w:pPr>
            <w:r>
              <w:t>LA = Legislation Act 2001</w:t>
            </w:r>
          </w:p>
        </w:tc>
        <w:tc>
          <w:tcPr>
            <w:tcW w:w="3652" w:type="dxa"/>
          </w:tcPr>
          <w:p w14:paraId="52BE2AC0" w14:textId="77777777" w:rsidR="00A10FCD" w:rsidRDefault="00A10FCD" w:rsidP="00C349DC">
            <w:pPr>
              <w:pStyle w:val="EndnotesAbbrev"/>
            </w:pPr>
            <w:r>
              <w:t>SL = Subordinate law</w:t>
            </w:r>
          </w:p>
        </w:tc>
      </w:tr>
      <w:tr w:rsidR="00A10FCD" w14:paraId="43B592A5" w14:textId="77777777" w:rsidTr="00C349DC">
        <w:tc>
          <w:tcPr>
            <w:tcW w:w="3720" w:type="dxa"/>
          </w:tcPr>
          <w:p w14:paraId="5991CB00" w14:textId="77777777" w:rsidR="00A10FCD" w:rsidRDefault="00A10FCD">
            <w:pPr>
              <w:pStyle w:val="EndnotesAbbrev"/>
            </w:pPr>
            <w:r>
              <w:t>LR = legislation register</w:t>
            </w:r>
          </w:p>
        </w:tc>
        <w:tc>
          <w:tcPr>
            <w:tcW w:w="3652" w:type="dxa"/>
          </w:tcPr>
          <w:p w14:paraId="4925A19B" w14:textId="77777777" w:rsidR="00A10FCD" w:rsidRDefault="00A10FCD" w:rsidP="00C349DC">
            <w:pPr>
              <w:pStyle w:val="EndnotesAbbrev"/>
            </w:pPr>
            <w:r>
              <w:t>sub = substituted</w:t>
            </w:r>
          </w:p>
        </w:tc>
      </w:tr>
      <w:tr w:rsidR="00A10FCD" w14:paraId="2E670566" w14:textId="77777777" w:rsidTr="00C349DC">
        <w:tc>
          <w:tcPr>
            <w:tcW w:w="3720" w:type="dxa"/>
          </w:tcPr>
          <w:p w14:paraId="27C7ADE4" w14:textId="77777777" w:rsidR="00A10FCD" w:rsidRDefault="00A10FCD">
            <w:pPr>
              <w:pStyle w:val="EndnotesAbbrev"/>
            </w:pPr>
            <w:r>
              <w:t>LRA = Legislation (Republication) Act 1996</w:t>
            </w:r>
          </w:p>
        </w:tc>
        <w:tc>
          <w:tcPr>
            <w:tcW w:w="3652" w:type="dxa"/>
          </w:tcPr>
          <w:p w14:paraId="3266D786" w14:textId="77777777" w:rsidR="00A10FCD" w:rsidRDefault="00A10FCD" w:rsidP="00C349DC">
            <w:pPr>
              <w:pStyle w:val="EndnotesAbbrev"/>
            </w:pPr>
            <w:r>
              <w:rPr>
                <w:u w:val="single"/>
              </w:rPr>
              <w:t>underlining</w:t>
            </w:r>
            <w:r>
              <w:t xml:space="preserve"> = whole or part not commenced</w:t>
            </w:r>
          </w:p>
        </w:tc>
      </w:tr>
      <w:tr w:rsidR="00A10FCD" w14:paraId="1CDA180C" w14:textId="77777777" w:rsidTr="00C349DC">
        <w:tc>
          <w:tcPr>
            <w:tcW w:w="3720" w:type="dxa"/>
          </w:tcPr>
          <w:p w14:paraId="4146EC1A" w14:textId="77777777" w:rsidR="00A10FCD" w:rsidRDefault="00A10FCD">
            <w:pPr>
              <w:pStyle w:val="EndnotesAbbrev"/>
            </w:pPr>
            <w:r>
              <w:t>mod = modified/modification</w:t>
            </w:r>
          </w:p>
        </w:tc>
        <w:tc>
          <w:tcPr>
            <w:tcW w:w="3652" w:type="dxa"/>
          </w:tcPr>
          <w:p w14:paraId="58DC7750" w14:textId="77777777" w:rsidR="00A10FCD" w:rsidRDefault="00A10FCD" w:rsidP="00C349DC">
            <w:pPr>
              <w:pStyle w:val="EndnotesAbbrev"/>
              <w:ind w:left="1073"/>
            </w:pPr>
            <w:r>
              <w:t>or to be expired</w:t>
            </w:r>
          </w:p>
        </w:tc>
      </w:tr>
    </w:tbl>
    <w:p w14:paraId="75D951FB" w14:textId="77777777" w:rsidR="00A10FCD" w:rsidRPr="00BB6F39" w:rsidRDefault="00A10FCD" w:rsidP="00C349DC"/>
    <w:p w14:paraId="2D2B1148" w14:textId="77777777" w:rsidR="00D847F1" w:rsidRPr="004D57A4" w:rsidRDefault="00D847F1">
      <w:pPr>
        <w:pStyle w:val="Endnote20"/>
      </w:pPr>
      <w:bookmarkStart w:id="138" w:name="_Toc155080793"/>
      <w:r w:rsidRPr="004D57A4">
        <w:rPr>
          <w:rStyle w:val="charTableNo"/>
        </w:rPr>
        <w:lastRenderedPageBreak/>
        <w:t>3</w:t>
      </w:r>
      <w:r>
        <w:tab/>
      </w:r>
      <w:r w:rsidRPr="004D57A4">
        <w:rPr>
          <w:rStyle w:val="charTableText"/>
        </w:rPr>
        <w:t>Legislation history</w:t>
      </w:r>
      <w:bookmarkEnd w:id="138"/>
    </w:p>
    <w:p w14:paraId="6842BDD0" w14:textId="02067322" w:rsidR="00D847F1" w:rsidRDefault="00D847F1">
      <w:pPr>
        <w:pStyle w:val="EndNoteTextEPS"/>
      </w:pPr>
      <w:r>
        <w:t xml:space="preserve">This regulation was originally the </w:t>
      </w:r>
      <w:hyperlink r:id="rId94" w:tooltip="SL2002-28" w:history="1">
        <w:r w:rsidR="00DF21AF" w:rsidRPr="00DF21AF">
          <w:rPr>
            <w:rStyle w:val="charCitHyperlinkItal"/>
          </w:rPr>
          <w:t>Gambling and Racing Control (Code of Practice) Regulations 2002 (No 1)</w:t>
        </w:r>
      </w:hyperlink>
      <w:r>
        <w:t xml:space="preserve">.  It was renamed under the </w:t>
      </w:r>
      <w:hyperlink r:id="rId95" w:tooltip="A2001-14" w:history="1">
        <w:r w:rsidR="00DF21AF" w:rsidRPr="00DF21AF">
          <w:rPr>
            <w:rStyle w:val="charCitHyperlinkItal"/>
          </w:rPr>
          <w:t>Legislation Act 2001</w:t>
        </w:r>
      </w:hyperlink>
      <w:r>
        <w:t>.</w:t>
      </w:r>
    </w:p>
    <w:p w14:paraId="6378B96A" w14:textId="77777777" w:rsidR="00D847F1" w:rsidRDefault="00D847F1">
      <w:pPr>
        <w:pStyle w:val="NewAct"/>
      </w:pPr>
      <w:r>
        <w:t>Gambling and Racing Control (Code of Practice) Regulation 2002 SL2002-28</w:t>
      </w:r>
    </w:p>
    <w:p w14:paraId="296E0415" w14:textId="77777777" w:rsidR="00D847F1" w:rsidRDefault="00D847F1">
      <w:pPr>
        <w:pStyle w:val="Actdetails"/>
        <w:keepNext/>
      </w:pPr>
      <w:r>
        <w:t>notified LR 16 October 2002</w:t>
      </w:r>
    </w:p>
    <w:p w14:paraId="7C9F54AB" w14:textId="77777777" w:rsidR="00D847F1" w:rsidRDefault="00D847F1">
      <w:pPr>
        <w:pStyle w:val="Actdetails"/>
        <w:keepNext/>
      </w:pPr>
      <w:r>
        <w:t>s 1, s 2 commenced 16 October 2002 (LA s 75 (1))</w:t>
      </w:r>
    </w:p>
    <w:p w14:paraId="0780296C" w14:textId="77777777" w:rsidR="00D847F1" w:rsidRDefault="00D847F1">
      <w:pPr>
        <w:pStyle w:val="Actdetails"/>
        <w:keepNext/>
      </w:pPr>
      <w:r>
        <w:t>s 9, s 11 (3), s 19, sch 1 s 1.4, sch 1 s 1.17, sch 1 s 1.25, sch 1 s 1.26 commenced 1 May 2003 (s 2 (1))</w:t>
      </w:r>
    </w:p>
    <w:p w14:paraId="5AC1CD1B" w14:textId="77777777" w:rsidR="00D847F1" w:rsidRPr="00F1531F" w:rsidRDefault="00D847F1">
      <w:pPr>
        <w:pStyle w:val="Actdetails"/>
        <w:rPr>
          <w:rFonts w:cs="Arial"/>
        </w:rPr>
      </w:pPr>
      <w:r w:rsidRPr="00F1531F">
        <w:rPr>
          <w:rFonts w:cs="Arial"/>
        </w:rPr>
        <w:t>remainder commenced 1 December 2002 (s 2 (2))</w:t>
      </w:r>
    </w:p>
    <w:p w14:paraId="57E6597A" w14:textId="77777777" w:rsidR="00D847F1" w:rsidRDefault="00D847F1">
      <w:pPr>
        <w:pStyle w:val="Asamby"/>
      </w:pPr>
      <w:r>
        <w:t>as amended by</w:t>
      </w:r>
    </w:p>
    <w:p w14:paraId="3B0380E7" w14:textId="3B666492" w:rsidR="00D847F1" w:rsidRDefault="00DF21AF">
      <w:pPr>
        <w:pStyle w:val="NewAct"/>
      </w:pPr>
      <w:hyperlink r:id="rId96" w:tooltip="SL2004-31" w:history="1">
        <w:r w:rsidRPr="00DF21AF">
          <w:rPr>
            <w:rStyle w:val="charCitHyperlinkAbbrev"/>
          </w:rPr>
          <w:t>Gambling and Racing Control (Code of Practice) Amendment Regulations 2004 (No 1)</w:t>
        </w:r>
      </w:hyperlink>
      <w:r w:rsidR="00D847F1">
        <w:t xml:space="preserve"> SL2004-31</w:t>
      </w:r>
    </w:p>
    <w:p w14:paraId="1074E0C2" w14:textId="77777777" w:rsidR="00D847F1" w:rsidRDefault="00D847F1">
      <w:pPr>
        <w:pStyle w:val="Actdetails"/>
      </w:pPr>
      <w:r>
        <w:t>notified LR 2 August 2004</w:t>
      </w:r>
      <w:r>
        <w:br/>
        <w:t>s 1, s 2 commenced 2 August 2004 (LA s 75 (1))</w:t>
      </w:r>
    </w:p>
    <w:p w14:paraId="6EDF26D9" w14:textId="7489CBF4" w:rsidR="00D847F1" w:rsidRPr="00F1531F" w:rsidRDefault="00D847F1">
      <w:pPr>
        <w:pStyle w:val="Actdetails"/>
        <w:rPr>
          <w:rFonts w:cs="Arial"/>
        </w:rPr>
      </w:pPr>
      <w:r w:rsidRPr="00F1531F">
        <w:rPr>
          <w:rFonts w:cs="Arial"/>
        </w:rPr>
        <w:t xml:space="preserve">remainder commenced 1 October 2004 (s 2 and </w:t>
      </w:r>
      <w:hyperlink r:id="rId97" w:tooltip="CN2004-15" w:history="1">
        <w:r w:rsidR="00DF21AF" w:rsidRPr="00DF21AF">
          <w:rPr>
            <w:rStyle w:val="charCitHyperlinkAbbrev"/>
          </w:rPr>
          <w:t>CN2004-15</w:t>
        </w:r>
      </w:hyperlink>
      <w:r w:rsidRPr="00F1531F">
        <w:rPr>
          <w:rFonts w:cs="Arial"/>
        </w:rPr>
        <w:t>)</w:t>
      </w:r>
    </w:p>
    <w:p w14:paraId="01E251C4" w14:textId="0436EA55" w:rsidR="00D847F1" w:rsidRDefault="00DF21AF">
      <w:pPr>
        <w:pStyle w:val="NewAct"/>
      </w:pPr>
      <w:hyperlink r:id="rId98" w:tooltip="A2006-2" w:history="1">
        <w:r w:rsidRPr="00DF21AF">
          <w:rPr>
            <w:rStyle w:val="charCitHyperlinkAbbrev"/>
          </w:rPr>
          <w:t>Casino Control Act 2006</w:t>
        </w:r>
      </w:hyperlink>
      <w:r w:rsidR="00D847F1">
        <w:t xml:space="preserve"> A2006-2 sch 1 pt 1.2</w:t>
      </w:r>
    </w:p>
    <w:p w14:paraId="6267744A" w14:textId="77777777" w:rsidR="00D847F1" w:rsidRDefault="00D847F1">
      <w:pPr>
        <w:pStyle w:val="Actdetails"/>
      </w:pPr>
      <w:r>
        <w:t>notified LR 22 February 2006</w:t>
      </w:r>
      <w:r>
        <w:br/>
        <w:t>s 1, s 2 commenced 22 February 2006 (LA s 75 (1))</w:t>
      </w:r>
    </w:p>
    <w:p w14:paraId="35E51B8B" w14:textId="272E9D62" w:rsidR="00D847F1" w:rsidRPr="00F1531F" w:rsidRDefault="00D847F1">
      <w:pPr>
        <w:pStyle w:val="Actdetails"/>
        <w:rPr>
          <w:rFonts w:cs="Arial"/>
        </w:rPr>
      </w:pPr>
      <w:r w:rsidRPr="00F1531F">
        <w:rPr>
          <w:rFonts w:cs="Arial"/>
        </w:rPr>
        <w:t xml:space="preserve">sch 1 pt 1.2 commenced 1 May 2006 (s 2 and </w:t>
      </w:r>
      <w:hyperlink r:id="rId99" w:tooltip="CN2006-6" w:history="1">
        <w:r w:rsidR="00DF21AF" w:rsidRPr="00DF21AF">
          <w:rPr>
            <w:rStyle w:val="charCitHyperlinkAbbrev"/>
          </w:rPr>
          <w:t>CN2006-6</w:t>
        </w:r>
      </w:hyperlink>
      <w:r w:rsidRPr="00F1531F">
        <w:rPr>
          <w:rFonts w:cs="Arial"/>
        </w:rPr>
        <w:t>)</w:t>
      </w:r>
    </w:p>
    <w:p w14:paraId="315E7A1D" w14:textId="57C94F52" w:rsidR="00D847F1" w:rsidRDefault="00DF21AF">
      <w:pPr>
        <w:pStyle w:val="NewAct"/>
      </w:pPr>
      <w:hyperlink r:id="rId100" w:tooltip="A2007-16" w:history="1">
        <w:r w:rsidRPr="00DF21AF">
          <w:rPr>
            <w:rStyle w:val="charCitHyperlinkAbbrev"/>
          </w:rPr>
          <w:t>Statute Law Amendment Act 2007 (No 2)</w:t>
        </w:r>
      </w:hyperlink>
      <w:r w:rsidR="00D847F1">
        <w:t xml:space="preserve"> A2007-16 sch 3 pt 3.17</w:t>
      </w:r>
    </w:p>
    <w:p w14:paraId="107F837A" w14:textId="77777777" w:rsidR="00D847F1" w:rsidRDefault="00D847F1">
      <w:pPr>
        <w:pStyle w:val="Actdetails"/>
        <w:keepNext/>
      </w:pPr>
      <w:r>
        <w:t>notified LR 20 June 2007</w:t>
      </w:r>
    </w:p>
    <w:p w14:paraId="06E3AA1A" w14:textId="77777777" w:rsidR="00D847F1" w:rsidRDefault="00D847F1">
      <w:pPr>
        <w:pStyle w:val="Actdetails"/>
        <w:keepNext/>
      </w:pPr>
      <w:r>
        <w:t>s 1, s 2 taken to have commenced 12 April 2007 (LA s 75 (2))</w:t>
      </w:r>
    </w:p>
    <w:p w14:paraId="6701658F" w14:textId="77777777" w:rsidR="00D847F1" w:rsidRDefault="00D847F1">
      <w:pPr>
        <w:pStyle w:val="Actdetails"/>
      </w:pPr>
      <w:r>
        <w:t>sch 3 pt 3.17 commenced 11 July 2007 (s 2 (1))</w:t>
      </w:r>
    </w:p>
    <w:p w14:paraId="3BA20F0B" w14:textId="2E16B66D" w:rsidR="00D96AB6" w:rsidRDefault="00DF21AF" w:rsidP="00D96AB6">
      <w:pPr>
        <w:pStyle w:val="NewAct"/>
      </w:pPr>
      <w:hyperlink r:id="rId101" w:tooltip="A2008-37" w:history="1">
        <w:r w:rsidRPr="00DF21AF">
          <w:rPr>
            <w:rStyle w:val="charCitHyperlinkAbbrev"/>
          </w:rPr>
          <w:t>ACT Civil and Administrative Tribunal Legislation Amendment Act 2008 (No 2)</w:t>
        </w:r>
      </w:hyperlink>
      <w:r w:rsidR="00D96AB6">
        <w:t xml:space="preserve"> A2008-37 sch 1 pt 1.46</w:t>
      </w:r>
    </w:p>
    <w:p w14:paraId="5327E8A5" w14:textId="77777777" w:rsidR="00D96AB6" w:rsidRDefault="00D96AB6" w:rsidP="0053766D">
      <w:pPr>
        <w:pStyle w:val="Actdetails"/>
        <w:keepNext/>
      </w:pPr>
      <w:r>
        <w:t>notified LR 4 September 2008</w:t>
      </w:r>
    </w:p>
    <w:p w14:paraId="3D14DF01" w14:textId="77777777" w:rsidR="00D96AB6" w:rsidRDefault="00D96AB6" w:rsidP="0053766D">
      <w:pPr>
        <w:pStyle w:val="Actdetails"/>
        <w:keepNext/>
      </w:pPr>
      <w:r>
        <w:t>s 1, s 2 commenced 4 September 2008 (LA s 75 (1))</w:t>
      </w:r>
    </w:p>
    <w:p w14:paraId="64BBF3C4" w14:textId="7790E66F" w:rsidR="00D96AB6" w:rsidRDefault="00D96AB6" w:rsidP="00D96AB6">
      <w:pPr>
        <w:pStyle w:val="Actdetails"/>
      </w:pPr>
      <w:r>
        <w:t xml:space="preserve">sch 1 pt 1.46 commenced 2 February 2009 (s 2 (1) and see </w:t>
      </w:r>
      <w:hyperlink r:id="rId102" w:tooltip="A2008-35" w:history="1">
        <w:r w:rsidR="00DF21AF" w:rsidRPr="00DF21AF">
          <w:rPr>
            <w:rStyle w:val="charCitHyperlinkAbbrev"/>
          </w:rPr>
          <w:t>ACT Civil and Administrative Tribunal Act 2008</w:t>
        </w:r>
      </w:hyperlink>
      <w:r>
        <w:t xml:space="preserve"> A2008-35, s 2 (1) and </w:t>
      </w:r>
      <w:hyperlink r:id="rId103" w:tooltip="CN2009-2" w:history="1">
        <w:r w:rsidR="00DF21AF" w:rsidRPr="00DF21AF">
          <w:rPr>
            <w:rStyle w:val="charCitHyperlinkAbbrev"/>
          </w:rPr>
          <w:t>CN2009-2</w:t>
        </w:r>
      </w:hyperlink>
      <w:r>
        <w:t>)</w:t>
      </w:r>
    </w:p>
    <w:p w14:paraId="19838E35" w14:textId="4EF0E34F" w:rsidR="0053766D" w:rsidRDefault="0053766D" w:rsidP="0053766D">
      <w:pPr>
        <w:pStyle w:val="NewAct"/>
      </w:pPr>
      <w:hyperlink r:id="rId104" w:tooltip="A2014-4" w:history="1">
        <w:r>
          <w:rPr>
            <w:rStyle w:val="charCitHyperlinkAbbrev"/>
          </w:rPr>
          <w:t>Totalisator Act 2014</w:t>
        </w:r>
      </w:hyperlink>
      <w:r>
        <w:t xml:space="preserve"> A2014-4 sch 2 pt 2.2</w:t>
      </w:r>
    </w:p>
    <w:p w14:paraId="66F33F39" w14:textId="77777777" w:rsidR="0053766D" w:rsidRDefault="0053766D" w:rsidP="0053766D">
      <w:pPr>
        <w:pStyle w:val="Actdetails"/>
        <w:keepNext/>
      </w:pPr>
      <w:r>
        <w:t>notified LR 26 March 2014</w:t>
      </w:r>
    </w:p>
    <w:p w14:paraId="1CCD61D9" w14:textId="77777777" w:rsidR="0053766D" w:rsidRDefault="0053766D" w:rsidP="0053766D">
      <w:pPr>
        <w:pStyle w:val="Actdetails"/>
        <w:keepNext/>
      </w:pPr>
      <w:r>
        <w:t>s 1, s 2 commenced 26 March 2014 (LA s 75 (1))</w:t>
      </w:r>
    </w:p>
    <w:p w14:paraId="0E2F8A24" w14:textId="77777777" w:rsidR="0053766D" w:rsidRDefault="00A10FCD" w:rsidP="0053766D">
      <w:pPr>
        <w:pStyle w:val="Actdetails"/>
      </w:pPr>
      <w:r>
        <w:t>sch 2 pt 2.2</w:t>
      </w:r>
      <w:r w:rsidR="0053766D" w:rsidRPr="002D2CC3">
        <w:t xml:space="preserve"> </w:t>
      </w:r>
      <w:r w:rsidR="0053766D" w:rsidRPr="009A7FDA">
        <w:t xml:space="preserve">commenced </w:t>
      </w:r>
      <w:r w:rsidR="0053766D">
        <w:t>27 March</w:t>
      </w:r>
      <w:r w:rsidR="0053766D" w:rsidRPr="009A7FDA">
        <w:t xml:space="preserve"> 201</w:t>
      </w:r>
      <w:r w:rsidR="0053766D">
        <w:t>4</w:t>
      </w:r>
      <w:r w:rsidR="0053766D" w:rsidRPr="009A7FDA">
        <w:t xml:space="preserve"> (s 2)</w:t>
      </w:r>
    </w:p>
    <w:p w14:paraId="50D3456B" w14:textId="4FA1ABE5" w:rsidR="006F23FF" w:rsidRDefault="006F23FF" w:rsidP="006F23FF">
      <w:pPr>
        <w:pStyle w:val="NewAct"/>
      </w:pPr>
      <w:hyperlink r:id="rId105" w:tooltip="SL2014-17" w:history="1">
        <w:r>
          <w:rPr>
            <w:rStyle w:val="charCitHyperlinkAbbrev"/>
          </w:rPr>
          <w:t>Gambling and Racing Control (Code of Practice) Amendment Regulation 2014 (No 1)</w:t>
        </w:r>
      </w:hyperlink>
      <w:r>
        <w:t xml:space="preserve"> </w:t>
      </w:r>
      <w:r w:rsidR="00EC222E">
        <w:t>SL</w:t>
      </w:r>
      <w:r>
        <w:t>2014-17</w:t>
      </w:r>
    </w:p>
    <w:p w14:paraId="541AF881" w14:textId="77777777" w:rsidR="006F23FF" w:rsidRDefault="006F23FF" w:rsidP="006F23FF">
      <w:pPr>
        <w:pStyle w:val="Actdetails"/>
        <w:keepNext/>
      </w:pPr>
      <w:r>
        <w:t>notified LR 2</w:t>
      </w:r>
      <w:r w:rsidR="00743CAC">
        <w:t>8</w:t>
      </w:r>
      <w:r>
        <w:t xml:space="preserve"> </w:t>
      </w:r>
      <w:r w:rsidR="00743CAC">
        <w:t>July</w:t>
      </w:r>
      <w:r>
        <w:t xml:space="preserve"> 2014</w:t>
      </w:r>
    </w:p>
    <w:p w14:paraId="29BC5684" w14:textId="77777777" w:rsidR="006F23FF" w:rsidRDefault="006F23FF" w:rsidP="006F23FF">
      <w:pPr>
        <w:pStyle w:val="Actdetails"/>
        <w:keepNext/>
      </w:pPr>
      <w:r>
        <w:t>s 1, s 2 commenced 2</w:t>
      </w:r>
      <w:r w:rsidR="00743CAC">
        <w:t>8</w:t>
      </w:r>
      <w:r>
        <w:t xml:space="preserve"> </w:t>
      </w:r>
      <w:r w:rsidR="00743CAC">
        <w:t>July</w:t>
      </w:r>
      <w:r>
        <w:t xml:space="preserve"> 2014 (LA s 75 (1))</w:t>
      </w:r>
    </w:p>
    <w:p w14:paraId="394FBDC7" w14:textId="738FB1C1" w:rsidR="006F23FF" w:rsidRDefault="009B72D9" w:rsidP="006F23FF">
      <w:pPr>
        <w:pStyle w:val="Actdetails"/>
      </w:pPr>
      <w:r>
        <w:t>remainder</w:t>
      </w:r>
      <w:r w:rsidR="006F23FF" w:rsidRPr="002D2CC3">
        <w:t xml:space="preserve"> </w:t>
      </w:r>
      <w:r w:rsidR="006F23FF" w:rsidRPr="009A7FDA">
        <w:t xml:space="preserve">commenced </w:t>
      </w:r>
      <w:r w:rsidR="00743CAC">
        <w:t>1</w:t>
      </w:r>
      <w:r w:rsidR="006F23FF">
        <w:t xml:space="preserve"> </w:t>
      </w:r>
      <w:r w:rsidR="00743CAC">
        <w:t>August</w:t>
      </w:r>
      <w:r w:rsidR="006F23FF" w:rsidRPr="009A7FDA">
        <w:t xml:space="preserve"> 201</w:t>
      </w:r>
      <w:r w:rsidR="006F23FF">
        <w:t>4</w:t>
      </w:r>
      <w:r w:rsidR="006F23FF" w:rsidRPr="009A7FDA">
        <w:t xml:space="preserve"> (s 2</w:t>
      </w:r>
      <w:r w:rsidR="00FA1B52">
        <w:t xml:space="preserve"> and </w:t>
      </w:r>
      <w:hyperlink r:id="rId106" w:tooltip="CN2014-11" w:history="1">
        <w:r w:rsidR="0077579F">
          <w:rPr>
            <w:rStyle w:val="charCitHyperlinkAbbrev"/>
          </w:rPr>
          <w:t>CN2014-11</w:t>
        </w:r>
      </w:hyperlink>
      <w:r w:rsidR="006F23FF" w:rsidRPr="009A7FDA">
        <w:t>)</w:t>
      </w:r>
    </w:p>
    <w:p w14:paraId="43303B22" w14:textId="11175E8E" w:rsidR="009F276B" w:rsidRDefault="009F276B" w:rsidP="009F276B">
      <w:pPr>
        <w:pStyle w:val="NewAct"/>
      </w:pPr>
      <w:hyperlink r:id="rId107" w:tooltip="SL2015-27" w:history="1">
        <w:r>
          <w:rPr>
            <w:rStyle w:val="charCitHyperlinkAbbrev"/>
          </w:rPr>
          <w:t>Gaming Legislation Amendment Regulation 2015 (No 1)</w:t>
        </w:r>
      </w:hyperlink>
      <w:r w:rsidR="00FB6524">
        <w:t xml:space="preserve"> SL2015</w:t>
      </w:r>
      <w:r w:rsidR="00FB6524">
        <w:noBreakHyphen/>
      </w:r>
      <w:r>
        <w:t>27</w:t>
      </w:r>
      <w:r w:rsidR="00FB6524">
        <w:t> </w:t>
      </w:r>
      <w:r w:rsidR="00517082">
        <w:t>pt</w:t>
      </w:r>
      <w:r w:rsidR="00FB6524">
        <w:t> </w:t>
      </w:r>
      <w:r w:rsidR="00517082">
        <w:t>2</w:t>
      </w:r>
    </w:p>
    <w:p w14:paraId="2C5957E7" w14:textId="77777777" w:rsidR="009F276B" w:rsidRDefault="009F276B" w:rsidP="009F276B">
      <w:pPr>
        <w:pStyle w:val="Actdetails"/>
        <w:keepNext/>
      </w:pPr>
      <w:r>
        <w:t>notified LR 24 August 2015</w:t>
      </w:r>
    </w:p>
    <w:p w14:paraId="7A8DF681" w14:textId="77777777" w:rsidR="009F276B" w:rsidRDefault="009F276B" w:rsidP="009F276B">
      <w:pPr>
        <w:pStyle w:val="Actdetails"/>
        <w:keepNext/>
      </w:pPr>
      <w:r>
        <w:t>s 1, s 2 commenced 24 August 2015 (LA s 75 (1))</w:t>
      </w:r>
    </w:p>
    <w:p w14:paraId="3336BEE8" w14:textId="2128276C" w:rsidR="009F276B" w:rsidRDefault="00517082" w:rsidP="009F276B">
      <w:pPr>
        <w:pStyle w:val="Actdetails"/>
      </w:pPr>
      <w:r>
        <w:t>pt 2</w:t>
      </w:r>
      <w:r w:rsidR="009F276B" w:rsidRPr="002D2CC3">
        <w:t xml:space="preserve"> </w:t>
      </w:r>
      <w:r w:rsidR="009F276B" w:rsidRPr="009A7FDA">
        <w:t xml:space="preserve">commenced </w:t>
      </w:r>
      <w:r w:rsidR="009F276B">
        <w:t>31 August</w:t>
      </w:r>
      <w:r w:rsidR="009F276B" w:rsidRPr="009A7FDA">
        <w:t xml:space="preserve"> 201</w:t>
      </w:r>
      <w:r w:rsidR="009F276B">
        <w:t>5</w:t>
      </w:r>
      <w:r w:rsidR="009F276B" w:rsidRPr="009A7FDA">
        <w:t xml:space="preserve"> (s 2</w:t>
      </w:r>
      <w:r w:rsidR="009F276B">
        <w:t xml:space="preserve"> and see </w:t>
      </w:r>
      <w:hyperlink r:id="rId108" w:tooltip="A2015-21" w:history="1">
        <w:r w:rsidRPr="006C7C99">
          <w:rPr>
            <w:rStyle w:val="charCitHyperlinkAbbrev"/>
          </w:rPr>
          <w:t>Gaming Machine (Reform) Amendment Act 2015</w:t>
        </w:r>
      </w:hyperlink>
      <w:r>
        <w:t xml:space="preserve"> A2015-21, s 2 and </w:t>
      </w:r>
      <w:hyperlink r:id="rId109" w:tooltip="CN2015-18" w:history="1">
        <w:r>
          <w:rPr>
            <w:rStyle w:val="charCitHyperlinkAbbrev"/>
          </w:rPr>
          <w:t>CN2015-18</w:t>
        </w:r>
      </w:hyperlink>
      <w:r w:rsidR="009F276B" w:rsidRPr="009A7FDA">
        <w:t>)</w:t>
      </w:r>
    </w:p>
    <w:p w14:paraId="5646907D" w14:textId="07105370" w:rsidR="00FF73A7" w:rsidRDefault="00FF73A7" w:rsidP="00FF73A7">
      <w:pPr>
        <w:pStyle w:val="NewAct"/>
      </w:pPr>
      <w:hyperlink r:id="rId110" w:tooltip="A2015-41" w:history="1">
        <w:r>
          <w:rPr>
            <w:rStyle w:val="charCitHyperlinkAbbrev"/>
          </w:rPr>
          <w:t>Lotteries (Approvals) Amendment Act 2015</w:t>
        </w:r>
      </w:hyperlink>
      <w:r>
        <w:t xml:space="preserve"> A2015-41 sch 1</w:t>
      </w:r>
    </w:p>
    <w:p w14:paraId="6C21ECD1" w14:textId="77777777" w:rsidR="00FF73A7" w:rsidRDefault="00FF73A7" w:rsidP="00FF73A7">
      <w:pPr>
        <w:pStyle w:val="Actdetails"/>
      </w:pPr>
      <w:r>
        <w:t>notified LR 4 November 2015</w:t>
      </w:r>
    </w:p>
    <w:p w14:paraId="6C86ECDC" w14:textId="77777777" w:rsidR="00FF73A7" w:rsidRPr="00D30827" w:rsidRDefault="00FF73A7" w:rsidP="00FF73A7">
      <w:pPr>
        <w:pStyle w:val="Actdetails"/>
      </w:pPr>
      <w:r>
        <w:t>s 1, s 2 commenced 4 November 2015 (LA s 75 (1))</w:t>
      </w:r>
    </w:p>
    <w:p w14:paraId="0F399329" w14:textId="77777777" w:rsidR="00FF73A7" w:rsidRDefault="00FF73A7" w:rsidP="00FF73A7">
      <w:pPr>
        <w:pStyle w:val="Actdetails"/>
      </w:pPr>
      <w:r>
        <w:t>sch 1</w:t>
      </w:r>
      <w:r w:rsidRPr="00D700EC">
        <w:t xml:space="preserve"> commence</w:t>
      </w:r>
      <w:r>
        <w:t>d</w:t>
      </w:r>
      <w:r w:rsidRPr="00D700EC">
        <w:t xml:space="preserve"> </w:t>
      </w:r>
      <w:r>
        <w:t>5 November 2015</w:t>
      </w:r>
      <w:r w:rsidRPr="00D700EC">
        <w:t xml:space="preserve"> (s 2)</w:t>
      </w:r>
    </w:p>
    <w:p w14:paraId="2ECF3A47" w14:textId="5901CE2E" w:rsidR="00FF05B5" w:rsidRDefault="000B39B0" w:rsidP="00FF05B5">
      <w:pPr>
        <w:pStyle w:val="NewAct"/>
      </w:pPr>
      <w:hyperlink r:id="rId111" w:tooltip="SL2019-10" w:history="1">
        <w:r>
          <w:rPr>
            <w:rStyle w:val="charCitHyperlinkAbbrev"/>
          </w:rPr>
          <w:t>Gambling and Racing Control (Code of Practice) Amendment Regulation 2019 (No 1)</w:t>
        </w:r>
      </w:hyperlink>
      <w:r w:rsidR="00FF05B5">
        <w:t xml:space="preserve"> SL20</w:t>
      </w:r>
      <w:r>
        <w:t>19</w:t>
      </w:r>
      <w:r w:rsidR="00FF05B5">
        <w:t>-</w:t>
      </w:r>
      <w:r>
        <w:t>10</w:t>
      </w:r>
    </w:p>
    <w:p w14:paraId="5EFB79FA" w14:textId="77777777" w:rsidR="008A104C" w:rsidRDefault="00FF05B5" w:rsidP="00FF05B5">
      <w:pPr>
        <w:pStyle w:val="Actdetails"/>
      </w:pPr>
      <w:r>
        <w:t xml:space="preserve">notified LR </w:t>
      </w:r>
      <w:r w:rsidR="000B39B0">
        <w:t>24</w:t>
      </w:r>
      <w:r>
        <w:t xml:space="preserve"> </w:t>
      </w:r>
      <w:r w:rsidR="000B39B0">
        <w:t>May</w:t>
      </w:r>
      <w:r>
        <w:t xml:space="preserve"> 20</w:t>
      </w:r>
      <w:r w:rsidR="000B39B0">
        <w:t>19</w:t>
      </w:r>
    </w:p>
    <w:p w14:paraId="708350E5" w14:textId="77777777" w:rsidR="00FF05B5" w:rsidRDefault="00FF05B5" w:rsidP="00FF05B5">
      <w:pPr>
        <w:pStyle w:val="Actdetails"/>
      </w:pPr>
      <w:r>
        <w:t xml:space="preserve">s 1, s 2 commenced </w:t>
      </w:r>
      <w:r w:rsidR="000B39B0">
        <w:t>24</w:t>
      </w:r>
      <w:r>
        <w:t xml:space="preserve"> </w:t>
      </w:r>
      <w:r w:rsidR="000B39B0">
        <w:t>May</w:t>
      </w:r>
      <w:r>
        <w:t xml:space="preserve"> 20</w:t>
      </w:r>
      <w:r w:rsidR="000B39B0">
        <w:t>19</w:t>
      </w:r>
      <w:r>
        <w:t xml:space="preserve"> (LA s 75 (1))</w:t>
      </w:r>
    </w:p>
    <w:p w14:paraId="78C362AA" w14:textId="77777777" w:rsidR="00FF05B5" w:rsidRPr="000B39B0" w:rsidRDefault="00FF05B5" w:rsidP="000B39B0">
      <w:pPr>
        <w:pStyle w:val="Actdetails"/>
        <w:rPr>
          <w:rFonts w:cs="Arial"/>
        </w:rPr>
      </w:pPr>
      <w:r w:rsidRPr="00F1531F">
        <w:rPr>
          <w:rFonts w:cs="Arial"/>
        </w:rPr>
        <w:t xml:space="preserve">remainder commenced </w:t>
      </w:r>
      <w:r w:rsidR="000B39B0">
        <w:rPr>
          <w:rFonts w:cs="Arial"/>
        </w:rPr>
        <w:t>26</w:t>
      </w:r>
      <w:r w:rsidRPr="00F1531F">
        <w:rPr>
          <w:rFonts w:cs="Arial"/>
        </w:rPr>
        <w:t xml:space="preserve"> </w:t>
      </w:r>
      <w:r w:rsidR="000B39B0">
        <w:rPr>
          <w:rFonts w:cs="Arial"/>
        </w:rPr>
        <w:t>May</w:t>
      </w:r>
      <w:r w:rsidRPr="00F1531F">
        <w:rPr>
          <w:rFonts w:cs="Arial"/>
        </w:rPr>
        <w:t xml:space="preserve"> 20</w:t>
      </w:r>
      <w:r w:rsidR="000B39B0">
        <w:rPr>
          <w:rFonts w:cs="Arial"/>
        </w:rPr>
        <w:t>19</w:t>
      </w:r>
      <w:r w:rsidR="008F00E1">
        <w:rPr>
          <w:rFonts w:cs="Arial"/>
        </w:rPr>
        <w:t xml:space="preserve"> (s 2)</w:t>
      </w:r>
    </w:p>
    <w:p w14:paraId="64E0B6F7" w14:textId="4D94A242" w:rsidR="0051286C" w:rsidRDefault="0051286C" w:rsidP="0051286C">
      <w:pPr>
        <w:pStyle w:val="NewAct"/>
      </w:pPr>
      <w:hyperlink r:id="rId112" w:tooltip="SL2022-17" w:history="1">
        <w:r>
          <w:rPr>
            <w:rStyle w:val="charCitHyperlinkAbbrev"/>
          </w:rPr>
          <w:t>Gambling and Racing Control (Code of Practice) Amendment Regulation 2022 (No 1)</w:t>
        </w:r>
      </w:hyperlink>
      <w:r>
        <w:t xml:space="preserve"> SL2022-1</w:t>
      </w:r>
      <w:r w:rsidR="00141032">
        <w:t>7</w:t>
      </w:r>
    </w:p>
    <w:p w14:paraId="1BD81114" w14:textId="1791D0E6" w:rsidR="0051286C" w:rsidRDefault="0051286C" w:rsidP="0051286C">
      <w:pPr>
        <w:pStyle w:val="Actdetails"/>
      </w:pPr>
      <w:r>
        <w:t xml:space="preserve">notified LR </w:t>
      </w:r>
      <w:r w:rsidR="00733DBB">
        <w:t>11 November 2022</w:t>
      </w:r>
    </w:p>
    <w:p w14:paraId="4B13DC98" w14:textId="5C6F2191" w:rsidR="0051286C" w:rsidRDefault="0051286C" w:rsidP="0051286C">
      <w:pPr>
        <w:pStyle w:val="Actdetails"/>
      </w:pPr>
      <w:r>
        <w:t xml:space="preserve">s 1, s 2 commenced </w:t>
      </w:r>
      <w:r w:rsidR="00733DBB">
        <w:t>11 November 2022</w:t>
      </w:r>
      <w:r>
        <w:t xml:space="preserve"> (LA s 75 (1))</w:t>
      </w:r>
    </w:p>
    <w:p w14:paraId="54029320" w14:textId="0502C57F" w:rsidR="0051286C" w:rsidRDefault="0051286C" w:rsidP="0051286C">
      <w:pPr>
        <w:pStyle w:val="Actdetails"/>
        <w:rPr>
          <w:rFonts w:cs="Arial"/>
        </w:rPr>
      </w:pPr>
      <w:r w:rsidRPr="00F1531F">
        <w:rPr>
          <w:rFonts w:cs="Arial"/>
        </w:rPr>
        <w:t xml:space="preserve">remainder commenced </w:t>
      </w:r>
      <w:r w:rsidR="00733DBB">
        <w:rPr>
          <w:rFonts w:cs="Arial"/>
        </w:rPr>
        <w:t>14 November 2022</w:t>
      </w:r>
      <w:r>
        <w:rPr>
          <w:rFonts w:cs="Arial"/>
        </w:rPr>
        <w:t xml:space="preserve"> (s 2)</w:t>
      </w:r>
    </w:p>
    <w:p w14:paraId="0ACE8979" w14:textId="5753CCE1" w:rsidR="00F80397" w:rsidRDefault="00F80397" w:rsidP="00F80397">
      <w:pPr>
        <w:pStyle w:val="NewAct"/>
      </w:pPr>
      <w:hyperlink r:id="rId113" w:tooltip="SL2023-8" w:history="1">
        <w:r>
          <w:rPr>
            <w:rStyle w:val="charCitHyperlinkAbbrev"/>
          </w:rPr>
          <w:t>Gambling and Racing Control (Code of Practice) Amendment Regulation 2023 (No 1)</w:t>
        </w:r>
      </w:hyperlink>
      <w:r>
        <w:t xml:space="preserve"> SL2023-8</w:t>
      </w:r>
    </w:p>
    <w:p w14:paraId="307CADC4" w14:textId="204999DF" w:rsidR="00F80397" w:rsidRDefault="00F80397" w:rsidP="00F80397">
      <w:pPr>
        <w:pStyle w:val="Actdetails"/>
      </w:pPr>
      <w:r>
        <w:t>notified LR 30 May 2023</w:t>
      </w:r>
    </w:p>
    <w:p w14:paraId="3A2304A1" w14:textId="76B47FF0" w:rsidR="00F80397" w:rsidRDefault="00F80397" w:rsidP="00F80397">
      <w:pPr>
        <w:pStyle w:val="Actdetails"/>
      </w:pPr>
      <w:r>
        <w:t>s 1, s 2 commenced 30 May 2023 (LA s 75 (1))</w:t>
      </w:r>
    </w:p>
    <w:p w14:paraId="565F5681" w14:textId="4B6D10B9" w:rsidR="00F80397" w:rsidRPr="000B39B0" w:rsidRDefault="00F80397" w:rsidP="0051286C">
      <w:pPr>
        <w:pStyle w:val="Actdetails"/>
        <w:rPr>
          <w:rFonts w:cs="Arial"/>
        </w:rPr>
      </w:pPr>
      <w:r w:rsidRPr="00F1531F">
        <w:rPr>
          <w:rFonts w:cs="Arial"/>
        </w:rPr>
        <w:t xml:space="preserve">remainder commenced </w:t>
      </w:r>
      <w:r>
        <w:rPr>
          <w:rFonts w:cs="Arial"/>
        </w:rPr>
        <w:t>31 May 2023 (s 2)</w:t>
      </w:r>
    </w:p>
    <w:p w14:paraId="08BE0D60" w14:textId="088A6677" w:rsidR="00433CEC" w:rsidRDefault="00433CEC" w:rsidP="00433CEC">
      <w:pPr>
        <w:pStyle w:val="NewAct"/>
      </w:pPr>
      <w:hyperlink r:id="rId114" w:tooltip="A2023-28" w:history="1">
        <w:r>
          <w:rPr>
            <w:rStyle w:val="charCitHyperlinkAbbrev"/>
          </w:rPr>
          <w:t>Gaming Machine (Club Refuge) Amendment Act 2023</w:t>
        </w:r>
      </w:hyperlink>
      <w:r>
        <w:t xml:space="preserve"> A2023-28 sch 1</w:t>
      </w:r>
    </w:p>
    <w:p w14:paraId="7E13C2E9" w14:textId="2D944AC7" w:rsidR="00433CEC" w:rsidRDefault="00433CEC" w:rsidP="00433CEC">
      <w:pPr>
        <w:pStyle w:val="Actdetails"/>
      </w:pPr>
      <w:r>
        <w:t>notified LR 7 July 2023</w:t>
      </w:r>
    </w:p>
    <w:p w14:paraId="57296DD4" w14:textId="1BE9FCC5" w:rsidR="00433CEC" w:rsidRPr="00D30827" w:rsidRDefault="00433CEC" w:rsidP="00433CEC">
      <w:pPr>
        <w:pStyle w:val="Actdetails"/>
      </w:pPr>
      <w:r>
        <w:t>s 1, s 2 commenced 7 July 2023 (LA s 75 (1))</w:t>
      </w:r>
    </w:p>
    <w:p w14:paraId="6B673F0C" w14:textId="235824ED" w:rsidR="00433CEC" w:rsidRDefault="00433CEC" w:rsidP="00433CEC">
      <w:pPr>
        <w:pStyle w:val="Actdetails"/>
      </w:pPr>
      <w:r>
        <w:t>sch 1</w:t>
      </w:r>
      <w:r w:rsidRPr="00D700EC">
        <w:t xml:space="preserve"> commence</w:t>
      </w:r>
      <w:r>
        <w:t>d</w:t>
      </w:r>
      <w:r w:rsidRPr="00D700EC">
        <w:t xml:space="preserve"> </w:t>
      </w:r>
      <w:r>
        <w:t>7 January 2024</w:t>
      </w:r>
      <w:r w:rsidRPr="00D700EC">
        <w:t xml:space="preserve"> (s 2</w:t>
      </w:r>
      <w:r>
        <w:t xml:space="preserve"> and LA s 79</w:t>
      </w:r>
      <w:r w:rsidRPr="00D700EC">
        <w:t>)</w:t>
      </w:r>
    </w:p>
    <w:p w14:paraId="7AAD0F29" w14:textId="77777777" w:rsidR="0053766D" w:rsidRPr="0053766D" w:rsidRDefault="0053766D" w:rsidP="0053766D">
      <w:pPr>
        <w:pStyle w:val="PageBreak"/>
      </w:pPr>
      <w:r w:rsidRPr="0053766D">
        <w:br w:type="page"/>
      </w:r>
    </w:p>
    <w:p w14:paraId="5C2B9E64" w14:textId="77777777" w:rsidR="00D847F1" w:rsidRPr="004D57A4" w:rsidRDefault="00D847F1">
      <w:pPr>
        <w:pStyle w:val="Endnote20"/>
      </w:pPr>
      <w:bookmarkStart w:id="139" w:name="_Toc155080794"/>
      <w:r w:rsidRPr="004D57A4">
        <w:rPr>
          <w:rStyle w:val="charTableNo"/>
        </w:rPr>
        <w:lastRenderedPageBreak/>
        <w:t>4</w:t>
      </w:r>
      <w:r>
        <w:tab/>
      </w:r>
      <w:r w:rsidRPr="004D57A4">
        <w:rPr>
          <w:rStyle w:val="charTableText"/>
        </w:rPr>
        <w:t>Amendment history</w:t>
      </w:r>
      <w:bookmarkEnd w:id="139"/>
    </w:p>
    <w:p w14:paraId="10683DF8" w14:textId="77777777" w:rsidR="00D847F1" w:rsidRDefault="00D847F1">
      <w:pPr>
        <w:pStyle w:val="AmdtsEntryHd"/>
      </w:pPr>
      <w:r>
        <w:t>Name of regulation</w:t>
      </w:r>
    </w:p>
    <w:p w14:paraId="0A1E0C31" w14:textId="77777777" w:rsidR="00D847F1" w:rsidRDefault="00D847F1">
      <w:pPr>
        <w:pStyle w:val="AmdtsEntries"/>
      </w:pPr>
      <w:r>
        <w:t>s 1</w:t>
      </w:r>
      <w:r>
        <w:tab/>
        <w:t>am R1 LA; R4 LA</w:t>
      </w:r>
    </w:p>
    <w:p w14:paraId="3DC67703" w14:textId="77777777" w:rsidR="00D847F1" w:rsidRDefault="00D847F1">
      <w:pPr>
        <w:pStyle w:val="AmdtsEntryHd"/>
      </w:pPr>
      <w:r>
        <w:t>Commencement</w:t>
      </w:r>
    </w:p>
    <w:p w14:paraId="01D0854F" w14:textId="77777777" w:rsidR="00D847F1" w:rsidRDefault="00D847F1">
      <w:pPr>
        <w:pStyle w:val="AmdtsEntries"/>
      </w:pPr>
      <w:r>
        <w:t>s 2</w:t>
      </w:r>
      <w:r>
        <w:tab/>
        <w:t>om LA s 89 (4)</w:t>
      </w:r>
    </w:p>
    <w:p w14:paraId="3796EBA9" w14:textId="77777777" w:rsidR="00D847F1" w:rsidRDefault="00D847F1">
      <w:pPr>
        <w:pStyle w:val="AmdtsEntryHd"/>
      </w:pPr>
      <w:r>
        <w:t>Dictionary</w:t>
      </w:r>
    </w:p>
    <w:p w14:paraId="33DB8292" w14:textId="296EAB2B" w:rsidR="00D847F1" w:rsidRDefault="00D847F1">
      <w:pPr>
        <w:pStyle w:val="AmdtsEntries"/>
      </w:pPr>
      <w:r>
        <w:t>s 3</w:t>
      </w:r>
      <w:r>
        <w:tab/>
        <w:t xml:space="preserve">am </w:t>
      </w:r>
      <w:hyperlink r:id="rId115" w:tooltip="Gambling and Racing Control (Code of Practice) Amendment Regulations 2004 (No 1)" w:history="1">
        <w:r w:rsidR="00DF21AF" w:rsidRPr="00DF21AF">
          <w:rPr>
            <w:rStyle w:val="charCitHyperlinkAbbrev"/>
          </w:rPr>
          <w:t>SL2004</w:t>
        </w:r>
        <w:r w:rsidR="00DF21AF" w:rsidRPr="00DF21AF">
          <w:rPr>
            <w:rStyle w:val="charCitHyperlinkAbbrev"/>
          </w:rPr>
          <w:noBreakHyphen/>
          <w:t>31</w:t>
        </w:r>
      </w:hyperlink>
      <w:r>
        <w:t xml:space="preserve"> s 4; </w:t>
      </w:r>
      <w:hyperlink r:id="rId116" w:tooltip="Statute Law Amendment Act 2007 (No 2)" w:history="1">
        <w:r w:rsidR="00DF21AF" w:rsidRPr="00DF21AF">
          <w:rPr>
            <w:rStyle w:val="charCitHyperlinkAbbrev"/>
          </w:rPr>
          <w:t>A2007</w:t>
        </w:r>
        <w:r w:rsidR="00DF21AF" w:rsidRPr="00DF21AF">
          <w:rPr>
            <w:rStyle w:val="charCitHyperlinkAbbrev"/>
          </w:rPr>
          <w:noBreakHyphen/>
          <w:t>16</w:t>
        </w:r>
      </w:hyperlink>
      <w:r>
        <w:t xml:space="preserve"> amdt 3.66</w:t>
      </w:r>
    </w:p>
    <w:p w14:paraId="072CF329" w14:textId="77777777" w:rsidR="00D847F1" w:rsidRDefault="00D847F1">
      <w:pPr>
        <w:pStyle w:val="AmdtsEntryHd"/>
        <w:rPr>
          <w:rStyle w:val="charItals"/>
        </w:rPr>
      </w:pPr>
      <w:r>
        <w:t xml:space="preserve">Meaning of </w:t>
      </w:r>
      <w:r>
        <w:rPr>
          <w:rStyle w:val="charItals"/>
        </w:rPr>
        <w:t>licensee</w:t>
      </w:r>
    </w:p>
    <w:p w14:paraId="62791062" w14:textId="375F0D27" w:rsidR="00D847F1" w:rsidRDefault="00D847F1">
      <w:pPr>
        <w:pStyle w:val="AmdtsEntries"/>
      </w:pPr>
      <w:r>
        <w:t>s 5</w:t>
      </w:r>
      <w:r>
        <w:tab/>
        <w:t xml:space="preserve">am </w:t>
      </w:r>
      <w:hyperlink r:id="rId117" w:tooltip="Gambling and Racing Control (Code of Practice) Amendment Regulations 2004 (No 1)" w:history="1">
        <w:r w:rsidR="00DF21AF" w:rsidRPr="00DF21AF">
          <w:rPr>
            <w:rStyle w:val="charCitHyperlinkAbbrev"/>
          </w:rPr>
          <w:t>SL2004</w:t>
        </w:r>
        <w:r w:rsidR="00DF21AF" w:rsidRPr="00DF21AF">
          <w:rPr>
            <w:rStyle w:val="charCitHyperlinkAbbrev"/>
          </w:rPr>
          <w:noBreakHyphen/>
          <w:t>31</w:t>
        </w:r>
      </w:hyperlink>
      <w:r>
        <w:t xml:space="preserve"> ss 5-7</w:t>
      </w:r>
      <w:r w:rsidR="00A10FCD">
        <w:t xml:space="preserve">; </w:t>
      </w:r>
      <w:hyperlink r:id="rId118" w:tooltip="Totalisator Act 2014" w:history="1">
        <w:r w:rsidR="00A10FCD">
          <w:rPr>
            <w:rStyle w:val="charCitHyperlinkAbbrev"/>
          </w:rPr>
          <w:t>A2014</w:t>
        </w:r>
        <w:r w:rsidR="00A10FCD">
          <w:rPr>
            <w:rStyle w:val="charCitHyperlinkAbbrev"/>
          </w:rPr>
          <w:noBreakHyphen/>
          <w:t>4</w:t>
        </w:r>
      </w:hyperlink>
      <w:r w:rsidR="00A10FCD">
        <w:t xml:space="preserve"> amdt 2.3</w:t>
      </w:r>
      <w:r w:rsidR="00FF73A7">
        <w:t xml:space="preserve">; </w:t>
      </w:r>
      <w:hyperlink r:id="rId119" w:tooltip="Lotteries (Approvals) Amendment Act 2015" w:history="1">
        <w:r w:rsidR="00FF73A7">
          <w:rPr>
            <w:rStyle w:val="charCitHyperlinkAbbrev"/>
          </w:rPr>
          <w:t>A2015</w:t>
        </w:r>
        <w:r w:rsidR="00FF73A7">
          <w:rPr>
            <w:rStyle w:val="charCitHyperlinkAbbrev"/>
          </w:rPr>
          <w:noBreakHyphen/>
          <w:t>41</w:t>
        </w:r>
      </w:hyperlink>
      <w:r w:rsidR="00FF73A7">
        <w:t xml:space="preserve"> amdt 1.1, amdt 1.2</w:t>
      </w:r>
    </w:p>
    <w:p w14:paraId="59766B0C" w14:textId="77777777" w:rsidR="00A10FCD" w:rsidRDefault="006A5457" w:rsidP="00A10FCD">
      <w:pPr>
        <w:pStyle w:val="AmdtsEntryHd"/>
        <w:rPr>
          <w:rStyle w:val="charItals"/>
        </w:rPr>
      </w:pPr>
      <w:r>
        <w:t>Offences under pt 2</w:t>
      </w:r>
    </w:p>
    <w:p w14:paraId="2EF59755" w14:textId="4014291C" w:rsidR="00A10FCD" w:rsidRDefault="00A10FCD" w:rsidP="00A10FCD">
      <w:pPr>
        <w:pStyle w:val="AmdtsEntries"/>
      </w:pPr>
      <w:r>
        <w:t>s 7</w:t>
      </w:r>
      <w:r>
        <w:tab/>
        <w:t xml:space="preserve">am </w:t>
      </w:r>
      <w:hyperlink r:id="rId120" w:tooltip="Totalisator Act 2014" w:history="1">
        <w:r>
          <w:rPr>
            <w:rStyle w:val="charCitHyperlinkAbbrev"/>
          </w:rPr>
          <w:t>A2014</w:t>
        </w:r>
        <w:r>
          <w:rPr>
            <w:rStyle w:val="charCitHyperlinkAbbrev"/>
          </w:rPr>
          <w:noBreakHyphen/>
          <w:t>4</w:t>
        </w:r>
      </w:hyperlink>
      <w:r>
        <w:t xml:space="preserve"> amdt 2.4; pars renum R8 LA</w:t>
      </w:r>
      <w:r w:rsidR="00743CAC">
        <w:t xml:space="preserve">; </w:t>
      </w:r>
      <w:hyperlink r:id="rId121" w:tooltip="Gambling and Racing Control (Code of Practice) Amendment Regulation 2014 (No 1)" w:history="1">
        <w:r w:rsidR="00B61702">
          <w:rPr>
            <w:rStyle w:val="charCitHyperlinkAbbrev"/>
          </w:rPr>
          <w:t>SL2014</w:t>
        </w:r>
        <w:r w:rsidR="00B61702">
          <w:rPr>
            <w:rStyle w:val="charCitHyperlinkAbbrev"/>
          </w:rPr>
          <w:noBreakHyphen/>
          <w:t>17</w:t>
        </w:r>
      </w:hyperlink>
      <w:r w:rsidR="00743CAC">
        <w:t xml:space="preserve"> s 4</w:t>
      </w:r>
      <w:r w:rsidR="00B61702">
        <w:t>, s 5</w:t>
      </w:r>
    </w:p>
    <w:p w14:paraId="1EBB67E8" w14:textId="77777777" w:rsidR="00D847F1" w:rsidRDefault="00D847F1">
      <w:pPr>
        <w:pStyle w:val="AmdtsEntryHd"/>
      </w:pPr>
      <w:r>
        <w:t>Licensees obligations generally</w:t>
      </w:r>
    </w:p>
    <w:p w14:paraId="168DE276" w14:textId="2B7F3A4F" w:rsidR="00D847F1" w:rsidRDefault="00D847F1">
      <w:pPr>
        <w:pStyle w:val="AmdtsEntries"/>
      </w:pPr>
      <w:r>
        <w:t>s 8</w:t>
      </w:r>
      <w:r>
        <w:tab/>
        <w:t xml:space="preserve">am </w:t>
      </w:r>
      <w:hyperlink r:id="rId122" w:tooltip="Gambling and Racing Control (Code of Practice) Amendment Regulations 2004 (No 1)" w:history="1">
        <w:r w:rsidR="00DF21AF" w:rsidRPr="00DF21AF">
          <w:rPr>
            <w:rStyle w:val="charCitHyperlinkAbbrev"/>
          </w:rPr>
          <w:t>SL2004</w:t>
        </w:r>
        <w:r w:rsidR="00DF21AF" w:rsidRPr="00DF21AF">
          <w:rPr>
            <w:rStyle w:val="charCitHyperlinkAbbrev"/>
          </w:rPr>
          <w:noBreakHyphen/>
          <w:t>31</w:t>
        </w:r>
      </w:hyperlink>
      <w:r>
        <w:t xml:space="preserve"> s 8; ss renum R3 LA (see </w:t>
      </w:r>
      <w:hyperlink r:id="rId123" w:tooltip="Gambling and Racing Control (Code of Practice) Amendment Regulations 2004 (No 1)" w:history="1">
        <w:r w:rsidR="00DF21AF" w:rsidRPr="00DF21AF">
          <w:rPr>
            <w:rStyle w:val="charCitHyperlinkAbbrev"/>
          </w:rPr>
          <w:t>SL2004</w:t>
        </w:r>
        <w:r w:rsidR="00DF21AF" w:rsidRPr="00DF21AF">
          <w:rPr>
            <w:rStyle w:val="charCitHyperlinkAbbrev"/>
          </w:rPr>
          <w:noBreakHyphen/>
          <w:t>31</w:t>
        </w:r>
      </w:hyperlink>
      <w:r>
        <w:t xml:space="preserve"> s 8)</w:t>
      </w:r>
      <w:r w:rsidR="00C050B9">
        <w:t xml:space="preserve">; </w:t>
      </w:r>
      <w:hyperlink r:id="rId124" w:tooltip="Gambling and Racing Control (Code of Practice) Amendment Regulation 2014 (No 1)" w:history="1">
        <w:r w:rsidR="00C050B9">
          <w:rPr>
            <w:rStyle w:val="charCitHyperlinkAbbrev"/>
          </w:rPr>
          <w:t>SL2014</w:t>
        </w:r>
        <w:r w:rsidR="00C050B9">
          <w:rPr>
            <w:rStyle w:val="charCitHyperlinkAbbrev"/>
          </w:rPr>
          <w:noBreakHyphen/>
          <w:t>17</w:t>
        </w:r>
      </w:hyperlink>
      <w:r w:rsidR="00C050B9">
        <w:t xml:space="preserve"> s 39</w:t>
      </w:r>
    </w:p>
    <w:p w14:paraId="5C357EAA" w14:textId="77777777" w:rsidR="00B61702" w:rsidRDefault="00B61702" w:rsidP="00B61702">
      <w:pPr>
        <w:pStyle w:val="AmdtsEntryHd"/>
        <w:rPr>
          <w:rStyle w:val="charItals"/>
        </w:rPr>
      </w:pPr>
      <w:r w:rsidRPr="00A35BB6">
        <w:t>Approved training programs</w:t>
      </w:r>
    </w:p>
    <w:p w14:paraId="0B4929A3" w14:textId="7729A2BA" w:rsidR="00B61702" w:rsidRDefault="00B61702" w:rsidP="00B61702">
      <w:pPr>
        <w:pStyle w:val="AmdtsEntries"/>
      </w:pPr>
      <w:r>
        <w:t>s 9</w:t>
      </w:r>
      <w:r>
        <w:tab/>
        <w:t xml:space="preserve">sub </w:t>
      </w:r>
      <w:hyperlink r:id="rId125" w:tooltip="Gambling and Racing Control (Code of Practice) Amendment Regulation 2014 (No 1)" w:history="1">
        <w:r>
          <w:rPr>
            <w:rStyle w:val="charCitHyperlinkAbbrev"/>
          </w:rPr>
          <w:t>SL2014</w:t>
        </w:r>
        <w:r>
          <w:rPr>
            <w:rStyle w:val="charCitHyperlinkAbbrev"/>
          </w:rPr>
          <w:noBreakHyphen/>
          <w:t>17</w:t>
        </w:r>
      </w:hyperlink>
      <w:r>
        <w:t xml:space="preserve"> s 6</w:t>
      </w:r>
    </w:p>
    <w:p w14:paraId="10CEF895" w14:textId="77777777" w:rsidR="005852C5" w:rsidRDefault="00000E30" w:rsidP="005852C5">
      <w:pPr>
        <w:pStyle w:val="AmdtsEntryHd"/>
        <w:rPr>
          <w:rStyle w:val="charItals"/>
        </w:rPr>
      </w:pPr>
      <w:r>
        <w:t>Recording problem gambling incidents</w:t>
      </w:r>
    </w:p>
    <w:p w14:paraId="6F231F9A" w14:textId="30F53A4E" w:rsidR="005852C5" w:rsidRDefault="005852C5" w:rsidP="005852C5">
      <w:pPr>
        <w:pStyle w:val="AmdtsEntries"/>
      </w:pPr>
      <w:r>
        <w:t>s 10</w:t>
      </w:r>
      <w:r>
        <w:tab/>
        <w:t xml:space="preserve">am </w:t>
      </w:r>
      <w:hyperlink r:id="rId126" w:tooltip="Gambling and Racing Control (Code of Practice) Amendment Regulation 2014 (No 1)" w:history="1">
        <w:r>
          <w:rPr>
            <w:rStyle w:val="charCitHyperlinkAbbrev"/>
          </w:rPr>
          <w:t>SL2014</w:t>
        </w:r>
        <w:r>
          <w:rPr>
            <w:rStyle w:val="charCitHyperlinkAbbrev"/>
          </w:rPr>
          <w:noBreakHyphen/>
          <w:t>17</w:t>
        </w:r>
      </w:hyperlink>
      <w:r>
        <w:t xml:space="preserve"> s 7</w:t>
      </w:r>
      <w:r w:rsidR="00A66854">
        <w:t>, s 39</w:t>
      </w:r>
      <w:r>
        <w:t>; ss renum R9 LA</w:t>
      </w:r>
    </w:p>
    <w:p w14:paraId="31804EFB" w14:textId="77777777" w:rsidR="00D847F1" w:rsidRDefault="00D847F1">
      <w:pPr>
        <w:pStyle w:val="AmdtsEntryHd"/>
      </w:pPr>
      <w:r>
        <w:t>Gambling facility to have gambling contact officer</w:t>
      </w:r>
    </w:p>
    <w:p w14:paraId="2262CCBA" w14:textId="2A6B2542" w:rsidR="00D847F1" w:rsidRDefault="00D847F1">
      <w:pPr>
        <w:pStyle w:val="AmdtsEntries"/>
      </w:pPr>
      <w:r>
        <w:t>s 11</w:t>
      </w:r>
      <w:r>
        <w:tab/>
        <w:t xml:space="preserve">am </w:t>
      </w:r>
      <w:hyperlink r:id="rId127" w:tooltip="Gambling and Racing Control (Code of Practice) Amendment Regulations 2004 (No 1)" w:history="1">
        <w:r w:rsidR="00DF21AF" w:rsidRPr="00DF21AF">
          <w:rPr>
            <w:rStyle w:val="charCitHyperlinkAbbrev"/>
          </w:rPr>
          <w:t>SL2004</w:t>
        </w:r>
        <w:r w:rsidR="00DF21AF" w:rsidRPr="00DF21AF">
          <w:rPr>
            <w:rStyle w:val="charCitHyperlinkAbbrev"/>
          </w:rPr>
          <w:noBreakHyphen/>
          <w:t>31</w:t>
        </w:r>
      </w:hyperlink>
      <w:r>
        <w:t xml:space="preserve"> s 10, s 11; ss renum R3 LA (see </w:t>
      </w:r>
      <w:hyperlink r:id="rId128" w:tooltip="Gambling and Racing Control (Code of Practice) Amendment Regulations 2004 (No 1)" w:history="1">
        <w:r w:rsidR="00DF21AF" w:rsidRPr="00DF21AF">
          <w:rPr>
            <w:rStyle w:val="charCitHyperlinkAbbrev"/>
          </w:rPr>
          <w:t>SL2004</w:t>
        </w:r>
        <w:r w:rsidR="00DF21AF" w:rsidRPr="00DF21AF">
          <w:rPr>
            <w:rStyle w:val="charCitHyperlinkAbbrev"/>
          </w:rPr>
          <w:noBreakHyphen/>
          <w:t>31</w:t>
        </w:r>
      </w:hyperlink>
      <w:r>
        <w:t xml:space="preserve"> s 12)</w:t>
      </w:r>
      <w:r w:rsidR="00685282">
        <w:t xml:space="preserve">; </w:t>
      </w:r>
      <w:hyperlink r:id="rId129" w:tooltip="Gambling and Racing Control (Code of Practice) Amendment Regulation 2014 (No 1)" w:history="1">
        <w:r w:rsidR="00685282">
          <w:rPr>
            <w:rStyle w:val="charCitHyperlinkAbbrev"/>
          </w:rPr>
          <w:t>SL2014</w:t>
        </w:r>
        <w:r w:rsidR="00685282">
          <w:rPr>
            <w:rStyle w:val="charCitHyperlinkAbbrev"/>
          </w:rPr>
          <w:noBreakHyphen/>
          <w:t>17</w:t>
        </w:r>
      </w:hyperlink>
      <w:r w:rsidR="00685282">
        <w:t xml:space="preserve"> s 39</w:t>
      </w:r>
    </w:p>
    <w:p w14:paraId="4354B15E" w14:textId="77777777" w:rsidR="00685282" w:rsidRDefault="00154209" w:rsidP="00685282">
      <w:pPr>
        <w:pStyle w:val="AmdtsEntryHd"/>
        <w:rPr>
          <w:rStyle w:val="charItals"/>
        </w:rPr>
      </w:pPr>
      <w:r>
        <w:t>Dealing with people with gambling problem</w:t>
      </w:r>
    </w:p>
    <w:p w14:paraId="23254D06" w14:textId="52366467" w:rsidR="00685282" w:rsidRDefault="00685282" w:rsidP="00685282">
      <w:pPr>
        <w:pStyle w:val="AmdtsEntries"/>
      </w:pPr>
      <w:r>
        <w:t>s 12</w:t>
      </w:r>
      <w:r>
        <w:tab/>
        <w:t xml:space="preserve">am </w:t>
      </w:r>
      <w:hyperlink r:id="rId130" w:tooltip="Gambling and Racing Control (Code of Practice) Amendment Regulation 2014 (No 1)" w:history="1">
        <w:r>
          <w:rPr>
            <w:rStyle w:val="charCitHyperlinkAbbrev"/>
          </w:rPr>
          <w:t>SL2014</w:t>
        </w:r>
        <w:r>
          <w:rPr>
            <w:rStyle w:val="charCitHyperlinkAbbrev"/>
          </w:rPr>
          <w:noBreakHyphen/>
          <w:t>17</w:t>
        </w:r>
      </w:hyperlink>
      <w:r>
        <w:t xml:space="preserve"> s 39</w:t>
      </w:r>
    </w:p>
    <w:p w14:paraId="6908ABE7" w14:textId="77777777" w:rsidR="00D847F1" w:rsidRDefault="00D847F1">
      <w:pPr>
        <w:pStyle w:val="AmdtsEntryHd"/>
      </w:pPr>
      <w:r>
        <w:t>Application of div 2.4</w:t>
      </w:r>
    </w:p>
    <w:p w14:paraId="0CB7BD20" w14:textId="7AE09A6F" w:rsidR="00D847F1" w:rsidRDefault="00D847F1">
      <w:pPr>
        <w:pStyle w:val="AmdtsEntries"/>
      </w:pPr>
      <w:r>
        <w:t>s 13</w:t>
      </w:r>
      <w:r>
        <w:tab/>
        <w:t xml:space="preserve">am </w:t>
      </w:r>
      <w:hyperlink r:id="rId131" w:tooltip="Casino Control Act 2006" w:history="1">
        <w:r w:rsidR="00DF21AF" w:rsidRPr="00DF21AF">
          <w:rPr>
            <w:rStyle w:val="charCitHyperlinkAbbrev"/>
          </w:rPr>
          <w:t>A2006</w:t>
        </w:r>
        <w:r w:rsidR="00DF21AF" w:rsidRPr="00DF21AF">
          <w:rPr>
            <w:rStyle w:val="charCitHyperlinkAbbrev"/>
          </w:rPr>
          <w:noBreakHyphen/>
          <w:t>2</w:t>
        </w:r>
      </w:hyperlink>
      <w:r>
        <w:t xml:space="preserve"> amdt 1.5</w:t>
      </w:r>
    </w:p>
    <w:p w14:paraId="7FDF1FEE" w14:textId="77777777" w:rsidR="00D847F1" w:rsidRDefault="00D847F1">
      <w:pPr>
        <w:pStyle w:val="AmdtsEntryHd"/>
      </w:pPr>
      <w:r>
        <w:t>Deeds of exclusion</w:t>
      </w:r>
    </w:p>
    <w:p w14:paraId="2DD8ED37" w14:textId="0C7796BE" w:rsidR="00D847F1" w:rsidRDefault="00D847F1">
      <w:pPr>
        <w:pStyle w:val="AmdtsEntries"/>
      </w:pPr>
      <w:r>
        <w:t>s 14</w:t>
      </w:r>
      <w:r>
        <w:tab/>
        <w:t xml:space="preserve">am </w:t>
      </w:r>
      <w:hyperlink r:id="rId132" w:tooltip="Gambling and Racing Control (Code of Practice) Amendment Regulations 2004 (No 1)" w:history="1">
        <w:r w:rsidR="00DF21AF" w:rsidRPr="00DF21AF">
          <w:rPr>
            <w:rStyle w:val="charCitHyperlinkAbbrev"/>
          </w:rPr>
          <w:t>SL2004</w:t>
        </w:r>
        <w:r w:rsidR="00DF21AF" w:rsidRPr="00DF21AF">
          <w:rPr>
            <w:rStyle w:val="charCitHyperlinkAbbrev"/>
          </w:rPr>
          <w:noBreakHyphen/>
          <w:t>31</w:t>
        </w:r>
      </w:hyperlink>
      <w:r>
        <w:t xml:space="preserve"> s 13</w:t>
      </w:r>
    </w:p>
    <w:p w14:paraId="76112547" w14:textId="77777777" w:rsidR="00154209" w:rsidRDefault="00C64CE8" w:rsidP="00154209">
      <w:pPr>
        <w:pStyle w:val="AmdtsEntryHd"/>
        <w:rPr>
          <w:rStyle w:val="charItals"/>
        </w:rPr>
      </w:pPr>
      <w:r>
        <w:t>Exclusion of people at risk or excluded under deed</w:t>
      </w:r>
    </w:p>
    <w:p w14:paraId="0AD00DE1" w14:textId="13E39ACE" w:rsidR="00154209" w:rsidRDefault="00154209" w:rsidP="00154209">
      <w:pPr>
        <w:pStyle w:val="AmdtsEntries"/>
      </w:pPr>
      <w:r>
        <w:t>s 15</w:t>
      </w:r>
      <w:r>
        <w:tab/>
        <w:t xml:space="preserve">am </w:t>
      </w:r>
      <w:hyperlink r:id="rId133" w:tooltip="Gambling and Racing Control (Code of Practice) Amendment Regulation 2014 (No 1)" w:history="1">
        <w:r>
          <w:rPr>
            <w:rStyle w:val="charCitHyperlinkAbbrev"/>
          </w:rPr>
          <w:t>SL2014</w:t>
        </w:r>
        <w:r>
          <w:rPr>
            <w:rStyle w:val="charCitHyperlinkAbbrev"/>
          </w:rPr>
          <w:noBreakHyphen/>
          <w:t>17</w:t>
        </w:r>
      </w:hyperlink>
      <w:r>
        <w:t xml:space="preserve"> s 39</w:t>
      </w:r>
    </w:p>
    <w:p w14:paraId="6AB13898" w14:textId="77777777" w:rsidR="004031BA" w:rsidRDefault="004031BA">
      <w:pPr>
        <w:pStyle w:val="AmdtsEntryHd"/>
      </w:pPr>
      <w:r>
        <w:t>Commission’s review of exclusion decision</w:t>
      </w:r>
    </w:p>
    <w:p w14:paraId="2BD5007A" w14:textId="7D386BA8" w:rsidR="004031BA" w:rsidRPr="004031BA" w:rsidRDefault="004031BA" w:rsidP="004031BA">
      <w:pPr>
        <w:pStyle w:val="AmdtsEntries"/>
      </w:pPr>
      <w:r>
        <w:t>s 16</w:t>
      </w:r>
      <w:r>
        <w:tab/>
        <w:t xml:space="preserve">am </w:t>
      </w:r>
      <w:hyperlink r:id="rId134" w:tooltip="ACT Civil and Administrative Tribunal Legislation Amendment Act 2008 (No 2)" w:history="1">
        <w:r w:rsidR="00DF21AF" w:rsidRPr="00DF21AF">
          <w:rPr>
            <w:rStyle w:val="charCitHyperlinkAbbrev"/>
          </w:rPr>
          <w:t>A2008</w:t>
        </w:r>
        <w:r w:rsidR="00DF21AF" w:rsidRPr="00DF21AF">
          <w:rPr>
            <w:rStyle w:val="charCitHyperlinkAbbrev"/>
          </w:rPr>
          <w:noBreakHyphen/>
          <w:t>37</w:t>
        </w:r>
      </w:hyperlink>
      <w:r>
        <w:t xml:space="preserve"> amdt 1.207</w:t>
      </w:r>
    </w:p>
    <w:p w14:paraId="25801952" w14:textId="77777777" w:rsidR="004031BA" w:rsidRDefault="004031BA">
      <w:pPr>
        <w:pStyle w:val="AmdtsEntryHd"/>
      </w:pPr>
      <w:r>
        <w:t>Review by ACAT of commission’s decision under s 16</w:t>
      </w:r>
    </w:p>
    <w:p w14:paraId="3E581FD4" w14:textId="6C7AB32B" w:rsidR="004031BA" w:rsidRPr="004031BA" w:rsidRDefault="004031BA" w:rsidP="004031BA">
      <w:pPr>
        <w:pStyle w:val="AmdtsEntries"/>
      </w:pPr>
      <w:r>
        <w:t>s 17</w:t>
      </w:r>
      <w:r>
        <w:tab/>
        <w:t xml:space="preserve">sub </w:t>
      </w:r>
      <w:hyperlink r:id="rId135" w:tooltip="ACT Civil and Administrative Tribunal Legislation Amendment Act 2008 (No 2)" w:history="1">
        <w:r w:rsidR="00DF21AF" w:rsidRPr="00DF21AF">
          <w:rPr>
            <w:rStyle w:val="charCitHyperlinkAbbrev"/>
          </w:rPr>
          <w:t>A2008</w:t>
        </w:r>
        <w:r w:rsidR="00DF21AF" w:rsidRPr="00DF21AF">
          <w:rPr>
            <w:rStyle w:val="charCitHyperlinkAbbrev"/>
          </w:rPr>
          <w:noBreakHyphen/>
          <w:t>37</w:t>
        </w:r>
      </w:hyperlink>
      <w:r>
        <w:t xml:space="preserve"> amdt 1.208</w:t>
      </w:r>
    </w:p>
    <w:p w14:paraId="55C9D4F7" w14:textId="77777777" w:rsidR="006E6082" w:rsidRDefault="009263D8" w:rsidP="006E6082">
      <w:pPr>
        <w:pStyle w:val="AmdtsEntryHd"/>
        <w:rPr>
          <w:rStyle w:val="charItals"/>
        </w:rPr>
      </w:pPr>
      <w:r>
        <w:t>Compliance with decision to revoke or amend</w:t>
      </w:r>
    </w:p>
    <w:p w14:paraId="3AFBF67A" w14:textId="23520A78" w:rsidR="006E6082" w:rsidRDefault="006E6082" w:rsidP="006E6082">
      <w:pPr>
        <w:pStyle w:val="AmdtsEntries"/>
      </w:pPr>
      <w:r>
        <w:t>s 18</w:t>
      </w:r>
      <w:r>
        <w:tab/>
        <w:t xml:space="preserve">am </w:t>
      </w:r>
      <w:hyperlink r:id="rId136" w:tooltip="Gambling and Racing Control (Code of Practice) Amendment Regulation 2014 (No 1)" w:history="1">
        <w:r>
          <w:rPr>
            <w:rStyle w:val="charCitHyperlinkAbbrev"/>
          </w:rPr>
          <w:t>SL2014</w:t>
        </w:r>
        <w:r>
          <w:rPr>
            <w:rStyle w:val="charCitHyperlinkAbbrev"/>
          </w:rPr>
          <w:noBreakHyphen/>
          <w:t>17</w:t>
        </w:r>
      </w:hyperlink>
      <w:r>
        <w:t xml:space="preserve"> s 39</w:t>
      </w:r>
    </w:p>
    <w:p w14:paraId="6F2B6BA0" w14:textId="77777777" w:rsidR="006E6082" w:rsidRDefault="009263D8" w:rsidP="006E6082">
      <w:pPr>
        <w:pStyle w:val="AmdtsEntryHd"/>
        <w:rPr>
          <w:rStyle w:val="charItals"/>
        </w:rPr>
      </w:pPr>
      <w:r>
        <w:lastRenderedPageBreak/>
        <w:t>Exclusion procedures</w:t>
      </w:r>
    </w:p>
    <w:p w14:paraId="6FCCDA00" w14:textId="4B16D65E" w:rsidR="006E6082" w:rsidRDefault="006E6082" w:rsidP="006E6082">
      <w:pPr>
        <w:pStyle w:val="AmdtsEntries"/>
      </w:pPr>
      <w:r>
        <w:t>s 19</w:t>
      </w:r>
      <w:r>
        <w:tab/>
        <w:t xml:space="preserve">am </w:t>
      </w:r>
      <w:hyperlink r:id="rId137" w:tooltip="Gambling and Racing Control (Code of Practice) Amendment Regulation 2014 (No 1)" w:history="1">
        <w:r>
          <w:rPr>
            <w:rStyle w:val="charCitHyperlinkAbbrev"/>
          </w:rPr>
          <w:t>SL2014</w:t>
        </w:r>
        <w:r>
          <w:rPr>
            <w:rStyle w:val="charCitHyperlinkAbbrev"/>
          </w:rPr>
          <w:noBreakHyphen/>
          <w:t>17</w:t>
        </w:r>
      </w:hyperlink>
      <w:r>
        <w:t xml:space="preserve"> s 39</w:t>
      </w:r>
    </w:p>
    <w:p w14:paraId="20D41C07" w14:textId="77777777" w:rsidR="00F41D7E" w:rsidRDefault="00F41D7E" w:rsidP="00F41D7E">
      <w:pPr>
        <w:pStyle w:val="AmdtsEntryHd"/>
        <w:rPr>
          <w:rStyle w:val="charItals"/>
        </w:rPr>
      </w:pPr>
      <w:r w:rsidRPr="00A35BB6">
        <w:t>Exclusion register</w:t>
      </w:r>
    </w:p>
    <w:p w14:paraId="0443ECEC" w14:textId="6F056D35" w:rsidR="00F41D7E" w:rsidRDefault="00F41D7E" w:rsidP="00F41D7E">
      <w:pPr>
        <w:pStyle w:val="AmdtsEntries"/>
      </w:pPr>
      <w:r>
        <w:t>s 20</w:t>
      </w:r>
      <w:r>
        <w:tab/>
        <w:t xml:space="preserve">sub </w:t>
      </w:r>
      <w:hyperlink r:id="rId138" w:tooltip="Gambling and Racing Control (Code of Practice) Amendment Regulation 2014 (No 1)" w:history="1">
        <w:r>
          <w:rPr>
            <w:rStyle w:val="charCitHyperlinkAbbrev"/>
          </w:rPr>
          <w:t>SL2014</w:t>
        </w:r>
        <w:r>
          <w:rPr>
            <w:rStyle w:val="charCitHyperlinkAbbrev"/>
          </w:rPr>
          <w:noBreakHyphen/>
          <w:t>17</w:t>
        </w:r>
      </w:hyperlink>
      <w:r>
        <w:t xml:space="preserve"> s 8</w:t>
      </w:r>
    </w:p>
    <w:p w14:paraId="3CE4CBF0" w14:textId="77777777" w:rsidR="00F41D7E" w:rsidRDefault="00F41D7E" w:rsidP="00F41D7E">
      <w:pPr>
        <w:pStyle w:val="AmdtsEntryHd"/>
        <w:rPr>
          <w:rStyle w:val="charItals"/>
        </w:rPr>
      </w:pPr>
      <w:r w:rsidRPr="00A35BB6">
        <w:t>Exclusion register—offences</w:t>
      </w:r>
    </w:p>
    <w:p w14:paraId="3070847D" w14:textId="0C752541" w:rsidR="00F41D7E" w:rsidRDefault="00F41D7E" w:rsidP="00F41D7E">
      <w:pPr>
        <w:pStyle w:val="AmdtsEntries"/>
      </w:pPr>
      <w:r>
        <w:t>s 20A</w:t>
      </w:r>
      <w:r>
        <w:tab/>
        <w:t xml:space="preserve">ins </w:t>
      </w:r>
      <w:hyperlink r:id="rId139" w:tooltip="Gambling and Racing Control (Code of Practice) Amendment Regulation 2014 (No 1)" w:history="1">
        <w:r>
          <w:rPr>
            <w:rStyle w:val="charCitHyperlinkAbbrev"/>
          </w:rPr>
          <w:t>SL2014</w:t>
        </w:r>
        <w:r>
          <w:rPr>
            <w:rStyle w:val="charCitHyperlinkAbbrev"/>
          </w:rPr>
          <w:noBreakHyphen/>
          <w:t>17</w:t>
        </w:r>
      </w:hyperlink>
      <w:r>
        <w:t xml:space="preserve"> s 8</w:t>
      </w:r>
    </w:p>
    <w:p w14:paraId="67978221" w14:textId="77777777" w:rsidR="006E6082" w:rsidRDefault="009263D8" w:rsidP="006E6082">
      <w:pPr>
        <w:pStyle w:val="AmdtsEntryHd"/>
        <w:rPr>
          <w:rStyle w:val="charItals"/>
        </w:rPr>
      </w:pPr>
      <w:r>
        <w:t>Directions about information, clocks and lighting</w:t>
      </w:r>
    </w:p>
    <w:p w14:paraId="3A681A35" w14:textId="24EC8DAD" w:rsidR="006E6082" w:rsidRDefault="006E6082" w:rsidP="006E6082">
      <w:pPr>
        <w:pStyle w:val="AmdtsEntries"/>
      </w:pPr>
      <w:r>
        <w:t>s 24</w:t>
      </w:r>
      <w:r>
        <w:tab/>
        <w:t xml:space="preserve">am </w:t>
      </w:r>
      <w:hyperlink r:id="rId140" w:tooltip="Gambling and Racing Control (Code of Practice) Amendment Regulation 2014 (No 1)" w:history="1">
        <w:r>
          <w:rPr>
            <w:rStyle w:val="charCitHyperlinkAbbrev"/>
          </w:rPr>
          <w:t>SL2014</w:t>
        </w:r>
        <w:r>
          <w:rPr>
            <w:rStyle w:val="charCitHyperlinkAbbrev"/>
          </w:rPr>
          <w:noBreakHyphen/>
          <w:t>17</w:t>
        </w:r>
      </w:hyperlink>
      <w:r>
        <w:t xml:space="preserve"> s 39</w:t>
      </w:r>
    </w:p>
    <w:p w14:paraId="46C24483" w14:textId="77777777" w:rsidR="006E6082" w:rsidRDefault="009263D8" w:rsidP="006E6082">
      <w:pPr>
        <w:pStyle w:val="AmdtsEntryHd"/>
        <w:rPr>
          <w:rStyle w:val="charItals"/>
        </w:rPr>
      </w:pPr>
      <w:r>
        <w:t>Directions about advertising, promotions and inducements</w:t>
      </w:r>
    </w:p>
    <w:p w14:paraId="25CB2697" w14:textId="0E60B585" w:rsidR="006E6082" w:rsidRDefault="006E6082" w:rsidP="006E6082">
      <w:pPr>
        <w:pStyle w:val="AmdtsEntries"/>
      </w:pPr>
      <w:r>
        <w:t>s 25</w:t>
      </w:r>
      <w:r>
        <w:tab/>
        <w:t xml:space="preserve">am </w:t>
      </w:r>
      <w:hyperlink r:id="rId141" w:tooltip="Gambling and Racing Control (Code of Practice) Amendment Regulation 2014 (No 1)" w:history="1">
        <w:r>
          <w:rPr>
            <w:rStyle w:val="charCitHyperlinkAbbrev"/>
          </w:rPr>
          <w:t>SL2014</w:t>
        </w:r>
        <w:r>
          <w:rPr>
            <w:rStyle w:val="charCitHyperlinkAbbrev"/>
          </w:rPr>
          <w:noBreakHyphen/>
          <w:t>17</w:t>
        </w:r>
      </w:hyperlink>
      <w:r>
        <w:t xml:space="preserve"> s 39</w:t>
      </w:r>
    </w:p>
    <w:p w14:paraId="7D942FE4" w14:textId="77777777" w:rsidR="00D847F1" w:rsidRDefault="00D847F1">
      <w:pPr>
        <w:pStyle w:val="AmdtsEntryHd"/>
      </w:pPr>
      <w:r>
        <w:t>Code of practice</w:t>
      </w:r>
    </w:p>
    <w:p w14:paraId="38FE3125" w14:textId="77777777" w:rsidR="00D847F1" w:rsidRDefault="00D847F1">
      <w:pPr>
        <w:pStyle w:val="AmdtsEntries"/>
      </w:pPr>
      <w:r>
        <w:t>sch 1</w:t>
      </w:r>
      <w:r>
        <w:tab/>
        <w:t>ss renum R4 LA</w:t>
      </w:r>
    </w:p>
    <w:p w14:paraId="60661F2B" w14:textId="2B328826" w:rsidR="00733DBB" w:rsidRDefault="00733DBB">
      <w:pPr>
        <w:pStyle w:val="AmdtsEntryHd"/>
      </w:pPr>
      <w:r w:rsidRPr="00D17D0C">
        <w:t>Definitions—code of practice</w:t>
      </w:r>
    </w:p>
    <w:p w14:paraId="4C9DE050" w14:textId="06FC889F" w:rsidR="00733DBB" w:rsidRDefault="00733DBB" w:rsidP="00733DBB">
      <w:pPr>
        <w:pStyle w:val="AmdtsEntries"/>
      </w:pPr>
      <w:r>
        <w:t>s 1.1A</w:t>
      </w:r>
      <w:r>
        <w:tab/>
        <w:t xml:space="preserve">ins </w:t>
      </w:r>
      <w:hyperlink r:id="rId142" w:tooltip="Gambling and Racing Control (Code of Practice) Amendment Regulation 2022 (No 1)" w:history="1">
        <w:r w:rsidR="00141032">
          <w:rPr>
            <w:rStyle w:val="charCitHyperlinkAbbrev"/>
          </w:rPr>
          <w:t>SL2022</w:t>
        </w:r>
        <w:r w:rsidR="00141032">
          <w:rPr>
            <w:rStyle w:val="charCitHyperlinkAbbrev"/>
          </w:rPr>
          <w:noBreakHyphen/>
          <w:t>17</w:t>
        </w:r>
      </w:hyperlink>
      <w:r>
        <w:t xml:space="preserve"> s 4</w:t>
      </w:r>
    </w:p>
    <w:p w14:paraId="4F74F48C" w14:textId="49A91699" w:rsidR="00504990" w:rsidRPr="00733DBB" w:rsidRDefault="00504990" w:rsidP="00733DBB">
      <w:pPr>
        <w:pStyle w:val="AmdtsEntries"/>
      </w:pPr>
      <w:r>
        <w:tab/>
        <w:t xml:space="preserve">def </w:t>
      </w:r>
      <w:r w:rsidRPr="00504990">
        <w:rPr>
          <w:rStyle w:val="charBoldItals"/>
        </w:rPr>
        <w:t>betting account</w:t>
      </w:r>
      <w:r>
        <w:t xml:space="preserve"> ins </w:t>
      </w:r>
      <w:hyperlink r:id="rId143"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4</w:t>
      </w:r>
    </w:p>
    <w:p w14:paraId="7C25ED39" w14:textId="1F72F629" w:rsidR="00504990" w:rsidRPr="00733DBB" w:rsidRDefault="00504990" w:rsidP="00504990">
      <w:pPr>
        <w:pStyle w:val="AmdtsEntries"/>
      </w:pPr>
      <w:r>
        <w:tab/>
        <w:t xml:space="preserve">def </w:t>
      </w:r>
      <w:r>
        <w:rPr>
          <w:rStyle w:val="charBoldItals"/>
        </w:rPr>
        <w:t>direct marketing</w:t>
      </w:r>
      <w:r>
        <w:t xml:space="preserve"> ins </w:t>
      </w:r>
      <w:hyperlink r:id="rId144"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4</w:t>
      </w:r>
      <w:r w:rsidR="000816F4">
        <w:br/>
        <w:t xml:space="preserve">am </w:t>
      </w:r>
      <w:hyperlink r:id="rId145" w:tooltip="Gambling and Racing Control (Code of Practice) Amendment Regulation 2023 (No 1)" w:history="1">
        <w:r w:rsidR="000816F4">
          <w:rPr>
            <w:rStyle w:val="charCitHyperlinkAbbrev"/>
          </w:rPr>
          <w:t>SL2023</w:t>
        </w:r>
        <w:r w:rsidR="000816F4">
          <w:rPr>
            <w:rStyle w:val="charCitHyperlinkAbbrev"/>
          </w:rPr>
          <w:noBreakHyphen/>
          <w:t>8</w:t>
        </w:r>
      </w:hyperlink>
      <w:r w:rsidR="000816F4">
        <w:t xml:space="preserve"> s 4</w:t>
      </w:r>
    </w:p>
    <w:p w14:paraId="394F79CF" w14:textId="57AB2EC5" w:rsidR="00504990" w:rsidRDefault="00504990" w:rsidP="00504990">
      <w:pPr>
        <w:pStyle w:val="AmdtsEntries"/>
      </w:pPr>
      <w:r>
        <w:tab/>
        <w:t xml:space="preserve">def </w:t>
      </w:r>
      <w:r w:rsidRPr="00D17D0C">
        <w:rPr>
          <w:rStyle w:val="charBoldItals"/>
        </w:rPr>
        <w:t>electronic race bookmaking licensee</w:t>
      </w:r>
      <w:r>
        <w:t xml:space="preserve"> ins </w:t>
      </w:r>
      <w:hyperlink r:id="rId146"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4</w:t>
      </w:r>
    </w:p>
    <w:p w14:paraId="6D5A2579" w14:textId="4CC13F66" w:rsidR="000816F4" w:rsidRDefault="000816F4" w:rsidP="00504990">
      <w:pPr>
        <w:pStyle w:val="AmdtsEntries"/>
        <w:rPr>
          <w:rStyle w:val="charItals"/>
          <w:i w:val="0"/>
          <w:iCs/>
        </w:rPr>
      </w:pPr>
      <w:r>
        <w:tab/>
        <w:t xml:space="preserve">def </w:t>
      </w:r>
      <w:r w:rsidRPr="000B7F81">
        <w:rPr>
          <w:rStyle w:val="charBoldItals"/>
        </w:rPr>
        <w:t>electronic sports bookmaking licensee</w:t>
      </w:r>
      <w:r>
        <w:rPr>
          <w:rStyle w:val="charItals"/>
        </w:rPr>
        <w:t xml:space="preserve"> </w:t>
      </w:r>
      <w:r>
        <w:rPr>
          <w:rStyle w:val="charItals"/>
          <w:i w:val="0"/>
          <w:iCs/>
        </w:rPr>
        <w:t xml:space="preserve">ins </w:t>
      </w:r>
      <w:hyperlink r:id="rId147" w:tooltip="Gambling and Racing Control (Code of Practice) Amendment Regulation 2023 (No 1)" w:history="1">
        <w:r>
          <w:rPr>
            <w:rStyle w:val="charCitHyperlinkAbbrev"/>
          </w:rPr>
          <w:t>SL2023</w:t>
        </w:r>
        <w:r>
          <w:rPr>
            <w:rStyle w:val="charCitHyperlinkAbbrev"/>
          </w:rPr>
          <w:noBreakHyphen/>
          <w:t>8</w:t>
        </w:r>
      </w:hyperlink>
      <w:r>
        <w:t xml:space="preserve"> s</w:t>
      </w:r>
      <w:r w:rsidR="000B7F81">
        <w:t> </w:t>
      </w:r>
      <w:r>
        <w:t>5</w:t>
      </w:r>
    </w:p>
    <w:p w14:paraId="13E30E4E" w14:textId="1462D4D4" w:rsidR="000816F4" w:rsidRPr="000816F4" w:rsidRDefault="000816F4" w:rsidP="00504990">
      <w:pPr>
        <w:pStyle w:val="AmdtsEntries"/>
        <w:rPr>
          <w:iCs/>
        </w:rPr>
      </w:pPr>
      <w:r>
        <w:rPr>
          <w:rStyle w:val="charItals"/>
          <w:i w:val="0"/>
          <w:iCs/>
        </w:rPr>
        <w:tab/>
        <w:t xml:space="preserve">def </w:t>
      </w:r>
      <w:r w:rsidRPr="000B7F81">
        <w:rPr>
          <w:rStyle w:val="charBoldItals"/>
        </w:rPr>
        <w:t>electronic totalisator licensee</w:t>
      </w:r>
      <w:r>
        <w:rPr>
          <w:rStyle w:val="charItals"/>
        </w:rPr>
        <w:t xml:space="preserve"> </w:t>
      </w:r>
      <w:r>
        <w:rPr>
          <w:rStyle w:val="charItals"/>
          <w:i w:val="0"/>
          <w:iCs/>
        </w:rPr>
        <w:t xml:space="preserve">ins </w:t>
      </w:r>
      <w:hyperlink r:id="rId148" w:tooltip="Gambling and Racing Control (Code of Practice) Amendment Regulation 2023 (No 1)" w:history="1">
        <w:r>
          <w:rPr>
            <w:rStyle w:val="charCitHyperlinkAbbrev"/>
          </w:rPr>
          <w:t>SL2023</w:t>
        </w:r>
        <w:r>
          <w:rPr>
            <w:rStyle w:val="charCitHyperlinkAbbrev"/>
          </w:rPr>
          <w:noBreakHyphen/>
          <w:t>8</w:t>
        </w:r>
      </w:hyperlink>
      <w:r>
        <w:t xml:space="preserve"> s 5</w:t>
      </w:r>
    </w:p>
    <w:p w14:paraId="0AB020E7" w14:textId="45802707" w:rsidR="00D847F1" w:rsidRDefault="00D847F1">
      <w:pPr>
        <w:pStyle w:val="AmdtsEntryHd"/>
        <w:rPr>
          <w:rStyle w:val="CharChapText"/>
        </w:rPr>
      </w:pPr>
      <w:r>
        <w:t xml:space="preserve">Meaning of </w:t>
      </w:r>
      <w:r>
        <w:rPr>
          <w:rStyle w:val="charItals"/>
        </w:rPr>
        <w:t>licensee</w:t>
      </w:r>
    </w:p>
    <w:p w14:paraId="21EAE3D5" w14:textId="3849DFAB" w:rsidR="00D847F1" w:rsidRDefault="00D847F1">
      <w:pPr>
        <w:pStyle w:val="AmdtsEntries"/>
      </w:pPr>
      <w:r>
        <w:t>sch 1 s 1.1</w:t>
      </w:r>
      <w:r>
        <w:tab/>
        <w:t xml:space="preserve">am </w:t>
      </w:r>
      <w:hyperlink r:id="rId149" w:tooltip="Gambling and Racing Control (Code of Practice) Amendment Regulations 2004 (No 1)" w:history="1">
        <w:r w:rsidR="00DF21AF" w:rsidRPr="00DF21AF">
          <w:rPr>
            <w:rStyle w:val="charCitHyperlinkAbbrev"/>
          </w:rPr>
          <w:t>SL2004</w:t>
        </w:r>
        <w:r w:rsidR="00DF21AF" w:rsidRPr="00DF21AF">
          <w:rPr>
            <w:rStyle w:val="charCitHyperlinkAbbrev"/>
          </w:rPr>
          <w:noBreakHyphen/>
          <w:t>31</w:t>
        </w:r>
      </w:hyperlink>
      <w:r>
        <w:t xml:space="preserve"> ss 14-16; </w:t>
      </w:r>
      <w:hyperlink r:id="rId150" w:tooltip="Casino Control Act 2006" w:history="1">
        <w:r w:rsidR="00DF21AF" w:rsidRPr="00DF21AF">
          <w:rPr>
            <w:rStyle w:val="charCitHyperlinkAbbrev"/>
          </w:rPr>
          <w:t>A2006</w:t>
        </w:r>
        <w:r w:rsidR="00DF21AF" w:rsidRPr="00DF21AF">
          <w:rPr>
            <w:rStyle w:val="charCitHyperlinkAbbrev"/>
          </w:rPr>
          <w:noBreakHyphen/>
          <w:t>2</w:t>
        </w:r>
      </w:hyperlink>
      <w:r>
        <w:t xml:space="preserve"> amdt 1.6</w:t>
      </w:r>
      <w:r w:rsidR="00C349DC">
        <w:t xml:space="preserve">; </w:t>
      </w:r>
      <w:hyperlink r:id="rId151" w:tooltip="Totalisator Act 2014" w:history="1">
        <w:r w:rsidR="00C349DC">
          <w:rPr>
            <w:rStyle w:val="charCitHyperlinkAbbrev"/>
          </w:rPr>
          <w:t>A2014</w:t>
        </w:r>
        <w:r w:rsidR="00C349DC">
          <w:rPr>
            <w:rStyle w:val="charCitHyperlinkAbbrev"/>
          </w:rPr>
          <w:noBreakHyphen/>
          <w:t>4</w:t>
        </w:r>
      </w:hyperlink>
      <w:r w:rsidR="00EC2BE7">
        <w:t xml:space="preserve"> amdt </w:t>
      </w:r>
      <w:r w:rsidR="00C349DC">
        <w:t>2.5</w:t>
      </w:r>
      <w:r w:rsidR="00BF449F">
        <w:t xml:space="preserve">; </w:t>
      </w:r>
      <w:hyperlink r:id="rId152" w:tooltip="Lotteries (Approvals) Amendment Act 2015" w:history="1">
        <w:r w:rsidR="00BF449F">
          <w:rPr>
            <w:rStyle w:val="charCitHyperlinkAbbrev"/>
          </w:rPr>
          <w:t>A2015</w:t>
        </w:r>
        <w:r w:rsidR="00BF449F">
          <w:rPr>
            <w:rStyle w:val="charCitHyperlinkAbbrev"/>
          </w:rPr>
          <w:noBreakHyphen/>
          <w:t>41</w:t>
        </w:r>
      </w:hyperlink>
      <w:r w:rsidR="00BF449F">
        <w:t xml:space="preserve"> amdt 1.3, amdt 1.4</w:t>
      </w:r>
    </w:p>
    <w:p w14:paraId="4B3338C5" w14:textId="77777777" w:rsidR="00F41D7E" w:rsidRDefault="002647F9" w:rsidP="00F41D7E">
      <w:pPr>
        <w:pStyle w:val="AmdtsEntryHd"/>
        <w:rPr>
          <w:rStyle w:val="charItals"/>
        </w:rPr>
      </w:pPr>
      <w:r>
        <w:t xml:space="preserve">Meaning of </w:t>
      </w:r>
      <w:r w:rsidRPr="00F1531F">
        <w:rPr>
          <w:rStyle w:val="charItals"/>
        </w:rPr>
        <w:t>gambling problem</w:t>
      </w:r>
    </w:p>
    <w:p w14:paraId="0715C7F8" w14:textId="4758027C" w:rsidR="00F41D7E" w:rsidRDefault="00F41D7E" w:rsidP="00F41D7E">
      <w:pPr>
        <w:pStyle w:val="AmdtsEntries"/>
      </w:pPr>
      <w:r>
        <w:t>sch 1 s 1.2</w:t>
      </w:r>
      <w:r>
        <w:tab/>
        <w:t xml:space="preserve">am </w:t>
      </w:r>
      <w:hyperlink r:id="rId153" w:tooltip="Gambling and Racing Control (Code of Practice) Amendment Regulation 2014 (No 1)" w:history="1">
        <w:r>
          <w:rPr>
            <w:rStyle w:val="charCitHyperlinkAbbrev"/>
          </w:rPr>
          <w:t>SL2014</w:t>
        </w:r>
        <w:r>
          <w:rPr>
            <w:rStyle w:val="charCitHyperlinkAbbrev"/>
          </w:rPr>
          <w:noBreakHyphen/>
          <w:t>17</w:t>
        </w:r>
      </w:hyperlink>
      <w:r>
        <w:t xml:space="preserve"> s 9</w:t>
      </w:r>
    </w:p>
    <w:p w14:paraId="69A525DF" w14:textId="77777777" w:rsidR="00D847F1" w:rsidRDefault="00D847F1">
      <w:pPr>
        <w:pStyle w:val="AmdtsEntryHd"/>
      </w:pPr>
      <w:r>
        <w:t>Staff care and training</w:t>
      </w:r>
    </w:p>
    <w:p w14:paraId="7FAABF5D" w14:textId="287ECBCB" w:rsidR="00D847F1" w:rsidRDefault="00D847F1">
      <w:pPr>
        <w:pStyle w:val="AmdtsEntries"/>
      </w:pPr>
      <w:r>
        <w:t>sch 1 s 1.4</w:t>
      </w:r>
      <w:r>
        <w:tab/>
        <w:t xml:space="preserve">am </w:t>
      </w:r>
      <w:hyperlink r:id="rId154" w:tooltip="Gambling and Racing Control (Code of Practice) Amendment Regulations 2004 (No 1)" w:history="1">
        <w:r w:rsidR="00DF21AF" w:rsidRPr="00DF21AF">
          <w:rPr>
            <w:rStyle w:val="charCitHyperlinkAbbrev"/>
          </w:rPr>
          <w:t>SL2004</w:t>
        </w:r>
        <w:r w:rsidR="00DF21AF" w:rsidRPr="00DF21AF">
          <w:rPr>
            <w:rStyle w:val="charCitHyperlinkAbbrev"/>
          </w:rPr>
          <w:noBreakHyphen/>
          <w:t>31</w:t>
        </w:r>
      </w:hyperlink>
      <w:r>
        <w:t xml:space="preserve"> ss 17-21</w:t>
      </w:r>
      <w:r w:rsidR="00C349DC">
        <w:t xml:space="preserve">; </w:t>
      </w:r>
      <w:hyperlink r:id="rId155" w:tooltip="Totalisator Act 2014" w:history="1">
        <w:r w:rsidR="00C349DC">
          <w:rPr>
            <w:rStyle w:val="charCitHyperlinkAbbrev"/>
          </w:rPr>
          <w:t>A2014</w:t>
        </w:r>
        <w:r w:rsidR="00C349DC">
          <w:rPr>
            <w:rStyle w:val="charCitHyperlinkAbbrev"/>
          </w:rPr>
          <w:noBreakHyphen/>
          <w:t>4</w:t>
        </w:r>
      </w:hyperlink>
      <w:r w:rsidR="00C349DC">
        <w:t xml:space="preserve"> amdt 2.6</w:t>
      </w:r>
      <w:r w:rsidR="00833373">
        <w:t xml:space="preserve">; </w:t>
      </w:r>
      <w:hyperlink r:id="rId156" w:tooltip="Gambling and Racing Control (Code of Practice) Amendment Regulation 2014 (No 1)" w:history="1">
        <w:r w:rsidR="00833373">
          <w:rPr>
            <w:rStyle w:val="charCitHyperlinkAbbrev"/>
          </w:rPr>
          <w:t>SL2014</w:t>
        </w:r>
        <w:r w:rsidR="00833373">
          <w:rPr>
            <w:rStyle w:val="charCitHyperlinkAbbrev"/>
          </w:rPr>
          <w:noBreakHyphen/>
          <w:t>17</w:t>
        </w:r>
      </w:hyperlink>
      <w:r w:rsidR="00833373">
        <w:t xml:space="preserve"> s 10</w:t>
      </w:r>
      <w:r w:rsidR="00733DBB">
        <w:t xml:space="preserve">; </w:t>
      </w:r>
      <w:hyperlink r:id="rId157"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rsidR="00733DBB">
        <w:t xml:space="preserve"> ss 5-7</w:t>
      </w:r>
    </w:p>
    <w:p w14:paraId="319BFC8D" w14:textId="4757337A" w:rsidR="000B7F81" w:rsidRDefault="000B7F81" w:rsidP="000B7F81">
      <w:pPr>
        <w:pStyle w:val="AmdtsEntryHd"/>
      </w:pPr>
      <w:r w:rsidRPr="003042FA">
        <w:t>Training for responsible service of interactive wagering and betting services</w:t>
      </w:r>
    </w:p>
    <w:p w14:paraId="58103D38" w14:textId="4243A324" w:rsidR="000B7F81" w:rsidRDefault="000B7F81">
      <w:pPr>
        <w:pStyle w:val="AmdtsEntries"/>
      </w:pPr>
      <w:r>
        <w:t>sch 1 s 1.5A</w:t>
      </w:r>
      <w:r>
        <w:tab/>
        <w:t>ins</w:t>
      </w:r>
      <w:r>
        <w:rPr>
          <w:rStyle w:val="charItals"/>
          <w:i w:val="0"/>
          <w:iCs/>
        </w:rPr>
        <w:t xml:space="preserve"> </w:t>
      </w:r>
      <w:hyperlink r:id="rId158" w:tooltip="Gambling and Racing Control (Code of Practice) Amendment Regulation 2023 (No 1)" w:history="1">
        <w:r>
          <w:rPr>
            <w:rStyle w:val="charCitHyperlinkAbbrev"/>
          </w:rPr>
          <w:t>SL2023</w:t>
        </w:r>
        <w:r>
          <w:rPr>
            <w:rStyle w:val="charCitHyperlinkAbbrev"/>
          </w:rPr>
          <w:noBreakHyphen/>
          <w:t>8</w:t>
        </w:r>
      </w:hyperlink>
      <w:r>
        <w:t xml:space="preserve"> s 6</w:t>
      </w:r>
    </w:p>
    <w:p w14:paraId="3157DB33" w14:textId="7CD0437E" w:rsidR="000B7F81" w:rsidRDefault="000B7F81" w:rsidP="000B7F81">
      <w:pPr>
        <w:pStyle w:val="AmdtsEntryHd"/>
      </w:pPr>
      <w:r w:rsidRPr="003042FA">
        <w:t>Independent audit of required training and refresher training</w:t>
      </w:r>
    </w:p>
    <w:p w14:paraId="6070D17B" w14:textId="365A4DDE" w:rsidR="000B7F81" w:rsidRDefault="000B7F81" w:rsidP="000B7F81">
      <w:pPr>
        <w:pStyle w:val="AmdtsEntries"/>
      </w:pPr>
      <w:r>
        <w:t>sch 1 s 1.5B</w:t>
      </w:r>
      <w:r>
        <w:tab/>
        <w:t>ins</w:t>
      </w:r>
      <w:r>
        <w:rPr>
          <w:rStyle w:val="charItals"/>
          <w:i w:val="0"/>
          <w:iCs/>
        </w:rPr>
        <w:t xml:space="preserve"> </w:t>
      </w:r>
      <w:hyperlink r:id="rId159" w:tooltip="Gambling and Racing Control (Code of Practice) Amendment Regulation 2023 (No 1)" w:history="1">
        <w:r>
          <w:rPr>
            <w:rStyle w:val="charCitHyperlinkAbbrev"/>
          </w:rPr>
          <w:t>SL2023</w:t>
        </w:r>
        <w:r>
          <w:rPr>
            <w:rStyle w:val="charCitHyperlinkAbbrev"/>
          </w:rPr>
          <w:noBreakHyphen/>
          <w:t>8</w:t>
        </w:r>
      </w:hyperlink>
      <w:r>
        <w:t xml:space="preserve"> s 6</w:t>
      </w:r>
    </w:p>
    <w:p w14:paraId="547C4D71" w14:textId="77777777" w:rsidR="00833373" w:rsidRDefault="00833373" w:rsidP="00833373">
      <w:pPr>
        <w:pStyle w:val="AmdtsEntryHd"/>
        <w:rPr>
          <w:rStyle w:val="charItals"/>
        </w:rPr>
      </w:pPr>
      <w:r w:rsidRPr="00A35BB6">
        <w:t>Problem gambling incident register</w:t>
      </w:r>
    </w:p>
    <w:p w14:paraId="3FB3CF3A" w14:textId="1C9B5907" w:rsidR="00833373" w:rsidRDefault="00833373" w:rsidP="00833373">
      <w:pPr>
        <w:pStyle w:val="AmdtsEntries"/>
      </w:pPr>
      <w:r>
        <w:t>sch 1 s 1.6</w:t>
      </w:r>
      <w:r>
        <w:tab/>
        <w:t xml:space="preserve">sub </w:t>
      </w:r>
      <w:hyperlink r:id="rId160" w:tooltip="Gambling and Racing Control (Code of Practice) Amendment Regulation 2014 (No 1)" w:history="1">
        <w:r>
          <w:rPr>
            <w:rStyle w:val="charCitHyperlinkAbbrev"/>
          </w:rPr>
          <w:t>SL2014</w:t>
        </w:r>
        <w:r>
          <w:rPr>
            <w:rStyle w:val="charCitHyperlinkAbbrev"/>
          </w:rPr>
          <w:noBreakHyphen/>
          <w:t>17</w:t>
        </w:r>
      </w:hyperlink>
      <w:r>
        <w:t xml:space="preserve"> s 11</w:t>
      </w:r>
    </w:p>
    <w:p w14:paraId="7021C27A" w14:textId="77777777" w:rsidR="00833373" w:rsidRDefault="00833373" w:rsidP="00833373">
      <w:pPr>
        <w:pStyle w:val="AmdtsEntryHd"/>
        <w:rPr>
          <w:rStyle w:val="charItals"/>
        </w:rPr>
      </w:pPr>
      <w:r w:rsidRPr="00A35BB6">
        <w:t>Recording problem gambling incidents</w:t>
      </w:r>
    </w:p>
    <w:p w14:paraId="5A2EBD6D" w14:textId="07934E7C" w:rsidR="00833373" w:rsidRDefault="00833373" w:rsidP="00833373">
      <w:pPr>
        <w:pStyle w:val="AmdtsEntries"/>
      </w:pPr>
      <w:r>
        <w:t>sch 1 s 1.6A</w:t>
      </w:r>
      <w:r>
        <w:tab/>
        <w:t xml:space="preserve">ins </w:t>
      </w:r>
      <w:hyperlink r:id="rId161" w:tooltip="Gambling and Racing Control (Code of Practice) Amendment Regulation 2014 (No 1)" w:history="1">
        <w:r>
          <w:rPr>
            <w:rStyle w:val="charCitHyperlinkAbbrev"/>
          </w:rPr>
          <w:t>SL2014</w:t>
        </w:r>
        <w:r>
          <w:rPr>
            <w:rStyle w:val="charCitHyperlinkAbbrev"/>
          </w:rPr>
          <w:noBreakHyphen/>
          <w:t>17</w:t>
        </w:r>
      </w:hyperlink>
      <w:r>
        <w:t xml:space="preserve"> s 11</w:t>
      </w:r>
    </w:p>
    <w:p w14:paraId="4E25E938" w14:textId="77777777" w:rsidR="00D847F1" w:rsidRDefault="00D847F1">
      <w:pPr>
        <w:pStyle w:val="AmdtsEntryHd"/>
      </w:pPr>
      <w:r>
        <w:lastRenderedPageBreak/>
        <w:t>Gambling contact officers</w:t>
      </w:r>
    </w:p>
    <w:p w14:paraId="1F70F565" w14:textId="7D7542FB" w:rsidR="00D847F1" w:rsidRDefault="00D847F1" w:rsidP="00BE6580">
      <w:pPr>
        <w:pStyle w:val="AmdtsEntries"/>
        <w:keepNext/>
      </w:pPr>
      <w:r>
        <w:t>sch 1 s 1.9</w:t>
      </w:r>
      <w:r>
        <w:tab/>
        <w:t xml:space="preserve">sub </w:t>
      </w:r>
      <w:hyperlink r:id="rId162" w:tooltip="Gambling and Racing Control (Code of Practice) Amendment Regulations 2004 (No 1)" w:history="1">
        <w:r w:rsidR="00DF21AF" w:rsidRPr="00DF21AF">
          <w:rPr>
            <w:rStyle w:val="charCitHyperlinkAbbrev"/>
          </w:rPr>
          <w:t>SL2004</w:t>
        </w:r>
        <w:r w:rsidR="00DF21AF" w:rsidRPr="00DF21AF">
          <w:rPr>
            <w:rStyle w:val="charCitHyperlinkAbbrev"/>
          </w:rPr>
          <w:noBreakHyphen/>
          <w:t>31</w:t>
        </w:r>
      </w:hyperlink>
      <w:r>
        <w:t xml:space="preserve"> s 22</w:t>
      </w:r>
    </w:p>
    <w:p w14:paraId="4B82D452" w14:textId="4F5E30E2" w:rsidR="00BE6580" w:rsidRDefault="00BE6580">
      <w:pPr>
        <w:pStyle w:val="AmdtsEntries"/>
      </w:pPr>
      <w:r>
        <w:tab/>
        <w:t xml:space="preserve">am </w:t>
      </w:r>
      <w:hyperlink r:id="rId163" w:tooltip="Gambling and Racing Control (Code of Practice) Amendment Regulation 2014 (No 1)" w:history="1">
        <w:r>
          <w:rPr>
            <w:rStyle w:val="charCitHyperlinkAbbrev"/>
          </w:rPr>
          <w:t>SL2014</w:t>
        </w:r>
        <w:r>
          <w:rPr>
            <w:rStyle w:val="charCitHyperlinkAbbrev"/>
          </w:rPr>
          <w:noBreakHyphen/>
          <w:t>17</w:t>
        </w:r>
      </w:hyperlink>
      <w:r>
        <w:t xml:space="preserve"> s 12</w:t>
      </w:r>
    </w:p>
    <w:p w14:paraId="75182334" w14:textId="77777777" w:rsidR="00D20D3A" w:rsidRDefault="002647F9" w:rsidP="00D20D3A">
      <w:pPr>
        <w:pStyle w:val="AmdtsEntryHd"/>
        <w:rPr>
          <w:rStyle w:val="charItals"/>
        </w:rPr>
      </w:pPr>
      <w:r>
        <w:t>Gambling contact officers functions</w:t>
      </w:r>
    </w:p>
    <w:p w14:paraId="3A0B84CB" w14:textId="15103637" w:rsidR="00D20D3A" w:rsidRDefault="00D20D3A" w:rsidP="00D20D3A">
      <w:pPr>
        <w:pStyle w:val="AmdtsEntries"/>
      </w:pPr>
      <w:r>
        <w:t>sch 1 s 1.10</w:t>
      </w:r>
      <w:r>
        <w:tab/>
        <w:t xml:space="preserve">am </w:t>
      </w:r>
      <w:hyperlink r:id="rId164" w:tooltip="Gambling and Racing Control (Code of Practice) Amendment Regulation 2014 (No 1)" w:history="1">
        <w:r>
          <w:rPr>
            <w:rStyle w:val="charCitHyperlinkAbbrev"/>
          </w:rPr>
          <w:t>SL2014</w:t>
        </w:r>
        <w:r>
          <w:rPr>
            <w:rStyle w:val="charCitHyperlinkAbbrev"/>
          </w:rPr>
          <w:noBreakHyphen/>
          <w:t>17</w:t>
        </w:r>
      </w:hyperlink>
      <w:r w:rsidR="004413BC">
        <w:t xml:space="preserve"> s 13; pars renum R9</w:t>
      </w:r>
      <w:r>
        <w:t xml:space="preserve"> LA</w:t>
      </w:r>
    </w:p>
    <w:p w14:paraId="66F21FCF" w14:textId="77777777" w:rsidR="00D20D3A" w:rsidRDefault="002647F9" w:rsidP="00D20D3A">
      <w:pPr>
        <w:pStyle w:val="AmdtsEntryHd"/>
        <w:rPr>
          <w:rStyle w:val="charItals"/>
        </w:rPr>
      </w:pPr>
      <w:r>
        <w:t>Dealing with people with gambling problem</w:t>
      </w:r>
    </w:p>
    <w:p w14:paraId="71BB2DA6" w14:textId="5CE3E176" w:rsidR="00D20D3A" w:rsidRDefault="00D20D3A" w:rsidP="00D20D3A">
      <w:pPr>
        <w:pStyle w:val="AmdtsEntries"/>
      </w:pPr>
      <w:r>
        <w:t>sch 1 s 1.11</w:t>
      </w:r>
      <w:r>
        <w:tab/>
        <w:t xml:space="preserve">am </w:t>
      </w:r>
      <w:hyperlink r:id="rId165" w:tooltip="Gambling and Racing Control (Code of Practice) Amendment Regulation 2014 (No 1)" w:history="1">
        <w:r>
          <w:rPr>
            <w:rStyle w:val="charCitHyperlinkAbbrev"/>
          </w:rPr>
          <w:t>SL2014</w:t>
        </w:r>
        <w:r>
          <w:rPr>
            <w:rStyle w:val="charCitHyperlinkAbbrev"/>
          </w:rPr>
          <w:noBreakHyphen/>
          <w:t>17</w:t>
        </w:r>
      </w:hyperlink>
      <w:r w:rsidR="001434E3">
        <w:t xml:space="preserve"> s 14</w:t>
      </w:r>
    </w:p>
    <w:p w14:paraId="34D33743" w14:textId="77777777" w:rsidR="00D847F1" w:rsidRDefault="00D847F1">
      <w:pPr>
        <w:pStyle w:val="AmdtsEntryHd"/>
      </w:pPr>
      <w:r>
        <w:t>Application of div 1.2.3</w:t>
      </w:r>
    </w:p>
    <w:p w14:paraId="25FBC5DB" w14:textId="0C60556C" w:rsidR="00D847F1" w:rsidRDefault="00D847F1">
      <w:pPr>
        <w:pStyle w:val="AmdtsEntries"/>
      </w:pPr>
      <w:r>
        <w:t>sch 1 s 1.12</w:t>
      </w:r>
      <w:r>
        <w:tab/>
        <w:t xml:space="preserve">am </w:t>
      </w:r>
      <w:hyperlink r:id="rId166" w:tooltip="Casino Control Act 2006" w:history="1">
        <w:r w:rsidR="00DF21AF" w:rsidRPr="00DF21AF">
          <w:rPr>
            <w:rStyle w:val="charCitHyperlinkAbbrev"/>
          </w:rPr>
          <w:t>A2006</w:t>
        </w:r>
        <w:r w:rsidR="00DF21AF" w:rsidRPr="00DF21AF">
          <w:rPr>
            <w:rStyle w:val="charCitHyperlinkAbbrev"/>
          </w:rPr>
          <w:noBreakHyphen/>
          <w:t>2</w:t>
        </w:r>
      </w:hyperlink>
      <w:r>
        <w:t xml:space="preserve"> amdt 1.7</w:t>
      </w:r>
    </w:p>
    <w:p w14:paraId="46E22518" w14:textId="77777777" w:rsidR="00D847F1" w:rsidRDefault="00D847F1">
      <w:pPr>
        <w:pStyle w:val="AmdtsEntryHd"/>
      </w:pPr>
      <w:r>
        <w:t>Deeds of exclusion</w:t>
      </w:r>
    </w:p>
    <w:p w14:paraId="6CB5EEF2" w14:textId="4E1F5D04" w:rsidR="00D847F1" w:rsidRDefault="00D847F1">
      <w:pPr>
        <w:pStyle w:val="AmdtsEntries"/>
      </w:pPr>
      <w:r>
        <w:t>sch 1 s 1.13</w:t>
      </w:r>
      <w:r>
        <w:tab/>
        <w:t xml:space="preserve">sub </w:t>
      </w:r>
      <w:hyperlink r:id="rId167" w:tooltip="Gambling and Racing Control (Code of Practice) Amendment Regulations 2004 (No 1)" w:history="1">
        <w:r w:rsidR="00DF21AF" w:rsidRPr="00DF21AF">
          <w:rPr>
            <w:rStyle w:val="charCitHyperlinkAbbrev"/>
          </w:rPr>
          <w:t>SL2004</w:t>
        </w:r>
        <w:r w:rsidR="00DF21AF" w:rsidRPr="00DF21AF">
          <w:rPr>
            <w:rStyle w:val="charCitHyperlinkAbbrev"/>
          </w:rPr>
          <w:noBreakHyphen/>
          <w:t>31</w:t>
        </w:r>
      </w:hyperlink>
      <w:r>
        <w:t xml:space="preserve"> s 23</w:t>
      </w:r>
      <w:r w:rsidR="001434E3">
        <w:t xml:space="preserve">; </w:t>
      </w:r>
      <w:hyperlink r:id="rId168" w:tooltip="Gambling and Racing Control (Code of Practice) Amendment Regulation 2014 (No 1)" w:history="1">
        <w:r w:rsidR="001434E3">
          <w:rPr>
            <w:rStyle w:val="charCitHyperlinkAbbrev"/>
          </w:rPr>
          <w:t>SL2014</w:t>
        </w:r>
        <w:r w:rsidR="001434E3">
          <w:rPr>
            <w:rStyle w:val="charCitHyperlinkAbbrev"/>
          </w:rPr>
          <w:noBreakHyphen/>
          <w:t>17</w:t>
        </w:r>
      </w:hyperlink>
      <w:r w:rsidR="001434E3">
        <w:t xml:space="preserve"> s 15</w:t>
      </w:r>
    </w:p>
    <w:p w14:paraId="1A9CA2F7" w14:textId="77777777" w:rsidR="001434E3" w:rsidRDefault="001434E3" w:rsidP="001434E3">
      <w:pPr>
        <w:pStyle w:val="AmdtsEntryHd"/>
        <w:rPr>
          <w:rStyle w:val="charItals"/>
        </w:rPr>
      </w:pPr>
      <w:r w:rsidRPr="00A35BB6">
        <w:t>Deeds of exclusion—revocation</w:t>
      </w:r>
    </w:p>
    <w:p w14:paraId="0624AAB0" w14:textId="4E0B49CA" w:rsidR="001434E3" w:rsidRDefault="001434E3" w:rsidP="001434E3">
      <w:pPr>
        <w:pStyle w:val="AmdtsEntries"/>
      </w:pPr>
      <w:r>
        <w:t>sch 1 s 1.13A</w:t>
      </w:r>
      <w:r>
        <w:tab/>
        <w:t xml:space="preserve">ins </w:t>
      </w:r>
      <w:hyperlink r:id="rId169" w:tooltip="Gambling and Racing Control (Code of Practice) Amendment Regulation 2014 (No 1)" w:history="1">
        <w:r>
          <w:rPr>
            <w:rStyle w:val="charCitHyperlinkAbbrev"/>
          </w:rPr>
          <w:t>SL2014</w:t>
        </w:r>
        <w:r>
          <w:rPr>
            <w:rStyle w:val="charCitHyperlinkAbbrev"/>
          </w:rPr>
          <w:noBreakHyphen/>
          <w:t>17</w:t>
        </w:r>
      </w:hyperlink>
      <w:r>
        <w:t xml:space="preserve"> s 15</w:t>
      </w:r>
    </w:p>
    <w:p w14:paraId="47B4C3F4" w14:textId="77777777" w:rsidR="00F0587B" w:rsidRDefault="00C96D70" w:rsidP="00F0587B">
      <w:pPr>
        <w:pStyle w:val="AmdtsEntryHd"/>
        <w:rPr>
          <w:rStyle w:val="charItals"/>
        </w:rPr>
      </w:pPr>
      <w:r>
        <w:t>Exclusion of people at risk or excluded under deed</w:t>
      </w:r>
    </w:p>
    <w:p w14:paraId="7CCE534F" w14:textId="7511F9BE" w:rsidR="00F0587B" w:rsidRDefault="00F0587B" w:rsidP="00F0587B">
      <w:pPr>
        <w:pStyle w:val="AmdtsEntries"/>
      </w:pPr>
      <w:r>
        <w:t>sch 1 s 1.14</w:t>
      </w:r>
      <w:r>
        <w:tab/>
        <w:t xml:space="preserve">am </w:t>
      </w:r>
      <w:hyperlink r:id="rId170" w:tooltip="Gambling and Racing Control (Code of Practice) Amendment Regulation 2014 (No 1)" w:history="1">
        <w:r>
          <w:rPr>
            <w:rStyle w:val="charCitHyperlinkAbbrev"/>
          </w:rPr>
          <w:t>SL2014</w:t>
        </w:r>
        <w:r>
          <w:rPr>
            <w:rStyle w:val="charCitHyperlinkAbbrev"/>
          </w:rPr>
          <w:noBreakHyphen/>
          <w:t>17</w:t>
        </w:r>
      </w:hyperlink>
      <w:r>
        <w:t xml:space="preserve"> s 16, s 17</w:t>
      </w:r>
    </w:p>
    <w:p w14:paraId="125EFE94" w14:textId="77777777" w:rsidR="00D847F1" w:rsidRDefault="00D847F1">
      <w:pPr>
        <w:pStyle w:val="AmdtsEntryHd"/>
      </w:pPr>
      <w:r>
        <w:t>Matters to which licensee to have regard when deciding whether to exclude</w:t>
      </w:r>
    </w:p>
    <w:p w14:paraId="6159376D" w14:textId="1924CC33" w:rsidR="00D847F1" w:rsidRDefault="00D847F1">
      <w:pPr>
        <w:pStyle w:val="AmdtsEntries"/>
      </w:pPr>
      <w:r>
        <w:t>sch 1 s 1.15</w:t>
      </w:r>
      <w:r>
        <w:tab/>
        <w:t xml:space="preserve">am </w:t>
      </w:r>
      <w:hyperlink r:id="rId171" w:tooltip="Gambling and Racing Control (Code of Practice) Amendment Regulations 2004 (No 1)" w:history="1">
        <w:r w:rsidR="00DF21AF" w:rsidRPr="00DF21AF">
          <w:rPr>
            <w:rStyle w:val="charCitHyperlinkAbbrev"/>
          </w:rPr>
          <w:t>SL2004</w:t>
        </w:r>
        <w:r w:rsidR="00DF21AF" w:rsidRPr="00DF21AF">
          <w:rPr>
            <w:rStyle w:val="charCitHyperlinkAbbrev"/>
          </w:rPr>
          <w:noBreakHyphen/>
          <w:t>31</w:t>
        </w:r>
      </w:hyperlink>
      <w:r>
        <w:t xml:space="preserve"> s 24</w:t>
      </w:r>
    </w:p>
    <w:p w14:paraId="36B02B43" w14:textId="77777777" w:rsidR="004031BA" w:rsidRDefault="004031BA">
      <w:pPr>
        <w:pStyle w:val="AmdtsEntryHd"/>
      </w:pPr>
      <w:r>
        <w:t>Commission’s review of exclusion decisions</w:t>
      </w:r>
    </w:p>
    <w:p w14:paraId="1F787AF0" w14:textId="16459667" w:rsidR="004031BA" w:rsidRPr="004031BA" w:rsidRDefault="004031BA" w:rsidP="004031BA">
      <w:pPr>
        <w:pStyle w:val="AmdtsEntries"/>
      </w:pPr>
      <w:r>
        <w:t>sch 1 s 1.16</w:t>
      </w:r>
      <w:r>
        <w:tab/>
        <w:t xml:space="preserve">am </w:t>
      </w:r>
      <w:hyperlink r:id="rId172" w:tooltip="ACT Civil and Administrative Tribunal Legislation Amendment Act 2008 (No 2)" w:history="1">
        <w:r w:rsidR="00DF21AF" w:rsidRPr="00DF21AF">
          <w:rPr>
            <w:rStyle w:val="charCitHyperlinkAbbrev"/>
          </w:rPr>
          <w:t>A2008</w:t>
        </w:r>
        <w:r w:rsidR="00DF21AF" w:rsidRPr="00DF21AF">
          <w:rPr>
            <w:rStyle w:val="charCitHyperlinkAbbrev"/>
          </w:rPr>
          <w:noBreakHyphen/>
          <w:t>37</w:t>
        </w:r>
      </w:hyperlink>
      <w:r>
        <w:t xml:space="preserve"> amdt 1.209</w:t>
      </w:r>
    </w:p>
    <w:p w14:paraId="6C111B9B" w14:textId="77777777" w:rsidR="00DE09B2" w:rsidRDefault="00C96D70" w:rsidP="00DE09B2">
      <w:pPr>
        <w:pStyle w:val="AmdtsEntryHd"/>
        <w:rPr>
          <w:rStyle w:val="charItals"/>
        </w:rPr>
      </w:pPr>
      <w:r>
        <w:t>Exclusion procedures</w:t>
      </w:r>
    </w:p>
    <w:p w14:paraId="675D0204" w14:textId="6C04729F" w:rsidR="00DE09B2" w:rsidRDefault="00DE09B2" w:rsidP="00DE09B2">
      <w:pPr>
        <w:pStyle w:val="AmdtsEntries"/>
      </w:pPr>
      <w:r>
        <w:t>sch 1 s 1.17</w:t>
      </w:r>
      <w:r>
        <w:tab/>
        <w:t xml:space="preserve">am </w:t>
      </w:r>
      <w:hyperlink r:id="rId173" w:tooltip="Gambling and Racing Control (Code of Practice) Amendment Regulation 2014 (No 1)" w:history="1">
        <w:r>
          <w:rPr>
            <w:rStyle w:val="charCitHyperlinkAbbrev"/>
          </w:rPr>
          <w:t>SL2014</w:t>
        </w:r>
        <w:r>
          <w:rPr>
            <w:rStyle w:val="charCitHyperlinkAbbrev"/>
          </w:rPr>
          <w:noBreakHyphen/>
          <w:t>17</w:t>
        </w:r>
      </w:hyperlink>
      <w:r>
        <w:t xml:space="preserve"> s 18; ss renum R9 LA</w:t>
      </w:r>
    </w:p>
    <w:p w14:paraId="76234544" w14:textId="77777777" w:rsidR="00B61E43" w:rsidRDefault="00B61E43" w:rsidP="00B61E43">
      <w:pPr>
        <w:pStyle w:val="AmdtsEntryHd"/>
        <w:rPr>
          <w:rStyle w:val="charItals"/>
        </w:rPr>
      </w:pPr>
      <w:r w:rsidRPr="00A35BB6">
        <w:t>Licensee must keep deeds and notices of exclusion</w:t>
      </w:r>
    </w:p>
    <w:p w14:paraId="42253E89" w14:textId="141623DC" w:rsidR="00B61E43" w:rsidRDefault="00B61E43" w:rsidP="00B61E43">
      <w:pPr>
        <w:pStyle w:val="AmdtsEntries"/>
      </w:pPr>
      <w:r>
        <w:t>sch 1 s 1.18</w:t>
      </w:r>
      <w:r>
        <w:tab/>
        <w:t xml:space="preserve">sub </w:t>
      </w:r>
      <w:hyperlink r:id="rId174" w:tooltip="Gambling and Racing Control (Code of Practice) Amendment Regulation 2014 (No 1)" w:history="1">
        <w:r>
          <w:rPr>
            <w:rStyle w:val="charCitHyperlinkAbbrev"/>
          </w:rPr>
          <w:t>SL2014</w:t>
        </w:r>
        <w:r>
          <w:rPr>
            <w:rStyle w:val="charCitHyperlinkAbbrev"/>
          </w:rPr>
          <w:noBreakHyphen/>
          <w:t>17</w:t>
        </w:r>
      </w:hyperlink>
      <w:r>
        <w:t xml:space="preserve"> s 19</w:t>
      </w:r>
    </w:p>
    <w:p w14:paraId="29DCD8ED" w14:textId="77777777" w:rsidR="00D847F1" w:rsidRDefault="00D847F1">
      <w:pPr>
        <w:pStyle w:val="AmdtsEntryHd"/>
      </w:pPr>
      <w:r>
        <w:t>Accounts of excluded people</w:t>
      </w:r>
    </w:p>
    <w:p w14:paraId="187AB6B2" w14:textId="7AE67BE4" w:rsidR="00D847F1" w:rsidRDefault="00D847F1">
      <w:pPr>
        <w:pStyle w:val="AmdtsEntries"/>
      </w:pPr>
      <w:r>
        <w:t>sch 1 s 1.19</w:t>
      </w:r>
      <w:r>
        <w:tab/>
        <w:t xml:space="preserve">sub </w:t>
      </w:r>
      <w:hyperlink r:id="rId175" w:tooltip="Casino Control Act 2006" w:history="1">
        <w:r w:rsidR="00DF21AF" w:rsidRPr="00DF21AF">
          <w:rPr>
            <w:rStyle w:val="charCitHyperlinkAbbrev"/>
          </w:rPr>
          <w:t>A2006</w:t>
        </w:r>
        <w:r w:rsidR="00DF21AF" w:rsidRPr="00DF21AF">
          <w:rPr>
            <w:rStyle w:val="charCitHyperlinkAbbrev"/>
          </w:rPr>
          <w:noBreakHyphen/>
          <w:t>2</w:t>
        </w:r>
      </w:hyperlink>
      <w:r>
        <w:t xml:space="preserve"> amdt 1.8</w:t>
      </w:r>
    </w:p>
    <w:p w14:paraId="36BF7FCA" w14:textId="77777777" w:rsidR="00D847F1" w:rsidRDefault="00D847F1">
      <w:pPr>
        <w:pStyle w:val="AmdtsEntryHd"/>
      </w:pPr>
      <w:r>
        <w:t>Promotional material not to be given to certain excluded people</w:t>
      </w:r>
    </w:p>
    <w:p w14:paraId="6B9639E7" w14:textId="6960AAC1" w:rsidR="00D847F1" w:rsidRDefault="00D847F1" w:rsidP="00B52C97">
      <w:pPr>
        <w:pStyle w:val="AmdtsEntries"/>
        <w:keepNext/>
      </w:pPr>
      <w:r>
        <w:t>sch 1 s 1.20</w:t>
      </w:r>
      <w:r>
        <w:tab/>
        <w:t xml:space="preserve">sub </w:t>
      </w:r>
      <w:hyperlink r:id="rId176" w:tooltip="Gambling and Racing Control (Code of Practice) Amendment Regulations 2004 (No 1)" w:history="1">
        <w:r w:rsidR="00DF21AF" w:rsidRPr="00DF21AF">
          <w:rPr>
            <w:rStyle w:val="charCitHyperlinkAbbrev"/>
          </w:rPr>
          <w:t>SL2004</w:t>
        </w:r>
        <w:r w:rsidR="00DF21AF" w:rsidRPr="00DF21AF">
          <w:rPr>
            <w:rStyle w:val="charCitHyperlinkAbbrev"/>
          </w:rPr>
          <w:noBreakHyphen/>
          <w:t>31</w:t>
        </w:r>
      </w:hyperlink>
      <w:r>
        <w:t xml:space="preserve"> s 25</w:t>
      </w:r>
    </w:p>
    <w:p w14:paraId="7D3844BB" w14:textId="1EACDA2D" w:rsidR="00D847F1" w:rsidRDefault="00D847F1">
      <w:pPr>
        <w:pStyle w:val="AmdtsEntries"/>
      </w:pPr>
      <w:r>
        <w:tab/>
        <w:t xml:space="preserve">am </w:t>
      </w:r>
      <w:hyperlink r:id="rId177" w:tooltip="Casino Control Act 2006" w:history="1">
        <w:r w:rsidR="00DF21AF" w:rsidRPr="00DF21AF">
          <w:rPr>
            <w:rStyle w:val="charCitHyperlinkAbbrev"/>
          </w:rPr>
          <w:t>A2006</w:t>
        </w:r>
        <w:r w:rsidR="00DF21AF" w:rsidRPr="00DF21AF">
          <w:rPr>
            <w:rStyle w:val="charCitHyperlinkAbbrev"/>
          </w:rPr>
          <w:noBreakHyphen/>
          <w:t>2</w:t>
        </w:r>
      </w:hyperlink>
      <w:r>
        <w:t xml:space="preserve"> amdt 1.9</w:t>
      </w:r>
    </w:p>
    <w:p w14:paraId="72B1B6D6" w14:textId="10FD7DB3" w:rsidR="00515CD5" w:rsidRDefault="00733DBB" w:rsidP="00710A3B">
      <w:pPr>
        <w:pStyle w:val="AmdtsEntryHd"/>
        <w:keepLines/>
      </w:pPr>
      <w:r w:rsidRPr="00D17D0C">
        <w:t>Betting accounts—electronic race bookmaking, sports bookmaking and totalisator licensees</w:t>
      </w:r>
    </w:p>
    <w:p w14:paraId="26C02827" w14:textId="2D2FE160" w:rsidR="00515CD5" w:rsidRDefault="00515CD5" w:rsidP="00710A3B">
      <w:pPr>
        <w:pStyle w:val="AmdtsEntries"/>
        <w:keepLines/>
      </w:pPr>
      <w:r>
        <w:t xml:space="preserve">sch 1 </w:t>
      </w:r>
      <w:r w:rsidR="00044C6D">
        <w:t>div 1.2.4</w:t>
      </w:r>
      <w:r w:rsidR="00D47918">
        <w:t xml:space="preserve"> hdg</w:t>
      </w:r>
      <w:r w:rsidR="00D47918">
        <w:tab/>
      </w:r>
      <w:r w:rsidR="00044C6D">
        <w:t>ins</w:t>
      </w:r>
      <w:r>
        <w:t xml:space="preserve"> </w:t>
      </w:r>
      <w:hyperlink r:id="rId178" w:tooltip="Gambling and Racing Control (Code of Practice) Amendment Regulation 2019 (No 1)" w:history="1">
        <w:r w:rsidR="00D47918">
          <w:rPr>
            <w:rStyle w:val="charCitHyperlinkAbbrev"/>
          </w:rPr>
          <w:t>SL2019</w:t>
        </w:r>
        <w:r w:rsidR="00D47918">
          <w:rPr>
            <w:rStyle w:val="charCitHyperlinkAbbrev"/>
          </w:rPr>
          <w:noBreakHyphen/>
          <w:t>10</w:t>
        </w:r>
      </w:hyperlink>
      <w:r>
        <w:t xml:space="preserve"> s </w:t>
      </w:r>
      <w:r w:rsidR="00044C6D">
        <w:t>4</w:t>
      </w:r>
    </w:p>
    <w:p w14:paraId="002EC8E8" w14:textId="31EEB00D" w:rsidR="00733DBB" w:rsidRDefault="00733DBB" w:rsidP="00710A3B">
      <w:pPr>
        <w:pStyle w:val="AmdtsEntries"/>
        <w:keepLines/>
      </w:pPr>
      <w:r>
        <w:tab/>
        <w:t xml:space="preserve">sub </w:t>
      </w:r>
      <w:hyperlink r:id="rId179"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8</w:t>
      </w:r>
    </w:p>
    <w:p w14:paraId="34D1361D" w14:textId="77777777" w:rsidR="00D47918" w:rsidRDefault="00D47918" w:rsidP="00710A3B">
      <w:pPr>
        <w:pStyle w:val="AmdtsEntryHd"/>
        <w:keepLines/>
      </w:pPr>
      <w:r w:rsidRPr="001E4518">
        <w:t>Application</w:t>
      </w:r>
      <w:r w:rsidRPr="001E4518">
        <w:rPr>
          <w:color w:val="000000"/>
        </w:rPr>
        <w:t>—div 1.2.4</w:t>
      </w:r>
    </w:p>
    <w:p w14:paraId="5915B71F" w14:textId="5ABE990A" w:rsidR="00D47918" w:rsidRDefault="00D47918" w:rsidP="00710A3B">
      <w:pPr>
        <w:pStyle w:val="AmdtsEntries"/>
        <w:keepLines/>
      </w:pPr>
      <w:r>
        <w:t>sch 1 s 1.20A</w:t>
      </w:r>
      <w:r>
        <w:tab/>
        <w:t xml:space="preserve">ins </w:t>
      </w:r>
      <w:hyperlink r:id="rId180" w:tooltip="Gambling and Racing Control (Code of Practice) Amendment Regulation 2019 (No 1)" w:history="1">
        <w:r>
          <w:rPr>
            <w:rStyle w:val="charCitHyperlinkAbbrev"/>
          </w:rPr>
          <w:t>SL2019</w:t>
        </w:r>
        <w:r>
          <w:rPr>
            <w:rStyle w:val="charCitHyperlinkAbbrev"/>
          </w:rPr>
          <w:noBreakHyphen/>
          <w:t>10</w:t>
        </w:r>
      </w:hyperlink>
      <w:r>
        <w:t xml:space="preserve"> s 4</w:t>
      </w:r>
    </w:p>
    <w:p w14:paraId="283FC93B" w14:textId="309ECD2E" w:rsidR="00733DBB" w:rsidRDefault="00733DBB" w:rsidP="00596139">
      <w:pPr>
        <w:pStyle w:val="AmdtsEntries"/>
      </w:pPr>
      <w:r>
        <w:tab/>
        <w:t xml:space="preserve">sub </w:t>
      </w:r>
      <w:hyperlink r:id="rId181"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w:t>
      </w:r>
      <w:r w:rsidR="00504990">
        <w:t>9</w:t>
      </w:r>
    </w:p>
    <w:p w14:paraId="311F1022" w14:textId="6B0B9C4B" w:rsidR="00D47918" w:rsidRDefault="00504990" w:rsidP="00710A3B">
      <w:pPr>
        <w:pStyle w:val="AmdtsEntryHd"/>
        <w:keepLines/>
      </w:pPr>
      <w:r w:rsidRPr="00D17D0C">
        <w:lastRenderedPageBreak/>
        <w:t xml:space="preserve">Meaning of </w:t>
      </w:r>
      <w:r w:rsidRPr="00D17D0C">
        <w:rPr>
          <w:rStyle w:val="charItals"/>
        </w:rPr>
        <w:t>deposit limit</w:t>
      </w:r>
      <w:r w:rsidRPr="00D17D0C">
        <w:t>—div 1.2.4</w:t>
      </w:r>
    </w:p>
    <w:p w14:paraId="0FBAA319" w14:textId="38D55893" w:rsidR="00D47918" w:rsidRDefault="00D47918" w:rsidP="00596139">
      <w:pPr>
        <w:pStyle w:val="AmdtsEntries"/>
        <w:keepNext/>
        <w:keepLines/>
      </w:pPr>
      <w:r>
        <w:t>sch 1 s 1.20B</w:t>
      </w:r>
      <w:r>
        <w:tab/>
        <w:t xml:space="preserve">ins </w:t>
      </w:r>
      <w:hyperlink r:id="rId182" w:tooltip="Gambling and Racing Control (Code of Practice) Amendment Regulation 2019 (No 1)" w:history="1">
        <w:r>
          <w:rPr>
            <w:rStyle w:val="charCitHyperlinkAbbrev"/>
          </w:rPr>
          <w:t>SL2019</w:t>
        </w:r>
        <w:r>
          <w:rPr>
            <w:rStyle w:val="charCitHyperlinkAbbrev"/>
          </w:rPr>
          <w:noBreakHyphen/>
          <w:t>10</w:t>
        </w:r>
      </w:hyperlink>
      <w:r>
        <w:t xml:space="preserve"> s 4</w:t>
      </w:r>
    </w:p>
    <w:p w14:paraId="7FE31582" w14:textId="6A661670" w:rsidR="00504990" w:rsidRDefault="00504990" w:rsidP="00596139">
      <w:pPr>
        <w:pStyle w:val="AmdtsEntries"/>
        <w:keepNext/>
        <w:keepLines/>
      </w:pPr>
      <w:r>
        <w:tab/>
        <w:t xml:space="preserve">sub </w:t>
      </w:r>
      <w:hyperlink r:id="rId183"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9</w:t>
      </w:r>
    </w:p>
    <w:p w14:paraId="060FB926" w14:textId="32AE6F28" w:rsidR="008A104C" w:rsidRDefault="008A104C" w:rsidP="00710A3B">
      <w:pPr>
        <w:pStyle w:val="AmdtsEntries"/>
        <w:keepLines/>
      </w:pPr>
      <w:r>
        <w:tab/>
      </w:r>
      <w:r w:rsidR="00710A3B">
        <w:t xml:space="preserve">def </w:t>
      </w:r>
      <w:r w:rsidR="00710A3B" w:rsidRPr="00710A3B">
        <w:rPr>
          <w:b/>
          <w:i/>
        </w:rPr>
        <w:t>betting account</w:t>
      </w:r>
      <w:r w:rsidR="00710A3B">
        <w:t xml:space="preserve"> ins </w:t>
      </w:r>
      <w:hyperlink r:id="rId184" w:tooltip="Gambling and Racing Control (Code of Practice) Amendment Regulation 2019 (No 1)" w:history="1">
        <w:r w:rsidR="00710A3B">
          <w:rPr>
            <w:rStyle w:val="charCitHyperlinkAbbrev"/>
          </w:rPr>
          <w:t>SL2019</w:t>
        </w:r>
        <w:r w:rsidR="00710A3B">
          <w:rPr>
            <w:rStyle w:val="charCitHyperlinkAbbrev"/>
          </w:rPr>
          <w:noBreakHyphen/>
          <w:t>10</w:t>
        </w:r>
      </w:hyperlink>
      <w:r w:rsidR="00710A3B">
        <w:t xml:space="preserve"> s 4</w:t>
      </w:r>
    </w:p>
    <w:p w14:paraId="02B71656" w14:textId="2016F6C2" w:rsidR="00504990" w:rsidRDefault="00504990" w:rsidP="00504990">
      <w:pPr>
        <w:pStyle w:val="AmdtsEntriesDefL2"/>
      </w:pPr>
      <w:r>
        <w:tab/>
        <w:t xml:space="preserve">om </w:t>
      </w:r>
      <w:hyperlink r:id="rId185"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9</w:t>
      </w:r>
    </w:p>
    <w:p w14:paraId="243E89B9" w14:textId="5BE51D73" w:rsidR="00710A3B" w:rsidRDefault="00710A3B" w:rsidP="00710A3B">
      <w:pPr>
        <w:pStyle w:val="AmdtsEntries"/>
        <w:keepLines/>
      </w:pPr>
      <w:r>
        <w:tab/>
        <w:t xml:space="preserve">def </w:t>
      </w:r>
      <w:r w:rsidRPr="00710A3B">
        <w:rPr>
          <w:b/>
          <w:i/>
        </w:rPr>
        <w:t>deposit limit</w:t>
      </w:r>
      <w:r>
        <w:t xml:space="preserve"> ins </w:t>
      </w:r>
      <w:hyperlink r:id="rId186" w:tooltip="Gambling and Racing Control (Code of Practice) Amendment Regulation 2019 (No 1)" w:history="1">
        <w:r>
          <w:rPr>
            <w:rStyle w:val="charCitHyperlinkAbbrev"/>
          </w:rPr>
          <w:t>SL2019</w:t>
        </w:r>
        <w:r>
          <w:rPr>
            <w:rStyle w:val="charCitHyperlinkAbbrev"/>
          </w:rPr>
          <w:noBreakHyphen/>
          <w:t>10</w:t>
        </w:r>
      </w:hyperlink>
      <w:r>
        <w:t xml:space="preserve"> s 4</w:t>
      </w:r>
    </w:p>
    <w:p w14:paraId="6D5B02E5" w14:textId="5EEF88E0" w:rsidR="00504990" w:rsidRDefault="00504990" w:rsidP="00504990">
      <w:pPr>
        <w:pStyle w:val="AmdtsEntriesDefL2"/>
      </w:pPr>
      <w:r>
        <w:tab/>
        <w:t xml:space="preserve">sub </w:t>
      </w:r>
      <w:hyperlink r:id="rId187"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9</w:t>
      </w:r>
    </w:p>
    <w:p w14:paraId="0E364A6A" w14:textId="77777777" w:rsidR="00D47918" w:rsidRDefault="00D47918" w:rsidP="00710A3B">
      <w:pPr>
        <w:pStyle w:val="AmdtsEntryHd"/>
        <w:keepLines/>
      </w:pPr>
      <w:r w:rsidRPr="001E4518">
        <w:t>Information about deposit limits</w:t>
      </w:r>
    </w:p>
    <w:p w14:paraId="53D16D91" w14:textId="3B9510E4" w:rsidR="00D47918" w:rsidRDefault="00D47918" w:rsidP="00710A3B">
      <w:pPr>
        <w:pStyle w:val="AmdtsEntries"/>
        <w:keepLines/>
      </w:pPr>
      <w:r>
        <w:t>sch 1 s 1.20C</w:t>
      </w:r>
      <w:r>
        <w:tab/>
        <w:t xml:space="preserve">ins </w:t>
      </w:r>
      <w:hyperlink r:id="rId188" w:tooltip="Gambling and Racing Control (Code of Practice) Amendment Regulation 2019 (No 1)" w:history="1">
        <w:r>
          <w:rPr>
            <w:rStyle w:val="charCitHyperlinkAbbrev"/>
          </w:rPr>
          <w:t>SL2019</w:t>
        </w:r>
        <w:r>
          <w:rPr>
            <w:rStyle w:val="charCitHyperlinkAbbrev"/>
          </w:rPr>
          <w:noBreakHyphen/>
          <w:t>10</w:t>
        </w:r>
      </w:hyperlink>
      <w:r>
        <w:t xml:space="preserve"> s 4</w:t>
      </w:r>
    </w:p>
    <w:p w14:paraId="24654232" w14:textId="77777777" w:rsidR="00D47918" w:rsidRDefault="00D47918" w:rsidP="00710A3B">
      <w:pPr>
        <w:pStyle w:val="AmdtsEntryHd"/>
        <w:keepLines/>
      </w:pPr>
      <w:r w:rsidRPr="001E4518">
        <w:t>No deposits over deposit limit</w:t>
      </w:r>
    </w:p>
    <w:p w14:paraId="5BA94EEE" w14:textId="387ECEE2" w:rsidR="00D47918" w:rsidRDefault="00D47918" w:rsidP="00710A3B">
      <w:pPr>
        <w:pStyle w:val="AmdtsEntries"/>
        <w:keepLines/>
      </w:pPr>
      <w:r>
        <w:t>sch 1 s 1.20D</w:t>
      </w:r>
      <w:r>
        <w:tab/>
        <w:t xml:space="preserve">ins </w:t>
      </w:r>
      <w:hyperlink r:id="rId189" w:tooltip="Gambling and Racing Control (Code of Practice) Amendment Regulation 2019 (No 1)" w:history="1">
        <w:r>
          <w:rPr>
            <w:rStyle w:val="charCitHyperlinkAbbrev"/>
          </w:rPr>
          <w:t>SL2019</w:t>
        </w:r>
        <w:r>
          <w:rPr>
            <w:rStyle w:val="charCitHyperlinkAbbrev"/>
          </w:rPr>
          <w:noBreakHyphen/>
          <w:t>10</w:t>
        </w:r>
      </w:hyperlink>
      <w:r>
        <w:t xml:space="preserve"> s 4</w:t>
      </w:r>
    </w:p>
    <w:p w14:paraId="0945E757" w14:textId="77777777" w:rsidR="00D47918" w:rsidRDefault="00D47918" w:rsidP="00710A3B">
      <w:pPr>
        <w:pStyle w:val="AmdtsEntryHd"/>
        <w:keepLines/>
      </w:pPr>
      <w:r w:rsidRPr="001E4518">
        <w:t>Setting and changing deposit limits</w:t>
      </w:r>
    </w:p>
    <w:p w14:paraId="59C8B724" w14:textId="14FC339B" w:rsidR="00D47918" w:rsidRDefault="00D47918" w:rsidP="00710A3B">
      <w:pPr>
        <w:pStyle w:val="AmdtsEntries"/>
        <w:keepLines/>
      </w:pPr>
      <w:r>
        <w:t>sch 1 s 1.20E</w:t>
      </w:r>
      <w:r>
        <w:tab/>
        <w:t xml:space="preserve">ins </w:t>
      </w:r>
      <w:hyperlink r:id="rId190" w:tooltip="Gambling and Racing Control (Code of Practice) Amendment Regulation 2019 (No 1)" w:history="1">
        <w:r>
          <w:rPr>
            <w:rStyle w:val="charCitHyperlinkAbbrev"/>
          </w:rPr>
          <w:t>SL2019</w:t>
        </w:r>
        <w:r>
          <w:rPr>
            <w:rStyle w:val="charCitHyperlinkAbbrev"/>
          </w:rPr>
          <w:noBreakHyphen/>
          <w:t>10</w:t>
        </w:r>
      </w:hyperlink>
      <w:r>
        <w:t xml:space="preserve"> s 4</w:t>
      </w:r>
    </w:p>
    <w:p w14:paraId="0426C54F" w14:textId="77777777" w:rsidR="00D47918" w:rsidRDefault="00D47918" w:rsidP="00710A3B">
      <w:pPr>
        <w:pStyle w:val="AmdtsEntryHd"/>
        <w:keepLines/>
      </w:pPr>
      <w:r w:rsidRPr="001E4518">
        <w:t>Closing betting accounts</w:t>
      </w:r>
    </w:p>
    <w:p w14:paraId="5E6C2A62" w14:textId="07A07735" w:rsidR="00D47918" w:rsidRDefault="00D47918" w:rsidP="00710A3B">
      <w:pPr>
        <w:pStyle w:val="AmdtsEntries"/>
        <w:keepLines/>
      </w:pPr>
      <w:r>
        <w:t>sch 1 s 1.20F</w:t>
      </w:r>
      <w:r>
        <w:tab/>
        <w:t xml:space="preserve">ins </w:t>
      </w:r>
      <w:hyperlink r:id="rId191" w:tooltip="Gambling and Racing Control (Code of Practice) Amendment Regulation 2019 (No 1)" w:history="1">
        <w:r>
          <w:rPr>
            <w:rStyle w:val="charCitHyperlinkAbbrev"/>
          </w:rPr>
          <w:t>SL2019</w:t>
        </w:r>
        <w:r>
          <w:rPr>
            <w:rStyle w:val="charCitHyperlinkAbbrev"/>
          </w:rPr>
          <w:noBreakHyphen/>
          <w:t>10</w:t>
        </w:r>
      </w:hyperlink>
      <w:r>
        <w:t xml:space="preserve"> s 4</w:t>
      </w:r>
    </w:p>
    <w:p w14:paraId="76A2E4C3" w14:textId="77777777" w:rsidR="00D47918" w:rsidRDefault="00D47918" w:rsidP="00710A3B">
      <w:pPr>
        <w:pStyle w:val="AmdtsEntryHd"/>
        <w:keepLines/>
      </w:pPr>
      <w:r w:rsidRPr="001E4518">
        <w:t>Guidelines about betting accounts</w:t>
      </w:r>
    </w:p>
    <w:p w14:paraId="622F1402" w14:textId="42B2F9C2" w:rsidR="00D47918" w:rsidRDefault="00D47918" w:rsidP="00710A3B">
      <w:pPr>
        <w:pStyle w:val="AmdtsEntries"/>
        <w:keepLines/>
      </w:pPr>
      <w:r>
        <w:t>sch 1 s 1.20G</w:t>
      </w:r>
      <w:r>
        <w:tab/>
        <w:t xml:space="preserve">ins </w:t>
      </w:r>
      <w:hyperlink r:id="rId192" w:tooltip="Gambling and Racing Control (Code of Practice) Amendment Regulation 2019 (No 1)" w:history="1">
        <w:r>
          <w:rPr>
            <w:rStyle w:val="charCitHyperlinkAbbrev"/>
          </w:rPr>
          <w:t>SL2019</w:t>
        </w:r>
        <w:r>
          <w:rPr>
            <w:rStyle w:val="charCitHyperlinkAbbrev"/>
          </w:rPr>
          <w:noBreakHyphen/>
          <w:t>10</w:t>
        </w:r>
      </w:hyperlink>
      <w:r>
        <w:t xml:space="preserve"> s 4</w:t>
      </w:r>
    </w:p>
    <w:p w14:paraId="431F84A4" w14:textId="77777777" w:rsidR="00D47918" w:rsidRDefault="00D47918" w:rsidP="00710A3B">
      <w:pPr>
        <w:pStyle w:val="AmdtsEntryHd"/>
        <w:keepLines/>
      </w:pPr>
      <w:r w:rsidRPr="001E4518">
        <w:t>Directions about betting accounts</w:t>
      </w:r>
    </w:p>
    <w:p w14:paraId="2B306158" w14:textId="780145C1" w:rsidR="00D47918" w:rsidRDefault="00D47918" w:rsidP="00710A3B">
      <w:pPr>
        <w:pStyle w:val="AmdtsEntries"/>
        <w:keepLines/>
      </w:pPr>
      <w:r>
        <w:t>sch 1 s 1.20H</w:t>
      </w:r>
      <w:r>
        <w:tab/>
        <w:t xml:space="preserve">ins </w:t>
      </w:r>
      <w:hyperlink r:id="rId193" w:tooltip="Gambling and Racing Control (Code of Practice) Amendment Regulation 2019 (No 1)" w:history="1">
        <w:r>
          <w:rPr>
            <w:rStyle w:val="charCitHyperlinkAbbrev"/>
          </w:rPr>
          <w:t>SL2019</w:t>
        </w:r>
        <w:r>
          <w:rPr>
            <w:rStyle w:val="charCitHyperlinkAbbrev"/>
          </w:rPr>
          <w:noBreakHyphen/>
          <w:t>10</w:t>
        </w:r>
      </w:hyperlink>
      <w:r>
        <w:t xml:space="preserve"> s 4</w:t>
      </w:r>
    </w:p>
    <w:p w14:paraId="406A06AB" w14:textId="1A1A2CDC" w:rsidR="00504990" w:rsidRDefault="00504990" w:rsidP="00710A3B">
      <w:pPr>
        <w:pStyle w:val="AmdtsEntryHd"/>
        <w:keepLines/>
      </w:pPr>
      <w:r w:rsidRPr="00D17D0C">
        <w:t>Betting accounts—activity statements</w:t>
      </w:r>
    </w:p>
    <w:p w14:paraId="7937B6E8" w14:textId="525DCB70" w:rsidR="00504990" w:rsidRPr="00504990" w:rsidRDefault="00504990" w:rsidP="00504990">
      <w:pPr>
        <w:pStyle w:val="AmdtsEntries"/>
      </w:pPr>
      <w:r>
        <w:t>sch 1 div 1.2.5 hdg</w:t>
      </w:r>
      <w:r>
        <w:tab/>
        <w:t xml:space="preserve">ins </w:t>
      </w:r>
      <w:hyperlink r:id="rId194"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10</w:t>
      </w:r>
    </w:p>
    <w:p w14:paraId="499EA1B3" w14:textId="695AA3EF" w:rsidR="00504990" w:rsidRDefault="003F4FE3" w:rsidP="00504990">
      <w:pPr>
        <w:pStyle w:val="AmdtsEntryHd"/>
        <w:keepLines/>
      </w:pPr>
      <w:r w:rsidRPr="00D17D0C">
        <w:t>Application</w:t>
      </w:r>
      <w:r w:rsidRPr="00D17D0C">
        <w:rPr>
          <w:rFonts w:cs="Arial"/>
          <w:color w:val="000000"/>
          <w:shd w:val="clear" w:color="auto" w:fill="FFFFFF"/>
        </w:rPr>
        <w:t>—</w:t>
      </w:r>
      <w:r w:rsidRPr="00D17D0C">
        <w:t>div 1.2.5</w:t>
      </w:r>
    </w:p>
    <w:p w14:paraId="65AE2585" w14:textId="391E391B" w:rsidR="00504990" w:rsidRPr="00504990" w:rsidRDefault="00504990" w:rsidP="00504990">
      <w:pPr>
        <w:pStyle w:val="AmdtsEntries"/>
      </w:pPr>
      <w:r>
        <w:t xml:space="preserve">sch 1 </w:t>
      </w:r>
      <w:r w:rsidR="003F4FE3">
        <w:t>s 1.20I</w:t>
      </w:r>
      <w:r>
        <w:tab/>
        <w:t xml:space="preserve">ins </w:t>
      </w:r>
      <w:hyperlink r:id="rId195"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10</w:t>
      </w:r>
    </w:p>
    <w:p w14:paraId="74D115B1" w14:textId="29B45CCE" w:rsidR="003F4FE3" w:rsidRDefault="003F4FE3" w:rsidP="003F4FE3">
      <w:pPr>
        <w:pStyle w:val="AmdtsEntryHd"/>
        <w:keepLines/>
      </w:pPr>
      <w:r w:rsidRPr="00D17D0C">
        <w:t>Definitions</w:t>
      </w:r>
      <w:r w:rsidRPr="00D17D0C">
        <w:rPr>
          <w:rFonts w:cs="Arial"/>
          <w:bCs/>
          <w:color w:val="000000"/>
          <w:shd w:val="clear" w:color="auto" w:fill="FFFFFF"/>
        </w:rPr>
        <w:t>—</w:t>
      </w:r>
      <w:r w:rsidRPr="00D17D0C">
        <w:t>div 1.2.5</w:t>
      </w:r>
    </w:p>
    <w:p w14:paraId="143A0EEE" w14:textId="20C932FB" w:rsidR="003F4FE3" w:rsidRDefault="003F4FE3" w:rsidP="003F4FE3">
      <w:pPr>
        <w:pStyle w:val="AmdtsEntries"/>
      </w:pPr>
      <w:r>
        <w:t>sch 1 s 1.20J</w:t>
      </w:r>
      <w:r>
        <w:tab/>
        <w:t xml:space="preserve">ins </w:t>
      </w:r>
      <w:hyperlink r:id="rId196"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10</w:t>
      </w:r>
    </w:p>
    <w:p w14:paraId="64A4EE3F" w14:textId="0CC49953" w:rsidR="003F4FE3" w:rsidRPr="00504990" w:rsidRDefault="003F4FE3" w:rsidP="003F4FE3">
      <w:pPr>
        <w:pStyle w:val="AmdtsEntries"/>
      </w:pPr>
      <w:r>
        <w:tab/>
        <w:t xml:space="preserve">def </w:t>
      </w:r>
      <w:r w:rsidRPr="003F4FE3">
        <w:rPr>
          <w:rStyle w:val="charBoldItals"/>
        </w:rPr>
        <w:t>account holder</w:t>
      </w:r>
      <w:r>
        <w:t xml:space="preserve"> ins </w:t>
      </w:r>
      <w:hyperlink r:id="rId197"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10</w:t>
      </w:r>
    </w:p>
    <w:p w14:paraId="5BA1666A" w14:textId="0267B78B" w:rsidR="003F4FE3" w:rsidRPr="00504990" w:rsidRDefault="003F4FE3" w:rsidP="003F4FE3">
      <w:pPr>
        <w:pStyle w:val="AmdtsEntries"/>
      </w:pPr>
      <w:r>
        <w:tab/>
        <w:t xml:space="preserve">def </w:t>
      </w:r>
      <w:r w:rsidRPr="00D17D0C">
        <w:rPr>
          <w:rStyle w:val="charBoldItals"/>
        </w:rPr>
        <w:t>activity statement</w:t>
      </w:r>
      <w:r>
        <w:t xml:space="preserve"> ins </w:t>
      </w:r>
      <w:hyperlink r:id="rId198"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10</w:t>
      </w:r>
    </w:p>
    <w:p w14:paraId="01D7CA50" w14:textId="6C367BAF" w:rsidR="003F4FE3" w:rsidRPr="00504990" w:rsidRDefault="003F4FE3" w:rsidP="003F4FE3">
      <w:pPr>
        <w:pStyle w:val="AmdtsEntries"/>
      </w:pPr>
      <w:r>
        <w:tab/>
        <w:t xml:space="preserve">def </w:t>
      </w:r>
      <w:r w:rsidRPr="00D17D0C">
        <w:rPr>
          <w:rStyle w:val="charBoldItals"/>
        </w:rPr>
        <w:t>bonus bet</w:t>
      </w:r>
      <w:r>
        <w:t xml:space="preserve"> ins </w:t>
      </w:r>
      <w:hyperlink r:id="rId199"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10</w:t>
      </w:r>
    </w:p>
    <w:p w14:paraId="2478DE75" w14:textId="3E4DD949" w:rsidR="003F4FE3" w:rsidRPr="00504990" w:rsidRDefault="003F4FE3" w:rsidP="003F4FE3">
      <w:pPr>
        <w:pStyle w:val="AmdtsEntries"/>
      </w:pPr>
      <w:r>
        <w:tab/>
        <w:t xml:space="preserve">def </w:t>
      </w:r>
      <w:r w:rsidRPr="00D17D0C">
        <w:rPr>
          <w:rStyle w:val="charBoldItals"/>
        </w:rPr>
        <w:t>online betting account</w:t>
      </w:r>
      <w:r>
        <w:t xml:space="preserve"> ins </w:t>
      </w:r>
      <w:hyperlink r:id="rId200"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10</w:t>
      </w:r>
    </w:p>
    <w:p w14:paraId="5D9A66AD" w14:textId="465D0611" w:rsidR="003F4FE3" w:rsidRPr="00504990" w:rsidRDefault="003F4FE3" w:rsidP="003F4FE3">
      <w:pPr>
        <w:pStyle w:val="AmdtsEntries"/>
      </w:pPr>
      <w:r>
        <w:tab/>
        <w:t xml:space="preserve">def </w:t>
      </w:r>
      <w:r w:rsidRPr="00D17D0C">
        <w:rPr>
          <w:rStyle w:val="charBoldItals"/>
        </w:rPr>
        <w:t>statement period</w:t>
      </w:r>
      <w:r>
        <w:t xml:space="preserve"> ins </w:t>
      </w:r>
      <w:hyperlink r:id="rId201"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10</w:t>
      </w:r>
    </w:p>
    <w:p w14:paraId="7A3DE8FF" w14:textId="1E8EF725" w:rsidR="003F4FE3" w:rsidRPr="00504990" w:rsidRDefault="003F4FE3" w:rsidP="003F4FE3">
      <w:pPr>
        <w:pStyle w:val="AmdtsEntries"/>
      </w:pPr>
      <w:r>
        <w:tab/>
        <w:t xml:space="preserve">def </w:t>
      </w:r>
      <w:r w:rsidRPr="00D17D0C">
        <w:rPr>
          <w:rStyle w:val="charBoldItals"/>
        </w:rPr>
        <w:t>transaction</w:t>
      </w:r>
      <w:r>
        <w:t xml:space="preserve"> ins </w:t>
      </w:r>
      <w:hyperlink r:id="rId202"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10</w:t>
      </w:r>
    </w:p>
    <w:p w14:paraId="2C872A65" w14:textId="7D59D31A" w:rsidR="003F4FE3" w:rsidRPr="00504990" w:rsidRDefault="003F4FE3" w:rsidP="003F4FE3">
      <w:pPr>
        <w:pStyle w:val="AmdtsEntries"/>
      </w:pPr>
      <w:r>
        <w:tab/>
        <w:t xml:space="preserve">def </w:t>
      </w:r>
      <w:r w:rsidRPr="00D17D0C">
        <w:rPr>
          <w:rStyle w:val="charBoldItals"/>
        </w:rPr>
        <w:t>transaction record</w:t>
      </w:r>
      <w:r>
        <w:rPr>
          <w:rStyle w:val="charBoldItals"/>
        </w:rPr>
        <w:t xml:space="preserve"> </w:t>
      </w:r>
      <w:r>
        <w:t xml:space="preserve">ins </w:t>
      </w:r>
      <w:hyperlink r:id="rId203"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10</w:t>
      </w:r>
    </w:p>
    <w:p w14:paraId="062EE93D" w14:textId="72572FD5" w:rsidR="003F4FE3" w:rsidRDefault="003F4FE3" w:rsidP="003F4FE3">
      <w:pPr>
        <w:pStyle w:val="AmdtsEntryHd"/>
        <w:keepLines/>
      </w:pPr>
      <w:r w:rsidRPr="00D17D0C">
        <w:t>Activity statements for betting accounts</w:t>
      </w:r>
    </w:p>
    <w:p w14:paraId="50B66CE6" w14:textId="1D777854" w:rsidR="003F4FE3" w:rsidRDefault="003F4FE3" w:rsidP="003F4FE3">
      <w:pPr>
        <w:pStyle w:val="AmdtsEntries"/>
      </w:pPr>
      <w:r>
        <w:t>sch 1 s 1.20K</w:t>
      </w:r>
      <w:r>
        <w:tab/>
        <w:t xml:space="preserve">ins </w:t>
      </w:r>
      <w:hyperlink r:id="rId204"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10</w:t>
      </w:r>
    </w:p>
    <w:p w14:paraId="3093C454" w14:textId="78B64B4E" w:rsidR="003F4FE3" w:rsidRDefault="003F4FE3" w:rsidP="003F4FE3">
      <w:pPr>
        <w:pStyle w:val="AmdtsEntryHd"/>
        <w:keepLines/>
      </w:pPr>
      <w:r w:rsidRPr="00D17D0C">
        <w:t>Requests for activity statements</w:t>
      </w:r>
    </w:p>
    <w:p w14:paraId="2FDF9898" w14:textId="135596AC" w:rsidR="003F4FE3" w:rsidRDefault="003F4FE3" w:rsidP="003F4FE3">
      <w:pPr>
        <w:pStyle w:val="AmdtsEntries"/>
      </w:pPr>
      <w:r>
        <w:t>sch 1 s 1.20L</w:t>
      </w:r>
      <w:r>
        <w:tab/>
        <w:t xml:space="preserve">ins </w:t>
      </w:r>
      <w:hyperlink r:id="rId205"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10</w:t>
      </w:r>
    </w:p>
    <w:p w14:paraId="1B1B32B1" w14:textId="0BDEE351" w:rsidR="003F4FE3" w:rsidRDefault="003F4FE3" w:rsidP="003F4FE3">
      <w:pPr>
        <w:pStyle w:val="AmdtsEntryHd"/>
        <w:keepLines/>
      </w:pPr>
      <w:r w:rsidRPr="00D17D0C">
        <w:t>Contents of activity statements</w:t>
      </w:r>
    </w:p>
    <w:p w14:paraId="7D748138" w14:textId="76B92289" w:rsidR="003F4FE3" w:rsidRDefault="003F4FE3" w:rsidP="003F4FE3">
      <w:pPr>
        <w:pStyle w:val="AmdtsEntries"/>
      </w:pPr>
      <w:r>
        <w:t>sch 1 s 1.20M</w:t>
      </w:r>
      <w:r>
        <w:tab/>
        <w:t xml:space="preserve">ins </w:t>
      </w:r>
      <w:hyperlink r:id="rId206"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10</w:t>
      </w:r>
    </w:p>
    <w:p w14:paraId="6B2A5811" w14:textId="022996FA" w:rsidR="003F4FE3" w:rsidRDefault="003F4FE3" w:rsidP="003F4FE3">
      <w:pPr>
        <w:pStyle w:val="AmdtsEntryHd"/>
        <w:keepLines/>
      </w:pPr>
      <w:r w:rsidRPr="00D17D0C">
        <w:lastRenderedPageBreak/>
        <w:t>Form of activity statements</w:t>
      </w:r>
    </w:p>
    <w:p w14:paraId="52816668" w14:textId="327B6F3E" w:rsidR="003F4FE3" w:rsidRDefault="003F4FE3" w:rsidP="003F4FE3">
      <w:pPr>
        <w:pStyle w:val="AmdtsEntries"/>
      </w:pPr>
      <w:r>
        <w:t>sch 1 s 1.20N</w:t>
      </w:r>
      <w:r>
        <w:tab/>
        <w:t xml:space="preserve">ins </w:t>
      </w:r>
      <w:hyperlink r:id="rId207"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10</w:t>
      </w:r>
    </w:p>
    <w:p w14:paraId="71C8E786" w14:textId="1B71EFCB" w:rsidR="003F4FE3" w:rsidRDefault="003F4FE3" w:rsidP="003F4FE3">
      <w:pPr>
        <w:pStyle w:val="AmdtsEntryHd"/>
        <w:keepLines/>
      </w:pPr>
      <w:r w:rsidRPr="00D17D0C">
        <w:t>Access to activity statements and transaction records for online betting accounts</w:t>
      </w:r>
    </w:p>
    <w:p w14:paraId="4366EBA7" w14:textId="4D6CBE36" w:rsidR="003F4FE3" w:rsidRDefault="003F4FE3" w:rsidP="003F4FE3">
      <w:pPr>
        <w:pStyle w:val="AmdtsEntries"/>
      </w:pPr>
      <w:r>
        <w:t>sch 1 s 1.20O</w:t>
      </w:r>
      <w:r>
        <w:tab/>
        <w:t xml:space="preserve">ins </w:t>
      </w:r>
      <w:hyperlink r:id="rId208"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10</w:t>
      </w:r>
    </w:p>
    <w:p w14:paraId="7A3ABAEF" w14:textId="2F553518" w:rsidR="00AB30F2" w:rsidRDefault="00AB30F2" w:rsidP="00AB30F2">
      <w:pPr>
        <w:pStyle w:val="AmdtsEntryHd"/>
        <w:keepLines/>
      </w:pPr>
      <w:r w:rsidRPr="00D17D0C">
        <w:t>Requests for transaction records for accounts other than online betting accounts</w:t>
      </w:r>
    </w:p>
    <w:p w14:paraId="3A2250BF" w14:textId="624C737E" w:rsidR="00AB30F2" w:rsidRDefault="00AB30F2" w:rsidP="00AB30F2">
      <w:pPr>
        <w:pStyle w:val="AmdtsEntries"/>
      </w:pPr>
      <w:r>
        <w:t>sch 1 s 1.20P</w:t>
      </w:r>
      <w:r>
        <w:tab/>
        <w:t xml:space="preserve">ins </w:t>
      </w:r>
      <w:hyperlink r:id="rId209"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10</w:t>
      </w:r>
    </w:p>
    <w:p w14:paraId="0C1CB16D" w14:textId="6534D633" w:rsidR="00AB30F2" w:rsidRDefault="00AB30F2" w:rsidP="00AB30F2">
      <w:pPr>
        <w:pStyle w:val="AmdtsEntryHd"/>
        <w:keepLines/>
      </w:pPr>
      <w:r w:rsidRPr="00D17D0C">
        <w:t>Access to electronic activity statements</w:t>
      </w:r>
    </w:p>
    <w:p w14:paraId="43CF4A76" w14:textId="1AC18B86" w:rsidR="00AB30F2" w:rsidRDefault="00AB30F2" w:rsidP="00AB30F2">
      <w:pPr>
        <w:pStyle w:val="AmdtsEntries"/>
      </w:pPr>
      <w:r>
        <w:t>sch 1 s 1.20Q</w:t>
      </w:r>
      <w:r>
        <w:tab/>
        <w:t xml:space="preserve">ins </w:t>
      </w:r>
      <w:hyperlink r:id="rId210"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10</w:t>
      </w:r>
    </w:p>
    <w:p w14:paraId="7A1337AB" w14:textId="731D26E5" w:rsidR="00D847F1" w:rsidRDefault="00D847F1" w:rsidP="00710A3B">
      <w:pPr>
        <w:pStyle w:val="AmdtsEntryHd"/>
        <w:keepLines/>
      </w:pPr>
      <w:r>
        <w:t>Cash payment limits for casino licensees</w:t>
      </w:r>
    </w:p>
    <w:p w14:paraId="4E4B9EFF" w14:textId="70C75E1A" w:rsidR="00D847F1" w:rsidRDefault="00D847F1" w:rsidP="00710A3B">
      <w:pPr>
        <w:pStyle w:val="AmdtsEntries"/>
        <w:keepNext/>
        <w:keepLines/>
      </w:pPr>
      <w:r>
        <w:t>sch 1 s 1.22</w:t>
      </w:r>
      <w:r>
        <w:tab/>
        <w:t xml:space="preserve">sub </w:t>
      </w:r>
      <w:hyperlink r:id="rId211" w:tooltip="Gambling and Racing Control (Code of Practice) Amendment Regulations 2004 (No 1)" w:history="1">
        <w:r w:rsidR="00DF21AF" w:rsidRPr="00DF21AF">
          <w:rPr>
            <w:rStyle w:val="charCitHyperlinkAbbrev"/>
          </w:rPr>
          <w:t>SL2004</w:t>
        </w:r>
        <w:r w:rsidR="00DF21AF" w:rsidRPr="00DF21AF">
          <w:rPr>
            <w:rStyle w:val="charCitHyperlinkAbbrev"/>
          </w:rPr>
          <w:noBreakHyphen/>
          <w:t>31</w:t>
        </w:r>
      </w:hyperlink>
      <w:r>
        <w:t xml:space="preserve"> s 26</w:t>
      </w:r>
    </w:p>
    <w:p w14:paraId="461F6A7D" w14:textId="5426D6C4" w:rsidR="00D847F1" w:rsidRDefault="00D847F1" w:rsidP="00710A3B">
      <w:pPr>
        <w:pStyle w:val="AmdtsEntries"/>
        <w:keepLines/>
      </w:pPr>
      <w:r>
        <w:tab/>
        <w:t xml:space="preserve">am </w:t>
      </w:r>
      <w:hyperlink r:id="rId212" w:tooltip="Casino Control Act 2006" w:history="1">
        <w:r w:rsidR="00DF21AF" w:rsidRPr="00DF21AF">
          <w:rPr>
            <w:rStyle w:val="charCitHyperlinkAbbrev"/>
          </w:rPr>
          <w:t>A2006</w:t>
        </w:r>
        <w:r w:rsidR="00DF21AF" w:rsidRPr="00DF21AF">
          <w:rPr>
            <w:rStyle w:val="charCitHyperlinkAbbrev"/>
          </w:rPr>
          <w:noBreakHyphen/>
          <w:t>2</w:t>
        </w:r>
      </w:hyperlink>
      <w:r>
        <w:t xml:space="preserve"> amdt 1.10</w:t>
      </w:r>
      <w:r w:rsidR="00CC3469">
        <w:t xml:space="preserve">; </w:t>
      </w:r>
      <w:hyperlink r:id="rId213" w:tooltip="Gambling and Racing Control (Code of Practice) Amendment Regulation 2014 (No 1)" w:history="1">
        <w:r w:rsidR="00CC3469">
          <w:rPr>
            <w:rStyle w:val="charCitHyperlinkAbbrev"/>
          </w:rPr>
          <w:t>SL2014</w:t>
        </w:r>
        <w:r w:rsidR="00CC3469">
          <w:rPr>
            <w:rStyle w:val="charCitHyperlinkAbbrev"/>
          </w:rPr>
          <w:noBreakHyphen/>
          <w:t>17</w:t>
        </w:r>
      </w:hyperlink>
      <w:r w:rsidR="00CC3469">
        <w:t xml:space="preserve"> ss 20-22</w:t>
      </w:r>
    </w:p>
    <w:p w14:paraId="3E450CAF" w14:textId="77777777" w:rsidR="00D847F1" w:rsidRDefault="00D847F1" w:rsidP="00710A3B">
      <w:pPr>
        <w:pStyle w:val="AmdtsEntryHd"/>
        <w:keepLines/>
      </w:pPr>
      <w:r>
        <w:t>Other cash payment limits</w:t>
      </w:r>
    </w:p>
    <w:p w14:paraId="7A047627" w14:textId="276E0620" w:rsidR="00D847F1" w:rsidRDefault="00D847F1" w:rsidP="00710A3B">
      <w:pPr>
        <w:pStyle w:val="AmdtsEntries"/>
        <w:keepNext/>
        <w:keepLines/>
      </w:pPr>
      <w:r>
        <w:t>sch 1 s 1.23</w:t>
      </w:r>
      <w:r>
        <w:tab/>
        <w:t xml:space="preserve">sub </w:t>
      </w:r>
      <w:hyperlink r:id="rId214" w:tooltip="Gambling and Racing Control (Code of Practice) Amendment Regulations 2004 (No 1)" w:history="1">
        <w:r w:rsidR="00DF21AF" w:rsidRPr="00DF21AF">
          <w:rPr>
            <w:rStyle w:val="charCitHyperlinkAbbrev"/>
          </w:rPr>
          <w:t>SL2004</w:t>
        </w:r>
        <w:r w:rsidR="00DF21AF" w:rsidRPr="00DF21AF">
          <w:rPr>
            <w:rStyle w:val="charCitHyperlinkAbbrev"/>
          </w:rPr>
          <w:noBreakHyphen/>
          <w:t>31</w:t>
        </w:r>
      </w:hyperlink>
      <w:r>
        <w:t xml:space="preserve"> s 27</w:t>
      </w:r>
    </w:p>
    <w:p w14:paraId="1835BB8B" w14:textId="7B876850" w:rsidR="00C349DC" w:rsidRDefault="00C349DC" w:rsidP="00710A3B">
      <w:pPr>
        <w:pStyle w:val="AmdtsEntries"/>
        <w:keepLines/>
      </w:pPr>
      <w:r>
        <w:tab/>
        <w:t xml:space="preserve">am </w:t>
      </w:r>
      <w:hyperlink r:id="rId215" w:tooltip="Totalisator Act 2014" w:history="1">
        <w:r>
          <w:rPr>
            <w:rStyle w:val="charCitHyperlinkAbbrev"/>
          </w:rPr>
          <w:t>A2014</w:t>
        </w:r>
        <w:r>
          <w:rPr>
            <w:rStyle w:val="charCitHyperlinkAbbrev"/>
          </w:rPr>
          <w:noBreakHyphen/>
          <w:t>4</w:t>
        </w:r>
      </w:hyperlink>
      <w:r>
        <w:t xml:space="preserve"> amdt 2.7</w:t>
      </w:r>
      <w:r w:rsidR="00C5748A">
        <w:t xml:space="preserve">; </w:t>
      </w:r>
      <w:hyperlink r:id="rId216" w:tooltip="Gambling and Racing Control (Code of Practice) Amendment Regulation 2014 (No 1)" w:history="1">
        <w:r w:rsidR="00C5748A">
          <w:rPr>
            <w:rStyle w:val="charCitHyperlinkAbbrev"/>
          </w:rPr>
          <w:t>SL2014</w:t>
        </w:r>
        <w:r w:rsidR="00C5748A">
          <w:rPr>
            <w:rStyle w:val="charCitHyperlinkAbbrev"/>
          </w:rPr>
          <w:noBreakHyphen/>
          <w:t>17</w:t>
        </w:r>
      </w:hyperlink>
      <w:r w:rsidR="00C5748A">
        <w:t xml:space="preserve"> s</w:t>
      </w:r>
      <w:r w:rsidR="0091063F">
        <w:t>s 23-2</w:t>
      </w:r>
      <w:r w:rsidR="00C5748A">
        <w:t>5</w:t>
      </w:r>
      <w:r w:rsidR="004413BC">
        <w:t>; ss renum R9 LA</w:t>
      </w:r>
    </w:p>
    <w:p w14:paraId="60688342" w14:textId="77777777" w:rsidR="005672FE" w:rsidRDefault="00E13019" w:rsidP="005672FE">
      <w:pPr>
        <w:pStyle w:val="AmdtsEntryHd"/>
        <w:rPr>
          <w:rStyle w:val="charItals"/>
        </w:rPr>
      </w:pPr>
      <w:r w:rsidRPr="00A35BB6">
        <w:t>No winnings for excluded or underage patrons</w:t>
      </w:r>
    </w:p>
    <w:p w14:paraId="24806AEC" w14:textId="34D49ED5" w:rsidR="005672FE" w:rsidRDefault="005672FE" w:rsidP="005672FE">
      <w:pPr>
        <w:pStyle w:val="AmdtsEntries"/>
      </w:pPr>
      <w:r>
        <w:t>sch 1 s 1.23AA</w:t>
      </w:r>
      <w:r>
        <w:tab/>
        <w:t xml:space="preserve">ins </w:t>
      </w:r>
      <w:hyperlink r:id="rId217" w:tooltip="Gambling and Racing Control (Code of Practice) Amendment Regulation 2014 (No 1)" w:history="1">
        <w:r>
          <w:rPr>
            <w:rStyle w:val="charCitHyperlinkAbbrev"/>
          </w:rPr>
          <w:t>SL2014</w:t>
        </w:r>
        <w:r>
          <w:rPr>
            <w:rStyle w:val="charCitHyperlinkAbbrev"/>
          </w:rPr>
          <w:noBreakHyphen/>
          <w:t>17</w:t>
        </w:r>
      </w:hyperlink>
      <w:r>
        <w:t xml:space="preserve"> s 26</w:t>
      </w:r>
    </w:p>
    <w:p w14:paraId="6D92A172" w14:textId="77777777" w:rsidR="00D847F1" w:rsidRDefault="00D847F1">
      <w:pPr>
        <w:pStyle w:val="AmdtsEntryHd"/>
      </w:pPr>
      <w:r>
        <w:t>Non-cash payment of winnings</w:t>
      </w:r>
    </w:p>
    <w:p w14:paraId="2D4877B8" w14:textId="73020DF9" w:rsidR="00D847F1" w:rsidRDefault="00D847F1">
      <w:pPr>
        <w:pStyle w:val="AmdtsEntries"/>
      </w:pPr>
      <w:r>
        <w:t>sch 1 s 1.23A</w:t>
      </w:r>
      <w:r>
        <w:tab/>
        <w:t xml:space="preserve">ins </w:t>
      </w:r>
      <w:hyperlink r:id="rId218" w:tooltip="Gambling and Racing Control (Code of Practice) Amendment Regulations 2004 (No 1)" w:history="1">
        <w:r w:rsidR="00DF21AF" w:rsidRPr="00DF21AF">
          <w:rPr>
            <w:rStyle w:val="charCitHyperlinkAbbrev"/>
          </w:rPr>
          <w:t>SL2004</w:t>
        </w:r>
        <w:r w:rsidR="00DF21AF" w:rsidRPr="00DF21AF">
          <w:rPr>
            <w:rStyle w:val="charCitHyperlinkAbbrev"/>
          </w:rPr>
          <w:noBreakHyphen/>
          <w:t>31</w:t>
        </w:r>
      </w:hyperlink>
      <w:r>
        <w:t xml:space="preserve"> s 28</w:t>
      </w:r>
    </w:p>
    <w:p w14:paraId="5025977F" w14:textId="77777777" w:rsidR="00783A96" w:rsidRDefault="00C96D70" w:rsidP="00783A96">
      <w:pPr>
        <w:pStyle w:val="AmdtsEntryHd"/>
        <w:rPr>
          <w:rStyle w:val="charItals"/>
        </w:rPr>
      </w:pPr>
      <w:r>
        <w:t>Availability of information</w:t>
      </w:r>
    </w:p>
    <w:p w14:paraId="4D31D22E" w14:textId="75E75C8F" w:rsidR="00783A96" w:rsidRDefault="00783A96" w:rsidP="00783A96">
      <w:pPr>
        <w:pStyle w:val="AmdtsEntries"/>
      </w:pPr>
      <w:r>
        <w:t>sch 1 s 1.25</w:t>
      </w:r>
      <w:r>
        <w:tab/>
        <w:t xml:space="preserve">am </w:t>
      </w:r>
      <w:hyperlink r:id="rId219" w:tooltip="Gambling and Racing Control (Code of Practice) Amendment Regulation 2014 (No 1)" w:history="1">
        <w:r>
          <w:rPr>
            <w:rStyle w:val="charCitHyperlinkAbbrev"/>
          </w:rPr>
          <w:t>SL2014</w:t>
        </w:r>
        <w:r>
          <w:rPr>
            <w:rStyle w:val="charCitHyperlinkAbbrev"/>
          </w:rPr>
          <w:noBreakHyphen/>
          <w:t>17</w:t>
        </w:r>
      </w:hyperlink>
      <w:r>
        <w:t xml:space="preserve"> s </w:t>
      </w:r>
      <w:r w:rsidR="002527A3">
        <w:t>27, s 28</w:t>
      </w:r>
    </w:p>
    <w:p w14:paraId="0B590FE5" w14:textId="77777777" w:rsidR="003D00F3" w:rsidRDefault="003D00F3" w:rsidP="003D00F3">
      <w:pPr>
        <w:pStyle w:val="AmdtsEntryHd"/>
        <w:rPr>
          <w:rStyle w:val="charItals"/>
        </w:rPr>
      </w:pPr>
      <w:r w:rsidRPr="00A35BB6">
        <w:t>Alcohol service prohibited while gambling</w:t>
      </w:r>
    </w:p>
    <w:p w14:paraId="72C38E38" w14:textId="14BEA70F" w:rsidR="003D00F3" w:rsidRDefault="003D00F3" w:rsidP="003D00F3">
      <w:pPr>
        <w:pStyle w:val="AmdtsEntries"/>
      </w:pPr>
      <w:r>
        <w:t>sch 1 s 1.27A</w:t>
      </w:r>
      <w:r>
        <w:tab/>
        <w:t xml:space="preserve">ins </w:t>
      </w:r>
      <w:hyperlink r:id="rId220" w:tooltip="Gambling and Racing Control (Code of Practice) Amendment Regulation 2014 (No 1)" w:history="1">
        <w:r>
          <w:rPr>
            <w:rStyle w:val="charCitHyperlinkAbbrev"/>
          </w:rPr>
          <w:t>SL2014</w:t>
        </w:r>
        <w:r>
          <w:rPr>
            <w:rStyle w:val="charCitHyperlinkAbbrev"/>
          </w:rPr>
          <w:noBreakHyphen/>
          <w:t>17</w:t>
        </w:r>
      </w:hyperlink>
      <w:r>
        <w:t xml:space="preserve"> s 29</w:t>
      </w:r>
    </w:p>
    <w:p w14:paraId="5333E5DD" w14:textId="77777777" w:rsidR="00C807F7" w:rsidRDefault="00C807F7">
      <w:pPr>
        <w:pStyle w:val="AmdtsEntryHd"/>
      </w:pPr>
      <w:r w:rsidRPr="00AE589E">
        <w:t>Operating times of gaming machines</w:t>
      </w:r>
    </w:p>
    <w:p w14:paraId="0906424E" w14:textId="4C3B769F" w:rsidR="00C807F7" w:rsidRDefault="00C807F7" w:rsidP="00C807F7">
      <w:pPr>
        <w:pStyle w:val="AmdtsEntries"/>
      </w:pPr>
      <w:r>
        <w:t>sch 1 s 1.27B</w:t>
      </w:r>
      <w:r>
        <w:tab/>
        <w:t xml:space="preserve">ins </w:t>
      </w:r>
      <w:hyperlink r:id="rId221" w:tooltip="Gaming Legislation Amendment Regulation 2015 (No 1)" w:history="1">
        <w:r>
          <w:rPr>
            <w:rStyle w:val="charCitHyperlinkAbbrev"/>
          </w:rPr>
          <w:t>SL2015</w:t>
        </w:r>
        <w:r>
          <w:rPr>
            <w:rStyle w:val="charCitHyperlinkAbbrev"/>
          </w:rPr>
          <w:noBreakHyphen/>
          <w:t>27</w:t>
        </w:r>
      </w:hyperlink>
      <w:r>
        <w:rPr>
          <w:rStyle w:val="charCitHyperlinkAbbrev"/>
        </w:rPr>
        <w:t xml:space="preserve"> </w:t>
      </w:r>
      <w:r>
        <w:t>s 4</w:t>
      </w:r>
    </w:p>
    <w:p w14:paraId="462AEF88" w14:textId="0AB737AA" w:rsidR="00C356FD" w:rsidRDefault="00C356FD" w:rsidP="00C356FD">
      <w:pPr>
        <w:pStyle w:val="AmdtsEntryHd"/>
      </w:pPr>
      <w:r w:rsidRPr="003042FA">
        <w:t>Advertising requirements</w:t>
      </w:r>
      <w:r w:rsidRPr="00C356FD">
        <w:t>—general</w:t>
      </w:r>
    </w:p>
    <w:p w14:paraId="559394B7" w14:textId="353A15E0" w:rsidR="00C356FD" w:rsidRPr="00C807F7" w:rsidRDefault="00C356FD" w:rsidP="00C807F7">
      <w:pPr>
        <w:pStyle w:val="AmdtsEntries"/>
      </w:pPr>
      <w:r>
        <w:t>div 1.4.1 hdg</w:t>
      </w:r>
      <w:r w:rsidR="00B12AE3">
        <w:tab/>
        <w:t>ins</w:t>
      </w:r>
      <w:r w:rsidR="00B12AE3">
        <w:rPr>
          <w:rStyle w:val="charItals"/>
          <w:i w:val="0"/>
          <w:iCs/>
        </w:rPr>
        <w:t xml:space="preserve"> </w:t>
      </w:r>
      <w:hyperlink r:id="rId222" w:tooltip="Gambling and Racing Control (Code of Practice) Amendment Regulation 2023 (No 1)" w:history="1">
        <w:r w:rsidR="00B12AE3">
          <w:rPr>
            <w:rStyle w:val="charCitHyperlinkAbbrev"/>
          </w:rPr>
          <w:t>SL2023</w:t>
        </w:r>
        <w:r w:rsidR="00B12AE3">
          <w:rPr>
            <w:rStyle w:val="charCitHyperlinkAbbrev"/>
          </w:rPr>
          <w:noBreakHyphen/>
          <w:t>8</w:t>
        </w:r>
      </w:hyperlink>
      <w:r w:rsidR="00B12AE3">
        <w:t xml:space="preserve"> s 7</w:t>
      </w:r>
    </w:p>
    <w:p w14:paraId="502A56D8" w14:textId="77777777" w:rsidR="00D847F1" w:rsidRDefault="00D847F1">
      <w:pPr>
        <w:pStyle w:val="AmdtsEntryHd"/>
      </w:pPr>
      <w:r>
        <w:t>Advertising</w:t>
      </w:r>
    </w:p>
    <w:p w14:paraId="03527244" w14:textId="3473FCB9" w:rsidR="00D847F1" w:rsidRDefault="00D847F1">
      <w:pPr>
        <w:pStyle w:val="AmdtsEntries"/>
      </w:pPr>
      <w:r>
        <w:t>sch 1 s 1.28</w:t>
      </w:r>
      <w:r>
        <w:tab/>
        <w:t xml:space="preserve">am </w:t>
      </w:r>
      <w:hyperlink r:id="rId223" w:tooltip="Gambling and Racing Control (Code of Practice) Amendment Regulations 2004 (No 1)" w:history="1">
        <w:r w:rsidR="00DF21AF" w:rsidRPr="00DF21AF">
          <w:rPr>
            <w:rStyle w:val="charCitHyperlinkAbbrev"/>
          </w:rPr>
          <w:t>SL2004</w:t>
        </w:r>
        <w:r w:rsidR="00DF21AF" w:rsidRPr="00DF21AF">
          <w:rPr>
            <w:rStyle w:val="charCitHyperlinkAbbrev"/>
          </w:rPr>
          <w:noBreakHyphen/>
          <w:t>31</w:t>
        </w:r>
      </w:hyperlink>
      <w:r>
        <w:t xml:space="preserve"> s 29, s 30</w:t>
      </w:r>
    </w:p>
    <w:p w14:paraId="135285FA" w14:textId="64B24DD1" w:rsidR="00B12AE3" w:rsidRDefault="00B12AE3" w:rsidP="00B12AE3">
      <w:pPr>
        <w:pStyle w:val="AmdtsEntryHd"/>
      </w:pPr>
      <w:r w:rsidRPr="00B12AE3">
        <w:t>Advertising requirements</w:t>
      </w:r>
    </w:p>
    <w:p w14:paraId="7C036F08" w14:textId="53B215E9" w:rsidR="00B12AE3" w:rsidRDefault="00B12AE3">
      <w:pPr>
        <w:pStyle w:val="AmdtsEntries"/>
      </w:pPr>
      <w:r>
        <w:t>sch 1 s 1.29</w:t>
      </w:r>
      <w:r>
        <w:tab/>
        <w:t xml:space="preserve">am </w:t>
      </w:r>
      <w:hyperlink r:id="rId224" w:tooltip="Gambling and Racing Control (Code of Practice) Amendment Regulation 2023 (No 1)" w:history="1">
        <w:r>
          <w:rPr>
            <w:rStyle w:val="charCitHyperlinkAbbrev"/>
          </w:rPr>
          <w:t>SL2023</w:t>
        </w:r>
        <w:r>
          <w:rPr>
            <w:rStyle w:val="charCitHyperlinkAbbrev"/>
          </w:rPr>
          <w:noBreakHyphen/>
          <w:t>8</w:t>
        </w:r>
      </w:hyperlink>
      <w:r>
        <w:t xml:space="preserve"> s 8</w:t>
      </w:r>
    </w:p>
    <w:p w14:paraId="34D8C655" w14:textId="1D4FC6C9" w:rsidR="00B12AE3" w:rsidRDefault="002A7663" w:rsidP="002A7663">
      <w:pPr>
        <w:pStyle w:val="AmdtsEntryHd"/>
      </w:pPr>
      <w:r w:rsidRPr="003042FA">
        <w:t>Advertising requirements</w:t>
      </w:r>
      <w:r w:rsidRPr="002A7663">
        <w:t>—electronic licensees</w:t>
      </w:r>
    </w:p>
    <w:p w14:paraId="64BBD594" w14:textId="6C752845" w:rsidR="00B12AE3" w:rsidRDefault="002A7663">
      <w:pPr>
        <w:pStyle w:val="AmdtsEntries"/>
      </w:pPr>
      <w:r>
        <w:t>div 1.4.2 hdg</w:t>
      </w:r>
      <w:r>
        <w:tab/>
        <w:t xml:space="preserve">ins </w:t>
      </w:r>
      <w:hyperlink r:id="rId225" w:tooltip="Gambling and Racing Control (Code of Practice) Amendment Regulation 2023 (No 1)" w:history="1">
        <w:r>
          <w:rPr>
            <w:rStyle w:val="charCitHyperlinkAbbrev"/>
          </w:rPr>
          <w:t>SL2023</w:t>
        </w:r>
        <w:r>
          <w:rPr>
            <w:rStyle w:val="charCitHyperlinkAbbrev"/>
          </w:rPr>
          <w:noBreakHyphen/>
          <w:t>8</w:t>
        </w:r>
      </w:hyperlink>
      <w:r>
        <w:t xml:space="preserve"> s 9</w:t>
      </w:r>
    </w:p>
    <w:p w14:paraId="7AD0A43F" w14:textId="78157630" w:rsidR="002A7663" w:rsidRDefault="002A7663" w:rsidP="002A7663">
      <w:pPr>
        <w:pStyle w:val="AmdtsEntryHd"/>
      </w:pPr>
      <w:r w:rsidRPr="003042FA">
        <w:t>Application—div 1.4.2</w:t>
      </w:r>
    </w:p>
    <w:p w14:paraId="2B752B4C" w14:textId="6684BCE2" w:rsidR="002A7663" w:rsidRDefault="002A7663">
      <w:pPr>
        <w:pStyle w:val="AmdtsEntries"/>
      </w:pPr>
      <w:r>
        <w:t>sch 1 s 1.29A</w:t>
      </w:r>
      <w:r w:rsidR="00F414BF">
        <w:tab/>
        <w:t xml:space="preserve">ins </w:t>
      </w:r>
      <w:hyperlink r:id="rId226" w:tooltip="Gambling and Racing Control (Code of Practice) Amendment Regulation 2023 (No 1)" w:history="1">
        <w:r w:rsidR="00F414BF">
          <w:rPr>
            <w:rStyle w:val="charCitHyperlinkAbbrev"/>
          </w:rPr>
          <w:t>SL2023</w:t>
        </w:r>
        <w:r w:rsidR="00F414BF">
          <w:rPr>
            <w:rStyle w:val="charCitHyperlinkAbbrev"/>
          </w:rPr>
          <w:noBreakHyphen/>
          <w:t>8</w:t>
        </w:r>
      </w:hyperlink>
      <w:r w:rsidR="00F414BF">
        <w:t xml:space="preserve"> s 9</w:t>
      </w:r>
    </w:p>
    <w:p w14:paraId="41F9EC6A" w14:textId="75393502" w:rsidR="002A7663" w:rsidRDefault="002A7663" w:rsidP="002A7663">
      <w:pPr>
        <w:pStyle w:val="AmdtsEntryHd"/>
      </w:pPr>
      <w:r w:rsidRPr="003042FA">
        <w:lastRenderedPageBreak/>
        <w:t>Definitions</w:t>
      </w:r>
      <w:r w:rsidRPr="002A7663">
        <w:t>—div 1.4.2</w:t>
      </w:r>
    </w:p>
    <w:p w14:paraId="5064D59E" w14:textId="2D598F13" w:rsidR="002A7663" w:rsidRDefault="002A7663">
      <w:pPr>
        <w:pStyle w:val="AmdtsEntries"/>
      </w:pPr>
      <w:r>
        <w:t>sch 1 s 1.29B</w:t>
      </w:r>
      <w:r w:rsidR="00F414BF">
        <w:tab/>
        <w:t xml:space="preserve">ins </w:t>
      </w:r>
      <w:hyperlink r:id="rId227" w:tooltip="Gambling and Racing Control (Code of Practice) Amendment Regulation 2023 (No 1)" w:history="1">
        <w:r w:rsidR="00F414BF">
          <w:rPr>
            <w:rStyle w:val="charCitHyperlinkAbbrev"/>
          </w:rPr>
          <w:t>SL2023</w:t>
        </w:r>
        <w:r w:rsidR="00F414BF">
          <w:rPr>
            <w:rStyle w:val="charCitHyperlinkAbbrev"/>
          </w:rPr>
          <w:noBreakHyphen/>
          <w:t>8</w:t>
        </w:r>
      </w:hyperlink>
      <w:r w:rsidR="00F414BF">
        <w:t xml:space="preserve"> s 9</w:t>
      </w:r>
    </w:p>
    <w:p w14:paraId="44FEF969" w14:textId="2DCBAB9B" w:rsidR="00D97B75" w:rsidRPr="006B04E1" w:rsidRDefault="00D97B75" w:rsidP="00D97B75">
      <w:pPr>
        <w:pStyle w:val="AmdtsEntries"/>
        <w:rPr>
          <w:iCs/>
        </w:rPr>
      </w:pPr>
      <w:r>
        <w:tab/>
        <w:t xml:space="preserve">def </w:t>
      </w:r>
      <w:r w:rsidRPr="00CA67C6">
        <w:rPr>
          <w:rStyle w:val="charBoldItals"/>
        </w:rPr>
        <w:t>app advertising</w:t>
      </w:r>
      <w:r>
        <w:t xml:space="preserve"> ins </w:t>
      </w:r>
      <w:hyperlink r:id="rId228" w:tooltip="Gambling and Racing Control (Code of Practice) Amendment Regulation 2023 (No 1)" w:history="1">
        <w:r>
          <w:rPr>
            <w:rStyle w:val="charCitHyperlinkAbbrev"/>
          </w:rPr>
          <w:t>SL2023</w:t>
        </w:r>
        <w:r>
          <w:rPr>
            <w:rStyle w:val="charCitHyperlinkAbbrev"/>
          </w:rPr>
          <w:noBreakHyphen/>
          <w:t>8</w:t>
        </w:r>
      </w:hyperlink>
      <w:r>
        <w:t xml:space="preserve"> s 9</w:t>
      </w:r>
    </w:p>
    <w:p w14:paraId="04B30CF0" w14:textId="34B65F5F" w:rsidR="00D97B75" w:rsidRPr="006B04E1" w:rsidRDefault="00D97B75" w:rsidP="00D97B75">
      <w:pPr>
        <w:pStyle w:val="AmdtsEntries"/>
        <w:rPr>
          <w:bCs/>
          <w:iCs/>
        </w:rPr>
      </w:pPr>
      <w:r>
        <w:tab/>
        <w:t xml:space="preserve">def </w:t>
      </w:r>
      <w:r w:rsidRPr="00CA67C6">
        <w:rPr>
          <w:rStyle w:val="charBoldItals"/>
        </w:rPr>
        <w:t>call to action</w:t>
      </w:r>
      <w:r>
        <w:t xml:space="preserve"> ins </w:t>
      </w:r>
      <w:hyperlink r:id="rId229" w:tooltip="Gambling and Racing Control (Code of Practice) Amendment Regulation 2023 (No 1)" w:history="1">
        <w:r>
          <w:rPr>
            <w:rStyle w:val="charCitHyperlinkAbbrev"/>
          </w:rPr>
          <w:t>SL2023</w:t>
        </w:r>
        <w:r>
          <w:rPr>
            <w:rStyle w:val="charCitHyperlinkAbbrev"/>
          </w:rPr>
          <w:noBreakHyphen/>
          <w:t>8</w:t>
        </w:r>
      </w:hyperlink>
      <w:r>
        <w:t xml:space="preserve"> s 9</w:t>
      </w:r>
    </w:p>
    <w:p w14:paraId="6403F3DB" w14:textId="611BA848" w:rsidR="00D97B75" w:rsidRPr="006B04E1" w:rsidRDefault="00D97B75" w:rsidP="00D97B75">
      <w:pPr>
        <w:pStyle w:val="AmdtsEntries"/>
        <w:rPr>
          <w:bCs/>
          <w:iCs/>
        </w:rPr>
      </w:pPr>
      <w:r>
        <w:tab/>
        <w:t xml:space="preserve">def </w:t>
      </w:r>
      <w:r w:rsidRPr="00CA67C6">
        <w:rPr>
          <w:rStyle w:val="charBoldItals"/>
        </w:rPr>
        <w:t>digital advertising</w:t>
      </w:r>
      <w:r>
        <w:t xml:space="preserve"> ins </w:t>
      </w:r>
      <w:hyperlink r:id="rId230" w:tooltip="Gambling and Racing Control (Code of Practice) Amendment Regulation 2023 (No 1)" w:history="1">
        <w:r>
          <w:rPr>
            <w:rStyle w:val="charCitHyperlinkAbbrev"/>
          </w:rPr>
          <w:t>SL2023</w:t>
        </w:r>
        <w:r>
          <w:rPr>
            <w:rStyle w:val="charCitHyperlinkAbbrev"/>
          </w:rPr>
          <w:noBreakHyphen/>
          <w:t>8</w:t>
        </w:r>
      </w:hyperlink>
      <w:r>
        <w:t xml:space="preserve"> s 9</w:t>
      </w:r>
    </w:p>
    <w:p w14:paraId="01B577CC" w14:textId="7721A2A6" w:rsidR="00D97B75" w:rsidRDefault="00D97B75" w:rsidP="00D97B75">
      <w:pPr>
        <w:pStyle w:val="AmdtsEntries"/>
      </w:pPr>
      <w:r>
        <w:tab/>
        <w:t xml:space="preserve">def </w:t>
      </w:r>
      <w:r>
        <w:rPr>
          <w:rStyle w:val="charBoldItals"/>
        </w:rPr>
        <w:t>direct marketing</w:t>
      </w:r>
      <w:r>
        <w:t xml:space="preserve"> ins </w:t>
      </w:r>
      <w:hyperlink r:id="rId231" w:tooltip="Gambling and Racing Control (Code of Practice) Amendment Regulation 2023 (No 1)" w:history="1">
        <w:r>
          <w:rPr>
            <w:rStyle w:val="charCitHyperlinkAbbrev"/>
          </w:rPr>
          <w:t>SL2023</w:t>
        </w:r>
        <w:r>
          <w:rPr>
            <w:rStyle w:val="charCitHyperlinkAbbrev"/>
          </w:rPr>
          <w:noBreakHyphen/>
          <w:t>8</w:t>
        </w:r>
      </w:hyperlink>
      <w:r>
        <w:t xml:space="preserve"> s 9</w:t>
      </w:r>
    </w:p>
    <w:p w14:paraId="29C18A07" w14:textId="53DCD6B2" w:rsidR="00D97B75" w:rsidRDefault="00D97B75" w:rsidP="00D97B75">
      <w:pPr>
        <w:pStyle w:val="AmdtsEntries"/>
      </w:pPr>
      <w:r>
        <w:tab/>
        <w:t xml:space="preserve">def </w:t>
      </w:r>
      <w:r w:rsidRPr="00CA67C6">
        <w:rPr>
          <w:rStyle w:val="charBoldItals"/>
        </w:rPr>
        <w:t>gambling advertising</w:t>
      </w:r>
      <w:r>
        <w:t xml:space="preserve"> ins </w:t>
      </w:r>
      <w:hyperlink r:id="rId232" w:tooltip="Gambling and Racing Control (Code of Practice) Amendment Regulation 2023 (No 1)" w:history="1">
        <w:r>
          <w:rPr>
            <w:rStyle w:val="charCitHyperlinkAbbrev"/>
          </w:rPr>
          <w:t>SL2023</w:t>
        </w:r>
        <w:r>
          <w:rPr>
            <w:rStyle w:val="charCitHyperlinkAbbrev"/>
          </w:rPr>
          <w:noBreakHyphen/>
          <w:t>8</w:t>
        </w:r>
      </w:hyperlink>
      <w:r>
        <w:t xml:space="preserve"> s 9</w:t>
      </w:r>
    </w:p>
    <w:p w14:paraId="00D8FBE0" w14:textId="6473E701" w:rsidR="00D97B75" w:rsidRDefault="00D97B75" w:rsidP="00D97B75">
      <w:pPr>
        <w:pStyle w:val="AmdtsEntries"/>
      </w:pPr>
      <w:r>
        <w:tab/>
        <w:t xml:space="preserve">def </w:t>
      </w:r>
      <w:r w:rsidRPr="00CA67C6">
        <w:rPr>
          <w:rStyle w:val="charBoldItals"/>
        </w:rPr>
        <w:t>print advertising</w:t>
      </w:r>
      <w:r>
        <w:t xml:space="preserve"> ins </w:t>
      </w:r>
      <w:hyperlink r:id="rId233" w:tooltip="Gambling and Racing Control (Code of Practice) Amendment Regulation 2023 (No 1)" w:history="1">
        <w:r>
          <w:rPr>
            <w:rStyle w:val="charCitHyperlinkAbbrev"/>
          </w:rPr>
          <w:t>SL2023</w:t>
        </w:r>
        <w:r>
          <w:rPr>
            <w:rStyle w:val="charCitHyperlinkAbbrev"/>
          </w:rPr>
          <w:noBreakHyphen/>
          <w:t>8</w:t>
        </w:r>
      </w:hyperlink>
      <w:r>
        <w:t xml:space="preserve"> s 9</w:t>
      </w:r>
    </w:p>
    <w:p w14:paraId="1F4375E0" w14:textId="2AC2A8BD" w:rsidR="00D97B75" w:rsidRDefault="00D97B75" w:rsidP="00D97B75">
      <w:pPr>
        <w:pStyle w:val="AmdtsEntries"/>
      </w:pPr>
      <w:r>
        <w:tab/>
        <w:t xml:space="preserve">def </w:t>
      </w:r>
      <w:r w:rsidRPr="00CA67C6">
        <w:rPr>
          <w:rStyle w:val="charBoldItals"/>
        </w:rPr>
        <w:t>social media advertising</w:t>
      </w:r>
      <w:r>
        <w:t xml:space="preserve"> ins </w:t>
      </w:r>
      <w:hyperlink r:id="rId234" w:tooltip="Gambling and Racing Control (Code of Practice) Amendment Regulation 2023 (No 1)" w:history="1">
        <w:r>
          <w:rPr>
            <w:rStyle w:val="charCitHyperlinkAbbrev"/>
          </w:rPr>
          <w:t>SL2023</w:t>
        </w:r>
        <w:r>
          <w:rPr>
            <w:rStyle w:val="charCitHyperlinkAbbrev"/>
          </w:rPr>
          <w:noBreakHyphen/>
          <w:t>8</w:t>
        </w:r>
      </w:hyperlink>
      <w:r>
        <w:t xml:space="preserve"> s 9</w:t>
      </w:r>
    </w:p>
    <w:p w14:paraId="7A0DE060" w14:textId="352A934E" w:rsidR="00D97B75" w:rsidRDefault="00D97B75" w:rsidP="00D97B75">
      <w:pPr>
        <w:pStyle w:val="AmdtsEntries"/>
      </w:pPr>
      <w:r>
        <w:tab/>
        <w:t xml:space="preserve">def </w:t>
      </w:r>
      <w:r w:rsidRPr="00CA67C6">
        <w:rPr>
          <w:rStyle w:val="charBoldItals"/>
        </w:rPr>
        <w:t>tagline</w:t>
      </w:r>
      <w:r>
        <w:t xml:space="preserve"> ins </w:t>
      </w:r>
      <w:hyperlink r:id="rId235" w:tooltip="Gambling and Racing Control (Code of Practice) Amendment Regulation 2023 (No 1)" w:history="1">
        <w:r>
          <w:rPr>
            <w:rStyle w:val="charCitHyperlinkAbbrev"/>
          </w:rPr>
          <w:t>SL2023</w:t>
        </w:r>
        <w:r>
          <w:rPr>
            <w:rStyle w:val="charCitHyperlinkAbbrev"/>
          </w:rPr>
          <w:noBreakHyphen/>
          <w:t>8</w:t>
        </w:r>
      </w:hyperlink>
      <w:r>
        <w:t xml:space="preserve"> s 9</w:t>
      </w:r>
    </w:p>
    <w:p w14:paraId="0165AB97" w14:textId="6EE19A60" w:rsidR="00D97B75" w:rsidRDefault="00D97B75" w:rsidP="00D97B75">
      <w:pPr>
        <w:pStyle w:val="AmdtsEntries"/>
      </w:pPr>
      <w:r>
        <w:tab/>
        <w:t xml:space="preserve">def </w:t>
      </w:r>
      <w:r w:rsidRPr="00CA67C6">
        <w:rPr>
          <w:rStyle w:val="charBoldItals"/>
        </w:rPr>
        <w:t>television</w:t>
      </w:r>
      <w:r>
        <w:t xml:space="preserve"> ins </w:t>
      </w:r>
      <w:hyperlink r:id="rId236" w:tooltip="Gambling and Racing Control (Code of Practice) Amendment Regulation 2023 (No 1)" w:history="1">
        <w:r>
          <w:rPr>
            <w:rStyle w:val="charCitHyperlinkAbbrev"/>
          </w:rPr>
          <w:t>SL2023</w:t>
        </w:r>
        <w:r>
          <w:rPr>
            <w:rStyle w:val="charCitHyperlinkAbbrev"/>
          </w:rPr>
          <w:noBreakHyphen/>
          <w:t>8</w:t>
        </w:r>
      </w:hyperlink>
      <w:r>
        <w:t xml:space="preserve"> s 9</w:t>
      </w:r>
    </w:p>
    <w:p w14:paraId="34748085" w14:textId="04EDFB9B" w:rsidR="00D97B75" w:rsidRDefault="00D97B75" w:rsidP="00D97B75">
      <w:pPr>
        <w:pStyle w:val="AmdtsEntries"/>
      </w:pPr>
      <w:r>
        <w:tab/>
        <w:t xml:space="preserve">def </w:t>
      </w:r>
      <w:r w:rsidRPr="00CA67C6">
        <w:rPr>
          <w:rStyle w:val="charBoldItals"/>
        </w:rPr>
        <w:t>television or video advertising</w:t>
      </w:r>
      <w:r>
        <w:t xml:space="preserve"> ins </w:t>
      </w:r>
      <w:hyperlink r:id="rId237" w:tooltip="Gambling and Racing Control (Code of Practice) Amendment Regulation 2023 (No 1)" w:history="1">
        <w:r>
          <w:rPr>
            <w:rStyle w:val="charCitHyperlinkAbbrev"/>
          </w:rPr>
          <w:t>SL2023</w:t>
        </w:r>
        <w:r>
          <w:rPr>
            <w:rStyle w:val="charCitHyperlinkAbbrev"/>
          </w:rPr>
          <w:noBreakHyphen/>
          <w:t>8</w:t>
        </w:r>
      </w:hyperlink>
      <w:r>
        <w:t xml:space="preserve"> s 9</w:t>
      </w:r>
    </w:p>
    <w:p w14:paraId="74733ECA" w14:textId="219AC7B0" w:rsidR="00D97B75" w:rsidRDefault="00D97B75" w:rsidP="00D97B75">
      <w:pPr>
        <w:pStyle w:val="AmdtsEntries"/>
      </w:pPr>
      <w:r>
        <w:tab/>
        <w:t xml:space="preserve">def </w:t>
      </w:r>
      <w:r w:rsidRPr="00CA67C6">
        <w:rPr>
          <w:rStyle w:val="charBoldItals"/>
        </w:rPr>
        <w:t>website advertising</w:t>
      </w:r>
      <w:r>
        <w:t xml:space="preserve"> ins </w:t>
      </w:r>
      <w:hyperlink r:id="rId238" w:tooltip="Gambling and Racing Control (Code of Practice) Amendment Regulation 2023 (No 1)" w:history="1">
        <w:r>
          <w:rPr>
            <w:rStyle w:val="charCitHyperlinkAbbrev"/>
          </w:rPr>
          <w:t>SL2023</w:t>
        </w:r>
        <w:r>
          <w:rPr>
            <w:rStyle w:val="charCitHyperlinkAbbrev"/>
          </w:rPr>
          <w:noBreakHyphen/>
          <w:t>8</w:t>
        </w:r>
      </w:hyperlink>
      <w:r>
        <w:t xml:space="preserve"> s 9</w:t>
      </w:r>
    </w:p>
    <w:p w14:paraId="43B34033" w14:textId="65D47155" w:rsidR="002A7663" w:rsidRDefault="002A7663" w:rsidP="002A7663">
      <w:pPr>
        <w:pStyle w:val="AmdtsEntryHd"/>
      </w:pPr>
      <w:r w:rsidRPr="003042FA">
        <w:t xml:space="preserve">Meaning of </w:t>
      </w:r>
      <w:r w:rsidRPr="002A7663">
        <w:rPr>
          <w:i/>
        </w:rPr>
        <w:t>tagline</w:t>
      </w:r>
      <w:r w:rsidRPr="003042FA">
        <w:t>—div 1.4.2</w:t>
      </w:r>
    </w:p>
    <w:p w14:paraId="63558A0F" w14:textId="6641324A" w:rsidR="002A7663" w:rsidRDefault="002A7663">
      <w:pPr>
        <w:pStyle w:val="AmdtsEntries"/>
      </w:pPr>
      <w:r>
        <w:t>sch 1 s 1.29C</w:t>
      </w:r>
      <w:r w:rsidR="00F414BF">
        <w:tab/>
        <w:t xml:space="preserve">ins </w:t>
      </w:r>
      <w:hyperlink r:id="rId239" w:tooltip="Gambling and Racing Control (Code of Practice) Amendment Regulation 2023 (No 1)" w:history="1">
        <w:r w:rsidR="00F414BF">
          <w:rPr>
            <w:rStyle w:val="charCitHyperlinkAbbrev"/>
          </w:rPr>
          <w:t>SL2023</w:t>
        </w:r>
        <w:r w:rsidR="00F414BF">
          <w:rPr>
            <w:rStyle w:val="charCitHyperlinkAbbrev"/>
          </w:rPr>
          <w:noBreakHyphen/>
          <w:t>8</w:t>
        </w:r>
      </w:hyperlink>
      <w:r w:rsidR="00F414BF">
        <w:t xml:space="preserve"> s 9</w:t>
      </w:r>
    </w:p>
    <w:p w14:paraId="4AFDFF67" w14:textId="7A0C80C9" w:rsidR="002A7663" w:rsidRDefault="002A7663" w:rsidP="002A7663">
      <w:pPr>
        <w:pStyle w:val="AmdtsEntryHd"/>
      </w:pPr>
      <w:r w:rsidRPr="003042FA">
        <w:t xml:space="preserve">Meaning of </w:t>
      </w:r>
      <w:r w:rsidRPr="002A7663">
        <w:rPr>
          <w:i/>
        </w:rPr>
        <w:t>call to action</w:t>
      </w:r>
      <w:r w:rsidRPr="003042FA">
        <w:t>—div 1.4.2</w:t>
      </w:r>
    </w:p>
    <w:p w14:paraId="7BA7BE7A" w14:textId="3C16000A" w:rsidR="002A7663" w:rsidRDefault="002A7663" w:rsidP="002A7663">
      <w:pPr>
        <w:pStyle w:val="AmdtsEntries"/>
      </w:pPr>
      <w:r>
        <w:t>sch 1 s 1.29D</w:t>
      </w:r>
      <w:r w:rsidR="00F414BF">
        <w:tab/>
        <w:t xml:space="preserve">ins </w:t>
      </w:r>
      <w:hyperlink r:id="rId240" w:tooltip="Gambling and Racing Control (Code of Practice) Amendment Regulation 2023 (No 1)" w:history="1">
        <w:r w:rsidR="00F414BF">
          <w:rPr>
            <w:rStyle w:val="charCitHyperlinkAbbrev"/>
          </w:rPr>
          <w:t>SL2023</w:t>
        </w:r>
        <w:r w:rsidR="00F414BF">
          <w:rPr>
            <w:rStyle w:val="charCitHyperlinkAbbrev"/>
          </w:rPr>
          <w:noBreakHyphen/>
          <w:t>8</w:t>
        </w:r>
      </w:hyperlink>
      <w:r w:rsidR="00F414BF">
        <w:t xml:space="preserve"> s 9</w:t>
      </w:r>
    </w:p>
    <w:p w14:paraId="0D1D1700" w14:textId="74C7128E" w:rsidR="002A7663" w:rsidRDefault="002A7663" w:rsidP="002A7663">
      <w:pPr>
        <w:pStyle w:val="AmdtsEntryHd"/>
      </w:pPr>
      <w:r w:rsidRPr="003042FA">
        <w:t>Statements to be included in gambling advertising</w:t>
      </w:r>
    </w:p>
    <w:p w14:paraId="4C90780E" w14:textId="7C05064C" w:rsidR="002A7663" w:rsidRDefault="002A7663" w:rsidP="002A7663">
      <w:pPr>
        <w:pStyle w:val="AmdtsEntries"/>
      </w:pPr>
      <w:r>
        <w:t>sch 1 s 1.29E</w:t>
      </w:r>
      <w:r w:rsidR="00F414BF">
        <w:tab/>
        <w:t xml:space="preserve">ins </w:t>
      </w:r>
      <w:hyperlink r:id="rId241" w:tooltip="Gambling and Racing Control (Code of Practice) Amendment Regulation 2023 (No 1)" w:history="1">
        <w:r w:rsidR="00F414BF">
          <w:rPr>
            <w:rStyle w:val="charCitHyperlinkAbbrev"/>
          </w:rPr>
          <w:t>SL2023</w:t>
        </w:r>
        <w:r w:rsidR="00F414BF">
          <w:rPr>
            <w:rStyle w:val="charCitHyperlinkAbbrev"/>
          </w:rPr>
          <w:noBreakHyphen/>
          <w:t>8</w:t>
        </w:r>
      </w:hyperlink>
      <w:r w:rsidR="00F414BF">
        <w:t xml:space="preserve"> s 9</w:t>
      </w:r>
    </w:p>
    <w:p w14:paraId="4F72FB00" w14:textId="4CFA4F99" w:rsidR="002A7663" w:rsidRDefault="002A7663" w:rsidP="002A7663">
      <w:pPr>
        <w:pStyle w:val="AmdtsEntryHd"/>
      </w:pPr>
      <w:r w:rsidRPr="003042FA">
        <w:t>Additional requirements about taglines and calls to action</w:t>
      </w:r>
    </w:p>
    <w:p w14:paraId="31F8C711" w14:textId="216A26B1" w:rsidR="002A7663" w:rsidRDefault="002A7663" w:rsidP="002A7663">
      <w:pPr>
        <w:pStyle w:val="AmdtsEntries"/>
      </w:pPr>
      <w:r>
        <w:t>sch 1 s 1.29F</w:t>
      </w:r>
      <w:r w:rsidR="00F414BF">
        <w:tab/>
        <w:t xml:space="preserve">ins </w:t>
      </w:r>
      <w:hyperlink r:id="rId242" w:tooltip="Gambling and Racing Control (Code of Practice) Amendment Regulation 2023 (No 1)" w:history="1">
        <w:r w:rsidR="00F414BF">
          <w:rPr>
            <w:rStyle w:val="charCitHyperlinkAbbrev"/>
          </w:rPr>
          <w:t>SL2023</w:t>
        </w:r>
        <w:r w:rsidR="00F414BF">
          <w:rPr>
            <w:rStyle w:val="charCitHyperlinkAbbrev"/>
          </w:rPr>
          <w:noBreakHyphen/>
          <w:t>8</w:t>
        </w:r>
      </w:hyperlink>
      <w:r w:rsidR="00F414BF">
        <w:t xml:space="preserve"> s 9</w:t>
      </w:r>
    </w:p>
    <w:p w14:paraId="356150A4" w14:textId="2163A67D" w:rsidR="002A7663" w:rsidRDefault="002A7663" w:rsidP="002A7663">
      <w:pPr>
        <w:pStyle w:val="AmdtsEntryHd"/>
      </w:pPr>
      <w:r w:rsidRPr="003042FA">
        <w:t xml:space="preserve">Electronic licensee </w:t>
      </w:r>
      <w:r w:rsidRPr="002A7663">
        <w:t>must keep gambling advertising records</w:t>
      </w:r>
    </w:p>
    <w:p w14:paraId="3D340500" w14:textId="4034C43B" w:rsidR="002A7663" w:rsidRDefault="002A7663">
      <w:pPr>
        <w:pStyle w:val="AmdtsEntries"/>
      </w:pPr>
      <w:r>
        <w:t>sch 1 s 1.29G</w:t>
      </w:r>
      <w:r w:rsidR="00F414BF">
        <w:tab/>
        <w:t xml:space="preserve">ins </w:t>
      </w:r>
      <w:hyperlink r:id="rId243" w:tooltip="Gambling and Racing Control (Code of Practice) Amendment Regulation 2023 (No 1)" w:history="1">
        <w:r w:rsidR="00F414BF">
          <w:rPr>
            <w:rStyle w:val="charCitHyperlinkAbbrev"/>
          </w:rPr>
          <w:t>SL2023</w:t>
        </w:r>
        <w:r w:rsidR="00F414BF">
          <w:rPr>
            <w:rStyle w:val="charCitHyperlinkAbbrev"/>
          </w:rPr>
          <w:noBreakHyphen/>
          <w:t>8</w:t>
        </w:r>
      </w:hyperlink>
      <w:r w:rsidR="00F414BF">
        <w:t xml:space="preserve"> s 9</w:t>
      </w:r>
    </w:p>
    <w:p w14:paraId="6B70C5A9" w14:textId="533E4C66" w:rsidR="00F414BF" w:rsidRDefault="00F414BF" w:rsidP="00F414BF">
      <w:pPr>
        <w:pStyle w:val="AmdtsEntryHd"/>
      </w:pPr>
      <w:r w:rsidRPr="003042FA">
        <w:t>Promotions and inducements</w:t>
      </w:r>
    </w:p>
    <w:p w14:paraId="1EA42315" w14:textId="44CAE9B4" w:rsidR="00F414BF" w:rsidRDefault="00F414BF">
      <w:pPr>
        <w:pStyle w:val="AmdtsEntries"/>
      </w:pPr>
      <w:r>
        <w:t>div 1.4.3 hdg</w:t>
      </w:r>
      <w:r>
        <w:tab/>
        <w:t xml:space="preserve">ins </w:t>
      </w:r>
      <w:hyperlink r:id="rId244" w:tooltip="Gambling and Racing Control (Code of Practice) Amendment Regulation 2023 (No 1)" w:history="1">
        <w:r>
          <w:rPr>
            <w:rStyle w:val="charCitHyperlinkAbbrev"/>
          </w:rPr>
          <w:t>SL2023</w:t>
        </w:r>
        <w:r>
          <w:rPr>
            <w:rStyle w:val="charCitHyperlinkAbbrev"/>
          </w:rPr>
          <w:noBreakHyphen/>
          <w:t>8</w:t>
        </w:r>
      </w:hyperlink>
      <w:r>
        <w:t xml:space="preserve"> s 10</w:t>
      </w:r>
    </w:p>
    <w:p w14:paraId="0CF64D5C" w14:textId="77777777" w:rsidR="00D847F1" w:rsidRDefault="00D847F1">
      <w:pPr>
        <w:pStyle w:val="AmdtsEntryHd"/>
      </w:pPr>
      <w:r>
        <w:t>Promotions and inducements</w:t>
      </w:r>
    </w:p>
    <w:p w14:paraId="60026DCE" w14:textId="6A84DA96" w:rsidR="00D847F1" w:rsidRDefault="00D847F1">
      <w:pPr>
        <w:pStyle w:val="AmdtsEntries"/>
      </w:pPr>
      <w:r>
        <w:t>sch 1 s 1.30</w:t>
      </w:r>
      <w:r>
        <w:tab/>
        <w:t xml:space="preserve">am </w:t>
      </w:r>
      <w:hyperlink r:id="rId245" w:tooltip="Gambling and Racing Control (Code of Practice) Amendment Regulations 2004 (No 1)" w:history="1">
        <w:r w:rsidR="00DF21AF" w:rsidRPr="00DF21AF">
          <w:rPr>
            <w:rStyle w:val="charCitHyperlinkAbbrev"/>
          </w:rPr>
          <w:t>SL2004</w:t>
        </w:r>
        <w:r w:rsidR="00DF21AF" w:rsidRPr="00DF21AF">
          <w:rPr>
            <w:rStyle w:val="charCitHyperlinkAbbrev"/>
          </w:rPr>
          <w:noBreakHyphen/>
          <w:t>31</w:t>
        </w:r>
      </w:hyperlink>
      <w:r>
        <w:t xml:space="preserve"> ss 31-34; </w:t>
      </w:r>
      <w:hyperlink r:id="rId246" w:tooltip="Casino Control Act 2006" w:history="1">
        <w:r w:rsidR="00DF21AF" w:rsidRPr="00DF21AF">
          <w:rPr>
            <w:rStyle w:val="charCitHyperlinkAbbrev"/>
          </w:rPr>
          <w:t>A2006</w:t>
        </w:r>
        <w:r w:rsidR="00DF21AF" w:rsidRPr="00DF21AF">
          <w:rPr>
            <w:rStyle w:val="charCitHyperlinkAbbrev"/>
          </w:rPr>
          <w:noBreakHyphen/>
          <w:t>2</w:t>
        </w:r>
      </w:hyperlink>
      <w:r>
        <w:t xml:space="preserve"> amdt 1.11</w:t>
      </w:r>
      <w:r w:rsidR="003D00F3">
        <w:t xml:space="preserve">; </w:t>
      </w:r>
      <w:hyperlink r:id="rId247" w:tooltip="Gambling and Racing Control (Code of Practice) Amendment Regulation 2014 (No 1)" w:history="1">
        <w:r w:rsidR="003D00F3">
          <w:rPr>
            <w:rStyle w:val="charCitHyperlinkAbbrev"/>
          </w:rPr>
          <w:t>SL2014</w:t>
        </w:r>
        <w:r w:rsidR="003D00F3">
          <w:rPr>
            <w:rStyle w:val="charCitHyperlinkAbbrev"/>
          </w:rPr>
          <w:noBreakHyphen/>
          <w:t>17</w:t>
        </w:r>
      </w:hyperlink>
      <w:r w:rsidR="003D00F3">
        <w:t xml:space="preserve"> ss</w:t>
      </w:r>
      <w:r w:rsidR="0003721E">
        <w:t> </w:t>
      </w:r>
      <w:r w:rsidR="003D00F3">
        <w:t>30</w:t>
      </w:r>
      <w:r w:rsidR="0003721E">
        <w:noBreakHyphen/>
      </w:r>
      <w:r w:rsidR="003D00F3">
        <w:t>33; pars and ss renum R9 LA</w:t>
      </w:r>
      <w:r w:rsidR="001A5D61">
        <w:t xml:space="preserve">, </w:t>
      </w:r>
      <w:hyperlink r:id="rId248" w:tooltip="Gambling and Racing Control (Code of Practice) Amendment Regulation 2019 (No 1)" w:history="1">
        <w:r w:rsidR="001A5D61">
          <w:rPr>
            <w:rStyle w:val="charCitHyperlinkAbbrev"/>
          </w:rPr>
          <w:t>SL2019</w:t>
        </w:r>
        <w:r w:rsidR="001A5D61">
          <w:rPr>
            <w:rStyle w:val="charCitHyperlinkAbbrev"/>
          </w:rPr>
          <w:noBreakHyphen/>
          <w:t>10</w:t>
        </w:r>
      </w:hyperlink>
      <w:r w:rsidR="001A5D61">
        <w:t xml:space="preserve"> s 5, s 6</w:t>
      </w:r>
      <w:r w:rsidR="005D126E">
        <w:t>; ss renum R12 LA</w:t>
      </w:r>
      <w:r w:rsidR="00AB30F2">
        <w:t xml:space="preserve">; </w:t>
      </w:r>
      <w:hyperlink r:id="rId249"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rsidR="00AB30F2">
        <w:t xml:space="preserve"> s 11, s 12</w:t>
      </w:r>
    </w:p>
    <w:p w14:paraId="583B6F30" w14:textId="77777777" w:rsidR="00043B54" w:rsidRDefault="00C83EA7" w:rsidP="00043B54">
      <w:pPr>
        <w:pStyle w:val="AmdtsEntryHd"/>
        <w:rPr>
          <w:rStyle w:val="charItals"/>
        </w:rPr>
      </w:pPr>
      <w:r w:rsidRPr="00A35BB6">
        <w:t>Gaming machine promotions—alternative ways to participate</w:t>
      </w:r>
    </w:p>
    <w:p w14:paraId="7B255C8D" w14:textId="16CFCCB4" w:rsidR="00043B54" w:rsidRDefault="00043B54" w:rsidP="00043B54">
      <w:pPr>
        <w:pStyle w:val="AmdtsEntries"/>
      </w:pPr>
      <w:r>
        <w:t>sch 1 s 1.30A</w:t>
      </w:r>
      <w:r>
        <w:tab/>
        <w:t xml:space="preserve">ins </w:t>
      </w:r>
      <w:hyperlink r:id="rId250" w:tooltip="Gambling and Racing Control (Code of Practice) Amendment Regulation 2014 (No 1)" w:history="1">
        <w:r>
          <w:rPr>
            <w:rStyle w:val="charCitHyperlinkAbbrev"/>
          </w:rPr>
          <w:t>SL2014</w:t>
        </w:r>
        <w:r>
          <w:rPr>
            <w:rStyle w:val="charCitHyperlinkAbbrev"/>
          </w:rPr>
          <w:noBreakHyphen/>
          <w:t>17</w:t>
        </w:r>
      </w:hyperlink>
      <w:r w:rsidR="00C83EA7">
        <w:t xml:space="preserve"> s 34</w:t>
      </w:r>
    </w:p>
    <w:p w14:paraId="635C7E70" w14:textId="7503021E" w:rsidR="00043B54" w:rsidRDefault="00363479" w:rsidP="00043B54">
      <w:pPr>
        <w:pStyle w:val="AmdtsEntryHd"/>
        <w:rPr>
          <w:rStyle w:val="charItals"/>
        </w:rPr>
      </w:pPr>
      <w:r w:rsidRPr="001E4518">
        <w:t>Personally addressed promotional material</w:t>
      </w:r>
      <w:r w:rsidRPr="001E4518">
        <w:rPr>
          <w:color w:val="000000"/>
        </w:rPr>
        <w:t>—gaming machine and casino licensees</w:t>
      </w:r>
    </w:p>
    <w:p w14:paraId="6E6B7A35" w14:textId="64472E48" w:rsidR="00955DBA" w:rsidRDefault="00955DBA" w:rsidP="00955DBA">
      <w:pPr>
        <w:pStyle w:val="AmdtsEntries"/>
      </w:pPr>
      <w:r>
        <w:t>sch 1 s 1.30B hdg</w:t>
      </w:r>
      <w:r>
        <w:tab/>
        <w:t xml:space="preserve">sub </w:t>
      </w:r>
      <w:hyperlink r:id="rId251" w:tooltip="Gambling and Racing Control (Code of Practice) Amendment Regulation 2019 (No 1)" w:history="1">
        <w:r>
          <w:rPr>
            <w:rStyle w:val="charCitHyperlinkAbbrev"/>
          </w:rPr>
          <w:t>SL2019</w:t>
        </w:r>
        <w:r>
          <w:rPr>
            <w:rStyle w:val="charCitHyperlinkAbbrev"/>
          </w:rPr>
          <w:noBreakHyphen/>
          <w:t>10</w:t>
        </w:r>
      </w:hyperlink>
      <w:r>
        <w:t xml:space="preserve"> s 7</w:t>
      </w:r>
    </w:p>
    <w:p w14:paraId="2C3C3632" w14:textId="13AB7115" w:rsidR="00043B54" w:rsidRDefault="00043B54" w:rsidP="00955DBA">
      <w:pPr>
        <w:pStyle w:val="AmdtsEntries"/>
      </w:pPr>
      <w:r>
        <w:t>sch 1 s 1.30B</w:t>
      </w:r>
      <w:r>
        <w:tab/>
        <w:t xml:space="preserve">ins </w:t>
      </w:r>
      <w:hyperlink r:id="rId252" w:tooltip="Gambling and Racing Control (Code of Practice) Amendment Regulation 2014 (No 1)" w:history="1">
        <w:r>
          <w:rPr>
            <w:rStyle w:val="charCitHyperlinkAbbrev"/>
          </w:rPr>
          <w:t>SL2014</w:t>
        </w:r>
        <w:r>
          <w:rPr>
            <w:rStyle w:val="charCitHyperlinkAbbrev"/>
          </w:rPr>
          <w:noBreakHyphen/>
          <w:t>17</w:t>
        </w:r>
      </w:hyperlink>
      <w:r w:rsidR="00C83EA7">
        <w:t xml:space="preserve"> s 34</w:t>
      </w:r>
    </w:p>
    <w:p w14:paraId="1CF7E838" w14:textId="1E815AEE" w:rsidR="00955DBA" w:rsidRDefault="00955DBA" w:rsidP="00955DBA">
      <w:pPr>
        <w:pStyle w:val="AmdtsEntries"/>
      </w:pPr>
      <w:r>
        <w:tab/>
      </w:r>
      <w:r w:rsidR="005D126E">
        <w:t>am</w:t>
      </w:r>
      <w:r>
        <w:t xml:space="preserve"> </w:t>
      </w:r>
      <w:hyperlink r:id="rId253" w:tooltip="Gambling and Racing Control (Code of Practice) Amendment Regulation 2019 (No 1)" w:history="1">
        <w:r>
          <w:rPr>
            <w:rStyle w:val="charCitHyperlinkAbbrev"/>
          </w:rPr>
          <w:t>SL2019</w:t>
        </w:r>
        <w:r>
          <w:rPr>
            <w:rStyle w:val="charCitHyperlinkAbbrev"/>
          </w:rPr>
          <w:noBreakHyphen/>
          <w:t>10</w:t>
        </w:r>
      </w:hyperlink>
      <w:r>
        <w:t xml:space="preserve"> s 8</w:t>
      </w:r>
    </w:p>
    <w:p w14:paraId="14A32B4E" w14:textId="57C2FAA7" w:rsidR="00F414BF" w:rsidRDefault="00F414BF" w:rsidP="00F414BF">
      <w:pPr>
        <w:pStyle w:val="AmdtsEntryHd"/>
      </w:pPr>
      <w:r w:rsidRPr="003042FA">
        <w:t>Direct marketing</w:t>
      </w:r>
    </w:p>
    <w:p w14:paraId="25A1E8DB" w14:textId="43F0EC15" w:rsidR="00F414BF" w:rsidRDefault="00F414BF" w:rsidP="00955DBA">
      <w:pPr>
        <w:pStyle w:val="AmdtsEntries"/>
      </w:pPr>
      <w:r>
        <w:t>div 1.4.4 hdg</w:t>
      </w:r>
      <w:r>
        <w:tab/>
        <w:t xml:space="preserve">ins </w:t>
      </w:r>
      <w:hyperlink r:id="rId254" w:tooltip="Gambling and Racing Control (Code of Practice) Amendment Regulation 2023 (No 1)" w:history="1">
        <w:r>
          <w:rPr>
            <w:rStyle w:val="charCitHyperlinkAbbrev"/>
          </w:rPr>
          <w:t>SL2023</w:t>
        </w:r>
        <w:r>
          <w:rPr>
            <w:rStyle w:val="charCitHyperlinkAbbrev"/>
          </w:rPr>
          <w:noBreakHyphen/>
          <w:t>8</w:t>
        </w:r>
      </w:hyperlink>
      <w:r>
        <w:t xml:space="preserve"> s 11</w:t>
      </w:r>
    </w:p>
    <w:p w14:paraId="6D946DD4" w14:textId="1B94F971" w:rsidR="00955DBA" w:rsidRDefault="00984F82" w:rsidP="00955DBA">
      <w:pPr>
        <w:pStyle w:val="AmdtsEntryHd"/>
        <w:rPr>
          <w:rStyle w:val="charItals"/>
        </w:rPr>
      </w:pPr>
      <w:r w:rsidRPr="00D17D0C">
        <w:rPr>
          <w:shd w:val="clear" w:color="auto" w:fill="FFFFFF"/>
        </w:rPr>
        <w:lastRenderedPageBreak/>
        <w:t>Direct marketing—electronic race bookmaking, sports bookmaking and totalisator licensees</w:t>
      </w:r>
    </w:p>
    <w:p w14:paraId="2A0908A1" w14:textId="19814407" w:rsidR="00AB30F2" w:rsidRDefault="00AB30F2" w:rsidP="00955DBA">
      <w:pPr>
        <w:pStyle w:val="AmdtsEntries"/>
      </w:pPr>
      <w:r>
        <w:t>sch 1 s 1.30C hdg</w:t>
      </w:r>
      <w:r>
        <w:tab/>
        <w:t xml:space="preserve">sub </w:t>
      </w:r>
      <w:hyperlink r:id="rId255"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13</w:t>
      </w:r>
    </w:p>
    <w:p w14:paraId="724654C6" w14:textId="2DBCD8C8" w:rsidR="00955DBA" w:rsidRDefault="00955DBA" w:rsidP="00955DBA">
      <w:pPr>
        <w:pStyle w:val="AmdtsEntries"/>
      </w:pPr>
      <w:r>
        <w:t>sch 1 s 1.30C</w:t>
      </w:r>
      <w:r>
        <w:tab/>
        <w:t xml:space="preserve">ins </w:t>
      </w:r>
      <w:hyperlink r:id="rId256" w:tooltip="Gambling and Racing Control (Code of Practice) Amendment Regulation 2019 (No 1)" w:history="1">
        <w:r>
          <w:rPr>
            <w:rStyle w:val="charCitHyperlinkAbbrev"/>
          </w:rPr>
          <w:t>SL2019</w:t>
        </w:r>
        <w:r>
          <w:rPr>
            <w:rStyle w:val="charCitHyperlinkAbbrev"/>
          </w:rPr>
          <w:noBreakHyphen/>
          <w:t>10</w:t>
        </w:r>
      </w:hyperlink>
      <w:r>
        <w:t xml:space="preserve"> s 9</w:t>
      </w:r>
    </w:p>
    <w:p w14:paraId="3169190A" w14:textId="4CA6F4B6" w:rsidR="00AB30F2" w:rsidRDefault="00AB30F2" w:rsidP="00955DBA">
      <w:pPr>
        <w:pStyle w:val="AmdtsEntries"/>
      </w:pPr>
      <w:r>
        <w:tab/>
        <w:t xml:space="preserve">am </w:t>
      </w:r>
      <w:hyperlink r:id="rId257"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14, s 15</w:t>
      </w:r>
    </w:p>
    <w:p w14:paraId="0F2F2C64" w14:textId="3A2303B2" w:rsidR="004102FF" w:rsidRDefault="00363479" w:rsidP="004102FF">
      <w:pPr>
        <w:pStyle w:val="AmdtsEntryHd"/>
        <w:rPr>
          <w:rStyle w:val="charItals"/>
        </w:rPr>
      </w:pPr>
      <w:r w:rsidRPr="00D17D0C">
        <w:rPr>
          <w:shd w:val="clear" w:color="auto" w:fill="FFFFFF"/>
        </w:rPr>
        <w:t xml:space="preserve">Guidelines for direct marketing by </w:t>
      </w:r>
      <w:r>
        <w:rPr>
          <w:shd w:val="clear" w:color="auto" w:fill="FFFFFF"/>
        </w:rPr>
        <w:t xml:space="preserve">electronic </w:t>
      </w:r>
      <w:r w:rsidRPr="00D17D0C">
        <w:rPr>
          <w:shd w:val="clear" w:color="auto" w:fill="FFFFFF"/>
        </w:rPr>
        <w:t>race bookmaking, sports bookmaking and totalisator licensees</w:t>
      </w:r>
    </w:p>
    <w:p w14:paraId="0F682DC0" w14:textId="6C0E0EDC" w:rsidR="00AB30F2" w:rsidRDefault="00AB30F2" w:rsidP="00AB30F2">
      <w:pPr>
        <w:pStyle w:val="AmdtsEntries"/>
      </w:pPr>
      <w:r>
        <w:t>sch 1 s 1.30D hdg</w:t>
      </w:r>
      <w:r>
        <w:tab/>
        <w:t xml:space="preserve">sub </w:t>
      </w:r>
      <w:hyperlink r:id="rId258"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1</w:t>
      </w:r>
      <w:r w:rsidR="00AA5D8F">
        <w:t>6</w:t>
      </w:r>
    </w:p>
    <w:p w14:paraId="1FC6A091" w14:textId="771631D1" w:rsidR="004102FF" w:rsidRDefault="004102FF" w:rsidP="004102FF">
      <w:pPr>
        <w:pStyle w:val="AmdtsEntries"/>
      </w:pPr>
      <w:r>
        <w:t>sch 1 s 1.30D</w:t>
      </w:r>
      <w:r>
        <w:tab/>
        <w:t xml:space="preserve">ins </w:t>
      </w:r>
      <w:hyperlink r:id="rId259" w:tooltip="Gambling and Racing Control (Code of Practice) Amendment Regulation 2019 (No 1)" w:history="1">
        <w:r>
          <w:rPr>
            <w:rStyle w:val="charCitHyperlinkAbbrev"/>
          </w:rPr>
          <w:t>SL2019</w:t>
        </w:r>
        <w:r>
          <w:rPr>
            <w:rStyle w:val="charCitHyperlinkAbbrev"/>
          </w:rPr>
          <w:noBreakHyphen/>
          <w:t>10</w:t>
        </w:r>
      </w:hyperlink>
      <w:r>
        <w:t xml:space="preserve"> s 9</w:t>
      </w:r>
    </w:p>
    <w:p w14:paraId="7F81774E" w14:textId="7F448E7E" w:rsidR="00AA5D8F" w:rsidRDefault="00AA5D8F" w:rsidP="00AA5D8F">
      <w:pPr>
        <w:pStyle w:val="AmdtsEntries"/>
      </w:pPr>
      <w:r>
        <w:tab/>
        <w:t xml:space="preserve">am </w:t>
      </w:r>
      <w:hyperlink r:id="rId260"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17, s 18</w:t>
      </w:r>
    </w:p>
    <w:p w14:paraId="728ED4F1" w14:textId="272E08AA" w:rsidR="006B04E1" w:rsidRDefault="006B04E1" w:rsidP="006B04E1">
      <w:pPr>
        <w:pStyle w:val="AmdtsEntryHd"/>
      </w:pPr>
      <w:r w:rsidRPr="003042FA">
        <w:t>Miscellaneous</w:t>
      </w:r>
    </w:p>
    <w:p w14:paraId="3DD13A2C" w14:textId="2AA03D1F" w:rsidR="006B04E1" w:rsidRDefault="006B04E1" w:rsidP="00AA5D8F">
      <w:pPr>
        <w:pStyle w:val="AmdtsEntries"/>
      </w:pPr>
      <w:r>
        <w:t>div 1.4.5 hdg</w:t>
      </w:r>
      <w:r>
        <w:tab/>
        <w:t xml:space="preserve">ins </w:t>
      </w:r>
      <w:hyperlink r:id="rId261" w:tooltip="Gambling and Racing Control (Code of Practice) Amendment Regulation 2023 (No 1)" w:history="1">
        <w:r>
          <w:rPr>
            <w:rStyle w:val="charCitHyperlinkAbbrev"/>
          </w:rPr>
          <w:t>SL2023</w:t>
        </w:r>
        <w:r>
          <w:rPr>
            <w:rStyle w:val="charCitHyperlinkAbbrev"/>
          </w:rPr>
          <w:noBreakHyphen/>
          <w:t>8</w:t>
        </w:r>
      </w:hyperlink>
      <w:r>
        <w:t xml:space="preserve"> s 12</w:t>
      </w:r>
    </w:p>
    <w:p w14:paraId="220AA2E9" w14:textId="77777777" w:rsidR="002647F9" w:rsidRDefault="00C96D70" w:rsidP="002647F9">
      <w:pPr>
        <w:pStyle w:val="AmdtsEntryHd"/>
        <w:rPr>
          <w:rStyle w:val="charItals"/>
        </w:rPr>
      </w:pPr>
      <w:r>
        <w:t>Directions about advertising, promotions and inducements</w:t>
      </w:r>
    </w:p>
    <w:p w14:paraId="0D187C05" w14:textId="3361D19F" w:rsidR="002647F9" w:rsidRDefault="002647F9" w:rsidP="002647F9">
      <w:pPr>
        <w:pStyle w:val="AmdtsEntries"/>
      </w:pPr>
      <w:r>
        <w:t>sch 1 s 1.31</w:t>
      </w:r>
      <w:r>
        <w:tab/>
        <w:t xml:space="preserve">am </w:t>
      </w:r>
      <w:hyperlink r:id="rId262" w:tooltip="Gambling and Racing Control (Code of Practice) Amendment Regulation 2014 (No 1)" w:history="1">
        <w:r>
          <w:rPr>
            <w:rStyle w:val="charCitHyperlinkAbbrev"/>
          </w:rPr>
          <w:t>SL2014</w:t>
        </w:r>
        <w:r>
          <w:rPr>
            <w:rStyle w:val="charCitHyperlinkAbbrev"/>
          </w:rPr>
          <w:noBreakHyphen/>
          <w:t>17</w:t>
        </w:r>
      </w:hyperlink>
      <w:r>
        <w:t xml:space="preserve"> s 35</w:t>
      </w:r>
      <w:r w:rsidR="004102FF">
        <w:t xml:space="preserve">, </w:t>
      </w:r>
      <w:hyperlink r:id="rId263" w:tooltip="Gambling and Racing Control (Code of Practice) Amendment Regulation 2019 (No 1)" w:history="1">
        <w:r w:rsidR="004102FF">
          <w:rPr>
            <w:rStyle w:val="charCitHyperlinkAbbrev"/>
          </w:rPr>
          <w:t>SL2019</w:t>
        </w:r>
        <w:r w:rsidR="004102FF">
          <w:rPr>
            <w:rStyle w:val="charCitHyperlinkAbbrev"/>
          </w:rPr>
          <w:noBreakHyphen/>
          <w:t>10</w:t>
        </w:r>
      </w:hyperlink>
      <w:r w:rsidR="004102FF">
        <w:t xml:space="preserve"> s 10</w:t>
      </w:r>
    </w:p>
    <w:p w14:paraId="4534C3BF" w14:textId="211A583E" w:rsidR="00460E0B" w:rsidRDefault="00460E0B" w:rsidP="004102FF">
      <w:pPr>
        <w:pStyle w:val="AmdtsEntryHd"/>
      </w:pPr>
      <w:r>
        <w:t>Club licensee obligations—club refuge declarations</w:t>
      </w:r>
    </w:p>
    <w:p w14:paraId="381348D0" w14:textId="6450995F" w:rsidR="00460E0B" w:rsidRPr="00460E0B" w:rsidRDefault="00460E0B" w:rsidP="00460E0B">
      <w:pPr>
        <w:pStyle w:val="AmdtsEntries"/>
      </w:pPr>
      <w:r>
        <w:t>sch 1 pt 1.5 hdg</w:t>
      </w:r>
      <w:r>
        <w:tab/>
        <w:t xml:space="preserve">ins </w:t>
      </w:r>
      <w:hyperlink r:id="rId264" w:tooltip="Gaming Machine (Club Refuge) Amendment Act 2023" w:history="1">
        <w:r>
          <w:rPr>
            <w:rStyle w:val="charCitHyperlinkAbbrev"/>
          </w:rPr>
          <w:t>A2023</w:t>
        </w:r>
        <w:r>
          <w:rPr>
            <w:rStyle w:val="charCitHyperlinkAbbrev"/>
          </w:rPr>
          <w:noBreakHyphen/>
          <w:t>28</w:t>
        </w:r>
      </w:hyperlink>
      <w:r>
        <w:t xml:space="preserve"> amdt 1.1</w:t>
      </w:r>
    </w:p>
    <w:p w14:paraId="3EEA5C21" w14:textId="7BE3151E" w:rsidR="00460E0B" w:rsidRDefault="00460E0B" w:rsidP="00460E0B">
      <w:pPr>
        <w:pStyle w:val="AmdtsEntryHd"/>
      </w:pPr>
      <w:r>
        <w:t>Application—pt 1.5</w:t>
      </w:r>
    </w:p>
    <w:p w14:paraId="3FDD43D1" w14:textId="6497CBAF" w:rsidR="00460E0B" w:rsidRPr="00460E0B" w:rsidRDefault="00460E0B" w:rsidP="00460E0B">
      <w:pPr>
        <w:pStyle w:val="AmdtsEntries"/>
      </w:pPr>
      <w:r>
        <w:t>sch 1 s 1.32</w:t>
      </w:r>
      <w:r>
        <w:tab/>
        <w:t xml:space="preserve">ins </w:t>
      </w:r>
      <w:hyperlink r:id="rId265" w:tooltip="Gaming Machine (Club Refuge) Amendment Act 2023" w:history="1">
        <w:r>
          <w:rPr>
            <w:rStyle w:val="charCitHyperlinkAbbrev"/>
          </w:rPr>
          <w:t>A2023</w:t>
        </w:r>
        <w:r>
          <w:rPr>
            <w:rStyle w:val="charCitHyperlinkAbbrev"/>
          </w:rPr>
          <w:noBreakHyphen/>
          <w:t>28</w:t>
        </w:r>
      </w:hyperlink>
      <w:r>
        <w:t xml:space="preserve"> amdt 1.1</w:t>
      </w:r>
    </w:p>
    <w:p w14:paraId="36B54880" w14:textId="6A4E4569" w:rsidR="00460E0B" w:rsidRDefault="00460E0B" w:rsidP="00460E0B">
      <w:pPr>
        <w:pStyle w:val="AmdtsEntryHd"/>
      </w:pPr>
      <w:r>
        <w:t xml:space="preserve">Meaning of </w:t>
      </w:r>
      <w:r w:rsidRPr="00886E69">
        <w:rPr>
          <w:rStyle w:val="charItals"/>
        </w:rPr>
        <w:t>club refuge declaration</w:t>
      </w:r>
      <w:r>
        <w:t>—pt 1.5</w:t>
      </w:r>
    </w:p>
    <w:p w14:paraId="63AB2E2A" w14:textId="49950DFF" w:rsidR="00460E0B" w:rsidRPr="00460E0B" w:rsidRDefault="00460E0B" w:rsidP="00460E0B">
      <w:pPr>
        <w:pStyle w:val="AmdtsEntries"/>
      </w:pPr>
      <w:r>
        <w:t>sch 1 s 1.33</w:t>
      </w:r>
      <w:r>
        <w:tab/>
        <w:t xml:space="preserve">ins </w:t>
      </w:r>
      <w:hyperlink r:id="rId266" w:tooltip="Gaming Machine (Club Refuge) Amendment Act 2023" w:history="1">
        <w:r>
          <w:rPr>
            <w:rStyle w:val="charCitHyperlinkAbbrev"/>
          </w:rPr>
          <w:t>A2023</w:t>
        </w:r>
        <w:r>
          <w:rPr>
            <w:rStyle w:val="charCitHyperlinkAbbrev"/>
          </w:rPr>
          <w:noBreakHyphen/>
          <w:t>28</w:t>
        </w:r>
      </w:hyperlink>
      <w:r>
        <w:t xml:space="preserve"> amdt 1.1</w:t>
      </w:r>
    </w:p>
    <w:p w14:paraId="5B50A607" w14:textId="36ED0202" w:rsidR="00460E0B" w:rsidRDefault="00460E0B" w:rsidP="00460E0B">
      <w:pPr>
        <w:pStyle w:val="AmdtsEntryHd"/>
      </w:pPr>
      <w:r>
        <w:t>Club refuge declaration—refuge area</w:t>
      </w:r>
    </w:p>
    <w:p w14:paraId="3FFE3B0D" w14:textId="15D7118C" w:rsidR="00460E0B" w:rsidRPr="00460E0B" w:rsidRDefault="00460E0B" w:rsidP="00460E0B">
      <w:pPr>
        <w:pStyle w:val="AmdtsEntries"/>
      </w:pPr>
      <w:r>
        <w:t>sch 1 s 1.34</w:t>
      </w:r>
      <w:r>
        <w:tab/>
        <w:t xml:space="preserve">ins </w:t>
      </w:r>
      <w:hyperlink r:id="rId267" w:tooltip="Gaming Machine (Club Refuge) Amendment Act 2023" w:history="1">
        <w:r>
          <w:rPr>
            <w:rStyle w:val="charCitHyperlinkAbbrev"/>
          </w:rPr>
          <w:t>A2023</w:t>
        </w:r>
        <w:r>
          <w:rPr>
            <w:rStyle w:val="charCitHyperlinkAbbrev"/>
          </w:rPr>
          <w:noBreakHyphen/>
          <w:t>28</w:t>
        </w:r>
      </w:hyperlink>
      <w:r>
        <w:t xml:space="preserve"> amdt 1.1</w:t>
      </w:r>
    </w:p>
    <w:p w14:paraId="5E37B548" w14:textId="6EAF6366" w:rsidR="00460E0B" w:rsidRDefault="00460E0B" w:rsidP="00460E0B">
      <w:pPr>
        <w:pStyle w:val="AmdtsEntryHd"/>
      </w:pPr>
      <w:r w:rsidRPr="00F846F6">
        <w:t>Club refuge declaration—information about emergencies and refuges</w:t>
      </w:r>
    </w:p>
    <w:p w14:paraId="1A32781B" w14:textId="118ACFD1" w:rsidR="00460E0B" w:rsidRPr="00460E0B" w:rsidRDefault="00460E0B" w:rsidP="00460E0B">
      <w:pPr>
        <w:pStyle w:val="AmdtsEntries"/>
      </w:pPr>
      <w:r>
        <w:t>sch 1 s 1.35</w:t>
      </w:r>
      <w:r>
        <w:tab/>
        <w:t xml:space="preserve">ins </w:t>
      </w:r>
      <w:hyperlink r:id="rId268" w:tooltip="Gaming Machine (Club Refuge) Amendment Act 2023" w:history="1">
        <w:r>
          <w:rPr>
            <w:rStyle w:val="charCitHyperlinkAbbrev"/>
          </w:rPr>
          <w:t>A2023</w:t>
        </w:r>
        <w:r>
          <w:rPr>
            <w:rStyle w:val="charCitHyperlinkAbbrev"/>
          </w:rPr>
          <w:noBreakHyphen/>
          <w:t>28</w:t>
        </w:r>
      </w:hyperlink>
      <w:r>
        <w:t xml:space="preserve"> amdt 1.1</w:t>
      </w:r>
    </w:p>
    <w:p w14:paraId="67440D6F" w14:textId="53289488" w:rsidR="00460E0B" w:rsidRDefault="00460E0B" w:rsidP="00460E0B">
      <w:pPr>
        <w:pStyle w:val="AmdtsEntryHd"/>
      </w:pPr>
      <w:r>
        <w:t>Club refuge declaration—gambling contact officers</w:t>
      </w:r>
    </w:p>
    <w:p w14:paraId="38C45635" w14:textId="33EFA15E" w:rsidR="00460E0B" w:rsidRPr="00460E0B" w:rsidRDefault="00460E0B" w:rsidP="00460E0B">
      <w:pPr>
        <w:pStyle w:val="AmdtsEntries"/>
      </w:pPr>
      <w:r>
        <w:t>sch 1 s 1.36</w:t>
      </w:r>
      <w:r>
        <w:tab/>
        <w:t xml:space="preserve">ins </w:t>
      </w:r>
      <w:hyperlink r:id="rId269" w:tooltip="Gaming Machine (Club Refuge) Amendment Act 2023" w:history="1">
        <w:r>
          <w:rPr>
            <w:rStyle w:val="charCitHyperlinkAbbrev"/>
          </w:rPr>
          <w:t>A2023</w:t>
        </w:r>
        <w:r>
          <w:rPr>
            <w:rStyle w:val="charCitHyperlinkAbbrev"/>
          </w:rPr>
          <w:noBreakHyphen/>
          <w:t>28</w:t>
        </w:r>
      </w:hyperlink>
      <w:r>
        <w:t xml:space="preserve"> amdt 1.1</w:t>
      </w:r>
    </w:p>
    <w:p w14:paraId="0B4B44E3" w14:textId="2FFB35E7" w:rsidR="00460E0B" w:rsidRDefault="00460E0B" w:rsidP="00460E0B">
      <w:pPr>
        <w:pStyle w:val="AmdtsEntryHd"/>
      </w:pPr>
      <w:r>
        <w:t>Club refuge declaration—direct marketing</w:t>
      </w:r>
    </w:p>
    <w:p w14:paraId="619E6652" w14:textId="42AEC0A3" w:rsidR="00460E0B" w:rsidRPr="00460E0B" w:rsidRDefault="00460E0B" w:rsidP="00460E0B">
      <w:pPr>
        <w:pStyle w:val="AmdtsEntries"/>
      </w:pPr>
      <w:r>
        <w:t>sch 1 s 1.37</w:t>
      </w:r>
      <w:r>
        <w:tab/>
        <w:t xml:space="preserve">ins </w:t>
      </w:r>
      <w:hyperlink r:id="rId270" w:tooltip="Gaming Machine (Club Refuge) Amendment Act 2023" w:history="1">
        <w:r>
          <w:rPr>
            <w:rStyle w:val="charCitHyperlinkAbbrev"/>
          </w:rPr>
          <w:t>A2023</w:t>
        </w:r>
        <w:r>
          <w:rPr>
            <w:rStyle w:val="charCitHyperlinkAbbrev"/>
          </w:rPr>
          <w:noBreakHyphen/>
          <w:t>28</w:t>
        </w:r>
      </w:hyperlink>
      <w:r>
        <w:t xml:space="preserve"> amdt 1.1</w:t>
      </w:r>
    </w:p>
    <w:p w14:paraId="7F5A8834" w14:textId="7CA44695" w:rsidR="004102FF" w:rsidRDefault="004102FF" w:rsidP="004102FF">
      <w:pPr>
        <w:pStyle w:val="AmdtsEntryHd"/>
        <w:rPr>
          <w:rStyle w:val="charItals"/>
        </w:rPr>
      </w:pPr>
      <w:r w:rsidRPr="001E4518">
        <w:t>Transitional</w:t>
      </w:r>
      <w:r w:rsidRPr="001E4518">
        <w:rPr>
          <w:color w:val="000000"/>
        </w:rPr>
        <w:t>—Gambling and Racing Control (Code of Practice) Amendment Regulation 2019 (No 1)</w:t>
      </w:r>
    </w:p>
    <w:p w14:paraId="4F284287" w14:textId="1C44165A" w:rsidR="004102FF" w:rsidRDefault="004102FF" w:rsidP="004102FF">
      <w:pPr>
        <w:pStyle w:val="AmdtsEntries"/>
      </w:pPr>
      <w:r>
        <w:t>sch 1 pt 1.10 hdg</w:t>
      </w:r>
      <w:r>
        <w:tab/>
        <w:t xml:space="preserve">ins </w:t>
      </w:r>
      <w:hyperlink r:id="rId271" w:tooltip="Gambling and Racing Control (Code of Practice) Amendment Regulation 2019 (No 1)" w:history="1">
        <w:r>
          <w:rPr>
            <w:rStyle w:val="charCitHyperlinkAbbrev"/>
          </w:rPr>
          <w:t>SL2019</w:t>
        </w:r>
        <w:r>
          <w:rPr>
            <w:rStyle w:val="charCitHyperlinkAbbrev"/>
          </w:rPr>
          <w:noBreakHyphen/>
          <w:t>10</w:t>
        </w:r>
      </w:hyperlink>
      <w:r>
        <w:t xml:space="preserve"> s 11</w:t>
      </w:r>
    </w:p>
    <w:p w14:paraId="568D16D3" w14:textId="77777777" w:rsidR="007F46CD" w:rsidRPr="007F46CD" w:rsidRDefault="007F46CD" w:rsidP="004102FF">
      <w:pPr>
        <w:pStyle w:val="AmdtsEntries"/>
        <w:rPr>
          <w:u w:val="single"/>
        </w:rPr>
      </w:pPr>
      <w:r>
        <w:tab/>
      </w:r>
      <w:r w:rsidRPr="007105C9">
        <w:t>exp 26 May 20</w:t>
      </w:r>
      <w:r w:rsidR="006E2107" w:rsidRPr="007105C9">
        <w:t>21</w:t>
      </w:r>
      <w:r w:rsidRPr="007105C9">
        <w:t xml:space="preserve"> (s 1.101</w:t>
      </w:r>
      <w:r w:rsidRPr="007F46CD">
        <w:rPr>
          <w:u w:val="single"/>
        </w:rPr>
        <w:t>)</w:t>
      </w:r>
    </w:p>
    <w:p w14:paraId="7DB17810" w14:textId="77777777" w:rsidR="004102FF" w:rsidRDefault="004102FF" w:rsidP="00CE2FCA">
      <w:pPr>
        <w:pStyle w:val="AmdtsEntryHd"/>
        <w:rPr>
          <w:rStyle w:val="charItals"/>
        </w:rPr>
      </w:pPr>
      <w:r w:rsidRPr="001E4518">
        <w:t>Existing account holders</w:t>
      </w:r>
      <w:r w:rsidRPr="001E4518">
        <w:rPr>
          <w:color w:val="000000"/>
        </w:rPr>
        <w:t>—</w:t>
      </w:r>
      <w:r w:rsidRPr="001E4518">
        <w:t>deposit limits</w:t>
      </w:r>
    </w:p>
    <w:p w14:paraId="1C57EEBB" w14:textId="36C05BC7" w:rsidR="004102FF" w:rsidRDefault="004102FF" w:rsidP="00CE2FCA">
      <w:pPr>
        <w:pStyle w:val="AmdtsEntries"/>
        <w:keepNext/>
      </w:pPr>
      <w:r>
        <w:t>sch 1 s 1.100</w:t>
      </w:r>
      <w:r>
        <w:tab/>
        <w:t xml:space="preserve">ins </w:t>
      </w:r>
      <w:hyperlink r:id="rId272" w:tooltip="Gambling and Racing Control (Code of Practice) Amendment Regulation 2019 (No 1)" w:history="1">
        <w:r>
          <w:rPr>
            <w:rStyle w:val="charCitHyperlinkAbbrev"/>
          </w:rPr>
          <w:t>SL2019</w:t>
        </w:r>
        <w:r>
          <w:rPr>
            <w:rStyle w:val="charCitHyperlinkAbbrev"/>
          </w:rPr>
          <w:noBreakHyphen/>
          <w:t>10</w:t>
        </w:r>
      </w:hyperlink>
      <w:r>
        <w:t xml:space="preserve"> s 11</w:t>
      </w:r>
    </w:p>
    <w:p w14:paraId="746E4B94" w14:textId="77777777" w:rsidR="007F46CD" w:rsidRPr="007105C9" w:rsidRDefault="007F46CD" w:rsidP="004102FF">
      <w:pPr>
        <w:pStyle w:val="AmdtsEntries"/>
      </w:pPr>
      <w:r>
        <w:tab/>
      </w:r>
      <w:r w:rsidRPr="007105C9">
        <w:t>exp 26 May 20</w:t>
      </w:r>
      <w:r w:rsidR="006E2107" w:rsidRPr="007105C9">
        <w:t>21</w:t>
      </w:r>
      <w:r w:rsidRPr="007105C9">
        <w:t xml:space="preserve"> (s 1.101)</w:t>
      </w:r>
    </w:p>
    <w:p w14:paraId="46567031" w14:textId="77777777" w:rsidR="004102FF" w:rsidRDefault="004102FF" w:rsidP="004102FF">
      <w:pPr>
        <w:pStyle w:val="AmdtsEntryHd"/>
        <w:rPr>
          <w:rStyle w:val="charItals"/>
        </w:rPr>
      </w:pPr>
      <w:r w:rsidRPr="001E4518">
        <w:t>Expiry</w:t>
      </w:r>
      <w:r w:rsidRPr="001E4518">
        <w:rPr>
          <w:color w:val="000000"/>
        </w:rPr>
        <w:t>—</w:t>
      </w:r>
      <w:r w:rsidRPr="001E4518">
        <w:t>pt 1.10</w:t>
      </w:r>
    </w:p>
    <w:p w14:paraId="7D1AD25A" w14:textId="32F7E88B" w:rsidR="004102FF" w:rsidRDefault="004102FF" w:rsidP="004102FF">
      <w:pPr>
        <w:pStyle w:val="AmdtsEntries"/>
      </w:pPr>
      <w:r>
        <w:t>sch 1 s 1.101</w:t>
      </w:r>
      <w:r>
        <w:tab/>
        <w:t xml:space="preserve">ins </w:t>
      </w:r>
      <w:hyperlink r:id="rId273" w:tooltip="Gambling and Racing Control (Code of Practice) Amendment Regulation 2019 (No 1)" w:history="1">
        <w:r>
          <w:rPr>
            <w:rStyle w:val="charCitHyperlinkAbbrev"/>
          </w:rPr>
          <w:t>SL2019</w:t>
        </w:r>
        <w:r>
          <w:rPr>
            <w:rStyle w:val="charCitHyperlinkAbbrev"/>
          </w:rPr>
          <w:noBreakHyphen/>
          <w:t>10</w:t>
        </w:r>
      </w:hyperlink>
      <w:r>
        <w:t xml:space="preserve"> s 11</w:t>
      </w:r>
    </w:p>
    <w:p w14:paraId="0904BCA3" w14:textId="77777777" w:rsidR="007F46CD" w:rsidRPr="007105C9" w:rsidRDefault="007F46CD" w:rsidP="004102FF">
      <w:pPr>
        <w:pStyle w:val="AmdtsEntries"/>
      </w:pPr>
      <w:r>
        <w:tab/>
      </w:r>
      <w:r w:rsidRPr="007105C9">
        <w:t>exp 26 May 20</w:t>
      </w:r>
      <w:r w:rsidR="006E2107" w:rsidRPr="007105C9">
        <w:t>21</w:t>
      </w:r>
      <w:r w:rsidRPr="007105C9">
        <w:t xml:space="preserve"> (s 1.101)</w:t>
      </w:r>
    </w:p>
    <w:p w14:paraId="15C56919" w14:textId="77777777" w:rsidR="00D847F1" w:rsidRDefault="00D847F1">
      <w:pPr>
        <w:pStyle w:val="AmdtsEntryHd"/>
      </w:pPr>
      <w:r>
        <w:lastRenderedPageBreak/>
        <w:t>Dictionary</w:t>
      </w:r>
    </w:p>
    <w:p w14:paraId="515D9A2E" w14:textId="123C15AD" w:rsidR="00D847F1" w:rsidRDefault="00D847F1">
      <w:pPr>
        <w:pStyle w:val="AmdtsEntries"/>
      </w:pPr>
      <w:r>
        <w:t>dict</w:t>
      </w:r>
      <w:r>
        <w:tab/>
        <w:t xml:space="preserve">am </w:t>
      </w:r>
      <w:hyperlink r:id="rId274" w:tooltip="Gambling and Racing Control (Code of Practice) Amendment Regulations 2004 (No 1)" w:history="1">
        <w:r w:rsidR="00DF21AF" w:rsidRPr="00DF21AF">
          <w:rPr>
            <w:rStyle w:val="charCitHyperlinkAbbrev"/>
          </w:rPr>
          <w:t>SL2004</w:t>
        </w:r>
        <w:r w:rsidR="00DF21AF" w:rsidRPr="00DF21AF">
          <w:rPr>
            <w:rStyle w:val="charCitHyperlinkAbbrev"/>
          </w:rPr>
          <w:noBreakHyphen/>
          <w:t>31</w:t>
        </w:r>
      </w:hyperlink>
      <w:r>
        <w:t xml:space="preserve"> s 35</w:t>
      </w:r>
      <w:r w:rsidR="004031BA">
        <w:t xml:space="preserve">; </w:t>
      </w:r>
      <w:hyperlink r:id="rId275" w:tooltip="ACT Civil and Administrative Tribunal Legislation Amendment Act 2008 (No 2)" w:history="1">
        <w:r w:rsidR="00DF21AF" w:rsidRPr="00DF21AF">
          <w:rPr>
            <w:rStyle w:val="charCitHyperlinkAbbrev"/>
          </w:rPr>
          <w:t>A2008</w:t>
        </w:r>
        <w:r w:rsidR="00DF21AF" w:rsidRPr="00DF21AF">
          <w:rPr>
            <w:rStyle w:val="charCitHyperlinkAbbrev"/>
          </w:rPr>
          <w:noBreakHyphen/>
          <w:t>37</w:t>
        </w:r>
      </w:hyperlink>
      <w:r w:rsidR="004031BA">
        <w:t xml:space="preserve"> amdt 1.210; amdt 1.211</w:t>
      </w:r>
      <w:r w:rsidR="00AA5D8F">
        <w:t xml:space="preserve">; </w:t>
      </w:r>
      <w:hyperlink r:id="rId276"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rsidR="00AA5D8F">
        <w:t xml:space="preserve"> s 19</w:t>
      </w:r>
      <w:r w:rsidR="008D6FF5">
        <w:t xml:space="preserve">; </w:t>
      </w:r>
      <w:hyperlink r:id="rId277" w:tooltip="Gaming Machine (Club Refuge) Amendment Act 2023" w:history="1">
        <w:r w:rsidR="008D6FF5">
          <w:rPr>
            <w:rStyle w:val="charCitHyperlinkAbbrev"/>
          </w:rPr>
          <w:t>A2023</w:t>
        </w:r>
        <w:r w:rsidR="008D6FF5">
          <w:rPr>
            <w:rStyle w:val="charCitHyperlinkAbbrev"/>
          </w:rPr>
          <w:noBreakHyphen/>
          <w:t>28</w:t>
        </w:r>
      </w:hyperlink>
      <w:r w:rsidR="008D6FF5">
        <w:t xml:space="preserve"> amdt 1.2, amdt 1.3</w:t>
      </w:r>
    </w:p>
    <w:p w14:paraId="3D517460" w14:textId="0EEA5829" w:rsidR="00AA5D8F" w:rsidRDefault="00AA5D8F">
      <w:pPr>
        <w:pStyle w:val="AmdtsEntries"/>
      </w:pPr>
      <w:r>
        <w:tab/>
        <w:t xml:space="preserve">def </w:t>
      </w:r>
      <w:r w:rsidRPr="00AA5D8F">
        <w:rPr>
          <w:rStyle w:val="charBoldItals"/>
        </w:rPr>
        <w:t>account holder</w:t>
      </w:r>
      <w:r>
        <w:t xml:space="preserve"> ins </w:t>
      </w:r>
      <w:hyperlink r:id="rId278"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20</w:t>
      </w:r>
    </w:p>
    <w:p w14:paraId="32EC584F" w14:textId="1D3A06DA" w:rsidR="00AA5D8F" w:rsidRDefault="00AA5D8F" w:rsidP="00AA5D8F">
      <w:pPr>
        <w:pStyle w:val="AmdtsEntries"/>
      </w:pPr>
      <w:r>
        <w:tab/>
        <w:t xml:space="preserve">def </w:t>
      </w:r>
      <w:r w:rsidRPr="00D17D0C">
        <w:rPr>
          <w:rStyle w:val="charBoldItals"/>
        </w:rPr>
        <w:t>activity statement</w:t>
      </w:r>
      <w:r>
        <w:t xml:space="preserve"> ins </w:t>
      </w:r>
      <w:hyperlink r:id="rId279"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20</w:t>
      </w:r>
    </w:p>
    <w:p w14:paraId="08F8D23A" w14:textId="7AA387DE" w:rsidR="006B04E1" w:rsidRPr="006B04E1" w:rsidRDefault="006B04E1" w:rsidP="00AA5D8F">
      <w:pPr>
        <w:pStyle w:val="AmdtsEntries"/>
        <w:rPr>
          <w:iCs/>
        </w:rPr>
      </w:pPr>
      <w:r>
        <w:tab/>
        <w:t xml:space="preserve">def </w:t>
      </w:r>
      <w:r w:rsidRPr="00CA67C6">
        <w:rPr>
          <w:rStyle w:val="charBoldItals"/>
        </w:rPr>
        <w:t>app advertising</w:t>
      </w:r>
      <w:r>
        <w:t xml:space="preserve"> ins </w:t>
      </w:r>
      <w:hyperlink r:id="rId280" w:tooltip="Gambling and Racing Control (Code of Practice) Amendment Regulation 2023 (No 1)" w:history="1">
        <w:r>
          <w:rPr>
            <w:rStyle w:val="charCitHyperlinkAbbrev"/>
          </w:rPr>
          <w:t>SL2023</w:t>
        </w:r>
        <w:r>
          <w:rPr>
            <w:rStyle w:val="charCitHyperlinkAbbrev"/>
          </w:rPr>
          <w:noBreakHyphen/>
          <w:t>8</w:t>
        </w:r>
      </w:hyperlink>
      <w:r>
        <w:t xml:space="preserve"> s 13</w:t>
      </w:r>
    </w:p>
    <w:p w14:paraId="0EF0B619" w14:textId="15E51E3A" w:rsidR="00C96D70" w:rsidRPr="00C96D70" w:rsidRDefault="00C96D70">
      <w:pPr>
        <w:pStyle w:val="AmdtsEntries"/>
      </w:pPr>
      <w:r>
        <w:tab/>
        <w:t xml:space="preserve">def </w:t>
      </w:r>
      <w:r>
        <w:rPr>
          <w:b/>
          <w:i/>
        </w:rPr>
        <w:t>approved training program</w:t>
      </w:r>
      <w:r>
        <w:t xml:space="preserve"> am </w:t>
      </w:r>
      <w:hyperlink r:id="rId281" w:tooltip="Gambling and Racing Control (Code of Practice) Amendment Regulation 2014 (No 1)" w:history="1">
        <w:r>
          <w:rPr>
            <w:rStyle w:val="charCitHyperlinkAbbrev"/>
          </w:rPr>
          <w:t>SL2014</w:t>
        </w:r>
        <w:r>
          <w:rPr>
            <w:rStyle w:val="charCitHyperlinkAbbrev"/>
          </w:rPr>
          <w:noBreakHyphen/>
          <w:t>17</w:t>
        </w:r>
      </w:hyperlink>
      <w:r>
        <w:t xml:space="preserve"> s 36</w:t>
      </w:r>
    </w:p>
    <w:p w14:paraId="4C2A323E" w14:textId="584B3438" w:rsidR="00AA5D8F" w:rsidRDefault="00AA5D8F" w:rsidP="00AA5D8F">
      <w:pPr>
        <w:pStyle w:val="AmdtsEntries"/>
      </w:pPr>
      <w:r>
        <w:tab/>
        <w:t xml:space="preserve">def </w:t>
      </w:r>
      <w:r w:rsidRPr="00D17D0C">
        <w:rPr>
          <w:rStyle w:val="charBoldItals"/>
        </w:rPr>
        <w:t>betting account</w:t>
      </w:r>
      <w:r>
        <w:t xml:space="preserve"> ins </w:t>
      </w:r>
      <w:hyperlink r:id="rId282"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20</w:t>
      </w:r>
    </w:p>
    <w:p w14:paraId="306281B5" w14:textId="418B476A" w:rsidR="00AA5D8F" w:rsidRDefault="00AA5D8F" w:rsidP="00AA5D8F">
      <w:pPr>
        <w:pStyle w:val="AmdtsEntries"/>
      </w:pPr>
      <w:r>
        <w:tab/>
        <w:t xml:space="preserve">def </w:t>
      </w:r>
      <w:r>
        <w:rPr>
          <w:rStyle w:val="charBoldItals"/>
        </w:rPr>
        <w:t>bonus bet</w:t>
      </w:r>
      <w:r>
        <w:t xml:space="preserve"> ins </w:t>
      </w:r>
      <w:hyperlink r:id="rId283"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20</w:t>
      </w:r>
    </w:p>
    <w:p w14:paraId="48B175C8" w14:textId="795548BA" w:rsidR="006B04E1" w:rsidRPr="006B04E1" w:rsidRDefault="006B04E1" w:rsidP="00AA5D8F">
      <w:pPr>
        <w:pStyle w:val="AmdtsEntries"/>
        <w:rPr>
          <w:bCs/>
          <w:iCs/>
        </w:rPr>
      </w:pPr>
      <w:r>
        <w:tab/>
        <w:t xml:space="preserve">def </w:t>
      </w:r>
      <w:r w:rsidRPr="00CA67C6">
        <w:rPr>
          <w:rStyle w:val="charBoldItals"/>
        </w:rPr>
        <w:t>call to action</w:t>
      </w:r>
      <w:r>
        <w:t xml:space="preserve"> ins </w:t>
      </w:r>
      <w:hyperlink r:id="rId284" w:tooltip="Gambling and Racing Control (Code of Practice) Amendment Regulation 2023 (No 1)" w:history="1">
        <w:r>
          <w:rPr>
            <w:rStyle w:val="charCitHyperlinkAbbrev"/>
          </w:rPr>
          <w:t>SL2023</w:t>
        </w:r>
        <w:r>
          <w:rPr>
            <w:rStyle w:val="charCitHyperlinkAbbrev"/>
          </w:rPr>
          <w:noBreakHyphen/>
          <w:t>8</w:t>
        </w:r>
      </w:hyperlink>
      <w:r>
        <w:t xml:space="preserve"> s 13</w:t>
      </w:r>
    </w:p>
    <w:p w14:paraId="43869953" w14:textId="7C6EC658" w:rsidR="00D847F1" w:rsidRPr="00F1531F" w:rsidRDefault="00D847F1">
      <w:pPr>
        <w:pStyle w:val="AmdtsEntries"/>
      </w:pPr>
      <w:r>
        <w:tab/>
        <w:t xml:space="preserve">def </w:t>
      </w:r>
      <w:r w:rsidRPr="00F1531F">
        <w:rPr>
          <w:rStyle w:val="charBoldItals"/>
        </w:rPr>
        <w:t>casino licensee</w:t>
      </w:r>
      <w:r>
        <w:t xml:space="preserve"> sub </w:t>
      </w:r>
      <w:hyperlink r:id="rId285" w:tooltip="Casino Control Act 2006" w:history="1">
        <w:r w:rsidR="00DF21AF" w:rsidRPr="00DF21AF">
          <w:rPr>
            <w:rStyle w:val="charCitHyperlinkAbbrev"/>
          </w:rPr>
          <w:t>A2006</w:t>
        </w:r>
        <w:r w:rsidR="00DF21AF" w:rsidRPr="00DF21AF">
          <w:rPr>
            <w:rStyle w:val="charCitHyperlinkAbbrev"/>
          </w:rPr>
          <w:noBreakHyphen/>
          <w:t>2</w:t>
        </w:r>
      </w:hyperlink>
      <w:r>
        <w:t xml:space="preserve"> amdt 1.12</w:t>
      </w:r>
    </w:p>
    <w:p w14:paraId="0FB83F87" w14:textId="0D3A2003" w:rsidR="008D6FF5" w:rsidRDefault="008D6FF5" w:rsidP="00C96D70">
      <w:pPr>
        <w:pStyle w:val="AmdtsEntries"/>
      </w:pPr>
      <w:r>
        <w:tab/>
        <w:t xml:space="preserve">def </w:t>
      </w:r>
      <w:r w:rsidRPr="008D6FF5">
        <w:rPr>
          <w:rStyle w:val="charBoldItals"/>
        </w:rPr>
        <w:t>club refuge declaration</w:t>
      </w:r>
      <w:r>
        <w:t xml:space="preserve"> ins </w:t>
      </w:r>
      <w:hyperlink r:id="rId286" w:tooltip="Gaming Machine (Club Refuge) Amendment Act 2023" w:history="1">
        <w:r>
          <w:rPr>
            <w:rStyle w:val="charCitHyperlinkAbbrev"/>
          </w:rPr>
          <w:t>A2023</w:t>
        </w:r>
        <w:r>
          <w:rPr>
            <w:rStyle w:val="charCitHyperlinkAbbrev"/>
          </w:rPr>
          <w:noBreakHyphen/>
          <w:t>28</w:t>
        </w:r>
      </w:hyperlink>
      <w:r>
        <w:t xml:space="preserve"> amdt 1.4</w:t>
      </w:r>
    </w:p>
    <w:p w14:paraId="1DB4E07E" w14:textId="0EC21AFF" w:rsidR="00C96D70" w:rsidRPr="00C96D70" w:rsidRDefault="00C96D70" w:rsidP="00C96D70">
      <w:pPr>
        <w:pStyle w:val="AmdtsEntries"/>
      </w:pPr>
      <w:r>
        <w:tab/>
        <w:t xml:space="preserve">def </w:t>
      </w:r>
      <w:r>
        <w:rPr>
          <w:b/>
          <w:i/>
        </w:rPr>
        <w:t>deed</w:t>
      </w:r>
      <w:r w:rsidR="00F74C1D">
        <w:t xml:space="preserve"> o</w:t>
      </w:r>
      <w:r>
        <w:t xml:space="preserve">m </w:t>
      </w:r>
      <w:hyperlink r:id="rId287" w:tooltip="Gambling and Racing Control (Code of Practice) Amendment Regulation 2014 (No 1)" w:history="1">
        <w:r>
          <w:rPr>
            <w:rStyle w:val="charCitHyperlinkAbbrev"/>
          </w:rPr>
          <w:t>SL2014</w:t>
        </w:r>
        <w:r>
          <w:rPr>
            <w:rStyle w:val="charCitHyperlinkAbbrev"/>
          </w:rPr>
          <w:noBreakHyphen/>
          <w:t>17</w:t>
        </w:r>
      </w:hyperlink>
      <w:r>
        <w:t xml:space="preserve"> s 37</w:t>
      </w:r>
    </w:p>
    <w:p w14:paraId="3F15055C" w14:textId="57E9D36B" w:rsidR="00F74C1D" w:rsidRDefault="00F74C1D" w:rsidP="00F74C1D">
      <w:pPr>
        <w:pStyle w:val="AmdtsEntries"/>
      </w:pPr>
      <w:r>
        <w:tab/>
        <w:t xml:space="preserve">def </w:t>
      </w:r>
      <w:r>
        <w:rPr>
          <w:b/>
          <w:i/>
        </w:rPr>
        <w:t>deed of exclusion</w:t>
      </w:r>
      <w:r>
        <w:t xml:space="preserve"> ins </w:t>
      </w:r>
      <w:hyperlink r:id="rId288" w:tooltip="Gambling and Racing Control (Code of Practice) Amendment Regulation 2014 (No 1)" w:history="1">
        <w:r>
          <w:rPr>
            <w:rStyle w:val="charCitHyperlinkAbbrev"/>
          </w:rPr>
          <w:t>SL2014</w:t>
        </w:r>
        <w:r>
          <w:rPr>
            <w:rStyle w:val="charCitHyperlinkAbbrev"/>
          </w:rPr>
          <w:noBreakHyphen/>
          <w:t>17</w:t>
        </w:r>
      </w:hyperlink>
      <w:r>
        <w:t xml:space="preserve"> s 38</w:t>
      </w:r>
    </w:p>
    <w:p w14:paraId="2F69A076" w14:textId="5316F6B6" w:rsidR="00AA5D8F" w:rsidRPr="00C96D70" w:rsidRDefault="00AA5D8F" w:rsidP="00AA5D8F">
      <w:pPr>
        <w:pStyle w:val="AmdtsEntriesDefL2"/>
      </w:pPr>
      <w:r>
        <w:tab/>
        <w:t xml:space="preserve">sub </w:t>
      </w:r>
      <w:hyperlink r:id="rId289"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21</w:t>
      </w:r>
    </w:p>
    <w:p w14:paraId="40222FB7" w14:textId="27AAD5B0" w:rsidR="0096050C" w:rsidRDefault="0096050C" w:rsidP="0096050C">
      <w:pPr>
        <w:pStyle w:val="AmdtsEntries"/>
      </w:pPr>
      <w:r>
        <w:tab/>
        <w:t xml:space="preserve">def </w:t>
      </w:r>
      <w:r>
        <w:rPr>
          <w:rStyle w:val="charBoldItals"/>
        </w:rPr>
        <w:t>deposit limit</w:t>
      </w:r>
      <w:r>
        <w:t xml:space="preserve"> ins </w:t>
      </w:r>
      <w:hyperlink r:id="rId290"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22</w:t>
      </w:r>
    </w:p>
    <w:p w14:paraId="41F71B81" w14:textId="76576319" w:rsidR="006B04E1" w:rsidRPr="006B04E1" w:rsidRDefault="006B04E1" w:rsidP="0096050C">
      <w:pPr>
        <w:pStyle w:val="AmdtsEntries"/>
        <w:rPr>
          <w:bCs/>
          <w:iCs/>
        </w:rPr>
      </w:pPr>
      <w:r>
        <w:tab/>
        <w:t xml:space="preserve">def </w:t>
      </w:r>
      <w:r w:rsidRPr="00CA67C6">
        <w:rPr>
          <w:rStyle w:val="charBoldItals"/>
        </w:rPr>
        <w:t>digital advertising</w:t>
      </w:r>
      <w:r>
        <w:t xml:space="preserve"> ins </w:t>
      </w:r>
      <w:hyperlink r:id="rId291" w:tooltip="Gambling and Racing Control (Code of Practice) Amendment Regulation 2023 (No 1)" w:history="1">
        <w:r>
          <w:rPr>
            <w:rStyle w:val="charCitHyperlinkAbbrev"/>
          </w:rPr>
          <w:t>SL2023</w:t>
        </w:r>
        <w:r>
          <w:rPr>
            <w:rStyle w:val="charCitHyperlinkAbbrev"/>
          </w:rPr>
          <w:noBreakHyphen/>
          <w:t>8</w:t>
        </w:r>
      </w:hyperlink>
      <w:r>
        <w:t xml:space="preserve"> s 13</w:t>
      </w:r>
    </w:p>
    <w:p w14:paraId="373FC9C5" w14:textId="353B62B9" w:rsidR="0096050C" w:rsidRDefault="0096050C" w:rsidP="0096050C">
      <w:pPr>
        <w:pStyle w:val="AmdtsEntries"/>
      </w:pPr>
      <w:r>
        <w:tab/>
        <w:t xml:space="preserve">def </w:t>
      </w:r>
      <w:r>
        <w:rPr>
          <w:rStyle w:val="charBoldItals"/>
        </w:rPr>
        <w:t>direct marketing</w:t>
      </w:r>
      <w:r>
        <w:t xml:space="preserve"> ins </w:t>
      </w:r>
      <w:hyperlink r:id="rId292"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22</w:t>
      </w:r>
    </w:p>
    <w:p w14:paraId="4BC69FD0" w14:textId="3DB22CE3" w:rsidR="00212522" w:rsidRDefault="00212522" w:rsidP="00212522">
      <w:pPr>
        <w:pStyle w:val="AmdtsEntriesDefL2"/>
      </w:pPr>
      <w:r>
        <w:tab/>
        <w:t xml:space="preserve">sub </w:t>
      </w:r>
      <w:hyperlink r:id="rId293" w:tooltip="Gambling and Racing Control (Code of Practice) Amendment Regulation 2023 (No 1)" w:history="1">
        <w:r>
          <w:rPr>
            <w:rStyle w:val="charCitHyperlinkAbbrev"/>
          </w:rPr>
          <w:t>SL2023</w:t>
        </w:r>
        <w:r>
          <w:rPr>
            <w:rStyle w:val="charCitHyperlinkAbbrev"/>
          </w:rPr>
          <w:noBreakHyphen/>
          <w:t>8</w:t>
        </w:r>
      </w:hyperlink>
      <w:r>
        <w:t xml:space="preserve"> s 14</w:t>
      </w:r>
    </w:p>
    <w:p w14:paraId="05ED933F" w14:textId="40458A91" w:rsidR="0096050C" w:rsidRDefault="0096050C" w:rsidP="0096050C">
      <w:pPr>
        <w:pStyle w:val="AmdtsEntries"/>
      </w:pPr>
      <w:r>
        <w:tab/>
        <w:t xml:space="preserve">def </w:t>
      </w:r>
      <w:r w:rsidRPr="00D17D0C">
        <w:rPr>
          <w:rStyle w:val="charBoldItals"/>
        </w:rPr>
        <w:t>electronic race bookmaking licensee</w:t>
      </w:r>
      <w:r>
        <w:t xml:space="preserve"> ins </w:t>
      </w:r>
      <w:hyperlink r:id="rId294"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22</w:t>
      </w:r>
    </w:p>
    <w:p w14:paraId="171F6946" w14:textId="5CFE2DCB" w:rsidR="00212522" w:rsidRDefault="00212522" w:rsidP="0096050C">
      <w:pPr>
        <w:pStyle w:val="AmdtsEntries"/>
      </w:pPr>
      <w:r>
        <w:tab/>
        <w:t xml:space="preserve">def </w:t>
      </w:r>
      <w:r w:rsidRPr="00CA67C6">
        <w:rPr>
          <w:rStyle w:val="charBoldItals"/>
        </w:rPr>
        <w:t>electronic sports bookmaking licensee</w:t>
      </w:r>
      <w:r>
        <w:t xml:space="preserve"> ins </w:t>
      </w:r>
      <w:hyperlink r:id="rId295" w:tooltip="Gambling and Racing Control (Code of Practice) Amendment Regulation 2023 (No 1)" w:history="1">
        <w:r>
          <w:rPr>
            <w:rStyle w:val="charCitHyperlinkAbbrev"/>
          </w:rPr>
          <w:t>SL2023</w:t>
        </w:r>
        <w:r>
          <w:rPr>
            <w:rStyle w:val="charCitHyperlinkAbbrev"/>
          </w:rPr>
          <w:noBreakHyphen/>
          <w:t>8</w:t>
        </w:r>
      </w:hyperlink>
      <w:r>
        <w:t xml:space="preserve"> s 15</w:t>
      </w:r>
    </w:p>
    <w:p w14:paraId="34AF7DE6" w14:textId="28A0BB97" w:rsidR="00212522" w:rsidRDefault="00212522" w:rsidP="00212522">
      <w:pPr>
        <w:pStyle w:val="AmdtsEntries"/>
      </w:pPr>
      <w:r>
        <w:tab/>
        <w:t xml:space="preserve">def </w:t>
      </w:r>
      <w:r w:rsidRPr="00CA67C6">
        <w:rPr>
          <w:rStyle w:val="charBoldItals"/>
        </w:rPr>
        <w:t>electronic totalisator licensee</w:t>
      </w:r>
      <w:r>
        <w:t xml:space="preserve"> ins </w:t>
      </w:r>
      <w:hyperlink r:id="rId296" w:tooltip="Gambling and Racing Control (Code of Practice) Amendment Regulation 2023 (No 1)" w:history="1">
        <w:r>
          <w:rPr>
            <w:rStyle w:val="charCitHyperlinkAbbrev"/>
          </w:rPr>
          <w:t>SL2023</w:t>
        </w:r>
        <w:r>
          <w:rPr>
            <w:rStyle w:val="charCitHyperlinkAbbrev"/>
          </w:rPr>
          <w:noBreakHyphen/>
          <w:t>8</w:t>
        </w:r>
      </w:hyperlink>
      <w:r>
        <w:t xml:space="preserve"> s 15</w:t>
      </w:r>
    </w:p>
    <w:p w14:paraId="247B6E1E" w14:textId="4E6EBA19" w:rsidR="00F74C1D" w:rsidRPr="00C96D70" w:rsidRDefault="00F74C1D" w:rsidP="00F74C1D">
      <w:pPr>
        <w:pStyle w:val="AmdtsEntries"/>
      </w:pPr>
      <w:r>
        <w:tab/>
        <w:t xml:space="preserve">def </w:t>
      </w:r>
      <w:r w:rsidR="006D63DD" w:rsidRPr="00A35BB6">
        <w:rPr>
          <w:rStyle w:val="charBoldItals"/>
        </w:rPr>
        <w:t>exclusion register</w:t>
      </w:r>
      <w:r>
        <w:t xml:space="preserve"> ins </w:t>
      </w:r>
      <w:hyperlink r:id="rId297" w:tooltip="Gambling and Racing Control (Code of Practice) Amendment Regulation 2014 (No 1)" w:history="1">
        <w:r>
          <w:rPr>
            <w:rStyle w:val="charCitHyperlinkAbbrev"/>
          </w:rPr>
          <w:t>SL2014</w:t>
        </w:r>
        <w:r>
          <w:rPr>
            <w:rStyle w:val="charCitHyperlinkAbbrev"/>
          </w:rPr>
          <w:noBreakHyphen/>
          <w:t>17</w:t>
        </w:r>
      </w:hyperlink>
      <w:r>
        <w:t xml:space="preserve"> s 38</w:t>
      </w:r>
    </w:p>
    <w:p w14:paraId="2480CA7A" w14:textId="006E3865" w:rsidR="0096050C" w:rsidRPr="00C96D70" w:rsidRDefault="0096050C" w:rsidP="0096050C">
      <w:pPr>
        <w:pStyle w:val="AmdtsEntriesDefL2"/>
      </w:pPr>
      <w:r>
        <w:tab/>
        <w:t xml:space="preserve">sub </w:t>
      </w:r>
      <w:hyperlink r:id="rId298"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23</w:t>
      </w:r>
    </w:p>
    <w:p w14:paraId="2E3C4A9E" w14:textId="129F8744" w:rsidR="00D847F1" w:rsidRDefault="00D847F1" w:rsidP="00F74C1D">
      <w:pPr>
        <w:pStyle w:val="AmdtsEntries"/>
        <w:keepNext/>
      </w:pPr>
      <w:r>
        <w:tab/>
        <w:t xml:space="preserve">def </w:t>
      </w:r>
      <w:r w:rsidRPr="00F1531F">
        <w:rPr>
          <w:rStyle w:val="charBoldItals"/>
        </w:rPr>
        <w:t xml:space="preserve">exempt lottery </w:t>
      </w:r>
      <w:r>
        <w:t xml:space="preserve">ins </w:t>
      </w:r>
      <w:hyperlink r:id="rId299" w:tooltip="Gambling and Racing Control (Code of Practice) Amendment Regulations 2004 (No 1)" w:history="1">
        <w:r w:rsidR="00DF21AF" w:rsidRPr="00DF21AF">
          <w:rPr>
            <w:rStyle w:val="charCitHyperlinkAbbrev"/>
          </w:rPr>
          <w:t>SL2004</w:t>
        </w:r>
        <w:r w:rsidR="00DF21AF" w:rsidRPr="00DF21AF">
          <w:rPr>
            <w:rStyle w:val="charCitHyperlinkAbbrev"/>
          </w:rPr>
          <w:noBreakHyphen/>
          <w:t>31</w:t>
        </w:r>
      </w:hyperlink>
      <w:r>
        <w:t xml:space="preserve"> s 36</w:t>
      </w:r>
    </w:p>
    <w:p w14:paraId="5A076172" w14:textId="768620B0" w:rsidR="00D847F1" w:rsidRDefault="00D847F1">
      <w:pPr>
        <w:pStyle w:val="AmdtsEntriesDefL2"/>
      </w:pPr>
      <w:r>
        <w:tab/>
        <w:t xml:space="preserve">sub </w:t>
      </w:r>
      <w:hyperlink r:id="rId300" w:tooltip="Statute Law Amendment Act 2007 (No 2)" w:history="1">
        <w:r w:rsidR="00DF21AF" w:rsidRPr="00DF21AF">
          <w:rPr>
            <w:rStyle w:val="charCitHyperlinkAbbrev"/>
          </w:rPr>
          <w:t>A2007</w:t>
        </w:r>
        <w:r w:rsidR="00DF21AF" w:rsidRPr="00DF21AF">
          <w:rPr>
            <w:rStyle w:val="charCitHyperlinkAbbrev"/>
          </w:rPr>
          <w:noBreakHyphen/>
          <w:t>16</w:t>
        </w:r>
      </w:hyperlink>
      <w:r>
        <w:t xml:space="preserve"> amdt 3.67</w:t>
      </w:r>
    </w:p>
    <w:p w14:paraId="1EA02FA3" w14:textId="43042428" w:rsidR="00E5051B" w:rsidRDefault="00E5051B" w:rsidP="00E5051B">
      <w:pPr>
        <w:pStyle w:val="AmdtsEntries"/>
      </w:pPr>
      <w:r>
        <w:tab/>
        <w:t xml:space="preserve">def </w:t>
      </w:r>
      <w:r w:rsidRPr="00CA67C6">
        <w:rPr>
          <w:rStyle w:val="charBoldItals"/>
        </w:rPr>
        <w:t>gambling advertising</w:t>
      </w:r>
      <w:r>
        <w:t xml:space="preserve"> ins </w:t>
      </w:r>
      <w:hyperlink r:id="rId301" w:tooltip="Gambling and Racing Control (Code of Practice) Amendment Regulation 2023 (No 1)" w:history="1">
        <w:r>
          <w:rPr>
            <w:rStyle w:val="charCitHyperlinkAbbrev"/>
          </w:rPr>
          <w:t>SL2023</w:t>
        </w:r>
        <w:r>
          <w:rPr>
            <w:rStyle w:val="charCitHyperlinkAbbrev"/>
          </w:rPr>
          <w:noBreakHyphen/>
          <w:t>8</w:t>
        </w:r>
      </w:hyperlink>
      <w:r>
        <w:t xml:space="preserve"> s 15</w:t>
      </w:r>
    </w:p>
    <w:p w14:paraId="6A8CEDA5" w14:textId="437F0536" w:rsidR="0096050C" w:rsidRDefault="0096050C" w:rsidP="00F74C1D">
      <w:pPr>
        <w:pStyle w:val="AmdtsEntries"/>
      </w:pPr>
      <w:r>
        <w:tab/>
        <w:t xml:space="preserve">def </w:t>
      </w:r>
      <w:r w:rsidRPr="0096050C">
        <w:rPr>
          <w:rStyle w:val="charBoldItals"/>
        </w:rPr>
        <w:t>gambling problem</w:t>
      </w:r>
      <w:r>
        <w:t xml:space="preserve"> sub </w:t>
      </w:r>
      <w:hyperlink r:id="rId302"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23</w:t>
      </w:r>
    </w:p>
    <w:p w14:paraId="7870719E" w14:textId="10729715" w:rsidR="0096050C" w:rsidRDefault="0096050C" w:rsidP="0096050C">
      <w:pPr>
        <w:pStyle w:val="AmdtsEntries"/>
      </w:pPr>
      <w:r>
        <w:tab/>
        <w:t xml:space="preserve">def </w:t>
      </w:r>
      <w:r>
        <w:rPr>
          <w:rStyle w:val="charBoldItals"/>
        </w:rPr>
        <w:t>licensee</w:t>
      </w:r>
      <w:r>
        <w:t xml:space="preserve"> sub </w:t>
      </w:r>
      <w:hyperlink r:id="rId303"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23</w:t>
      </w:r>
    </w:p>
    <w:p w14:paraId="68322848" w14:textId="7573CD60" w:rsidR="00F74C1D" w:rsidRPr="00C96D70" w:rsidRDefault="00F74C1D" w:rsidP="00F74C1D">
      <w:pPr>
        <w:pStyle w:val="AmdtsEntries"/>
      </w:pPr>
      <w:r>
        <w:tab/>
        <w:t xml:space="preserve">def </w:t>
      </w:r>
      <w:r w:rsidR="006D63DD" w:rsidRPr="00A35BB6">
        <w:rPr>
          <w:rStyle w:val="charBoldItals"/>
        </w:rPr>
        <w:t>notice of exclusion</w:t>
      </w:r>
      <w:r>
        <w:t xml:space="preserve"> ins </w:t>
      </w:r>
      <w:hyperlink r:id="rId304" w:tooltip="Gambling and Racing Control (Code of Practice) Amendment Regulation 2014 (No 1)" w:history="1">
        <w:r>
          <w:rPr>
            <w:rStyle w:val="charCitHyperlinkAbbrev"/>
          </w:rPr>
          <w:t>SL2014</w:t>
        </w:r>
        <w:r>
          <w:rPr>
            <w:rStyle w:val="charCitHyperlinkAbbrev"/>
          </w:rPr>
          <w:noBreakHyphen/>
          <w:t>17</w:t>
        </w:r>
      </w:hyperlink>
      <w:r>
        <w:t xml:space="preserve"> s 38</w:t>
      </w:r>
    </w:p>
    <w:p w14:paraId="6A4CAD2D" w14:textId="2D3C058D" w:rsidR="0096050C" w:rsidRPr="00C96D70" w:rsidRDefault="0096050C" w:rsidP="0096050C">
      <w:pPr>
        <w:pStyle w:val="AmdtsEntriesDefL2"/>
      </w:pPr>
      <w:r>
        <w:tab/>
        <w:t xml:space="preserve">sub </w:t>
      </w:r>
      <w:hyperlink r:id="rId305"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23</w:t>
      </w:r>
    </w:p>
    <w:p w14:paraId="16C7CE64" w14:textId="0C3BC45F" w:rsidR="0096050C" w:rsidRDefault="0096050C" w:rsidP="0096050C">
      <w:pPr>
        <w:pStyle w:val="AmdtsEntries"/>
      </w:pPr>
      <w:r>
        <w:tab/>
        <w:t xml:space="preserve">def </w:t>
      </w:r>
      <w:r w:rsidRPr="00D17D0C">
        <w:rPr>
          <w:rStyle w:val="charBoldItals"/>
        </w:rPr>
        <w:t>online betting account</w:t>
      </w:r>
      <w:r>
        <w:t xml:space="preserve"> ins </w:t>
      </w:r>
      <w:hyperlink r:id="rId306"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24</w:t>
      </w:r>
    </w:p>
    <w:p w14:paraId="00E7FDEC" w14:textId="6D804B44" w:rsidR="00E5051B" w:rsidRDefault="00E5051B" w:rsidP="0096050C">
      <w:pPr>
        <w:pStyle w:val="AmdtsEntries"/>
      </w:pPr>
      <w:bookmarkStart w:id="140" w:name="_Hlk136338951"/>
      <w:r>
        <w:tab/>
        <w:t xml:space="preserve">def </w:t>
      </w:r>
      <w:r w:rsidRPr="00CA67C6">
        <w:rPr>
          <w:rStyle w:val="charBoldItals"/>
        </w:rPr>
        <w:t>print advertising</w:t>
      </w:r>
      <w:r>
        <w:t xml:space="preserve"> ins </w:t>
      </w:r>
      <w:hyperlink r:id="rId307" w:tooltip="Gambling and Racing Control (Code of Practice) Amendment Regulation 2023 (No 1)" w:history="1">
        <w:r>
          <w:rPr>
            <w:rStyle w:val="charCitHyperlinkAbbrev"/>
          </w:rPr>
          <w:t>SL2023</w:t>
        </w:r>
        <w:r>
          <w:rPr>
            <w:rStyle w:val="charCitHyperlinkAbbrev"/>
          </w:rPr>
          <w:noBreakHyphen/>
          <w:t>8</w:t>
        </w:r>
      </w:hyperlink>
      <w:r>
        <w:t xml:space="preserve"> s 15</w:t>
      </w:r>
    </w:p>
    <w:bookmarkEnd w:id="140"/>
    <w:p w14:paraId="67403223" w14:textId="2027ED0D" w:rsidR="00D847F1" w:rsidRDefault="00D847F1">
      <w:pPr>
        <w:pStyle w:val="AmdtsEntries"/>
      </w:pPr>
      <w:r>
        <w:tab/>
        <w:t xml:space="preserve">def </w:t>
      </w:r>
      <w:r w:rsidRPr="00F1531F">
        <w:rPr>
          <w:rStyle w:val="charBoldItals"/>
        </w:rPr>
        <w:t xml:space="preserve">private lottery </w:t>
      </w:r>
      <w:r>
        <w:t xml:space="preserve">om </w:t>
      </w:r>
      <w:hyperlink r:id="rId308" w:tooltip="Gambling and Racing Control (Code of Practice) Amendment Regulations 2004 (No 1)" w:history="1">
        <w:r w:rsidR="00DF21AF" w:rsidRPr="00DF21AF">
          <w:rPr>
            <w:rStyle w:val="charCitHyperlinkAbbrev"/>
          </w:rPr>
          <w:t>SL2004</w:t>
        </w:r>
        <w:r w:rsidR="00DF21AF" w:rsidRPr="00DF21AF">
          <w:rPr>
            <w:rStyle w:val="charCitHyperlinkAbbrev"/>
          </w:rPr>
          <w:noBreakHyphen/>
          <w:t>31</w:t>
        </w:r>
      </w:hyperlink>
      <w:r>
        <w:t xml:space="preserve"> s 37</w:t>
      </w:r>
    </w:p>
    <w:p w14:paraId="2A1D4DF1" w14:textId="2A903FDA" w:rsidR="00E5051B" w:rsidRDefault="00E5051B" w:rsidP="00E5051B">
      <w:pPr>
        <w:pStyle w:val="AmdtsEntries"/>
      </w:pPr>
      <w:r>
        <w:tab/>
        <w:t xml:space="preserve">def </w:t>
      </w:r>
      <w:r w:rsidRPr="00CA67C6">
        <w:rPr>
          <w:rStyle w:val="charBoldItals"/>
        </w:rPr>
        <w:t>radio advertising</w:t>
      </w:r>
      <w:r>
        <w:t xml:space="preserve"> ins </w:t>
      </w:r>
      <w:hyperlink r:id="rId309" w:tooltip="Gambling and Racing Control (Code of Practice) Amendment Regulation 2023 (No 1)" w:history="1">
        <w:r>
          <w:rPr>
            <w:rStyle w:val="charCitHyperlinkAbbrev"/>
          </w:rPr>
          <w:t>SL2023</w:t>
        </w:r>
        <w:r>
          <w:rPr>
            <w:rStyle w:val="charCitHyperlinkAbbrev"/>
          </w:rPr>
          <w:noBreakHyphen/>
          <w:t>8</w:t>
        </w:r>
      </w:hyperlink>
      <w:r>
        <w:t xml:space="preserve"> s 15</w:t>
      </w:r>
    </w:p>
    <w:p w14:paraId="1B4F7967" w14:textId="26B83757" w:rsidR="00E5051B" w:rsidRDefault="00E5051B" w:rsidP="00E5051B">
      <w:pPr>
        <w:pStyle w:val="AmdtsEntries"/>
      </w:pPr>
      <w:r>
        <w:tab/>
        <w:t xml:space="preserve">def </w:t>
      </w:r>
      <w:r w:rsidRPr="00CA67C6">
        <w:rPr>
          <w:rStyle w:val="charBoldItals"/>
        </w:rPr>
        <w:t>social media advertising</w:t>
      </w:r>
      <w:r>
        <w:t xml:space="preserve"> ins </w:t>
      </w:r>
      <w:hyperlink r:id="rId310" w:tooltip="Gambling and Racing Control (Code of Practice) Amendment Regulation 2023 (No 1)" w:history="1">
        <w:r>
          <w:rPr>
            <w:rStyle w:val="charCitHyperlinkAbbrev"/>
          </w:rPr>
          <w:t>SL2023</w:t>
        </w:r>
        <w:r>
          <w:rPr>
            <w:rStyle w:val="charCitHyperlinkAbbrev"/>
          </w:rPr>
          <w:noBreakHyphen/>
          <w:t>8</w:t>
        </w:r>
      </w:hyperlink>
      <w:r>
        <w:t xml:space="preserve"> s 15</w:t>
      </w:r>
    </w:p>
    <w:p w14:paraId="24D05CB5" w14:textId="3964A4E2" w:rsidR="00F74C1D" w:rsidRPr="00C96D70" w:rsidRDefault="00F74C1D" w:rsidP="00F74C1D">
      <w:pPr>
        <w:pStyle w:val="AmdtsEntries"/>
      </w:pPr>
      <w:r>
        <w:tab/>
        <w:t xml:space="preserve">def </w:t>
      </w:r>
      <w:r w:rsidR="006D63DD" w:rsidRPr="00A35BB6">
        <w:rPr>
          <w:rStyle w:val="charBoldItals"/>
        </w:rPr>
        <w:t>sports bookmaking licensee</w:t>
      </w:r>
      <w:r>
        <w:t xml:space="preserve"> ins </w:t>
      </w:r>
      <w:hyperlink r:id="rId311" w:tooltip="Gambling and Racing Control (Code of Practice) Amendment Regulation 2014 (No 1)" w:history="1">
        <w:r>
          <w:rPr>
            <w:rStyle w:val="charCitHyperlinkAbbrev"/>
          </w:rPr>
          <w:t>SL2014</w:t>
        </w:r>
        <w:r>
          <w:rPr>
            <w:rStyle w:val="charCitHyperlinkAbbrev"/>
          </w:rPr>
          <w:noBreakHyphen/>
          <w:t>17</w:t>
        </w:r>
      </w:hyperlink>
      <w:r>
        <w:t xml:space="preserve"> s 38</w:t>
      </w:r>
    </w:p>
    <w:p w14:paraId="7737BE8F" w14:textId="2201FE85" w:rsidR="00731AD8" w:rsidRDefault="00731AD8" w:rsidP="00731AD8">
      <w:pPr>
        <w:pStyle w:val="AmdtsEntries"/>
      </w:pPr>
      <w:r>
        <w:tab/>
        <w:t xml:space="preserve">def </w:t>
      </w:r>
      <w:r w:rsidRPr="00D17D0C">
        <w:rPr>
          <w:rStyle w:val="charBoldItals"/>
        </w:rPr>
        <w:t>statement period</w:t>
      </w:r>
      <w:r>
        <w:t xml:space="preserve"> ins </w:t>
      </w:r>
      <w:hyperlink r:id="rId312"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24</w:t>
      </w:r>
    </w:p>
    <w:p w14:paraId="2887E4EA" w14:textId="7F0485C1" w:rsidR="00F323A5" w:rsidRDefault="00F323A5" w:rsidP="00F323A5">
      <w:pPr>
        <w:pStyle w:val="AmdtsEntries"/>
      </w:pPr>
      <w:r>
        <w:tab/>
        <w:t xml:space="preserve">def </w:t>
      </w:r>
      <w:r w:rsidRPr="00CA67C6">
        <w:rPr>
          <w:rStyle w:val="charBoldItals"/>
        </w:rPr>
        <w:t>tagline</w:t>
      </w:r>
      <w:r>
        <w:t xml:space="preserve"> ins </w:t>
      </w:r>
      <w:hyperlink r:id="rId313" w:tooltip="Gambling and Racing Control (Code of Practice) Amendment Regulation 2023 (No 1)" w:history="1">
        <w:r>
          <w:rPr>
            <w:rStyle w:val="charCitHyperlinkAbbrev"/>
          </w:rPr>
          <w:t>SL2023</w:t>
        </w:r>
        <w:r>
          <w:rPr>
            <w:rStyle w:val="charCitHyperlinkAbbrev"/>
          </w:rPr>
          <w:noBreakHyphen/>
          <w:t>8</w:t>
        </w:r>
      </w:hyperlink>
      <w:r>
        <w:t xml:space="preserve"> s 15</w:t>
      </w:r>
    </w:p>
    <w:p w14:paraId="26990FDC" w14:textId="7F3E50FA" w:rsidR="00F323A5" w:rsidRDefault="00F323A5" w:rsidP="00F323A5">
      <w:pPr>
        <w:pStyle w:val="AmdtsEntries"/>
      </w:pPr>
      <w:r>
        <w:tab/>
        <w:t xml:space="preserve">def </w:t>
      </w:r>
      <w:r w:rsidRPr="00CA67C6">
        <w:rPr>
          <w:rStyle w:val="charBoldItals"/>
        </w:rPr>
        <w:t>television</w:t>
      </w:r>
      <w:r>
        <w:t xml:space="preserve"> ins </w:t>
      </w:r>
      <w:hyperlink r:id="rId314" w:tooltip="Gambling and Racing Control (Code of Practice) Amendment Regulation 2023 (No 1)" w:history="1">
        <w:r>
          <w:rPr>
            <w:rStyle w:val="charCitHyperlinkAbbrev"/>
          </w:rPr>
          <w:t>SL2023</w:t>
        </w:r>
        <w:r>
          <w:rPr>
            <w:rStyle w:val="charCitHyperlinkAbbrev"/>
          </w:rPr>
          <w:noBreakHyphen/>
          <w:t>8</w:t>
        </w:r>
      </w:hyperlink>
      <w:r>
        <w:t xml:space="preserve"> s 15</w:t>
      </w:r>
    </w:p>
    <w:p w14:paraId="261723B7" w14:textId="1445F4B4" w:rsidR="00F323A5" w:rsidRDefault="00F323A5" w:rsidP="00F323A5">
      <w:pPr>
        <w:pStyle w:val="AmdtsEntries"/>
      </w:pPr>
      <w:r>
        <w:tab/>
        <w:t xml:space="preserve">def </w:t>
      </w:r>
      <w:r w:rsidRPr="00CA67C6">
        <w:rPr>
          <w:rStyle w:val="charBoldItals"/>
        </w:rPr>
        <w:t>television or video advertising</w:t>
      </w:r>
      <w:r>
        <w:t xml:space="preserve"> ins </w:t>
      </w:r>
      <w:hyperlink r:id="rId315" w:tooltip="Gambling and Racing Control (Code of Practice) Amendment Regulation 2023 (No 1)" w:history="1">
        <w:r>
          <w:rPr>
            <w:rStyle w:val="charCitHyperlinkAbbrev"/>
          </w:rPr>
          <w:t>SL2023</w:t>
        </w:r>
        <w:r>
          <w:rPr>
            <w:rStyle w:val="charCitHyperlinkAbbrev"/>
          </w:rPr>
          <w:noBreakHyphen/>
          <w:t>8</w:t>
        </w:r>
      </w:hyperlink>
      <w:r>
        <w:t xml:space="preserve"> s 15</w:t>
      </w:r>
    </w:p>
    <w:p w14:paraId="6881461F" w14:textId="7A386EE9" w:rsidR="00F74C1D" w:rsidRPr="00C96D70" w:rsidRDefault="00F74C1D" w:rsidP="00F74C1D">
      <w:pPr>
        <w:pStyle w:val="AmdtsEntries"/>
      </w:pPr>
      <w:r>
        <w:tab/>
        <w:t xml:space="preserve">def </w:t>
      </w:r>
      <w:r w:rsidR="006D63DD" w:rsidRPr="00A35BB6">
        <w:rPr>
          <w:rStyle w:val="charBoldItals"/>
        </w:rPr>
        <w:t>totalisator licensee</w:t>
      </w:r>
      <w:r>
        <w:t xml:space="preserve"> ins </w:t>
      </w:r>
      <w:hyperlink r:id="rId316" w:tooltip="Gambling and Racing Control (Code of Practice) Amendment Regulation 2014 (No 1)" w:history="1">
        <w:r>
          <w:rPr>
            <w:rStyle w:val="charCitHyperlinkAbbrev"/>
          </w:rPr>
          <w:t>SL2014</w:t>
        </w:r>
        <w:r>
          <w:rPr>
            <w:rStyle w:val="charCitHyperlinkAbbrev"/>
          </w:rPr>
          <w:noBreakHyphen/>
          <w:t>17</w:t>
        </w:r>
      </w:hyperlink>
      <w:r>
        <w:t xml:space="preserve"> s 38</w:t>
      </w:r>
    </w:p>
    <w:p w14:paraId="426C0035" w14:textId="4737F4C9" w:rsidR="00F74C1D" w:rsidRDefault="00F74C1D" w:rsidP="00FF358C">
      <w:pPr>
        <w:pStyle w:val="AmdtsEntries"/>
        <w:keepNext/>
      </w:pPr>
      <w:r>
        <w:lastRenderedPageBreak/>
        <w:tab/>
        <w:t xml:space="preserve">def </w:t>
      </w:r>
      <w:r w:rsidR="006D63DD" w:rsidRPr="00A35BB6">
        <w:rPr>
          <w:rStyle w:val="charBoldItals"/>
        </w:rPr>
        <w:t>trading day</w:t>
      </w:r>
      <w:r>
        <w:t xml:space="preserve"> ins </w:t>
      </w:r>
      <w:hyperlink r:id="rId317" w:tooltip="Gambling and Racing Control (Code of Practice) Amendment Regulation 2014 (No 1)" w:history="1">
        <w:r>
          <w:rPr>
            <w:rStyle w:val="charCitHyperlinkAbbrev"/>
          </w:rPr>
          <w:t>SL2014</w:t>
        </w:r>
        <w:r>
          <w:rPr>
            <w:rStyle w:val="charCitHyperlinkAbbrev"/>
          </w:rPr>
          <w:noBreakHyphen/>
          <w:t>17</w:t>
        </w:r>
      </w:hyperlink>
      <w:r>
        <w:t xml:space="preserve"> s 38</w:t>
      </w:r>
    </w:p>
    <w:p w14:paraId="7B27A048" w14:textId="22DCFC61" w:rsidR="00731AD8" w:rsidRDefault="00731AD8" w:rsidP="00FF358C">
      <w:pPr>
        <w:pStyle w:val="AmdtsEntries"/>
        <w:keepNext/>
      </w:pPr>
      <w:r>
        <w:tab/>
        <w:t xml:space="preserve">def </w:t>
      </w:r>
      <w:r>
        <w:rPr>
          <w:rStyle w:val="charBoldItals"/>
        </w:rPr>
        <w:t>transaction</w:t>
      </w:r>
      <w:r>
        <w:t xml:space="preserve"> ins </w:t>
      </w:r>
      <w:hyperlink r:id="rId318"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24</w:t>
      </w:r>
    </w:p>
    <w:p w14:paraId="08E9EBD0" w14:textId="08BF4371" w:rsidR="00731AD8" w:rsidRDefault="00731AD8" w:rsidP="00FF358C">
      <w:pPr>
        <w:pStyle w:val="AmdtsEntries"/>
        <w:keepNext/>
      </w:pPr>
      <w:r>
        <w:tab/>
        <w:t xml:space="preserve">def </w:t>
      </w:r>
      <w:r>
        <w:rPr>
          <w:rStyle w:val="charBoldItals"/>
        </w:rPr>
        <w:t>transaction record</w:t>
      </w:r>
      <w:r>
        <w:t xml:space="preserve"> ins </w:t>
      </w:r>
      <w:hyperlink r:id="rId319" w:tooltip="Gambling and Racing Control (Code of Practice) Amendment Regulation 2022 (No 1)" w:history="1">
        <w:r w:rsidR="00141032" w:rsidRPr="009E42A0">
          <w:rPr>
            <w:rStyle w:val="charCitHyperlinkAbbrev"/>
          </w:rPr>
          <w:t>SL2022</w:t>
        </w:r>
        <w:r w:rsidR="00141032" w:rsidRPr="009E42A0">
          <w:rPr>
            <w:rStyle w:val="charCitHyperlinkAbbrev"/>
          </w:rPr>
          <w:noBreakHyphen/>
          <w:t>17</w:t>
        </w:r>
      </w:hyperlink>
      <w:r>
        <w:t xml:space="preserve"> s 24</w:t>
      </w:r>
    </w:p>
    <w:p w14:paraId="37B41BD9" w14:textId="6909B36E" w:rsidR="00F323A5" w:rsidRDefault="00F323A5" w:rsidP="00F323A5">
      <w:pPr>
        <w:pStyle w:val="AmdtsEntries"/>
      </w:pPr>
      <w:r>
        <w:tab/>
        <w:t xml:space="preserve">def </w:t>
      </w:r>
      <w:r w:rsidRPr="00CA67C6">
        <w:rPr>
          <w:rStyle w:val="charBoldItals"/>
        </w:rPr>
        <w:t>website advertising</w:t>
      </w:r>
      <w:r>
        <w:t xml:space="preserve"> ins </w:t>
      </w:r>
      <w:hyperlink r:id="rId320" w:tooltip="Gambling and Racing Control (Code of Practice) Amendment Regulation 2023 (No 1)" w:history="1">
        <w:r>
          <w:rPr>
            <w:rStyle w:val="charCitHyperlinkAbbrev"/>
          </w:rPr>
          <w:t>SL2023</w:t>
        </w:r>
        <w:r>
          <w:rPr>
            <w:rStyle w:val="charCitHyperlinkAbbrev"/>
          </w:rPr>
          <w:noBreakHyphen/>
          <w:t>8</w:t>
        </w:r>
      </w:hyperlink>
      <w:r>
        <w:t xml:space="preserve"> s 15</w:t>
      </w:r>
    </w:p>
    <w:p w14:paraId="4450CF24" w14:textId="0243A776" w:rsidR="006D63DD" w:rsidRPr="00C96D70" w:rsidRDefault="006D63DD" w:rsidP="006D63DD">
      <w:pPr>
        <w:pStyle w:val="AmdtsEntries"/>
      </w:pPr>
      <w:r>
        <w:tab/>
        <w:t xml:space="preserve">def </w:t>
      </w:r>
      <w:r w:rsidRPr="00A35BB6">
        <w:rPr>
          <w:rStyle w:val="charBoldItals"/>
        </w:rPr>
        <w:t>winnings</w:t>
      </w:r>
      <w:r>
        <w:rPr>
          <w:rStyle w:val="charBoldItals"/>
        </w:rPr>
        <w:t xml:space="preserve"> </w:t>
      </w:r>
      <w:r>
        <w:t xml:space="preserve">ins </w:t>
      </w:r>
      <w:hyperlink r:id="rId321" w:tooltip="Gambling and Racing Control (Code of Practice) Amendment Regulation 2014 (No 1)" w:history="1">
        <w:r>
          <w:rPr>
            <w:rStyle w:val="charCitHyperlinkAbbrev"/>
          </w:rPr>
          <w:t>SL2014</w:t>
        </w:r>
        <w:r>
          <w:rPr>
            <w:rStyle w:val="charCitHyperlinkAbbrev"/>
          </w:rPr>
          <w:noBreakHyphen/>
          <w:t>17</w:t>
        </w:r>
      </w:hyperlink>
      <w:r>
        <w:t xml:space="preserve"> s 38</w:t>
      </w:r>
    </w:p>
    <w:p w14:paraId="6B276268" w14:textId="77777777" w:rsidR="0053766D" w:rsidRPr="0053766D" w:rsidRDefault="0053766D" w:rsidP="0053766D">
      <w:pPr>
        <w:pStyle w:val="PageBreak"/>
      </w:pPr>
      <w:r w:rsidRPr="0053766D">
        <w:br w:type="page"/>
      </w:r>
    </w:p>
    <w:p w14:paraId="60F710D0" w14:textId="77777777" w:rsidR="00D847F1" w:rsidRPr="004D57A4" w:rsidRDefault="00D847F1">
      <w:pPr>
        <w:pStyle w:val="Endnote20"/>
      </w:pPr>
      <w:bookmarkStart w:id="141" w:name="_Toc155080795"/>
      <w:r w:rsidRPr="004D57A4">
        <w:rPr>
          <w:rStyle w:val="charTableNo"/>
        </w:rPr>
        <w:lastRenderedPageBreak/>
        <w:t>5</w:t>
      </w:r>
      <w:r>
        <w:tab/>
      </w:r>
      <w:r w:rsidRPr="004D57A4">
        <w:rPr>
          <w:rStyle w:val="charTableText"/>
        </w:rPr>
        <w:t>Earlier republications</w:t>
      </w:r>
      <w:bookmarkEnd w:id="141"/>
    </w:p>
    <w:p w14:paraId="014CDE19" w14:textId="77777777" w:rsidR="00D847F1" w:rsidRDefault="00D847F1">
      <w:pPr>
        <w:pStyle w:val="EndNoteTextEPS"/>
        <w:keepNext/>
      </w:pPr>
      <w:r>
        <w:t xml:space="preserve">Some earlier republications were not numbered. The number in column 1 refers to the publication order.  </w:t>
      </w:r>
    </w:p>
    <w:p w14:paraId="7CF11316" w14:textId="77777777" w:rsidR="00D847F1" w:rsidRDefault="00D847F1">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7762110" w14:textId="77777777" w:rsidR="00D847F1" w:rsidRDefault="00D847F1">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D847F1" w14:paraId="70D630A6" w14:textId="77777777">
        <w:trPr>
          <w:tblHeader/>
        </w:trPr>
        <w:tc>
          <w:tcPr>
            <w:tcW w:w="1930" w:type="dxa"/>
          </w:tcPr>
          <w:p w14:paraId="19DF41C0" w14:textId="77777777" w:rsidR="00D847F1" w:rsidRDefault="00D847F1">
            <w:pPr>
              <w:pStyle w:val="EarlierRepubHdg"/>
            </w:pPr>
            <w:r>
              <w:t>Republication No</w:t>
            </w:r>
          </w:p>
        </w:tc>
        <w:tc>
          <w:tcPr>
            <w:tcW w:w="2350" w:type="dxa"/>
          </w:tcPr>
          <w:p w14:paraId="24EA1B8C" w14:textId="77777777" w:rsidR="00D847F1" w:rsidRDefault="00D847F1">
            <w:pPr>
              <w:pStyle w:val="EarlierRepubHdg"/>
            </w:pPr>
            <w:r>
              <w:t>Amendments to</w:t>
            </w:r>
          </w:p>
        </w:tc>
        <w:tc>
          <w:tcPr>
            <w:tcW w:w="2350" w:type="dxa"/>
          </w:tcPr>
          <w:p w14:paraId="442F978F" w14:textId="77777777" w:rsidR="00D847F1" w:rsidRDefault="00D847F1">
            <w:pPr>
              <w:pStyle w:val="EarlierRepubHdg"/>
            </w:pPr>
            <w:r>
              <w:t>Republication date</w:t>
            </w:r>
          </w:p>
        </w:tc>
      </w:tr>
      <w:tr w:rsidR="00D847F1" w14:paraId="4DE808C4" w14:textId="77777777">
        <w:tc>
          <w:tcPr>
            <w:tcW w:w="1930" w:type="dxa"/>
          </w:tcPr>
          <w:p w14:paraId="64153921" w14:textId="77777777" w:rsidR="00D847F1" w:rsidRDefault="00D847F1" w:rsidP="004031BA">
            <w:pPr>
              <w:pStyle w:val="EarlierRepubEntries"/>
              <w:keepNext/>
            </w:pPr>
            <w:r>
              <w:t>1</w:t>
            </w:r>
          </w:p>
        </w:tc>
        <w:tc>
          <w:tcPr>
            <w:tcW w:w="2350" w:type="dxa"/>
          </w:tcPr>
          <w:p w14:paraId="1D3D8553" w14:textId="77777777" w:rsidR="00D847F1" w:rsidRDefault="00D847F1">
            <w:pPr>
              <w:pStyle w:val="EarlierRepubEntries"/>
            </w:pPr>
            <w:r>
              <w:t>not amended</w:t>
            </w:r>
          </w:p>
        </w:tc>
        <w:tc>
          <w:tcPr>
            <w:tcW w:w="2350" w:type="dxa"/>
          </w:tcPr>
          <w:p w14:paraId="5C308EED" w14:textId="77777777" w:rsidR="00D847F1" w:rsidRDefault="00D847F1">
            <w:pPr>
              <w:pStyle w:val="EarlierRepubEntries"/>
            </w:pPr>
            <w:r>
              <w:t>1 December 2002</w:t>
            </w:r>
          </w:p>
        </w:tc>
      </w:tr>
      <w:tr w:rsidR="00D847F1" w14:paraId="3681E638" w14:textId="77777777">
        <w:tc>
          <w:tcPr>
            <w:tcW w:w="1930" w:type="dxa"/>
          </w:tcPr>
          <w:p w14:paraId="59A52BE8" w14:textId="77777777" w:rsidR="00D847F1" w:rsidRDefault="00D847F1">
            <w:pPr>
              <w:pStyle w:val="EarlierRepubEntries"/>
            </w:pPr>
            <w:r>
              <w:t>2</w:t>
            </w:r>
          </w:p>
        </w:tc>
        <w:tc>
          <w:tcPr>
            <w:tcW w:w="2350" w:type="dxa"/>
          </w:tcPr>
          <w:p w14:paraId="309241EB" w14:textId="77777777" w:rsidR="00D847F1" w:rsidRDefault="00D847F1">
            <w:pPr>
              <w:pStyle w:val="EarlierRepubEntries"/>
            </w:pPr>
            <w:r>
              <w:t>not amended</w:t>
            </w:r>
          </w:p>
        </w:tc>
        <w:tc>
          <w:tcPr>
            <w:tcW w:w="2350" w:type="dxa"/>
          </w:tcPr>
          <w:p w14:paraId="75F797A7" w14:textId="77777777" w:rsidR="00D847F1" w:rsidRDefault="00D847F1">
            <w:pPr>
              <w:pStyle w:val="EarlierRepubEntries"/>
            </w:pPr>
            <w:r>
              <w:t>1 May 2003</w:t>
            </w:r>
          </w:p>
        </w:tc>
      </w:tr>
      <w:tr w:rsidR="00D847F1" w14:paraId="795B8A5C" w14:textId="77777777">
        <w:tc>
          <w:tcPr>
            <w:tcW w:w="1930" w:type="dxa"/>
          </w:tcPr>
          <w:p w14:paraId="3069B242" w14:textId="77777777" w:rsidR="00D847F1" w:rsidRDefault="00D847F1">
            <w:pPr>
              <w:pStyle w:val="EarlierRepubEntries"/>
            </w:pPr>
            <w:r>
              <w:t>3</w:t>
            </w:r>
          </w:p>
        </w:tc>
        <w:tc>
          <w:tcPr>
            <w:tcW w:w="2350" w:type="dxa"/>
          </w:tcPr>
          <w:p w14:paraId="61E8657E" w14:textId="4B4C4CCE" w:rsidR="00D847F1" w:rsidRDefault="00DF21AF">
            <w:pPr>
              <w:pStyle w:val="EarlierRepubEntries"/>
            </w:pPr>
            <w:hyperlink r:id="rId322" w:tooltip="Gambling and Racing Control (Code of Practice) Amendment Regulations 2004 (No 1)" w:history="1">
              <w:r w:rsidRPr="00DF21AF">
                <w:rPr>
                  <w:rStyle w:val="charCitHyperlinkAbbrev"/>
                </w:rPr>
                <w:t>SL2004</w:t>
              </w:r>
              <w:r w:rsidRPr="00DF21AF">
                <w:rPr>
                  <w:rStyle w:val="charCitHyperlinkAbbrev"/>
                </w:rPr>
                <w:noBreakHyphen/>
                <w:t>31</w:t>
              </w:r>
            </w:hyperlink>
          </w:p>
        </w:tc>
        <w:tc>
          <w:tcPr>
            <w:tcW w:w="2350" w:type="dxa"/>
          </w:tcPr>
          <w:p w14:paraId="2B8A729C" w14:textId="77777777" w:rsidR="00D847F1" w:rsidRDefault="00D847F1">
            <w:pPr>
              <w:pStyle w:val="EarlierRepubEntries"/>
            </w:pPr>
            <w:r>
              <w:t>1 October 2004</w:t>
            </w:r>
          </w:p>
        </w:tc>
      </w:tr>
      <w:tr w:rsidR="00D847F1" w14:paraId="123720C3" w14:textId="77777777">
        <w:tc>
          <w:tcPr>
            <w:tcW w:w="1930" w:type="dxa"/>
          </w:tcPr>
          <w:p w14:paraId="47D7D465" w14:textId="77777777" w:rsidR="00D847F1" w:rsidRDefault="00D847F1">
            <w:pPr>
              <w:pStyle w:val="EarlierRepubEntries"/>
            </w:pPr>
            <w:r>
              <w:t>4</w:t>
            </w:r>
          </w:p>
        </w:tc>
        <w:tc>
          <w:tcPr>
            <w:tcW w:w="2350" w:type="dxa"/>
          </w:tcPr>
          <w:p w14:paraId="3DFC12F7" w14:textId="1EE63C50" w:rsidR="00D847F1" w:rsidRDefault="00DF21AF">
            <w:pPr>
              <w:pStyle w:val="EarlierRepubEntries"/>
            </w:pPr>
            <w:hyperlink r:id="rId323" w:tooltip="Gambling and Racing Control (Code of Practice) Amendment Regulations 2004 (No 1)" w:history="1">
              <w:r w:rsidRPr="00DF21AF">
                <w:rPr>
                  <w:rStyle w:val="charCitHyperlinkAbbrev"/>
                </w:rPr>
                <w:t>SL2004</w:t>
              </w:r>
              <w:r w:rsidRPr="00DF21AF">
                <w:rPr>
                  <w:rStyle w:val="charCitHyperlinkAbbrev"/>
                </w:rPr>
                <w:noBreakHyphen/>
                <w:t>31</w:t>
              </w:r>
            </w:hyperlink>
          </w:p>
        </w:tc>
        <w:tc>
          <w:tcPr>
            <w:tcW w:w="2350" w:type="dxa"/>
          </w:tcPr>
          <w:p w14:paraId="0A705344" w14:textId="77777777" w:rsidR="00D847F1" w:rsidRDefault="00D847F1">
            <w:pPr>
              <w:pStyle w:val="EarlierRepubEntries"/>
            </w:pPr>
            <w:r>
              <w:t>4 November 2004</w:t>
            </w:r>
          </w:p>
        </w:tc>
      </w:tr>
      <w:tr w:rsidR="00D847F1" w14:paraId="66763B85" w14:textId="77777777">
        <w:tc>
          <w:tcPr>
            <w:tcW w:w="1930" w:type="dxa"/>
          </w:tcPr>
          <w:p w14:paraId="67F09023" w14:textId="77777777" w:rsidR="00D847F1" w:rsidRDefault="00D847F1">
            <w:pPr>
              <w:pStyle w:val="EarlierRepubEntries"/>
            </w:pPr>
            <w:r>
              <w:t>5</w:t>
            </w:r>
          </w:p>
        </w:tc>
        <w:tc>
          <w:tcPr>
            <w:tcW w:w="2350" w:type="dxa"/>
          </w:tcPr>
          <w:p w14:paraId="12D66A81" w14:textId="231314B7" w:rsidR="00D847F1" w:rsidRDefault="00DF21AF">
            <w:pPr>
              <w:pStyle w:val="EarlierRepubEntries"/>
            </w:pPr>
            <w:hyperlink r:id="rId324" w:tooltip="Casino Control Act 2006" w:history="1">
              <w:r w:rsidRPr="00DF21AF">
                <w:rPr>
                  <w:rStyle w:val="charCitHyperlinkAbbrev"/>
                </w:rPr>
                <w:t>A2006</w:t>
              </w:r>
              <w:r w:rsidRPr="00DF21AF">
                <w:rPr>
                  <w:rStyle w:val="charCitHyperlinkAbbrev"/>
                </w:rPr>
                <w:noBreakHyphen/>
                <w:t>2</w:t>
              </w:r>
            </w:hyperlink>
          </w:p>
        </w:tc>
        <w:tc>
          <w:tcPr>
            <w:tcW w:w="2350" w:type="dxa"/>
          </w:tcPr>
          <w:p w14:paraId="46C09DE5" w14:textId="77777777" w:rsidR="00D847F1" w:rsidRDefault="00D847F1">
            <w:pPr>
              <w:pStyle w:val="EarlierRepubEntries"/>
            </w:pPr>
            <w:r>
              <w:t>1 May 2006</w:t>
            </w:r>
          </w:p>
        </w:tc>
      </w:tr>
      <w:tr w:rsidR="004031BA" w14:paraId="31982221" w14:textId="77777777">
        <w:tc>
          <w:tcPr>
            <w:tcW w:w="1930" w:type="dxa"/>
          </w:tcPr>
          <w:p w14:paraId="60D65BA5" w14:textId="77777777" w:rsidR="004031BA" w:rsidRDefault="004031BA">
            <w:pPr>
              <w:pStyle w:val="EarlierRepubEntries"/>
            </w:pPr>
            <w:r>
              <w:t>6</w:t>
            </w:r>
          </w:p>
        </w:tc>
        <w:tc>
          <w:tcPr>
            <w:tcW w:w="2350" w:type="dxa"/>
          </w:tcPr>
          <w:p w14:paraId="1A86AC39" w14:textId="7A6AFC2C" w:rsidR="004031BA" w:rsidRDefault="00DF21AF">
            <w:pPr>
              <w:pStyle w:val="EarlierRepubEntries"/>
            </w:pPr>
            <w:hyperlink r:id="rId325" w:tooltip="Statute Law Amendment Act 2007 (No 2)" w:history="1">
              <w:r w:rsidRPr="00DF21AF">
                <w:rPr>
                  <w:rStyle w:val="charCitHyperlinkAbbrev"/>
                </w:rPr>
                <w:t>A2007</w:t>
              </w:r>
              <w:r w:rsidRPr="00DF21AF">
                <w:rPr>
                  <w:rStyle w:val="charCitHyperlinkAbbrev"/>
                </w:rPr>
                <w:noBreakHyphen/>
                <w:t>16</w:t>
              </w:r>
            </w:hyperlink>
          </w:p>
        </w:tc>
        <w:tc>
          <w:tcPr>
            <w:tcW w:w="2350" w:type="dxa"/>
          </w:tcPr>
          <w:p w14:paraId="3B89D409" w14:textId="77777777" w:rsidR="004031BA" w:rsidRDefault="00ED7E8F">
            <w:pPr>
              <w:pStyle w:val="EarlierRepubEntries"/>
            </w:pPr>
            <w:r>
              <w:t>11 July 2007</w:t>
            </w:r>
          </w:p>
        </w:tc>
      </w:tr>
      <w:tr w:rsidR="0053766D" w14:paraId="2D5A013D" w14:textId="77777777">
        <w:tc>
          <w:tcPr>
            <w:tcW w:w="1930" w:type="dxa"/>
          </w:tcPr>
          <w:p w14:paraId="3462230E" w14:textId="77777777" w:rsidR="0053766D" w:rsidRDefault="0053766D">
            <w:pPr>
              <w:pStyle w:val="EarlierRepubEntries"/>
            </w:pPr>
            <w:r>
              <w:t>7</w:t>
            </w:r>
          </w:p>
        </w:tc>
        <w:tc>
          <w:tcPr>
            <w:tcW w:w="2350" w:type="dxa"/>
          </w:tcPr>
          <w:p w14:paraId="33E7AC79" w14:textId="77486D3B" w:rsidR="0053766D" w:rsidRDefault="0053766D">
            <w:pPr>
              <w:pStyle w:val="EarlierRepubEntries"/>
            </w:pPr>
            <w:hyperlink r:id="rId326" w:tooltip="ACT Civil and Administrative Tribunal Legislation Amendment Act 2008 (No 2)" w:history="1">
              <w:r>
                <w:rPr>
                  <w:rStyle w:val="charCitHyperlinkAbbrev"/>
                </w:rPr>
                <w:t>A2008</w:t>
              </w:r>
              <w:r>
                <w:rPr>
                  <w:rStyle w:val="charCitHyperlinkAbbrev"/>
                </w:rPr>
                <w:noBreakHyphen/>
                <w:t>37</w:t>
              </w:r>
            </w:hyperlink>
          </w:p>
        </w:tc>
        <w:tc>
          <w:tcPr>
            <w:tcW w:w="2350" w:type="dxa"/>
          </w:tcPr>
          <w:p w14:paraId="59D0765F" w14:textId="77777777" w:rsidR="0053766D" w:rsidRDefault="0053766D">
            <w:pPr>
              <w:pStyle w:val="EarlierRepubEntries"/>
            </w:pPr>
            <w:r>
              <w:t>2 February 2009</w:t>
            </w:r>
          </w:p>
        </w:tc>
      </w:tr>
      <w:tr w:rsidR="006F23FF" w14:paraId="74689583" w14:textId="77777777">
        <w:tc>
          <w:tcPr>
            <w:tcW w:w="1930" w:type="dxa"/>
          </w:tcPr>
          <w:p w14:paraId="70EE5C1F" w14:textId="77777777" w:rsidR="006F23FF" w:rsidRDefault="006F23FF">
            <w:pPr>
              <w:pStyle w:val="EarlierRepubEntries"/>
            </w:pPr>
            <w:r>
              <w:t>8</w:t>
            </w:r>
          </w:p>
        </w:tc>
        <w:tc>
          <w:tcPr>
            <w:tcW w:w="2350" w:type="dxa"/>
          </w:tcPr>
          <w:p w14:paraId="0350FEBC" w14:textId="24D05DE5" w:rsidR="006F23FF" w:rsidRDefault="006F23FF">
            <w:pPr>
              <w:pStyle w:val="EarlierRepubEntries"/>
            </w:pPr>
            <w:hyperlink r:id="rId327" w:tooltip="Totalisator Act 2014" w:history="1">
              <w:r>
                <w:rPr>
                  <w:rStyle w:val="charCitHyperlinkAbbrev"/>
                </w:rPr>
                <w:t>A2014</w:t>
              </w:r>
              <w:r>
                <w:rPr>
                  <w:rStyle w:val="charCitHyperlinkAbbrev"/>
                </w:rPr>
                <w:noBreakHyphen/>
                <w:t>4</w:t>
              </w:r>
            </w:hyperlink>
            <w:r>
              <w:t xml:space="preserve"> </w:t>
            </w:r>
          </w:p>
        </w:tc>
        <w:tc>
          <w:tcPr>
            <w:tcW w:w="2350" w:type="dxa"/>
          </w:tcPr>
          <w:p w14:paraId="5549344F" w14:textId="77777777" w:rsidR="006F23FF" w:rsidRDefault="006F23FF">
            <w:pPr>
              <w:pStyle w:val="EarlierRepubEntries"/>
            </w:pPr>
            <w:r>
              <w:t>27 March 2014</w:t>
            </w:r>
          </w:p>
        </w:tc>
      </w:tr>
      <w:tr w:rsidR="00C807F7" w14:paraId="2AF7EB10" w14:textId="77777777">
        <w:tc>
          <w:tcPr>
            <w:tcW w:w="1930" w:type="dxa"/>
          </w:tcPr>
          <w:p w14:paraId="6B3CB920" w14:textId="77777777" w:rsidR="00C807F7" w:rsidRDefault="00C807F7">
            <w:pPr>
              <w:pStyle w:val="EarlierRepubEntries"/>
            </w:pPr>
            <w:r>
              <w:t>9</w:t>
            </w:r>
          </w:p>
        </w:tc>
        <w:tc>
          <w:tcPr>
            <w:tcW w:w="2350" w:type="dxa"/>
          </w:tcPr>
          <w:p w14:paraId="1396E841" w14:textId="15068B71" w:rsidR="00C807F7" w:rsidRDefault="00C807F7">
            <w:pPr>
              <w:pStyle w:val="EarlierRepubEntries"/>
            </w:pPr>
            <w:hyperlink r:id="rId328" w:tooltip="Gambling and Racing Control (Code of Practice) Amendment Regulation 2014 (No 1)" w:history="1">
              <w:r w:rsidRPr="00C807F7">
                <w:rPr>
                  <w:rStyle w:val="charCitHyperlinkAbbrev"/>
                </w:rPr>
                <w:t>SL2014-17</w:t>
              </w:r>
            </w:hyperlink>
          </w:p>
        </w:tc>
        <w:tc>
          <w:tcPr>
            <w:tcW w:w="2350" w:type="dxa"/>
          </w:tcPr>
          <w:p w14:paraId="1F58C12F" w14:textId="77777777" w:rsidR="00C807F7" w:rsidRDefault="00C807F7">
            <w:pPr>
              <w:pStyle w:val="EarlierRepubEntries"/>
            </w:pPr>
            <w:r>
              <w:t>1 August 2014</w:t>
            </w:r>
          </w:p>
        </w:tc>
      </w:tr>
      <w:tr w:rsidR="00BF449F" w14:paraId="3A326D32" w14:textId="77777777">
        <w:tc>
          <w:tcPr>
            <w:tcW w:w="1930" w:type="dxa"/>
          </w:tcPr>
          <w:p w14:paraId="04018721" w14:textId="77777777" w:rsidR="00BF449F" w:rsidRDefault="00BF449F">
            <w:pPr>
              <w:pStyle w:val="EarlierRepubEntries"/>
            </w:pPr>
            <w:r>
              <w:t>10</w:t>
            </w:r>
          </w:p>
        </w:tc>
        <w:tc>
          <w:tcPr>
            <w:tcW w:w="2350" w:type="dxa"/>
          </w:tcPr>
          <w:p w14:paraId="49A9A6F3" w14:textId="69B846ED" w:rsidR="00BF449F" w:rsidRDefault="00BF449F">
            <w:pPr>
              <w:pStyle w:val="EarlierRepubEntries"/>
            </w:pPr>
            <w:hyperlink r:id="rId329" w:tooltip="Gaming Legislation Amendment Regulation 2015 (No 1)" w:history="1">
              <w:r w:rsidRPr="00BF449F">
                <w:rPr>
                  <w:rStyle w:val="charCitHyperlinkAbbrev"/>
                </w:rPr>
                <w:t>SL2015-27</w:t>
              </w:r>
            </w:hyperlink>
          </w:p>
        </w:tc>
        <w:tc>
          <w:tcPr>
            <w:tcW w:w="2350" w:type="dxa"/>
          </w:tcPr>
          <w:p w14:paraId="0C768755" w14:textId="77777777" w:rsidR="00BF449F" w:rsidRDefault="00BF449F">
            <w:pPr>
              <w:pStyle w:val="EarlierRepubEntries"/>
            </w:pPr>
            <w:r>
              <w:t>31 August 2015</w:t>
            </w:r>
          </w:p>
        </w:tc>
      </w:tr>
      <w:tr w:rsidR="00BC717B" w14:paraId="2F4DA040" w14:textId="77777777">
        <w:tc>
          <w:tcPr>
            <w:tcW w:w="1930" w:type="dxa"/>
          </w:tcPr>
          <w:p w14:paraId="3B93DC2C" w14:textId="77777777" w:rsidR="00BC717B" w:rsidRDefault="00BC717B">
            <w:pPr>
              <w:pStyle w:val="EarlierRepubEntries"/>
            </w:pPr>
            <w:r>
              <w:t>11</w:t>
            </w:r>
          </w:p>
        </w:tc>
        <w:tc>
          <w:tcPr>
            <w:tcW w:w="2350" w:type="dxa"/>
          </w:tcPr>
          <w:p w14:paraId="327268FD" w14:textId="7174A1C7" w:rsidR="00BC717B" w:rsidRDefault="00BC717B">
            <w:pPr>
              <w:pStyle w:val="EarlierRepubEntries"/>
            </w:pPr>
            <w:hyperlink r:id="rId330" w:tooltip="Lotteries (Approvals) Amendment Act 2015" w:history="1">
              <w:r>
                <w:rPr>
                  <w:rStyle w:val="charCitHyperlinkAbbrev"/>
                </w:rPr>
                <w:t>A2015</w:t>
              </w:r>
              <w:r>
                <w:rPr>
                  <w:rStyle w:val="charCitHyperlinkAbbrev"/>
                </w:rPr>
                <w:noBreakHyphen/>
                <w:t>41</w:t>
              </w:r>
            </w:hyperlink>
          </w:p>
        </w:tc>
        <w:tc>
          <w:tcPr>
            <w:tcW w:w="2350" w:type="dxa"/>
          </w:tcPr>
          <w:p w14:paraId="6A32860D" w14:textId="77777777" w:rsidR="00BC717B" w:rsidRDefault="00BC717B">
            <w:pPr>
              <w:pStyle w:val="EarlierRepubEntries"/>
            </w:pPr>
            <w:r>
              <w:t>5 November 2015</w:t>
            </w:r>
          </w:p>
        </w:tc>
      </w:tr>
      <w:tr w:rsidR="0090466A" w14:paraId="66DF49E7" w14:textId="77777777">
        <w:tc>
          <w:tcPr>
            <w:tcW w:w="1930" w:type="dxa"/>
          </w:tcPr>
          <w:p w14:paraId="7BD8CC09" w14:textId="308F2CC7" w:rsidR="0090466A" w:rsidRDefault="0090466A">
            <w:pPr>
              <w:pStyle w:val="EarlierRepubEntries"/>
            </w:pPr>
            <w:r>
              <w:t>12</w:t>
            </w:r>
          </w:p>
        </w:tc>
        <w:tc>
          <w:tcPr>
            <w:tcW w:w="2350" w:type="dxa"/>
          </w:tcPr>
          <w:p w14:paraId="471860B7" w14:textId="22F070D2" w:rsidR="0090466A" w:rsidRDefault="0090466A">
            <w:pPr>
              <w:pStyle w:val="EarlierRepubEntries"/>
            </w:pPr>
            <w:hyperlink r:id="rId331" w:tooltip="Gambling and Racing Control (Code of Practice) Amendment Regulation 2019 (No 1)" w:history="1">
              <w:r w:rsidRPr="0090466A">
                <w:rPr>
                  <w:rStyle w:val="charCitHyperlinkAbbrev"/>
                </w:rPr>
                <w:t>SL2019-10</w:t>
              </w:r>
            </w:hyperlink>
          </w:p>
        </w:tc>
        <w:tc>
          <w:tcPr>
            <w:tcW w:w="2350" w:type="dxa"/>
          </w:tcPr>
          <w:p w14:paraId="0D43389B" w14:textId="6B784C64" w:rsidR="0090466A" w:rsidRDefault="0090466A">
            <w:pPr>
              <w:pStyle w:val="EarlierRepubEntries"/>
            </w:pPr>
            <w:r>
              <w:t>26 May 2019</w:t>
            </w:r>
          </w:p>
        </w:tc>
      </w:tr>
      <w:tr w:rsidR="00731AD8" w14:paraId="4356C643" w14:textId="77777777">
        <w:tc>
          <w:tcPr>
            <w:tcW w:w="1930" w:type="dxa"/>
          </w:tcPr>
          <w:p w14:paraId="2D93D3AB" w14:textId="5AF768C3" w:rsidR="00731AD8" w:rsidRDefault="00731AD8">
            <w:pPr>
              <w:pStyle w:val="EarlierRepubEntries"/>
            </w:pPr>
            <w:r>
              <w:t>13</w:t>
            </w:r>
          </w:p>
        </w:tc>
        <w:tc>
          <w:tcPr>
            <w:tcW w:w="2350" w:type="dxa"/>
          </w:tcPr>
          <w:p w14:paraId="1B2C0EFB" w14:textId="0BE44ACC" w:rsidR="00731AD8" w:rsidRDefault="00731AD8">
            <w:pPr>
              <w:pStyle w:val="EarlierRepubEntries"/>
            </w:pPr>
            <w:hyperlink r:id="rId332" w:tooltip="Gambling and Racing Control (Code of Practice) Amendment Regulation 2019 (No 1)" w:history="1">
              <w:r w:rsidRPr="0090466A">
                <w:rPr>
                  <w:rStyle w:val="charCitHyperlinkAbbrev"/>
                </w:rPr>
                <w:t>SL2019-10</w:t>
              </w:r>
            </w:hyperlink>
          </w:p>
        </w:tc>
        <w:tc>
          <w:tcPr>
            <w:tcW w:w="2350" w:type="dxa"/>
          </w:tcPr>
          <w:p w14:paraId="04476E15" w14:textId="09992B58" w:rsidR="00731AD8" w:rsidRDefault="00731AD8">
            <w:pPr>
              <w:pStyle w:val="EarlierRepubEntries"/>
            </w:pPr>
            <w:r>
              <w:t>27 May 2021</w:t>
            </w:r>
          </w:p>
        </w:tc>
      </w:tr>
      <w:tr w:rsidR="00F323A5" w14:paraId="2DFF31B0" w14:textId="77777777">
        <w:tc>
          <w:tcPr>
            <w:tcW w:w="1930" w:type="dxa"/>
          </w:tcPr>
          <w:p w14:paraId="25BFD7C6" w14:textId="3CECD4D3" w:rsidR="00F323A5" w:rsidRDefault="00F323A5">
            <w:pPr>
              <w:pStyle w:val="EarlierRepubEntries"/>
            </w:pPr>
            <w:r>
              <w:t>14</w:t>
            </w:r>
          </w:p>
        </w:tc>
        <w:tc>
          <w:tcPr>
            <w:tcW w:w="2350" w:type="dxa"/>
          </w:tcPr>
          <w:p w14:paraId="4BC57C5A" w14:textId="7FBC9759" w:rsidR="00F323A5" w:rsidRDefault="00E94C81">
            <w:pPr>
              <w:pStyle w:val="EarlierRepubEntries"/>
            </w:pPr>
            <w:hyperlink r:id="rId333" w:tooltip="Gambling and Racing Control (Code of Practice) Amendment Regulation 2022 (No 1)" w:history="1">
              <w:r>
                <w:rPr>
                  <w:rStyle w:val="charCitHyperlinkAbbrev"/>
                </w:rPr>
                <w:t>SL2022-17</w:t>
              </w:r>
            </w:hyperlink>
          </w:p>
        </w:tc>
        <w:tc>
          <w:tcPr>
            <w:tcW w:w="2350" w:type="dxa"/>
          </w:tcPr>
          <w:p w14:paraId="72407616" w14:textId="59739A0E" w:rsidR="00F323A5" w:rsidRDefault="00E94C81">
            <w:pPr>
              <w:pStyle w:val="EarlierRepubEntries"/>
            </w:pPr>
            <w:r>
              <w:t>14 November 2022</w:t>
            </w:r>
          </w:p>
        </w:tc>
      </w:tr>
      <w:tr w:rsidR="008D6FF5" w14:paraId="311ABFAD" w14:textId="77777777">
        <w:tc>
          <w:tcPr>
            <w:tcW w:w="1930" w:type="dxa"/>
          </w:tcPr>
          <w:p w14:paraId="0D01FEE7" w14:textId="4038D818" w:rsidR="008D6FF5" w:rsidRDefault="008D6FF5">
            <w:pPr>
              <w:pStyle w:val="EarlierRepubEntries"/>
            </w:pPr>
            <w:r>
              <w:t>15</w:t>
            </w:r>
          </w:p>
        </w:tc>
        <w:tc>
          <w:tcPr>
            <w:tcW w:w="2350" w:type="dxa"/>
          </w:tcPr>
          <w:p w14:paraId="209C9500" w14:textId="0980437D" w:rsidR="008D6FF5" w:rsidRDefault="008D6FF5">
            <w:pPr>
              <w:pStyle w:val="EarlierRepubEntries"/>
            </w:pPr>
            <w:hyperlink r:id="rId334" w:tooltip="Gambling and Racing Control (Code of Practice) Amendment Regulation 2023 (No 1)" w:history="1">
              <w:r>
                <w:rPr>
                  <w:rStyle w:val="charCitHyperlinkAbbrev"/>
                </w:rPr>
                <w:t>SL2023</w:t>
              </w:r>
              <w:r>
                <w:rPr>
                  <w:rStyle w:val="charCitHyperlinkAbbrev"/>
                </w:rPr>
                <w:noBreakHyphen/>
                <w:t>8</w:t>
              </w:r>
            </w:hyperlink>
          </w:p>
        </w:tc>
        <w:tc>
          <w:tcPr>
            <w:tcW w:w="2350" w:type="dxa"/>
          </w:tcPr>
          <w:p w14:paraId="320CD381" w14:textId="72621EF5" w:rsidR="008D6FF5" w:rsidRDefault="008D6FF5">
            <w:pPr>
              <w:pStyle w:val="EarlierRepubEntries"/>
            </w:pPr>
            <w:r>
              <w:t>31 May 2023</w:t>
            </w:r>
          </w:p>
        </w:tc>
      </w:tr>
    </w:tbl>
    <w:p w14:paraId="7AA2CCE2" w14:textId="77777777" w:rsidR="0090466A" w:rsidRPr="0090466A" w:rsidRDefault="0090466A" w:rsidP="0090466A">
      <w:pPr>
        <w:pStyle w:val="PageBreak"/>
      </w:pPr>
      <w:r w:rsidRPr="0090466A">
        <w:br w:type="page"/>
      </w:r>
    </w:p>
    <w:p w14:paraId="05EDC1B5" w14:textId="4CF8AA1C" w:rsidR="007105C9" w:rsidRPr="004D57A4" w:rsidRDefault="007105C9" w:rsidP="007105C9">
      <w:pPr>
        <w:pStyle w:val="Endnote20"/>
      </w:pPr>
      <w:bookmarkStart w:id="142" w:name="_Toc155080796"/>
      <w:r w:rsidRPr="004D57A4">
        <w:rPr>
          <w:rStyle w:val="charTableNo"/>
        </w:rPr>
        <w:lastRenderedPageBreak/>
        <w:t>6</w:t>
      </w:r>
      <w:r w:rsidRPr="00217CE1">
        <w:tab/>
      </w:r>
      <w:r w:rsidRPr="004D57A4">
        <w:rPr>
          <w:rStyle w:val="charTableText"/>
        </w:rPr>
        <w:t>Expired transitional or validating provisions</w:t>
      </w:r>
      <w:bookmarkEnd w:id="142"/>
    </w:p>
    <w:p w14:paraId="0D2CF255" w14:textId="456F8340" w:rsidR="007105C9" w:rsidRDefault="007105C9" w:rsidP="007105C9">
      <w:pPr>
        <w:pStyle w:val="EndNoteTextPub"/>
      </w:pPr>
      <w:r w:rsidRPr="00600F19">
        <w:t>This Act may be affected by transitional or validating provisions that have expired.  The expiry does not affect any continuing operation of the provisions (s</w:t>
      </w:r>
      <w:r>
        <w:t xml:space="preserve">ee </w:t>
      </w:r>
      <w:hyperlink r:id="rId335" w:tooltip="A2001-14" w:history="1">
        <w:r w:rsidR="0090466A" w:rsidRPr="0090466A">
          <w:rPr>
            <w:rStyle w:val="charCitHyperlinkItal"/>
          </w:rPr>
          <w:t>Legislation Act 2001</w:t>
        </w:r>
      </w:hyperlink>
      <w:r>
        <w:t>, s 88 (1)).</w:t>
      </w:r>
    </w:p>
    <w:p w14:paraId="1059557D" w14:textId="77777777" w:rsidR="007105C9" w:rsidRDefault="007105C9" w:rsidP="007105C9">
      <w:pPr>
        <w:pStyle w:val="EndNoteTextPub"/>
        <w:spacing w:before="120"/>
      </w:pPr>
      <w:r>
        <w:t>Expired provisions are removed from the republished law when the expiry takes effect and are listed in the amendment history using the abbreviation ‘exp’ followed by the date of the expiry.</w:t>
      </w:r>
    </w:p>
    <w:p w14:paraId="4E314F23" w14:textId="77777777" w:rsidR="007105C9" w:rsidRDefault="007105C9" w:rsidP="007105C9">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1329C5B" w14:textId="77777777" w:rsidR="0051286C" w:rsidRDefault="0051286C" w:rsidP="007B3882">
      <w:pPr>
        <w:pStyle w:val="05EndNote"/>
        <w:sectPr w:rsidR="0051286C" w:rsidSect="004D57A4">
          <w:headerReference w:type="even" r:id="rId336"/>
          <w:headerReference w:type="default" r:id="rId337"/>
          <w:footerReference w:type="even" r:id="rId338"/>
          <w:footerReference w:type="default" r:id="rId339"/>
          <w:pgSz w:w="11907" w:h="16839" w:code="9"/>
          <w:pgMar w:top="3000" w:right="1900" w:bottom="2500" w:left="2300" w:header="2480" w:footer="2100" w:gutter="0"/>
          <w:cols w:space="720"/>
          <w:docGrid w:linePitch="326"/>
        </w:sectPr>
      </w:pPr>
    </w:p>
    <w:p w14:paraId="1AF026F1" w14:textId="77777777" w:rsidR="00D847F1" w:rsidRDefault="00D847F1">
      <w:pPr>
        <w:rPr>
          <w:color w:val="000000"/>
          <w:sz w:val="20"/>
        </w:rPr>
      </w:pPr>
    </w:p>
    <w:p w14:paraId="0A12B668" w14:textId="77777777" w:rsidR="00D847F1" w:rsidRDefault="00D847F1">
      <w:pPr>
        <w:rPr>
          <w:color w:val="000000"/>
          <w:sz w:val="22"/>
        </w:rPr>
      </w:pPr>
    </w:p>
    <w:p w14:paraId="0AEC78DE" w14:textId="77777777" w:rsidR="00340410" w:rsidRDefault="00340410">
      <w:pPr>
        <w:rPr>
          <w:color w:val="000000"/>
          <w:sz w:val="22"/>
        </w:rPr>
      </w:pPr>
    </w:p>
    <w:p w14:paraId="2CE5A242" w14:textId="77777777" w:rsidR="00340410" w:rsidRDefault="00340410">
      <w:pPr>
        <w:rPr>
          <w:color w:val="000000"/>
          <w:sz w:val="22"/>
        </w:rPr>
      </w:pPr>
    </w:p>
    <w:p w14:paraId="008E8E01" w14:textId="77777777" w:rsidR="00B33F6B" w:rsidRDefault="00B33F6B">
      <w:pPr>
        <w:rPr>
          <w:color w:val="000000"/>
          <w:sz w:val="22"/>
        </w:rPr>
      </w:pPr>
    </w:p>
    <w:p w14:paraId="77EA6F89" w14:textId="65F2EE86" w:rsidR="00B33F6B" w:rsidRDefault="00B33F6B">
      <w:pPr>
        <w:rPr>
          <w:color w:val="000000"/>
          <w:sz w:val="22"/>
        </w:rPr>
      </w:pPr>
    </w:p>
    <w:p w14:paraId="33B57A19" w14:textId="3B9DDE48" w:rsidR="0090466A" w:rsidRDefault="0090466A">
      <w:pPr>
        <w:rPr>
          <w:color w:val="000000"/>
          <w:sz w:val="22"/>
        </w:rPr>
      </w:pPr>
    </w:p>
    <w:p w14:paraId="32654F04" w14:textId="443E620A" w:rsidR="0090466A" w:rsidRDefault="0090466A">
      <w:pPr>
        <w:rPr>
          <w:color w:val="000000"/>
          <w:sz w:val="22"/>
        </w:rPr>
      </w:pPr>
    </w:p>
    <w:p w14:paraId="2843FCD7" w14:textId="7C882916" w:rsidR="0090466A" w:rsidRDefault="0090466A">
      <w:pPr>
        <w:rPr>
          <w:color w:val="000000"/>
          <w:sz w:val="22"/>
        </w:rPr>
      </w:pPr>
    </w:p>
    <w:p w14:paraId="0E9D3864" w14:textId="55849D87" w:rsidR="0090466A" w:rsidRDefault="0090466A">
      <w:pPr>
        <w:rPr>
          <w:color w:val="000000"/>
          <w:sz w:val="22"/>
        </w:rPr>
      </w:pPr>
    </w:p>
    <w:p w14:paraId="5B9C1B68" w14:textId="7FF7C056" w:rsidR="0090466A" w:rsidRDefault="0090466A">
      <w:pPr>
        <w:rPr>
          <w:color w:val="000000"/>
          <w:sz w:val="22"/>
        </w:rPr>
      </w:pPr>
    </w:p>
    <w:p w14:paraId="5E9AA4CB" w14:textId="4BE319B2" w:rsidR="0090466A" w:rsidRDefault="0090466A">
      <w:pPr>
        <w:rPr>
          <w:color w:val="000000"/>
          <w:sz w:val="22"/>
        </w:rPr>
      </w:pPr>
    </w:p>
    <w:p w14:paraId="625D992E" w14:textId="7AD517EC" w:rsidR="0090466A" w:rsidRDefault="0090466A">
      <w:pPr>
        <w:rPr>
          <w:color w:val="000000"/>
          <w:sz w:val="22"/>
        </w:rPr>
      </w:pPr>
    </w:p>
    <w:p w14:paraId="5C03BE8F" w14:textId="39378340" w:rsidR="0090466A" w:rsidRDefault="0090466A">
      <w:pPr>
        <w:rPr>
          <w:color w:val="000000"/>
          <w:sz w:val="22"/>
        </w:rPr>
      </w:pPr>
    </w:p>
    <w:p w14:paraId="21B30B2A" w14:textId="303D7FE9" w:rsidR="0090466A" w:rsidRDefault="0090466A">
      <w:pPr>
        <w:rPr>
          <w:color w:val="000000"/>
          <w:sz w:val="22"/>
        </w:rPr>
      </w:pPr>
    </w:p>
    <w:p w14:paraId="4260E3BD" w14:textId="77777777" w:rsidR="0090466A" w:rsidRDefault="0090466A">
      <w:pPr>
        <w:rPr>
          <w:color w:val="000000"/>
          <w:sz w:val="22"/>
        </w:rPr>
      </w:pPr>
    </w:p>
    <w:p w14:paraId="77C5DD4B" w14:textId="77777777" w:rsidR="00B33F6B" w:rsidRDefault="00B33F6B">
      <w:pPr>
        <w:rPr>
          <w:color w:val="000000"/>
          <w:sz w:val="22"/>
        </w:rPr>
      </w:pPr>
    </w:p>
    <w:p w14:paraId="7CC77BA8" w14:textId="77777777" w:rsidR="00B33F6B" w:rsidRDefault="00B33F6B">
      <w:pPr>
        <w:rPr>
          <w:color w:val="000000"/>
          <w:sz w:val="22"/>
        </w:rPr>
      </w:pPr>
    </w:p>
    <w:p w14:paraId="0BDFCE27" w14:textId="77777777" w:rsidR="00D847F1" w:rsidRDefault="00D847F1">
      <w:pPr>
        <w:rPr>
          <w:color w:val="000000"/>
          <w:sz w:val="22"/>
        </w:rPr>
      </w:pPr>
    </w:p>
    <w:p w14:paraId="23F453DC" w14:textId="60B852CB" w:rsidR="00D847F1" w:rsidRPr="00340410" w:rsidRDefault="00D847F1">
      <w:pPr>
        <w:rPr>
          <w:color w:val="000000"/>
          <w:sz w:val="22"/>
        </w:rPr>
      </w:pPr>
      <w:r>
        <w:rPr>
          <w:color w:val="000000"/>
          <w:sz w:val="22"/>
        </w:rPr>
        <w:t xml:space="preserve">©  Australian Capital Territory </w:t>
      </w:r>
      <w:r w:rsidR="004D57A4">
        <w:rPr>
          <w:noProof/>
          <w:color w:val="000000"/>
          <w:sz w:val="22"/>
        </w:rPr>
        <w:t>2024</w:t>
      </w:r>
    </w:p>
    <w:p w14:paraId="6F41E068" w14:textId="77777777" w:rsidR="004031BA" w:rsidRDefault="004031BA">
      <w:pPr>
        <w:pStyle w:val="06Copyright"/>
        <w:sectPr w:rsidR="004031BA" w:rsidSect="004031BA">
          <w:headerReference w:type="even" r:id="rId340"/>
          <w:headerReference w:type="default" r:id="rId341"/>
          <w:footerReference w:type="even" r:id="rId342"/>
          <w:footerReference w:type="default" r:id="rId343"/>
          <w:headerReference w:type="first" r:id="rId344"/>
          <w:footerReference w:type="first" r:id="rId345"/>
          <w:type w:val="continuous"/>
          <w:pgSz w:w="11907" w:h="16839" w:code="9"/>
          <w:pgMar w:top="2999" w:right="1899" w:bottom="2500" w:left="2302" w:header="2478" w:footer="2098" w:gutter="0"/>
          <w:pgNumType w:fmt="lowerRoman"/>
          <w:cols w:space="720"/>
          <w:titlePg/>
          <w:docGrid w:linePitch="254"/>
        </w:sectPr>
      </w:pPr>
    </w:p>
    <w:p w14:paraId="4D4AEC8B" w14:textId="77777777" w:rsidR="00D847F1" w:rsidRDefault="00D847F1"/>
    <w:sectPr w:rsidR="00D847F1" w:rsidSect="0020309E">
      <w:headerReference w:type="first" r:id="rId346"/>
      <w:footerReference w:type="first" r:id="rId347"/>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6331B" w14:textId="77777777" w:rsidR="0090466A" w:rsidRDefault="0090466A" w:rsidP="00D847F1">
      <w:pPr>
        <w:pStyle w:val="IshadedSchClause"/>
      </w:pPr>
      <w:r>
        <w:separator/>
      </w:r>
    </w:p>
  </w:endnote>
  <w:endnote w:type="continuationSeparator" w:id="0">
    <w:p w14:paraId="713150B2" w14:textId="77777777" w:rsidR="0090466A" w:rsidRDefault="0090466A" w:rsidP="00D847F1">
      <w:pPr>
        <w:pStyle w:val="IshadedSchClaus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7132" w14:textId="0D24B182" w:rsidR="0090466A" w:rsidRPr="00904E62" w:rsidRDefault="0090466A" w:rsidP="00904E62">
    <w:pPr>
      <w:pStyle w:val="Footer"/>
      <w:jc w:val="center"/>
      <w:rPr>
        <w:rFonts w:cs="Arial"/>
        <w:sz w:val="14"/>
      </w:rPr>
    </w:pPr>
    <w:r w:rsidRPr="00904E62">
      <w:rPr>
        <w:rFonts w:cs="Arial"/>
        <w:sz w:val="14"/>
      </w:rPr>
      <w:fldChar w:fldCharType="begin"/>
    </w:r>
    <w:r w:rsidRPr="00904E62">
      <w:rPr>
        <w:rFonts w:cs="Arial"/>
        <w:sz w:val="14"/>
      </w:rPr>
      <w:instrText xml:space="preserve"> DOCPROPERTY "Status" </w:instrText>
    </w:r>
    <w:r w:rsidRPr="00904E62">
      <w:rPr>
        <w:rFonts w:cs="Arial"/>
        <w:sz w:val="14"/>
      </w:rPr>
      <w:fldChar w:fldCharType="separate"/>
    </w:r>
    <w:r w:rsidR="00DA06D4" w:rsidRPr="00904E62">
      <w:rPr>
        <w:rFonts w:cs="Arial"/>
        <w:sz w:val="14"/>
      </w:rPr>
      <w:t xml:space="preserve"> </w:t>
    </w:r>
    <w:r w:rsidRPr="00904E62">
      <w:rPr>
        <w:rFonts w:cs="Arial"/>
        <w:sz w:val="14"/>
      </w:rPr>
      <w:fldChar w:fldCharType="end"/>
    </w:r>
    <w:r w:rsidR="00904E62" w:rsidRPr="00904E6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8027" w14:textId="77777777" w:rsidR="0051286C" w:rsidRDefault="0051286C">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51286C" w:rsidRPr="00CB3D59" w14:paraId="57D4C7F2" w14:textId="77777777">
      <w:trPr>
        <w:jc w:val="center"/>
      </w:trPr>
      <w:tc>
        <w:tcPr>
          <w:tcW w:w="1240" w:type="dxa"/>
        </w:tcPr>
        <w:p w14:paraId="115336CE" w14:textId="77777777" w:rsidR="0051286C" w:rsidRPr="00922BD6" w:rsidRDefault="0051286C" w:rsidP="00B136BA">
          <w:pPr>
            <w:pStyle w:val="Footer"/>
            <w:spacing w:line="240" w:lineRule="auto"/>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8</w:t>
          </w:r>
          <w:r w:rsidRPr="00922BD6">
            <w:rPr>
              <w:rStyle w:val="PageNumber"/>
              <w:rFonts w:cs="Arial"/>
              <w:szCs w:val="18"/>
            </w:rPr>
            <w:fldChar w:fldCharType="end"/>
          </w:r>
        </w:p>
      </w:tc>
      <w:tc>
        <w:tcPr>
          <w:tcW w:w="4527" w:type="dxa"/>
        </w:tcPr>
        <w:p w14:paraId="406A401F" w14:textId="743AD137" w:rsidR="0051286C" w:rsidRPr="00922BD6" w:rsidRDefault="0051286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A06D4" w:rsidRPr="00DA06D4">
            <w:rPr>
              <w:rFonts w:cs="Arial"/>
              <w:szCs w:val="18"/>
            </w:rPr>
            <w:t>Gambling and Racing Control</w:t>
          </w:r>
          <w:r w:rsidR="00DA06D4">
            <w:t xml:space="preserve"> (Code of Practice) Regulation 2002</w:t>
          </w:r>
          <w:r>
            <w:rPr>
              <w:rFonts w:cs="Arial"/>
              <w:szCs w:val="18"/>
            </w:rPr>
            <w:fldChar w:fldCharType="end"/>
          </w:r>
        </w:p>
        <w:p w14:paraId="472AC372" w14:textId="4D68A8BE" w:rsidR="0051286C" w:rsidRPr="00922BD6" w:rsidRDefault="0051286C" w:rsidP="00783A18">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DA06D4">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DA06D4">
            <w:rPr>
              <w:rFonts w:cs="Arial"/>
              <w:szCs w:val="18"/>
            </w:rPr>
            <w:t>07/01/24</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DA06D4">
            <w:rPr>
              <w:rFonts w:cs="Arial"/>
              <w:szCs w:val="18"/>
            </w:rPr>
            <w:t>-15/12/25</w:t>
          </w:r>
          <w:r w:rsidRPr="00922BD6">
            <w:rPr>
              <w:rFonts w:cs="Arial"/>
              <w:szCs w:val="18"/>
            </w:rPr>
            <w:fldChar w:fldCharType="end"/>
          </w:r>
        </w:p>
      </w:tc>
      <w:tc>
        <w:tcPr>
          <w:tcW w:w="1553" w:type="dxa"/>
        </w:tcPr>
        <w:p w14:paraId="4E98D29E" w14:textId="258D2ADC" w:rsidR="0051286C" w:rsidRPr="00922BD6" w:rsidRDefault="0051286C" w:rsidP="00B136BA">
          <w:pPr>
            <w:pStyle w:val="Footer"/>
            <w:spacing w:line="240" w:lineRule="auto"/>
            <w:jc w:val="right"/>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DA06D4">
            <w:rPr>
              <w:rFonts w:cs="Arial"/>
              <w:szCs w:val="18"/>
            </w:rPr>
            <w:t>R16</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DA06D4">
            <w:rPr>
              <w:rFonts w:cs="Arial"/>
              <w:szCs w:val="18"/>
            </w:rPr>
            <w:t>07/01/24</w:t>
          </w:r>
          <w:r w:rsidRPr="00922BD6">
            <w:rPr>
              <w:rFonts w:cs="Arial"/>
              <w:szCs w:val="18"/>
            </w:rPr>
            <w:fldChar w:fldCharType="end"/>
          </w:r>
        </w:p>
      </w:tc>
    </w:tr>
  </w:tbl>
  <w:p w14:paraId="190772DF" w14:textId="3CC687C8" w:rsidR="0051286C" w:rsidRPr="00904E62" w:rsidRDefault="00904E62" w:rsidP="00904E62">
    <w:pPr>
      <w:pStyle w:val="Status"/>
      <w:rPr>
        <w:rFonts w:cs="Arial"/>
      </w:rPr>
    </w:pPr>
    <w:r w:rsidRPr="00904E62">
      <w:rPr>
        <w:rFonts w:cs="Arial"/>
      </w:rPr>
      <w:fldChar w:fldCharType="begin"/>
    </w:r>
    <w:r w:rsidRPr="00904E62">
      <w:rPr>
        <w:rFonts w:cs="Arial"/>
      </w:rPr>
      <w:instrText xml:space="preserve"> DOCPROPERTY "Status" </w:instrText>
    </w:r>
    <w:r w:rsidRPr="00904E62">
      <w:rPr>
        <w:rFonts w:cs="Arial"/>
      </w:rPr>
      <w:fldChar w:fldCharType="separate"/>
    </w:r>
    <w:r w:rsidR="00DA06D4" w:rsidRPr="00904E62">
      <w:rPr>
        <w:rFonts w:cs="Arial"/>
      </w:rPr>
      <w:t xml:space="preserve"> </w:t>
    </w:r>
    <w:r w:rsidRPr="00904E62">
      <w:rPr>
        <w:rFonts w:cs="Arial"/>
      </w:rPr>
      <w:fldChar w:fldCharType="end"/>
    </w:r>
    <w:r w:rsidRPr="00904E6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20A7" w14:textId="77777777" w:rsidR="0051286C" w:rsidRDefault="0051286C">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963"/>
      <w:gridCol w:w="4527"/>
      <w:gridCol w:w="1240"/>
    </w:tblGrid>
    <w:tr w:rsidR="0051286C" w:rsidRPr="00CB3D59" w14:paraId="0FA384DC" w14:textId="77777777">
      <w:trPr>
        <w:jc w:val="center"/>
      </w:trPr>
      <w:tc>
        <w:tcPr>
          <w:tcW w:w="1963" w:type="dxa"/>
        </w:tcPr>
        <w:p w14:paraId="3D7A5ABE" w14:textId="20365A77" w:rsidR="0051286C" w:rsidRPr="00922BD6" w:rsidRDefault="0051286C" w:rsidP="00B136BA">
          <w:pPr>
            <w:pStyle w:val="Footer"/>
            <w:spacing w:line="240" w:lineRule="auto"/>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DA06D4">
            <w:rPr>
              <w:rFonts w:cs="Arial"/>
              <w:szCs w:val="18"/>
            </w:rPr>
            <w:t>R16</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DA06D4">
            <w:rPr>
              <w:rFonts w:cs="Arial"/>
              <w:szCs w:val="18"/>
            </w:rPr>
            <w:t>07/01/24</w:t>
          </w:r>
          <w:r w:rsidRPr="00922BD6">
            <w:rPr>
              <w:rFonts w:cs="Arial"/>
              <w:szCs w:val="18"/>
            </w:rPr>
            <w:fldChar w:fldCharType="end"/>
          </w:r>
        </w:p>
      </w:tc>
      <w:tc>
        <w:tcPr>
          <w:tcW w:w="4527" w:type="dxa"/>
        </w:tcPr>
        <w:p w14:paraId="19F80E15" w14:textId="77ACDB03" w:rsidR="0051286C" w:rsidRPr="00922BD6" w:rsidRDefault="0051286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A06D4" w:rsidRPr="00DA06D4">
            <w:rPr>
              <w:rFonts w:cs="Arial"/>
              <w:szCs w:val="18"/>
            </w:rPr>
            <w:t>Gambling and Racing Control</w:t>
          </w:r>
          <w:r w:rsidR="00DA06D4">
            <w:t xml:space="preserve"> (Code of Practice) Regulation 2002</w:t>
          </w:r>
          <w:r>
            <w:rPr>
              <w:rFonts w:cs="Arial"/>
              <w:szCs w:val="18"/>
            </w:rPr>
            <w:fldChar w:fldCharType="end"/>
          </w:r>
        </w:p>
        <w:p w14:paraId="5C40F40C" w14:textId="0C193110" w:rsidR="0051286C" w:rsidRPr="00922BD6" w:rsidRDefault="0051286C" w:rsidP="00783A18">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DA06D4">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DA06D4">
            <w:rPr>
              <w:rFonts w:cs="Arial"/>
              <w:szCs w:val="18"/>
            </w:rPr>
            <w:t>07/01/24</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DA06D4">
            <w:rPr>
              <w:rFonts w:cs="Arial"/>
              <w:szCs w:val="18"/>
            </w:rPr>
            <w:t>-15/12/25</w:t>
          </w:r>
          <w:r w:rsidRPr="00922BD6">
            <w:rPr>
              <w:rFonts w:cs="Arial"/>
              <w:szCs w:val="18"/>
            </w:rPr>
            <w:fldChar w:fldCharType="end"/>
          </w:r>
        </w:p>
      </w:tc>
      <w:tc>
        <w:tcPr>
          <w:tcW w:w="1240" w:type="dxa"/>
        </w:tcPr>
        <w:p w14:paraId="42DF67F2" w14:textId="77777777" w:rsidR="0051286C" w:rsidRPr="00922BD6" w:rsidRDefault="0051286C" w:rsidP="00B136BA">
          <w:pPr>
            <w:pStyle w:val="Footer"/>
            <w:spacing w:line="240" w:lineRule="auto"/>
            <w:jc w:val="right"/>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7</w:t>
          </w:r>
          <w:r w:rsidRPr="00922BD6">
            <w:rPr>
              <w:rStyle w:val="PageNumber"/>
              <w:rFonts w:cs="Arial"/>
              <w:szCs w:val="18"/>
            </w:rPr>
            <w:fldChar w:fldCharType="end"/>
          </w:r>
        </w:p>
      </w:tc>
    </w:tr>
  </w:tbl>
  <w:p w14:paraId="0F2CAC83" w14:textId="38A8BF7A" w:rsidR="0051286C" w:rsidRPr="00904E62" w:rsidRDefault="00904E62" w:rsidP="00904E62">
    <w:pPr>
      <w:pStyle w:val="Status"/>
      <w:rPr>
        <w:rFonts w:cs="Arial"/>
      </w:rPr>
    </w:pPr>
    <w:r w:rsidRPr="00904E62">
      <w:rPr>
        <w:rFonts w:cs="Arial"/>
      </w:rPr>
      <w:fldChar w:fldCharType="begin"/>
    </w:r>
    <w:r w:rsidRPr="00904E62">
      <w:rPr>
        <w:rFonts w:cs="Arial"/>
      </w:rPr>
      <w:instrText xml:space="preserve"> DOCPROPERTY "Status" </w:instrText>
    </w:r>
    <w:r w:rsidRPr="00904E62">
      <w:rPr>
        <w:rFonts w:cs="Arial"/>
      </w:rPr>
      <w:fldChar w:fldCharType="separate"/>
    </w:r>
    <w:r w:rsidR="00DA06D4" w:rsidRPr="00904E62">
      <w:rPr>
        <w:rFonts w:cs="Arial"/>
      </w:rPr>
      <w:t xml:space="preserve"> </w:t>
    </w:r>
    <w:r w:rsidRPr="00904E62">
      <w:rPr>
        <w:rFonts w:cs="Arial"/>
      </w:rPr>
      <w:fldChar w:fldCharType="end"/>
    </w:r>
    <w:r w:rsidRPr="00904E6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29AA" w14:textId="77777777" w:rsidR="0051286C" w:rsidRDefault="0051286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1286C" w14:paraId="3F193003" w14:textId="77777777">
      <w:tc>
        <w:tcPr>
          <w:tcW w:w="847" w:type="pct"/>
        </w:tcPr>
        <w:p w14:paraId="37D34AF5" w14:textId="77777777" w:rsidR="0051286C" w:rsidRDefault="0051286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FEF5792" w14:textId="00C5FE1E" w:rsidR="0051286C" w:rsidRDefault="00904E62">
          <w:pPr>
            <w:pStyle w:val="Footer"/>
            <w:jc w:val="center"/>
          </w:pPr>
          <w:r>
            <w:fldChar w:fldCharType="begin"/>
          </w:r>
          <w:r>
            <w:instrText xml:space="preserve"> REF Citation *\charformat </w:instrText>
          </w:r>
          <w:r>
            <w:fldChar w:fldCharType="separate"/>
          </w:r>
          <w:r w:rsidR="00DA06D4">
            <w:t>Gambling and Racing Control (Code of Practice) Regulation 2002</w:t>
          </w:r>
          <w:r>
            <w:fldChar w:fldCharType="end"/>
          </w:r>
        </w:p>
        <w:p w14:paraId="5BFF4937" w14:textId="1B625823" w:rsidR="0051286C" w:rsidRDefault="00904E62">
          <w:pPr>
            <w:pStyle w:val="FooterInfoCentre"/>
          </w:pPr>
          <w:r>
            <w:fldChar w:fldCharType="begin"/>
          </w:r>
          <w:r>
            <w:instrText xml:space="preserve"> DOCPROPERTY "Eff"  *\charformat </w:instrText>
          </w:r>
          <w:r>
            <w:fldChar w:fldCharType="separate"/>
          </w:r>
          <w:r w:rsidR="00DA06D4">
            <w:t xml:space="preserve">Effective:  </w:t>
          </w:r>
          <w:r>
            <w:fldChar w:fldCharType="end"/>
          </w:r>
          <w:r>
            <w:fldChar w:fldCharType="begin"/>
          </w:r>
          <w:r>
            <w:instrText xml:space="preserve"> DOCPROPERTY "StartDt"  *\charformat </w:instrText>
          </w:r>
          <w:r>
            <w:fldChar w:fldCharType="separate"/>
          </w:r>
          <w:r w:rsidR="00DA06D4">
            <w:t>07/01/24</w:t>
          </w:r>
          <w:r>
            <w:fldChar w:fldCharType="end"/>
          </w:r>
          <w:r>
            <w:fldChar w:fldCharType="begin"/>
          </w:r>
          <w:r>
            <w:instrText xml:space="preserve"> DOCPROPERTY "EndDt"  *\charformat </w:instrText>
          </w:r>
          <w:r>
            <w:fldChar w:fldCharType="separate"/>
          </w:r>
          <w:r w:rsidR="00DA06D4">
            <w:t>-15/12/25</w:t>
          </w:r>
          <w:r>
            <w:fldChar w:fldCharType="end"/>
          </w:r>
        </w:p>
      </w:tc>
      <w:tc>
        <w:tcPr>
          <w:tcW w:w="1061" w:type="pct"/>
        </w:tcPr>
        <w:p w14:paraId="6BA8A044" w14:textId="3EFF0E7C" w:rsidR="0051286C" w:rsidRDefault="00904E62">
          <w:pPr>
            <w:pStyle w:val="Footer"/>
            <w:jc w:val="right"/>
          </w:pPr>
          <w:r>
            <w:fldChar w:fldCharType="begin"/>
          </w:r>
          <w:r>
            <w:instrText xml:space="preserve"> DOCPROPERTY "Category"  *\charformat  </w:instrText>
          </w:r>
          <w:r>
            <w:fldChar w:fldCharType="separate"/>
          </w:r>
          <w:r w:rsidR="00DA06D4">
            <w:t>R16</w:t>
          </w:r>
          <w:r>
            <w:fldChar w:fldCharType="end"/>
          </w:r>
          <w:r w:rsidR="0051286C">
            <w:br/>
          </w:r>
          <w:r>
            <w:fldChar w:fldCharType="begin"/>
          </w:r>
          <w:r>
            <w:instrText xml:space="preserve"> DOCPROPERTY "RepubDt"  *\charformat  </w:instrText>
          </w:r>
          <w:r>
            <w:fldChar w:fldCharType="separate"/>
          </w:r>
          <w:r w:rsidR="00DA06D4">
            <w:t>07/01/24</w:t>
          </w:r>
          <w:r>
            <w:fldChar w:fldCharType="end"/>
          </w:r>
        </w:p>
      </w:tc>
    </w:tr>
  </w:tbl>
  <w:p w14:paraId="4453BEBA" w14:textId="5839D93D" w:rsidR="0051286C" w:rsidRPr="00904E62" w:rsidRDefault="00904E62" w:rsidP="00904E62">
    <w:pPr>
      <w:pStyle w:val="Status"/>
      <w:rPr>
        <w:rFonts w:cs="Arial"/>
      </w:rPr>
    </w:pPr>
    <w:r w:rsidRPr="00904E62">
      <w:rPr>
        <w:rFonts w:cs="Arial"/>
      </w:rPr>
      <w:fldChar w:fldCharType="begin"/>
    </w:r>
    <w:r w:rsidRPr="00904E62">
      <w:rPr>
        <w:rFonts w:cs="Arial"/>
      </w:rPr>
      <w:instrText xml:space="preserve"> DOCPROPERTY "Status" </w:instrText>
    </w:r>
    <w:r w:rsidRPr="00904E62">
      <w:rPr>
        <w:rFonts w:cs="Arial"/>
      </w:rPr>
      <w:fldChar w:fldCharType="separate"/>
    </w:r>
    <w:r w:rsidR="00DA06D4" w:rsidRPr="00904E62">
      <w:rPr>
        <w:rFonts w:cs="Arial"/>
      </w:rPr>
      <w:t xml:space="preserve"> </w:t>
    </w:r>
    <w:r w:rsidRPr="00904E62">
      <w:rPr>
        <w:rFonts w:cs="Arial"/>
      </w:rPr>
      <w:fldChar w:fldCharType="end"/>
    </w:r>
    <w:r w:rsidRPr="00904E6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871E" w14:textId="77777777" w:rsidR="0051286C" w:rsidRDefault="0051286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1286C" w14:paraId="6A945515" w14:textId="77777777">
      <w:tc>
        <w:tcPr>
          <w:tcW w:w="1061" w:type="pct"/>
        </w:tcPr>
        <w:p w14:paraId="46BB611D" w14:textId="39800604" w:rsidR="0051286C" w:rsidRDefault="00904E62">
          <w:pPr>
            <w:pStyle w:val="Footer"/>
          </w:pPr>
          <w:r>
            <w:fldChar w:fldCharType="begin"/>
          </w:r>
          <w:r>
            <w:instrText xml:space="preserve"> DOCPROPERTY "Category"  *\charformat  </w:instrText>
          </w:r>
          <w:r>
            <w:fldChar w:fldCharType="separate"/>
          </w:r>
          <w:r w:rsidR="00DA06D4">
            <w:t>R16</w:t>
          </w:r>
          <w:r>
            <w:fldChar w:fldCharType="end"/>
          </w:r>
          <w:r w:rsidR="0051286C">
            <w:br/>
          </w:r>
          <w:r>
            <w:fldChar w:fldCharType="begin"/>
          </w:r>
          <w:r>
            <w:instrText xml:space="preserve"> DOCPROPERTY "RepubDt"  *\charformat  </w:instrText>
          </w:r>
          <w:r>
            <w:fldChar w:fldCharType="separate"/>
          </w:r>
          <w:r w:rsidR="00DA06D4">
            <w:t>07/01/24</w:t>
          </w:r>
          <w:r>
            <w:fldChar w:fldCharType="end"/>
          </w:r>
        </w:p>
      </w:tc>
      <w:tc>
        <w:tcPr>
          <w:tcW w:w="3092" w:type="pct"/>
        </w:tcPr>
        <w:p w14:paraId="1D897FDC" w14:textId="5DE39727" w:rsidR="0051286C" w:rsidRDefault="00904E62">
          <w:pPr>
            <w:pStyle w:val="Footer"/>
            <w:jc w:val="center"/>
          </w:pPr>
          <w:r>
            <w:fldChar w:fldCharType="begin"/>
          </w:r>
          <w:r>
            <w:instrText xml:space="preserve"> REF Citation *\charformat </w:instrText>
          </w:r>
          <w:r>
            <w:fldChar w:fldCharType="separate"/>
          </w:r>
          <w:r w:rsidR="00DA06D4">
            <w:t>Gambling and Racing Control (Code of Practice) Regulation 2002</w:t>
          </w:r>
          <w:r>
            <w:fldChar w:fldCharType="end"/>
          </w:r>
        </w:p>
        <w:p w14:paraId="3EFAEB18" w14:textId="08E12FA2" w:rsidR="0051286C" w:rsidRDefault="00904E62">
          <w:pPr>
            <w:pStyle w:val="FooterInfoCentre"/>
          </w:pPr>
          <w:r>
            <w:fldChar w:fldCharType="begin"/>
          </w:r>
          <w:r>
            <w:instrText xml:space="preserve"> DOCPROPERTY "Eff"  *\charformat </w:instrText>
          </w:r>
          <w:r>
            <w:fldChar w:fldCharType="separate"/>
          </w:r>
          <w:r w:rsidR="00DA06D4">
            <w:t xml:space="preserve">Effective:  </w:t>
          </w:r>
          <w:r>
            <w:fldChar w:fldCharType="end"/>
          </w:r>
          <w:r>
            <w:fldChar w:fldCharType="begin"/>
          </w:r>
          <w:r>
            <w:instrText xml:space="preserve"> DOCPROPERTY "StartDt"  *\charformat </w:instrText>
          </w:r>
          <w:r>
            <w:fldChar w:fldCharType="separate"/>
          </w:r>
          <w:r w:rsidR="00DA06D4">
            <w:t>07/01/24</w:t>
          </w:r>
          <w:r>
            <w:fldChar w:fldCharType="end"/>
          </w:r>
          <w:r>
            <w:fldChar w:fldCharType="begin"/>
          </w:r>
          <w:r>
            <w:instrText xml:space="preserve"> DOCPROPERTY "EndDt"  *\charformat </w:instrText>
          </w:r>
          <w:r>
            <w:fldChar w:fldCharType="separate"/>
          </w:r>
          <w:r w:rsidR="00DA06D4">
            <w:t>-15/12/25</w:t>
          </w:r>
          <w:r>
            <w:fldChar w:fldCharType="end"/>
          </w:r>
        </w:p>
      </w:tc>
      <w:tc>
        <w:tcPr>
          <w:tcW w:w="847" w:type="pct"/>
        </w:tcPr>
        <w:p w14:paraId="3B19DF32" w14:textId="77777777" w:rsidR="0051286C" w:rsidRDefault="0051286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790F140" w14:textId="2753E30B" w:rsidR="0051286C" w:rsidRPr="00904E62" w:rsidRDefault="00904E62" w:rsidP="00904E62">
    <w:pPr>
      <w:pStyle w:val="Status"/>
      <w:rPr>
        <w:rFonts w:cs="Arial"/>
      </w:rPr>
    </w:pPr>
    <w:r w:rsidRPr="00904E62">
      <w:rPr>
        <w:rFonts w:cs="Arial"/>
      </w:rPr>
      <w:fldChar w:fldCharType="begin"/>
    </w:r>
    <w:r w:rsidRPr="00904E62">
      <w:rPr>
        <w:rFonts w:cs="Arial"/>
      </w:rPr>
      <w:instrText xml:space="preserve"> DOCPROPERTY "Status" </w:instrText>
    </w:r>
    <w:r w:rsidRPr="00904E62">
      <w:rPr>
        <w:rFonts w:cs="Arial"/>
      </w:rPr>
      <w:fldChar w:fldCharType="separate"/>
    </w:r>
    <w:r w:rsidR="00DA06D4" w:rsidRPr="00904E62">
      <w:rPr>
        <w:rFonts w:cs="Arial"/>
      </w:rPr>
      <w:t xml:space="preserve"> </w:t>
    </w:r>
    <w:r w:rsidRPr="00904E62">
      <w:rPr>
        <w:rFonts w:cs="Arial"/>
      </w:rPr>
      <w:fldChar w:fldCharType="end"/>
    </w:r>
    <w:r w:rsidRPr="00904E6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C23F" w14:textId="77777777" w:rsidR="0051286C" w:rsidRDefault="0051286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1286C" w14:paraId="4600FCA2" w14:textId="77777777">
      <w:tc>
        <w:tcPr>
          <w:tcW w:w="847" w:type="pct"/>
        </w:tcPr>
        <w:p w14:paraId="0720B418" w14:textId="77777777" w:rsidR="0051286C" w:rsidRDefault="0051286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CA9C1F5" w14:textId="6F9DAC66" w:rsidR="0051286C" w:rsidRDefault="00904E62">
          <w:pPr>
            <w:pStyle w:val="Footer"/>
            <w:jc w:val="center"/>
          </w:pPr>
          <w:r>
            <w:fldChar w:fldCharType="begin"/>
          </w:r>
          <w:r>
            <w:instrText xml:space="preserve"> REF Citation *\charformat </w:instrText>
          </w:r>
          <w:r>
            <w:fldChar w:fldCharType="separate"/>
          </w:r>
          <w:r w:rsidR="00DA06D4">
            <w:t>Gambling and Racing Control (Code of Practice) Regulation 2002</w:t>
          </w:r>
          <w:r>
            <w:fldChar w:fldCharType="end"/>
          </w:r>
        </w:p>
        <w:p w14:paraId="6782812F" w14:textId="5E8E75A1" w:rsidR="0051286C" w:rsidRDefault="00904E62">
          <w:pPr>
            <w:pStyle w:val="FooterInfoCentre"/>
          </w:pPr>
          <w:r>
            <w:fldChar w:fldCharType="begin"/>
          </w:r>
          <w:r>
            <w:instrText xml:space="preserve"> DOCPROPERTY "Eff"  *\charformat </w:instrText>
          </w:r>
          <w:r>
            <w:fldChar w:fldCharType="separate"/>
          </w:r>
          <w:r w:rsidR="00DA06D4">
            <w:t xml:space="preserve">Effective:  </w:t>
          </w:r>
          <w:r>
            <w:fldChar w:fldCharType="end"/>
          </w:r>
          <w:r>
            <w:fldChar w:fldCharType="begin"/>
          </w:r>
          <w:r>
            <w:instrText xml:space="preserve"> DOCPROPERTY "StartDt"  *\charformat </w:instrText>
          </w:r>
          <w:r>
            <w:fldChar w:fldCharType="separate"/>
          </w:r>
          <w:r w:rsidR="00DA06D4">
            <w:t>07/01/24</w:t>
          </w:r>
          <w:r>
            <w:fldChar w:fldCharType="end"/>
          </w:r>
          <w:r>
            <w:fldChar w:fldCharType="begin"/>
          </w:r>
          <w:r>
            <w:instrText xml:space="preserve"> DOCPROPERTY "EndDt"  *\charformat </w:instrText>
          </w:r>
          <w:r>
            <w:fldChar w:fldCharType="separate"/>
          </w:r>
          <w:r w:rsidR="00DA06D4">
            <w:t>-15/12/25</w:t>
          </w:r>
          <w:r>
            <w:fldChar w:fldCharType="end"/>
          </w:r>
        </w:p>
      </w:tc>
      <w:tc>
        <w:tcPr>
          <w:tcW w:w="1061" w:type="pct"/>
        </w:tcPr>
        <w:p w14:paraId="14A2D639" w14:textId="217BA3D6" w:rsidR="0051286C" w:rsidRDefault="00904E62">
          <w:pPr>
            <w:pStyle w:val="Footer"/>
            <w:jc w:val="right"/>
          </w:pPr>
          <w:r>
            <w:fldChar w:fldCharType="begin"/>
          </w:r>
          <w:r>
            <w:instrText xml:space="preserve"> DOCPROPERTY "Category"  *\charformat  </w:instrText>
          </w:r>
          <w:r>
            <w:fldChar w:fldCharType="separate"/>
          </w:r>
          <w:r w:rsidR="00DA06D4">
            <w:t>R16</w:t>
          </w:r>
          <w:r>
            <w:fldChar w:fldCharType="end"/>
          </w:r>
          <w:r w:rsidR="0051286C">
            <w:br/>
          </w:r>
          <w:r>
            <w:fldChar w:fldCharType="begin"/>
          </w:r>
          <w:r>
            <w:instrText xml:space="preserve"> DOCPROPERTY "RepubDt"  *\charformat  </w:instrText>
          </w:r>
          <w:r>
            <w:fldChar w:fldCharType="separate"/>
          </w:r>
          <w:r w:rsidR="00DA06D4">
            <w:t>07/01/24</w:t>
          </w:r>
          <w:r>
            <w:fldChar w:fldCharType="end"/>
          </w:r>
        </w:p>
      </w:tc>
    </w:tr>
  </w:tbl>
  <w:p w14:paraId="2EE8A7F9" w14:textId="1797F617" w:rsidR="0051286C" w:rsidRPr="00904E62" w:rsidRDefault="00904E62" w:rsidP="00904E62">
    <w:pPr>
      <w:pStyle w:val="Status"/>
      <w:rPr>
        <w:rFonts w:cs="Arial"/>
      </w:rPr>
    </w:pPr>
    <w:r w:rsidRPr="00904E62">
      <w:rPr>
        <w:rFonts w:cs="Arial"/>
      </w:rPr>
      <w:fldChar w:fldCharType="begin"/>
    </w:r>
    <w:r w:rsidRPr="00904E62">
      <w:rPr>
        <w:rFonts w:cs="Arial"/>
      </w:rPr>
      <w:instrText xml:space="preserve"> DOCPROPERTY "Status" </w:instrText>
    </w:r>
    <w:r w:rsidRPr="00904E62">
      <w:rPr>
        <w:rFonts w:cs="Arial"/>
      </w:rPr>
      <w:fldChar w:fldCharType="separate"/>
    </w:r>
    <w:r w:rsidR="00DA06D4" w:rsidRPr="00904E62">
      <w:rPr>
        <w:rFonts w:cs="Arial"/>
      </w:rPr>
      <w:t xml:space="preserve"> </w:t>
    </w:r>
    <w:r w:rsidRPr="00904E62">
      <w:rPr>
        <w:rFonts w:cs="Arial"/>
      </w:rPr>
      <w:fldChar w:fldCharType="end"/>
    </w:r>
    <w:r w:rsidRPr="00904E6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C1BD" w14:textId="77777777" w:rsidR="0051286C" w:rsidRDefault="0051286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1286C" w14:paraId="38F848A4" w14:textId="77777777">
      <w:tc>
        <w:tcPr>
          <w:tcW w:w="1061" w:type="pct"/>
        </w:tcPr>
        <w:p w14:paraId="59BE2648" w14:textId="3CA7127A" w:rsidR="0051286C" w:rsidRDefault="00904E62">
          <w:pPr>
            <w:pStyle w:val="Footer"/>
          </w:pPr>
          <w:r>
            <w:fldChar w:fldCharType="begin"/>
          </w:r>
          <w:r>
            <w:instrText xml:space="preserve"> DOCPROPERTY "Category"  *\charformat  </w:instrText>
          </w:r>
          <w:r>
            <w:fldChar w:fldCharType="separate"/>
          </w:r>
          <w:r w:rsidR="00DA06D4">
            <w:t>R16</w:t>
          </w:r>
          <w:r>
            <w:fldChar w:fldCharType="end"/>
          </w:r>
          <w:r w:rsidR="0051286C">
            <w:br/>
          </w:r>
          <w:r>
            <w:fldChar w:fldCharType="begin"/>
          </w:r>
          <w:r>
            <w:instrText xml:space="preserve"> DOCPROPERTY "RepubDt"  *\charformat  </w:instrText>
          </w:r>
          <w:r>
            <w:fldChar w:fldCharType="separate"/>
          </w:r>
          <w:r w:rsidR="00DA06D4">
            <w:t>07/01/24</w:t>
          </w:r>
          <w:r>
            <w:fldChar w:fldCharType="end"/>
          </w:r>
        </w:p>
      </w:tc>
      <w:tc>
        <w:tcPr>
          <w:tcW w:w="3092" w:type="pct"/>
        </w:tcPr>
        <w:p w14:paraId="6ECF81F4" w14:textId="4A012083" w:rsidR="0051286C" w:rsidRDefault="00904E62">
          <w:pPr>
            <w:pStyle w:val="Footer"/>
            <w:jc w:val="center"/>
          </w:pPr>
          <w:r>
            <w:fldChar w:fldCharType="begin"/>
          </w:r>
          <w:r>
            <w:instrText xml:space="preserve"> REF Citation *\charformat </w:instrText>
          </w:r>
          <w:r>
            <w:fldChar w:fldCharType="separate"/>
          </w:r>
          <w:r w:rsidR="00DA06D4">
            <w:t>Gambling and Racing Control (Code of Practice) Regulation 2002</w:t>
          </w:r>
          <w:r>
            <w:fldChar w:fldCharType="end"/>
          </w:r>
        </w:p>
        <w:p w14:paraId="29B959C4" w14:textId="5658F63F" w:rsidR="0051286C" w:rsidRDefault="00904E62">
          <w:pPr>
            <w:pStyle w:val="FooterInfoCentre"/>
          </w:pPr>
          <w:r>
            <w:fldChar w:fldCharType="begin"/>
          </w:r>
          <w:r>
            <w:instrText xml:space="preserve"> DOCPROPERTY "Eff"  *\charformat </w:instrText>
          </w:r>
          <w:r>
            <w:fldChar w:fldCharType="separate"/>
          </w:r>
          <w:r w:rsidR="00DA06D4">
            <w:t xml:space="preserve">Effective:  </w:t>
          </w:r>
          <w:r>
            <w:fldChar w:fldCharType="end"/>
          </w:r>
          <w:r>
            <w:fldChar w:fldCharType="begin"/>
          </w:r>
          <w:r>
            <w:instrText xml:space="preserve"> DOCPROPERTY "StartDt"  *\charformat </w:instrText>
          </w:r>
          <w:r>
            <w:fldChar w:fldCharType="separate"/>
          </w:r>
          <w:r w:rsidR="00DA06D4">
            <w:t>07/01/24</w:t>
          </w:r>
          <w:r>
            <w:fldChar w:fldCharType="end"/>
          </w:r>
          <w:r>
            <w:fldChar w:fldCharType="begin"/>
          </w:r>
          <w:r>
            <w:instrText xml:space="preserve"> DOCPROPERTY "EndDt"  *\charformat </w:instrText>
          </w:r>
          <w:r>
            <w:fldChar w:fldCharType="separate"/>
          </w:r>
          <w:r w:rsidR="00DA06D4">
            <w:t>-15/12/25</w:t>
          </w:r>
          <w:r>
            <w:fldChar w:fldCharType="end"/>
          </w:r>
        </w:p>
      </w:tc>
      <w:tc>
        <w:tcPr>
          <w:tcW w:w="847" w:type="pct"/>
        </w:tcPr>
        <w:p w14:paraId="46B56BE0" w14:textId="77777777" w:rsidR="0051286C" w:rsidRDefault="0051286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807945F" w14:textId="3E4FD480" w:rsidR="0051286C" w:rsidRPr="00904E62" w:rsidRDefault="00904E62" w:rsidP="00904E62">
    <w:pPr>
      <w:pStyle w:val="Status"/>
      <w:rPr>
        <w:rFonts w:cs="Arial"/>
      </w:rPr>
    </w:pPr>
    <w:r w:rsidRPr="00904E62">
      <w:rPr>
        <w:rFonts w:cs="Arial"/>
      </w:rPr>
      <w:fldChar w:fldCharType="begin"/>
    </w:r>
    <w:r w:rsidRPr="00904E62">
      <w:rPr>
        <w:rFonts w:cs="Arial"/>
      </w:rPr>
      <w:instrText xml:space="preserve"> DOCPROPERTY "Status" </w:instrText>
    </w:r>
    <w:r w:rsidRPr="00904E62">
      <w:rPr>
        <w:rFonts w:cs="Arial"/>
      </w:rPr>
      <w:fldChar w:fldCharType="separate"/>
    </w:r>
    <w:r w:rsidR="00DA06D4" w:rsidRPr="00904E62">
      <w:rPr>
        <w:rFonts w:cs="Arial"/>
      </w:rPr>
      <w:t xml:space="preserve"> </w:t>
    </w:r>
    <w:r w:rsidRPr="00904E62">
      <w:rPr>
        <w:rFonts w:cs="Arial"/>
      </w:rPr>
      <w:fldChar w:fldCharType="end"/>
    </w:r>
    <w:r w:rsidRPr="00904E62">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704B" w14:textId="01F56515" w:rsidR="0090466A" w:rsidRPr="00904E62" w:rsidRDefault="00904E62" w:rsidP="00904E62">
    <w:pPr>
      <w:pStyle w:val="Footer"/>
      <w:jc w:val="center"/>
      <w:rPr>
        <w:rFonts w:cs="Arial"/>
        <w:sz w:val="14"/>
      </w:rPr>
    </w:pPr>
    <w:r w:rsidRPr="00904E62">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4AB7" w14:textId="158A9EA9" w:rsidR="0090466A" w:rsidRPr="00904E62" w:rsidRDefault="0090466A" w:rsidP="00904E62">
    <w:pPr>
      <w:pStyle w:val="Footer"/>
      <w:jc w:val="center"/>
      <w:rPr>
        <w:rFonts w:cs="Arial"/>
        <w:sz w:val="14"/>
      </w:rPr>
    </w:pPr>
    <w:r w:rsidRPr="00904E62">
      <w:rPr>
        <w:rFonts w:cs="Arial"/>
        <w:sz w:val="14"/>
      </w:rPr>
      <w:fldChar w:fldCharType="begin"/>
    </w:r>
    <w:r w:rsidRPr="00904E62">
      <w:rPr>
        <w:rFonts w:cs="Arial"/>
        <w:sz w:val="14"/>
      </w:rPr>
      <w:instrText xml:space="preserve"> COMMENTS  \* MERGEFORMAT </w:instrText>
    </w:r>
    <w:r w:rsidRPr="00904E62">
      <w:rPr>
        <w:rFonts w:cs="Arial"/>
        <w:sz w:val="14"/>
      </w:rPr>
      <w:fldChar w:fldCharType="end"/>
    </w:r>
    <w:r w:rsidR="00904E62" w:rsidRPr="00904E62">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9C90" w14:textId="3BC87DB0" w:rsidR="0090466A" w:rsidRPr="00904E62" w:rsidRDefault="00904E62" w:rsidP="00904E62">
    <w:pPr>
      <w:pStyle w:val="Footer"/>
      <w:jc w:val="center"/>
      <w:rPr>
        <w:rFonts w:cs="Arial"/>
        <w:sz w:val="14"/>
      </w:rPr>
    </w:pPr>
    <w:r w:rsidRPr="00904E62">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324B" w14:textId="77777777" w:rsidR="0090466A" w:rsidRDefault="00904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E324" w14:textId="5023EC15" w:rsidR="0090466A" w:rsidRPr="00904E62" w:rsidRDefault="0090466A" w:rsidP="00904E62">
    <w:pPr>
      <w:pStyle w:val="Footer"/>
      <w:jc w:val="center"/>
      <w:rPr>
        <w:rFonts w:cs="Arial"/>
        <w:sz w:val="14"/>
      </w:rPr>
    </w:pPr>
    <w:r w:rsidRPr="00904E62">
      <w:rPr>
        <w:rFonts w:cs="Arial"/>
        <w:sz w:val="14"/>
      </w:rPr>
      <w:fldChar w:fldCharType="begin"/>
    </w:r>
    <w:r w:rsidRPr="00904E62">
      <w:rPr>
        <w:rFonts w:cs="Arial"/>
        <w:sz w:val="14"/>
      </w:rPr>
      <w:instrText xml:space="preserve"> DOCPROPERTY "Status" </w:instrText>
    </w:r>
    <w:r w:rsidRPr="00904E62">
      <w:rPr>
        <w:rFonts w:cs="Arial"/>
        <w:sz w:val="14"/>
      </w:rPr>
      <w:fldChar w:fldCharType="separate"/>
    </w:r>
    <w:r w:rsidR="00DA06D4" w:rsidRPr="00904E62">
      <w:rPr>
        <w:rFonts w:cs="Arial"/>
        <w:sz w:val="14"/>
      </w:rPr>
      <w:t xml:space="preserve"> </w:t>
    </w:r>
    <w:r w:rsidRPr="00904E62">
      <w:rPr>
        <w:rFonts w:cs="Arial"/>
        <w:sz w:val="14"/>
      </w:rPr>
      <w:fldChar w:fldCharType="end"/>
    </w:r>
    <w:r w:rsidRPr="00904E62">
      <w:rPr>
        <w:rFonts w:cs="Arial"/>
        <w:sz w:val="14"/>
      </w:rPr>
      <w:fldChar w:fldCharType="begin"/>
    </w:r>
    <w:r w:rsidRPr="00904E62">
      <w:rPr>
        <w:rFonts w:cs="Arial"/>
        <w:sz w:val="14"/>
      </w:rPr>
      <w:instrText xml:space="preserve"> COMMENTS  \* MERGEFORMAT </w:instrText>
    </w:r>
    <w:r w:rsidRPr="00904E62">
      <w:rPr>
        <w:rFonts w:cs="Arial"/>
        <w:sz w:val="14"/>
      </w:rPr>
      <w:fldChar w:fldCharType="end"/>
    </w:r>
    <w:r w:rsidR="00904E62" w:rsidRPr="00904E6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9814" w14:textId="106364EF" w:rsidR="001D55C6" w:rsidRPr="00904E62" w:rsidRDefault="00904E62" w:rsidP="00904E62">
    <w:pPr>
      <w:pStyle w:val="Footer"/>
      <w:jc w:val="center"/>
      <w:rPr>
        <w:rFonts w:cs="Arial"/>
        <w:sz w:val="14"/>
      </w:rPr>
    </w:pPr>
    <w:r w:rsidRPr="00904E6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2410" w14:textId="77777777" w:rsidR="0051286C" w:rsidRDefault="0051286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1286C" w14:paraId="6327566D" w14:textId="77777777">
      <w:tc>
        <w:tcPr>
          <w:tcW w:w="846" w:type="pct"/>
        </w:tcPr>
        <w:p w14:paraId="308B5CB8" w14:textId="77777777" w:rsidR="0051286C" w:rsidRDefault="0051286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6D70CFB0" w14:textId="03B14B7F" w:rsidR="0051286C" w:rsidRDefault="00904E62">
          <w:pPr>
            <w:pStyle w:val="Footer"/>
            <w:jc w:val="center"/>
          </w:pPr>
          <w:r>
            <w:fldChar w:fldCharType="begin"/>
          </w:r>
          <w:r>
            <w:instrText xml:space="preserve"> REF Citation *\charformat </w:instrText>
          </w:r>
          <w:r>
            <w:fldChar w:fldCharType="separate"/>
          </w:r>
          <w:r w:rsidR="00DA06D4">
            <w:t>Gambling and Racing Control (Code of Practice) Regulation 2002</w:t>
          </w:r>
          <w:r>
            <w:fldChar w:fldCharType="end"/>
          </w:r>
        </w:p>
        <w:p w14:paraId="1BDC92C5" w14:textId="15559111" w:rsidR="0051286C" w:rsidRDefault="00904E62">
          <w:pPr>
            <w:pStyle w:val="FooterInfoCentre"/>
          </w:pPr>
          <w:r>
            <w:fldChar w:fldCharType="begin"/>
          </w:r>
          <w:r>
            <w:instrText xml:space="preserve"> DOCPROPERTY "Eff"  </w:instrText>
          </w:r>
          <w:r>
            <w:fldChar w:fldCharType="separate"/>
          </w:r>
          <w:r w:rsidR="00DA06D4">
            <w:t xml:space="preserve">Effective:  </w:t>
          </w:r>
          <w:r>
            <w:fldChar w:fldCharType="end"/>
          </w:r>
          <w:r>
            <w:fldChar w:fldCharType="begin"/>
          </w:r>
          <w:r>
            <w:instrText xml:space="preserve"> DOCPROPERTY "StartDt"   </w:instrText>
          </w:r>
          <w:r>
            <w:fldChar w:fldCharType="separate"/>
          </w:r>
          <w:r w:rsidR="00DA06D4">
            <w:t>07/01/24</w:t>
          </w:r>
          <w:r>
            <w:fldChar w:fldCharType="end"/>
          </w:r>
          <w:r>
            <w:fldChar w:fldCharType="begin"/>
          </w:r>
          <w:r>
            <w:instrText xml:space="preserve"> DOCPROPERTY "EndDt"  </w:instrText>
          </w:r>
          <w:r>
            <w:fldChar w:fldCharType="separate"/>
          </w:r>
          <w:r w:rsidR="00DA06D4">
            <w:t>-15/12/25</w:t>
          </w:r>
          <w:r>
            <w:fldChar w:fldCharType="end"/>
          </w:r>
        </w:p>
      </w:tc>
      <w:tc>
        <w:tcPr>
          <w:tcW w:w="1061" w:type="pct"/>
        </w:tcPr>
        <w:p w14:paraId="77F73E8B" w14:textId="15FC23DC" w:rsidR="0051286C" w:rsidRDefault="00904E62">
          <w:pPr>
            <w:pStyle w:val="Footer"/>
            <w:jc w:val="right"/>
          </w:pPr>
          <w:r>
            <w:fldChar w:fldCharType="begin"/>
          </w:r>
          <w:r>
            <w:instrText xml:space="preserve"> DOCPROPERTY "Category"  </w:instrText>
          </w:r>
          <w:r>
            <w:fldChar w:fldCharType="separate"/>
          </w:r>
          <w:r w:rsidR="00DA06D4">
            <w:t>R16</w:t>
          </w:r>
          <w:r>
            <w:fldChar w:fldCharType="end"/>
          </w:r>
          <w:r w:rsidR="0051286C">
            <w:br/>
          </w:r>
          <w:r>
            <w:fldChar w:fldCharType="begin"/>
          </w:r>
          <w:r>
            <w:instrText xml:space="preserve"> DOCPROPERTY "RepubDt"  </w:instrText>
          </w:r>
          <w:r>
            <w:fldChar w:fldCharType="separate"/>
          </w:r>
          <w:r w:rsidR="00DA06D4">
            <w:t>07/01/24</w:t>
          </w:r>
          <w:r>
            <w:fldChar w:fldCharType="end"/>
          </w:r>
        </w:p>
      </w:tc>
    </w:tr>
  </w:tbl>
  <w:p w14:paraId="772B7E38" w14:textId="379CF9FA" w:rsidR="0051286C" w:rsidRPr="00904E62" w:rsidRDefault="00904E62" w:rsidP="00904E62">
    <w:pPr>
      <w:pStyle w:val="Status"/>
      <w:rPr>
        <w:rFonts w:cs="Arial"/>
      </w:rPr>
    </w:pPr>
    <w:r w:rsidRPr="00904E62">
      <w:rPr>
        <w:rFonts w:cs="Arial"/>
      </w:rPr>
      <w:fldChar w:fldCharType="begin"/>
    </w:r>
    <w:r w:rsidRPr="00904E62">
      <w:rPr>
        <w:rFonts w:cs="Arial"/>
      </w:rPr>
      <w:instrText xml:space="preserve"> DOCPROPERTY "Status" </w:instrText>
    </w:r>
    <w:r w:rsidRPr="00904E62">
      <w:rPr>
        <w:rFonts w:cs="Arial"/>
      </w:rPr>
      <w:fldChar w:fldCharType="separate"/>
    </w:r>
    <w:r w:rsidR="00DA06D4" w:rsidRPr="00904E62">
      <w:rPr>
        <w:rFonts w:cs="Arial"/>
      </w:rPr>
      <w:t xml:space="preserve"> </w:t>
    </w:r>
    <w:r w:rsidRPr="00904E62">
      <w:rPr>
        <w:rFonts w:cs="Arial"/>
      </w:rPr>
      <w:fldChar w:fldCharType="end"/>
    </w:r>
    <w:r w:rsidRPr="00904E6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D178" w14:textId="77777777" w:rsidR="0051286C" w:rsidRDefault="0051286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1286C" w14:paraId="5C12D5F1" w14:textId="77777777">
      <w:tc>
        <w:tcPr>
          <w:tcW w:w="1061" w:type="pct"/>
        </w:tcPr>
        <w:p w14:paraId="6DA1CBF2" w14:textId="09F248CC" w:rsidR="0051286C" w:rsidRDefault="00904E62">
          <w:pPr>
            <w:pStyle w:val="Footer"/>
          </w:pPr>
          <w:r>
            <w:fldChar w:fldCharType="begin"/>
          </w:r>
          <w:r>
            <w:instrText xml:space="preserve"> DOCPROPERTY "Category"  </w:instrText>
          </w:r>
          <w:r>
            <w:fldChar w:fldCharType="separate"/>
          </w:r>
          <w:r w:rsidR="00DA06D4">
            <w:t>R16</w:t>
          </w:r>
          <w:r>
            <w:fldChar w:fldCharType="end"/>
          </w:r>
          <w:r w:rsidR="0051286C">
            <w:br/>
          </w:r>
          <w:r>
            <w:fldChar w:fldCharType="begin"/>
          </w:r>
          <w:r>
            <w:instrText xml:space="preserve"> DOCPROPERTY "RepubDt"  </w:instrText>
          </w:r>
          <w:r>
            <w:fldChar w:fldCharType="separate"/>
          </w:r>
          <w:r w:rsidR="00DA06D4">
            <w:t>07/01/24</w:t>
          </w:r>
          <w:r>
            <w:fldChar w:fldCharType="end"/>
          </w:r>
        </w:p>
      </w:tc>
      <w:tc>
        <w:tcPr>
          <w:tcW w:w="3093" w:type="pct"/>
        </w:tcPr>
        <w:p w14:paraId="7319FD92" w14:textId="7BDD9C81" w:rsidR="0051286C" w:rsidRDefault="00904E62">
          <w:pPr>
            <w:pStyle w:val="Footer"/>
            <w:jc w:val="center"/>
          </w:pPr>
          <w:r>
            <w:fldChar w:fldCharType="begin"/>
          </w:r>
          <w:r>
            <w:instrText xml:space="preserve"> REF Citation *\charformat </w:instrText>
          </w:r>
          <w:r>
            <w:fldChar w:fldCharType="separate"/>
          </w:r>
          <w:r w:rsidR="00DA06D4">
            <w:t>Gambling and Racing Control (Code of Practice) Regulation 2002</w:t>
          </w:r>
          <w:r>
            <w:fldChar w:fldCharType="end"/>
          </w:r>
        </w:p>
        <w:p w14:paraId="4721B137" w14:textId="0A8C493E" w:rsidR="0051286C" w:rsidRDefault="00904E62">
          <w:pPr>
            <w:pStyle w:val="FooterInfoCentre"/>
          </w:pPr>
          <w:r>
            <w:fldChar w:fldCharType="begin"/>
          </w:r>
          <w:r>
            <w:instrText xml:space="preserve"> DOCPROPERTY "Eff"  </w:instrText>
          </w:r>
          <w:r>
            <w:fldChar w:fldCharType="separate"/>
          </w:r>
          <w:r w:rsidR="00DA06D4">
            <w:t xml:space="preserve">Effective:  </w:t>
          </w:r>
          <w:r>
            <w:fldChar w:fldCharType="end"/>
          </w:r>
          <w:r>
            <w:fldChar w:fldCharType="begin"/>
          </w:r>
          <w:r>
            <w:instrText xml:space="preserve"> DOCPROPERTY "StartDt"  </w:instrText>
          </w:r>
          <w:r>
            <w:fldChar w:fldCharType="separate"/>
          </w:r>
          <w:r w:rsidR="00DA06D4">
            <w:t>07/01/24</w:t>
          </w:r>
          <w:r>
            <w:fldChar w:fldCharType="end"/>
          </w:r>
          <w:r>
            <w:fldChar w:fldCharType="begin"/>
          </w:r>
          <w:r>
            <w:instrText xml:space="preserve"> DOCPROPERTY "EndDt"  </w:instrText>
          </w:r>
          <w:r>
            <w:fldChar w:fldCharType="separate"/>
          </w:r>
          <w:r w:rsidR="00DA06D4">
            <w:t>-15/12/25</w:t>
          </w:r>
          <w:r>
            <w:fldChar w:fldCharType="end"/>
          </w:r>
        </w:p>
      </w:tc>
      <w:tc>
        <w:tcPr>
          <w:tcW w:w="846" w:type="pct"/>
        </w:tcPr>
        <w:p w14:paraId="72986976" w14:textId="77777777" w:rsidR="0051286C" w:rsidRDefault="0051286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9A664FA" w14:textId="320652A3" w:rsidR="0051286C" w:rsidRPr="00904E62" w:rsidRDefault="00904E62" w:rsidP="00904E62">
    <w:pPr>
      <w:pStyle w:val="Status"/>
      <w:rPr>
        <w:rFonts w:cs="Arial"/>
      </w:rPr>
    </w:pPr>
    <w:r w:rsidRPr="00904E62">
      <w:rPr>
        <w:rFonts w:cs="Arial"/>
      </w:rPr>
      <w:fldChar w:fldCharType="begin"/>
    </w:r>
    <w:r w:rsidRPr="00904E62">
      <w:rPr>
        <w:rFonts w:cs="Arial"/>
      </w:rPr>
      <w:instrText xml:space="preserve"> DOCPROPERTY "Status" </w:instrText>
    </w:r>
    <w:r w:rsidRPr="00904E62">
      <w:rPr>
        <w:rFonts w:cs="Arial"/>
      </w:rPr>
      <w:fldChar w:fldCharType="separate"/>
    </w:r>
    <w:r w:rsidR="00DA06D4" w:rsidRPr="00904E62">
      <w:rPr>
        <w:rFonts w:cs="Arial"/>
      </w:rPr>
      <w:t xml:space="preserve"> </w:t>
    </w:r>
    <w:r w:rsidRPr="00904E62">
      <w:rPr>
        <w:rFonts w:cs="Arial"/>
      </w:rPr>
      <w:fldChar w:fldCharType="end"/>
    </w:r>
    <w:r w:rsidRPr="00904E6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4505" w14:textId="77777777" w:rsidR="0051286C" w:rsidRDefault="0051286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1286C" w14:paraId="0225C4B2" w14:textId="77777777">
      <w:tc>
        <w:tcPr>
          <w:tcW w:w="1061" w:type="pct"/>
        </w:tcPr>
        <w:p w14:paraId="3FFBB79E" w14:textId="55B05E74" w:rsidR="0051286C" w:rsidRDefault="00904E62">
          <w:pPr>
            <w:pStyle w:val="Footer"/>
          </w:pPr>
          <w:r>
            <w:fldChar w:fldCharType="begin"/>
          </w:r>
          <w:r>
            <w:instrText xml:space="preserve"> DOCPROPERTY "Category"  </w:instrText>
          </w:r>
          <w:r>
            <w:fldChar w:fldCharType="separate"/>
          </w:r>
          <w:r w:rsidR="00DA06D4">
            <w:t>R16</w:t>
          </w:r>
          <w:r>
            <w:fldChar w:fldCharType="end"/>
          </w:r>
          <w:r w:rsidR="0051286C">
            <w:br/>
          </w:r>
          <w:r>
            <w:fldChar w:fldCharType="begin"/>
          </w:r>
          <w:r>
            <w:instrText xml:space="preserve"> DOCPROPERTY "RepubDt"  </w:instrText>
          </w:r>
          <w:r>
            <w:fldChar w:fldCharType="separate"/>
          </w:r>
          <w:r w:rsidR="00DA06D4">
            <w:t>07/01/24</w:t>
          </w:r>
          <w:r>
            <w:fldChar w:fldCharType="end"/>
          </w:r>
        </w:p>
      </w:tc>
      <w:tc>
        <w:tcPr>
          <w:tcW w:w="3093" w:type="pct"/>
        </w:tcPr>
        <w:p w14:paraId="36C00A55" w14:textId="6D833D93" w:rsidR="0051286C" w:rsidRDefault="00904E62">
          <w:pPr>
            <w:pStyle w:val="Footer"/>
            <w:jc w:val="center"/>
          </w:pPr>
          <w:r>
            <w:fldChar w:fldCharType="begin"/>
          </w:r>
          <w:r>
            <w:instrText xml:space="preserve"> REF Citation *\charformat </w:instrText>
          </w:r>
          <w:r>
            <w:fldChar w:fldCharType="separate"/>
          </w:r>
          <w:r w:rsidR="00DA06D4">
            <w:t>Gambling and Racing Control (Code of Practice) Regulation 2002</w:t>
          </w:r>
          <w:r>
            <w:fldChar w:fldCharType="end"/>
          </w:r>
        </w:p>
        <w:p w14:paraId="005921DE" w14:textId="7B0C51B3" w:rsidR="0051286C" w:rsidRDefault="00904E62">
          <w:pPr>
            <w:pStyle w:val="FooterInfoCentre"/>
          </w:pPr>
          <w:r>
            <w:fldChar w:fldCharType="begin"/>
          </w:r>
          <w:r>
            <w:instrText xml:space="preserve"> DOCPROPERTY "Eff"  </w:instrText>
          </w:r>
          <w:r>
            <w:fldChar w:fldCharType="separate"/>
          </w:r>
          <w:r w:rsidR="00DA06D4">
            <w:t xml:space="preserve">Effective:  </w:t>
          </w:r>
          <w:r>
            <w:fldChar w:fldCharType="end"/>
          </w:r>
          <w:r>
            <w:fldChar w:fldCharType="begin"/>
          </w:r>
          <w:r>
            <w:instrText xml:space="preserve"> DOCPROPERTY "StartDt"   </w:instrText>
          </w:r>
          <w:r>
            <w:fldChar w:fldCharType="separate"/>
          </w:r>
          <w:r w:rsidR="00DA06D4">
            <w:t>07/01/24</w:t>
          </w:r>
          <w:r>
            <w:fldChar w:fldCharType="end"/>
          </w:r>
          <w:r>
            <w:fldChar w:fldCharType="begin"/>
          </w:r>
          <w:r>
            <w:instrText xml:space="preserve"> DOCPROPERTY "EndDt"  </w:instrText>
          </w:r>
          <w:r>
            <w:fldChar w:fldCharType="separate"/>
          </w:r>
          <w:r w:rsidR="00DA06D4">
            <w:t>-15/12/25</w:t>
          </w:r>
          <w:r>
            <w:fldChar w:fldCharType="end"/>
          </w:r>
        </w:p>
      </w:tc>
      <w:tc>
        <w:tcPr>
          <w:tcW w:w="846" w:type="pct"/>
        </w:tcPr>
        <w:p w14:paraId="767503F5" w14:textId="77777777" w:rsidR="0051286C" w:rsidRDefault="0051286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DF797BC" w14:textId="53BA6D77" w:rsidR="0051286C" w:rsidRPr="00904E62" w:rsidRDefault="00904E62" w:rsidP="00904E62">
    <w:pPr>
      <w:pStyle w:val="Status"/>
      <w:rPr>
        <w:rFonts w:cs="Arial"/>
      </w:rPr>
    </w:pPr>
    <w:r w:rsidRPr="00904E62">
      <w:rPr>
        <w:rFonts w:cs="Arial"/>
      </w:rPr>
      <w:fldChar w:fldCharType="begin"/>
    </w:r>
    <w:r w:rsidRPr="00904E62">
      <w:rPr>
        <w:rFonts w:cs="Arial"/>
      </w:rPr>
      <w:instrText xml:space="preserve"> DOCPROPERTY "Status" </w:instrText>
    </w:r>
    <w:r w:rsidRPr="00904E62">
      <w:rPr>
        <w:rFonts w:cs="Arial"/>
      </w:rPr>
      <w:fldChar w:fldCharType="separate"/>
    </w:r>
    <w:r w:rsidR="00DA06D4" w:rsidRPr="00904E62">
      <w:rPr>
        <w:rFonts w:cs="Arial"/>
      </w:rPr>
      <w:t xml:space="preserve"> </w:t>
    </w:r>
    <w:r w:rsidRPr="00904E62">
      <w:rPr>
        <w:rFonts w:cs="Arial"/>
      </w:rPr>
      <w:fldChar w:fldCharType="end"/>
    </w:r>
    <w:r w:rsidRPr="00904E6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7406" w14:textId="77777777" w:rsidR="0051286C" w:rsidRDefault="0051286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1286C" w14:paraId="2086F4D2" w14:textId="77777777">
      <w:tc>
        <w:tcPr>
          <w:tcW w:w="847" w:type="pct"/>
        </w:tcPr>
        <w:p w14:paraId="7B620249" w14:textId="77777777" w:rsidR="0051286C" w:rsidRDefault="0051286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9FEB150" w14:textId="41BE5F4E" w:rsidR="0051286C" w:rsidRDefault="00904E62">
          <w:pPr>
            <w:pStyle w:val="Footer"/>
            <w:jc w:val="center"/>
          </w:pPr>
          <w:r>
            <w:fldChar w:fldCharType="begin"/>
          </w:r>
          <w:r>
            <w:instrText xml:space="preserve"> REF Citation *\charformat </w:instrText>
          </w:r>
          <w:r>
            <w:fldChar w:fldCharType="separate"/>
          </w:r>
          <w:r w:rsidR="00DA06D4">
            <w:t>Gambling and Racing Control (Code of Practice) Regulation 2002</w:t>
          </w:r>
          <w:r>
            <w:fldChar w:fldCharType="end"/>
          </w:r>
        </w:p>
        <w:p w14:paraId="3AE54193" w14:textId="3075E5D5" w:rsidR="0051286C" w:rsidRDefault="00904E62">
          <w:pPr>
            <w:pStyle w:val="FooterInfoCentre"/>
          </w:pPr>
          <w:r>
            <w:fldChar w:fldCharType="begin"/>
          </w:r>
          <w:r>
            <w:instrText xml:space="preserve"> DOCPROPERTY "Eff"  *\charformat </w:instrText>
          </w:r>
          <w:r>
            <w:fldChar w:fldCharType="separate"/>
          </w:r>
          <w:r w:rsidR="00DA06D4">
            <w:t xml:space="preserve">Effective:  </w:t>
          </w:r>
          <w:r>
            <w:fldChar w:fldCharType="end"/>
          </w:r>
          <w:r>
            <w:fldChar w:fldCharType="begin"/>
          </w:r>
          <w:r>
            <w:instrText xml:space="preserve"> DOCPROPERTY "StartDt"  *\charformat </w:instrText>
          </w:r>
          <w:r>
            <w:fldChar w:fldCharType="separate"/>
          </w:r>
          <w:r w:rsidR="00DA06D4">
            <w:t>07/01/24</w:t>
          </w:r>
          <w:r>
            <w:fldChar w:fldCharType="end"/>
          </w:r>
          <w:r>
            <w:fldChar w:fldCharType="begin"/>
          </w:r>
          <w:r>
            <w:instrText xml:space="preserve"> DOCPROPERTY "EndDt"  *\charformat </w:instrText>
          </w:r>
          <w:r>
            <w:fldChar w:fldCharType="separate"/>
          </w:r>
          <w:r w:rsidR="00DA06D4">
            <w:t>-15/12/25</w:t>
          </w:r>
          <w:r>
            <w:fldChar w:fldCharType="end"/>
          </w:r>
        </w:p>
      </w:tc>
      <w:tc>
        <w:tcPr>
          <w:tcW w:w="1061" w:type="pct"/>
        </w:tcPr>
        <w:p w14:paraId="08117375" w14:textId="7A6BEFF6" w:rsidR="0051286C" w:rsidRDefault="00904E62">
          <w:pPr>
            <w:pStyle w:val="Footer"/>
            <w:jc w:val="right"/>
          </w:pPr>
          <w:r>
            <w:fldChar w:fldCharType="begin"/>
          </w:r>
          <w:r>
            <w:instrText xml:space="preserve"> DOCPROPERTY "Category"  *\charformat  </w:instrText>
          </w:r>
          <w:r>
            <w:fldChar w:fldCharType="separate"/>
          </w:r>
          <w:r w:rsidR="00DA06D4">
            <w:t>R16</w:t>
          </w:r>
          <w:r>
            <w:fldChar w:fldCharType="end"/>
          </w:r>
          <w:r w:rsidR="0051286C">
            <w:br/>
          </w:r>
          <w:r>
            <w:fldChar w:fldCharType="begin"/>
          </w:r>
          <w:r>
            <w:instrText xml:space="preserve"> DOCPROPERTY "RepubDt"  *\charformat  </w:instrText>
          </w:r>
          <w:r>
            <w:fldChar w:fldCharType="separate"/>
          </w:r>
          <w:r w:rsidR="00DA06D4">
            <w:t>07/01/24</w:t>
          </w:r>
          <w:r>
            <w:fldChar w:fldCharType="end"/>
          </w:r>
        </w:p>
      </w:tc>
    </w:tr>
  </w:tbl>
  <w:p w14:paraId="746AE14C" w14:textId="604B026B" w:rsidR="0051286C" w:rsidRPr="00904E62" w:rsidRDefault="00904E62" w:rsidP="00904E62">
    <w:pPr>
      <w:pStyle w:val="Status"/>
      <w:rPr>
        <w:rFonts w:cs="Arial"/>
      </w:rPr>
    </w:pPr>
    <w:r w:rsidRPr="00904E62">
      <w:rPr>
        <w:rFonts w:cs="Arial"/>
      </w:rPr>
      <w:fldChar w:fldCharType="begin"/>
    </w:r>
    <w:r w:rsidRPr="00904E62">
      <w:rPr>
        <w:rFonts w:cs="Arial"/>
      </w:rPr>
      <w:instrText xml:space="preserve"> DOCPROPERTY "Status" </w:instrText>
    </w:r>
    <w:r w:rsidRPr="00904E62">
      <w:rPr>
        <w:rFonts w:cs="Arial"/>
      </w:rPr>
      <w:fldChar w:fldCharType="separate"/>
    </w:r>
    <w:r w:rsidR="00DA06D4" w:rsidRPr="00904E62">
      <w:rPr>
        <w:rFonts w:cs="Arial"/>
      </w:rPr>
      <w:t xml:space="preserve"> </w:t>
    </w:r>
    <w:r w:rsidRPr="00904E62">
      <w:rPr>
        <w:rFonts w:cs="Arial"/>
      </w:rPr>
      <w:fldChar w:fldCharType="end"/>
    </w:r>
    <w:r w:rsidRPr="00904E6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2C2E" w14:textId="77777777" w:rsidR="0051286C" w:rsidRDefault="0051286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1286C" w14:paraId="40DF7093" w14:textId="77777777">
      <w:tc>
        <w:tcPr>
          <w:tcW w:w="1061" w:type="pct"/>
        </w:tcPr>
        <w:p w14:paraId="00E1B9E1" w14:textId="5CA3061E" w:rsidR="0051286C" w:rsidRDefault="00904E62">
          <w:pPr>
            <w:pStyle w:val="Footer"/>
          </w:pPr>
          <w:r>
            <w:fldChar w:fldCharType="begin"/>
          </w:r>
          <w:r>
            <w:instrText xml:space="preserve"> DOCPROPERTY "Category"  *\charformat  </w:instrText>
          </w:r>
          <w:r>
            <w:fldChar w:fldCharType="separate"/>
          </w:r>
          <w:r w:rsidR="00DA06D4">
            <w:t>R16</w:t>
          </w:r>
          <w:r>
            <w:fldChar w:fldCharType="end"/>
          </w:r>
          <w:r w:rsidR="0051286C">
            <w:br/>
          </w:r>
          <w:r>
            <w:fldChar w:fldCharType="begin"/>
          </w:r>
          <w:r>
            <w:instrText xml:space="preserve"> DOCPROPERTY "RepubDt"  *\charformat  </w:instrText>
          </w:r>
          <w:r>
            <w:fldChar w:fldCharType="separate"/>
          </w:r>
          <w:r w:rsidR="00DA06D4">
            <w:t>07/01/24</w:t>
          </w:r>
          <w:r>
            <w:fldChar w:fldCharType="end"/>
          </w:r>
        </w:p>
      </w:tc>
      <w:tc>
        <w:tcPr>
          <w:tcW w:w="3092" w:type="pct"/>
        </w:tcPr>
        <w:p w14:paraId="6EA4A60E" w14:textId="24C617C3" w:rsidR="0051286C" w:rsidRDefault="00904E62">
          <w:pPr>
            <w:pStyle w:val="Footer"/>
            <w:jc w:val="center"/>
          </w:pPr>
          <w:r>
            <w:fldChar w:fldCharType="begin"/>
          </w:r>
          <w:r>
            <w:instrText xml:space="preserve"> REF Citation *\charformat </w:instrText>
          </w:r>
          <w:r>
            <w:fldChar w:fldCharType="separate"/>
          </w:r>
          <w:r w:rsidR="00DA06D4">
            <w:t>Gambling and Racing Control (Code of Practice) Regulation 2002</w:t>
          </w:r>
          <w:r>
            <w:fldChar w:fldCharType="end"/>
          </w:r>
        </w:p>
        <w:p w14:paraId="3D836591" w14:textId="1D68FCAB" w:rsidR="0051286C" w:rsidRDefault="00904E62">
          <w:pPr>
            <w:pStyle w:val="FooterInfoCentre"/>
          </w:pPr>
          <w:r>
            <w:fldChar w:fldCharType="begin"/>
          </w:r>
          <w:r>
            <w:instrText xml:space="preserve"> DOCPROPERTY "Eff"  *\charformat </w:instrText>
          </w:r>
          <w:r>
            <w:fldChar w:fldCharType="separate"/>
          </w:r>
          <w:r w:rsidR="00DA06D4">
            <w:t xml:space="preserve">Effective:  </w:t>
          </w:r>
          <w:r>
            <w:fldChar w:fldCharType="end"/>
          </w:r>
          <w:r>
            <w:fldChar w:fldCharType="begin"/>
          </w:r>
          <w:r>
            <w:instrText xml:space="preserve"> DOCPROPERTY "StartDt"  *\charformat </w:instrText>
          </w:r>
          <w:r>
            <w:fldChar w:fldCharType="separate"/>
          </w:r>
          <w:r w:rsidR="00DA06D4">
            <w:t>07/01/24</w:t>
          </w:r>
          <w:r>
            <w:fldChar w:fldCharType="end"/>
          </w:r>
          <w:r>
            <w:fldChar w:fldCharType="begin"/>
          </w:r>
          <w:r>
            <w:instrText xml:space="preserve"> DOCPROPERTY "EndDt"  *\charformat </w:instrText>
          </w:r>
          <w:r>
            <w:fldChar w:fldCharType="separate"/>
          </w:r>
          <w:r w:rsidR="00DA06D4">
            <w:t>-15/12/25</w:t>
          </w:r>
          <w:r>
            <w:fldChar w:fldCharType="end"/>
          </w:r>
        </w:p>
      </w:tc>
      <w:tc>
        <w:tcPr>
          <w:tcW w:w="847" w:type="pct"/>
        </w:tcPr>
        <w:p w14:paraId="74DC4211" w14:textId="77777777" w:rsidR="0051286C" w:rsidRDefault="0051286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6EE8E8B" w14:textId="4878E08B" w:rsidR="0051286C" w:rsidRPr="00904E62" w:rsidRDefault="00904E62" w:rsidP="00904E62">
    <w:pPr>
      <w:pStyle w:val="Status"/>
      <w:rPr>
        <w:rFonts w:cs="Arial"/>
      </w:rPr>
    </w:pPr>
    <w:r w:rsidRPr="00904E62">
      <w:rPr>
        <w:rFonts w:cs="Arial"/>
      </w:rPr>
      <w:fldChar w:fldCharType="begin"/>
    </w:r>
    <w:r w:rsidRPr="00904E62">
      <w:rPr>
        <w:rFonts w:cs="Arial"/>
      </w:rPr>
      <w:instrText xml:space="preserve"> DOCPROPERTY "Status" </w:instrText>
    </w:r>
    <w:r w:rsidRPr="00904E62">
      <w:rPr>
        <w:rFonts w:cs="Arial"/>
      </w:rPr>
      <w:fldChar w:fldCharType="separate"/>
    </w:r>
    <w:r w:rsidR="00DA06D4" w:rsidRPr="00904E62">
      <w:rPr>
        <w:rFonts w:cs="Arial"/>
      </w:rPr>
      <w:t xml:space="preserve"> </w:t>
    </w:r>
    <w:r w:rsidRPr="00904E62">
      <w:rPr>
        <w:rFonts w:cs="Arial"/>
      </w:rPr>
      <w:fldChar w:fldCharType="end"/>
    </w:r>
    <w:r w:rsidRPr="00904E6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787D" w14:textId="77777777" w:rsidR="0051286C" w:rsidRDefault="0051286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1286C" w14:paraId="191FE843" w14:textId="77777777">
      <w:tc>
        <w:tcPr>
          <w:tcW w:w="1061" w:type="pct"/>
        </w:tcPr>
        <w:p w14:paraId="11AD3A84" w14:textId="621B0F67" w:rsidR="0051286C" w:rsidRDefault="00904E62">
          <w:pPr>
            <w:pStyle w:val="Footer"/>
          </w:pPr>
          <w:r>
            <w:fldChar w:fldCharType="begin"/>
          </w:r>
          <w:r>
            <w:instrText xml:space="preserve"> DOCPROPERTY "Category"  *\charformat  </w:instrText>
          </w:r>
          <w:r>
            <w:fldChar w:fldCharType="separate"/>
          </w:r>
          <w:r w:rsidR="00DA06D4">
            <w:t>R16</w:t>
          </w:r>
          <w:r>
            <w:fldChar w:fldCharType="end"/>
          </w:r>
          <w:r w:rsidR="0051286C">
            <w:br/>
          </w:r>
          <w:r>
            <w:fldChar w:fldCharType="begin"/>
          </w:r>
          <w:r>
            <w:instrText xml:space="preserve"> DOCPROPERTY "RepubDt"  *\charformat  </w:instrText>
          </w:r>
          <w:r>
            <w:fldChar w:fldCharType="separate"/>
          </w:r>
          <w:r w:rsidR="00DA06D4">
            <w:t>07/01/24</w:t>
          </w:r>
          <w:r>
            <w:fldChar w:fldCharType="end"/>
          </w:r>
        </w:p>
      </w:tc>
      <w:tc>
        <w:tcPr>
          <w:tcW w:w="3092" w:type="pct"/>
        </w:tcPr>
        <w:p w14:paraId="3DAA8B08" w14:textId="5EEFE8C7" w:rsidR="0051286C" w:rsidRDefault="00904E62">
          <w:pPr>
            <w:pStyle w:val="Footer"/>
            <w:jc w:val="center"/>
          </w:pPr>
          <w:r>
            <w:fldChar w:fldCharType="begin"/>
          </w:r>
          <w:r>
            <w:instrText xml:space="preserve"> REF Citation *\charformat </w:instrText>
          </w:r>
          <w:r>
            <w:fldChar w:fldCharType="separate"/>
          </w:r>
          <w:r w:rsidR="00DA06D4">
            <w:t>Gambling and Racing Control (Code of Practice) Regulation 2002</w:t>
          </w:r>
          <w:r>
            <w:fldChar w:fldCharType="end"/>
          </w:r>
        </w:p>
        <w:p w14:paraId="52A48AC5" w14:textId="04622438" w:rsidR="0051286C" w:rsidRDefault="00904E62">
          <w:pPr>
            <w:pStyle w:val="FooterInfoCentre"/>
          </w:pPr>
          <w:r>
            <w:fldChar w:fldCharType="begin"/>
          </w:r>
          <w:r>
            <w:instrText xml:space="preserve"> DOCPROPERTY "Eff"  *\charformat </w:instrText>
          </w:r>
          <w:r>
            <w:fldChar w:fldCharType="separate"/>
          </w:r>
          <w:r w:rsidR="00DA06D4">
            <w:t xml:space="preserve">Effective:  </w:t>
          </w:r>
          <w:r>
            <w:fldChar w:fldCharType="end"/>
          </w:r>
          <w:r>
            <w:fldChar w:fldCharType="begin"/>
          </w:r>
          <w:r>
            <w:instrText xml:space="preserve"> DOCPROPERTY "StartDt"  *\charformat </w:instrText>
          </w:r>
          <w:r>
            <w:fldChar w:fldCharType="separate"/>
          </w:r>
          <w:r w:rsidR="00DA06D4">
            <w:t>07/01/24</w:t>
          </w:r>
          <w:r>
            <w:fldChar w:fldCharType="end"/>
          </w:r>
          <w:r>
            <w:fldChar w:fldCharType="begin"/>
          </w:r>
          <w:r>
            <w:instrText xml:space="preserve"> DOCPROPERTY "EndDt"  *\charformat </w:instrText>
          </w:r>
          <w:r>
            <w:fldChar w:fldCharType="separate"/>
          </w:r>
          <w:r w:rsidR="00DA06D4">
            <w:t>-15/12/25</w:t>
          </w:r>
          <w:r>
            <w:fldChar w:fldCharType="end"/>
          </w:r>
        </w:p>
      </w:tc>
      <w:tc>
        <w:tcPr>
          <w:tcW w:w="847" w:type="pct"/>
        </w:tcPr>
        <w:p w14:paraId="0D6C91BE" w14:textId="77777777" w:rsidR="0051286C" w:rsidRDefault="0051286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81E1BB1" w14:textId="1C2EBF98" w:rsidR="0051286C" w:rsidRPr="00904E62" w:rsidRDefault="00904E62" w:rsidP="00904E62">
    <w:pPr>
      <w:pStyle w:val="Status"/>
      <w:rPr>
        <w:rFonts w:cs="Arial"/>
      </w:rPr>
    </w:pPr>
    <w:r w:rsidRPr="00904E62">
      <w:rPr>
        <w:rFonts w:cs="Arial"/>
      </w:rPr>
      <w:fldChar w:fldCharType="begin"/>
    </w:r>
    <w:r w:rsidRPr="00904E62">
      <w:rPr>
        <w:rFonts w:cs="Arial"/>
      </w:rPr>
      <w:instrText xml:space="preserve"> DOCPROPERTY "Status" </w:instrText>
    </w:r>
    <w:r w:rsidRPr="00904E62">
      <w:rPr>
        <w:rFonts w:cs="Arial"/>
      </w:rPr>
      <w:fldChar w:fldCharType="separate"/>
    </w:r>
    <w:r w:rsidR="00DA06D4" w:rsidRPr="00904E62">
      <w:rPr>
        <w:rFonts w:cs="Arial"/>
      </w:rPr>
      <w:t xml:space="preserve"> </w:t>
    </w:r>
    <w:r w:rsidRPr="00904E62">
      <w:rPr>
        <w:rFonts w:cs="Arial"/>
      </w:rPr>
      <w:fldChar w:fldCharType="end"/>
    </w:r>
    <w:r w:rsidRPr="00904E6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E692" w14:textId="77777777" w:rsidR="0090466A" w:rsidRDefault="0090466A" w:rsidP="00D847F1">
      <w:pPr>
        <w:pStyle w:val="IshadedSchClause"/>
      </w:pPr>
      <w:r>
        <w:separator/>
      </w:r>
    </w:p>
  </w:footnote>
  <w:footnote w:type="continuationSeparator" w:id="0">
    <w:p w14:paraId="21C216DC" w14:textId="77777777" w:rsidR="0090466A" w:rsidRDefault="0090466A" w:rsidP="00D847F1">
      <w:pPr>
        <w:pStyle w:val="IshadedSchClaus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DF17" w14:textId="77777777" w:rsidR="001D55C6" w:rsidRDefault="001D55C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1286C" w14:paraId="0ADB6621" w14:textId="77777777">
      <w:trPr>
        <w:jc w:val="center"/>
      </w:trPr>
      <w:tc>
        <w:tcPr>
          <w:tcW w:w="1340" w:type="dxa"/>
        </w:tcPr>
        <w:p w14:paraId="52C98F62" w14:textId="77777777" w:rsidR="0051286C" w:rsidRDefault="0051286C">
          <w:pPr>
            <w:pStyle w:val="HeaderEven"/>
          </w:pPr>
        </w:p>
      </w:tc>
      <w:tc>
        <w:tcPr>
          <w:tcW w:w="6583" w:type="dxa"/>
        </w:tcPr>
        <w:p w14:paraId="198E8044" w14:textId="77777777" w:rsidR="0051286C" w:rsidRDefault="0051286C">
          <w:pPr>
            <w:pStyle w:val="HeaderEven"/>
          </w:pPr>
        </w:p>
      </w:tc>
    </w:tr>
    <w:tr w:rsidR="0051286C" w14:paraId="2C84EC26" w14:textId="77777777">
      <w:trPr>
        <w:jc w:val="center"/>
      </w:trPr>
      <w:tc>
        <w:tcPr>
          <w:tcW w:w="7923" w:type="dxa"/>
          <w:gridSpan w:val="2"/>
          <w:tcBorders>
            <w:bottom w:val="single" w:sz="4" w:space="0" w:color="auto"/>
          </w:tcBorders>
        </w:tcPr>
        <w:p w14:paraId="1DE9C706" w14:textId="77777777" w:rsidR="0051286C" w:rsidRDefault="0051286C">
          <w:pPr>
            <w:pStyle w:val="HeaderEven6"/>
          </w:pPr>
          <w:r>
            <w:t>Dictionary</w:t>
          </w:r>
        </w:p>
      </w:tc>
    </w:tr>
  </w:tbl>
  <w:p w14:paraId="026445C6" w14:textId="77777777" w:rsidR="0051286C" w:rsidRDefault="0051286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1286C" w14:paraId="09E39F7B" w14:textId="77777777">
      <w:trPr>
        <w:jc w:val="center"/>
      </w:trPr>
      <w:tc>
        <w:tcPr>
          <w:tcW w:w="6583" w:type="dxa"/>
        </w:tcPr>
        <w:p w14:paraId="27B0472A" w14:textId="77777777" w:rsidR="0051286C" w:rsidRDefault="0051286C">
          <w:pPr>
            <w:pStyle w:val="HeaderOdd"/>
          </w:pPr>
        </w:p>
      </w:tc>
      <w:tc>
        <w:tcPr>
          <w:tcW w:w="1340" w:type="dxa"/>
        </w:tcPr>
        <w:p w14:paraId="30A6CBC2" w14:textId="77777777" w:rsidR="0051286C" w:rsidRDefault="0051286C">
          <w:pPr>
            <w:pStyle w:val="HeaderOdd"/>
          </w:pPr>
        </w:p>
      </w:tc>
    </w:tr>
    <w:tr w:rsidR="0051286C" w14:paraId="060A81C0" w14:textId="77777777">
      <w:trPr>
        <w:jc w:val="center"/>
      </w:trPr>
      <w:tc>
        <w:tcPr>
          <w:tcW w:w="7923" w:type="dxa"/>
          <w:gridSpan w:val="2"/>
          <w:tcBorders>
            <w:bottom w:val="single" w:sz="4" w:space="0" w:color="auto"/>
          </w:tcBorders>
        </w:tcPr>
        <w:p w14:paraId="7C69E887" w14:textId="77777777" w:rsidR="0051286C" w:rsidRDefault="0051286C">
          <w:pPr>
            <w:pStyle w:val="HeaderOdd6"/>
          </w:pPr>
          <w:r>
            <w:t>Dictionary</w:t>
          </w:r>
        </w:p>
      </w:tc>
    </w:tr>
  </w:tbl>
  <w:p w14:paraId="5C205C38" w14:textId="77777777" w:rsidR="0051286C" w:rsidRDefault="0051286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1286C" w14:paraId="1ECE4A2E" w14:textId="77777777">
      <w:trPr>
        <w:jc w:val="center"/>
      </w:trPr>
      <w:tc>
        <w:tcPr>
          <w:tcW w:w="1234" w:type="dxa"/>
          <w:gridSpan w:val="2"/>
        </w:tcPr>
        <w:p w14:paraId="5DA50A40" w14:textId="77777777" w:rsidR="0051286C" w:rsidRDefault="0051286C">
          <w:pPr>
            <w:pStyle w:val="HeaderEven"/>
            <w:rPr>
              <w:b/>
            </w:rPr>
          </w:pPr>
          <w:r>
            <w:rPr>
              <w:b/>
            </w:rPr>
            <w:t>Endnotes</w:t>
          </w:r>
        </w:p>
      </w:tc>
      <w:tc>
        <w:tcPr>
          <w:tcW w:w="6062" w:type="dxa"/>
        </w:tcPr>
        <w:p w14:paraId="1F872620" w14:textId="77777777" w:rsidR="0051286C" w:rsidRDefault="0051286C">
          <w:pPr>
            <w:pStyle w:val="HeaderEven"/>
          </w:pPr>
        </w:p>
      </w:tc>
    </w:tr>
    <w:tr w:rsidR="0051286C" w14:paraId="1067268E" w14:textId="77777777">
      <w:trPr>
        <w:cantSplit/>
        <w:jc w:val="center"/>
      </w:trPr>
      <w:tc>
        <w:tcPr>
          <w:tcW w:w="7296" w:type="dxa"/>
          <w:gridSpan w:val="3"/>
        </w:tcPr>
        <w:p w14:paraId="6B009529" w14:textId="77777777" w:rsidR="0051286C" w:rsidRDefault="0051286C">
          <w:pPr>
            <w:pStyle w:val="HeaderEven"/>
          </w:pPr>
        </w:p>
      </w:tc>
    </w:tr>
    <w:tr w:rsidR="0051286C" w14:paraId="399D1081" w14:textId="77777777">
      <w:trPr>
        <w:cantSplit/>
        <w:jc w:val="center"/>
      </w:trPr>
      <w:tc>
        <w:tcPr>
          <w:tcW w:w="700" w:type="dxa"/>
          <w:tcBorders>
            <w:bottom w:val="single" w:sz="4" w:space="0" w:color="auto"/>
          </w:tcBorders>
        </w:tcPr>
        <w:p w14:paraId="603ED559" w14:textId="56156243" w:rsidR="0051286C" w:rsidRDefault="0051286C">
          <w:pPr>
            <w:pStyle w:val="HeaderEven6"/>
          </w:pPr>
          <w:r>
            <w:rPr>
              <w:noProof/>
            </w:rPr>
            <w:fldChar w:fldCharType="begin"/>
          </w:r>
          <w:r>
            <w:rPr>
              <w:noProof/>
            </w:rPr>
            <w:instrText xml:space="preserve"> STYLEREF charTableNo \*charformat </w:instrText>
          </w:r>
          <w:r>
            <w:rPr>
              <w:noProof/>
            </w:rPr>
            <w:fldChar w:fldCharType="separate"/>
          </w:r>
          <w:r w:rsidR="00904E62">
            <w:rPr>
              <w:noProof/>
            </w:rPr>
            <w:t>5</w:t>
          </w:r>
          <w:r>
            <w:rPr>
              <w:noProof/>
            </w:rPr>
            <w:fldChar w:fldCharType="end"/>
          </w:r>
        </w:p>
      </w:tc>
      <w:tc>
        <w:tcPr>
          <w:tcW w:w="6600" w:type="dxa"/>
          <w:gridSpan w:val="2"/>
          <w:tcBorders>
            <w:bottom w:val="single" w:sz="4" w:space="0" w:color="auto"/>
          </w:tcBorders>
        </w:tcPr>
        <w:p w14:paraId="658BA746" w14:textId="5A9F0B7F" w:rsidR="0051286C" w:rsidRDefault="0051286C">
          <w:pPr>
            <w:pStyle w:val="HeaderEven6"/>
          </w:pPr>
          <w:r>
            <w:rPr>
              <w:noProof/>
            </w:rPr>
            <w:fldChar w:fldCharType="begin"/>
          </w:r>
          <w:r>
            <w:rPr>
              <w:noProof/>
            </w:rPr>
            <w:instrText xml:space="preserve"> STYLEREF charTableText \*charformat </w:instrText>
          </w:r>
          <w:r>
            <w:rPr>
              <w:noProof/>
            </w:rPr>
            <w:fldChar w:fldCharType="separate"/>
          </w:r>
          <w:r w:rsidR="00904E62">
            <w:rPr>
              <w:noProof/>
            </w:rPr>
            <w:t>Earlier republications</w:t>
          </w:r>
          <w:r>
            <w:rPr>
              <w:noProof/>
            </w:rPr>
            <w:fldChar w:fldCharType="end"/>
          </w:r>
        </w:p>
      </w:tc>
    </w:tr>
  </w:tbl>
  <w:p w14:paraId="598F0A2A" w14:textId="77777777" w:rsidR="0051286C" w:rsidRDefault="0051286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1286C" w14:paraId="4D2D631B" w14:textId="77777777">
      <w:trPr>
        <w:jc w:val="center"/>
      </w:trPr>
      <w:tc>
        <w:tcPr>
          <w:tcW w:w="5741" w:type="dxa"/>
        </w:tcPr>
        <w:p w14:paraId="2D86B57A" w14:textId="77777777" w:rsidR="0051286C" w:rsidRDefault="0051286C">
          <w:pPr>
            <w:pStyle w:val="HeaderEven"/>
            <w:jc w:val="right"/>
          </w:pPr>
        </w:p>
      </w:tc>
      <w:tc>
        <w:tcPr>
          <w:tcW w:w="1560" w:type="dxa"/>
          <w:gridSpan w:val="2"/>
        </w:tcPr>
        <w:p w14:paraId="23ECC424" w14:textId="77777777" w:rsidR="0051286C" w:rsidRDefault="0051286C">
          <w:pPr>
            <w:pStyle w:val="HeaderEven"/>
            <w:jc w:val="right"/>
            <w:rPr>
              <w:b/>
            </w:rPr>
          </w:pPr>
          <w:r>
            <w:rPr>
              <w:b/>
            </w:rPr>
            <w:t>Endnotes</w:t>
          </w:r>
        </w:p>
      </w:tc>
    </w:tr>
    <w:tr w:rsidR="0051286C" w14:paraId="6CA6FF74" w14:textId="77777777">
      <w:trPr>
        <w:jc w:val="center"/>
      </w:trPr>
      <w:tc>
        <w:tcPr>
          <w:tcW w:w="7301" w:type="dxa"/>
          <w:gridSpan w:val="3"/>
        </w:tcPr>
        <w:p w14:paraId="613FEE54" w14:textId="77777777" w:rsidR="0051286C" w:rsidRDefault="0051286C">
          <w:pPr>
            <w:pStyle w:val="HeaderEven"/>
            <w:jc w:val="right"/>
            <w:rPr>
              <w:b/>
            </w:rPr>
          </w:pPr>
        </w:p>
      </w:tc>
    </w:tr>
    <w:tr w:rsidR="0051286C" w14:paraId="4B47A72D" w14:textId="77777777">
      <w:trPr>
        <w:jc w:val="center"/>
      </w:trPr>
      <w:tc>
        <w:tcPr>
          <w:tcW w:w="6600" w:type="dxa"/>
          <w:gridSpan w:val="2"/>
          <w:tcBorders>
            <w:bottom w:val="single" w:sz="4" w:space="0" w:color="auto"/>
          </w:tcBorders>
        </w:tcPr>
        <w:p w14:paraId="5DA2F768" w14:textId="1BC97801" w:rsidR="0051286C" w:rsidRDefault="0051286C">
          <w:pPr>
            <w:pStyle w:val="HeaderOdd6"/>
          </w:pPr>
          <w:r>
            <w:rPr>
              <w:noProof/>
            </w:rPr>
            <w:fldChar w:fldCharType="begin"/>
          </w:r>
          <w:r>
            <w:rPr>
              <w:noProof/>
            </w:rPr>
            <w:instrText xml:space="preserve"> STYLEREF charTableText \*charformat </w:instrText>
          </w:r>
          <w:r>
            <w:rPr>
              <w:noProof/>
            </w:rPr>
            <w:fldChar w:fldCharType="separate"/>
          </w:r>
          <w:r w:rsidR="00904E62">
            <w:rPr>
              <w:noProof/>
            </w:rPr>
            <w:t>Expired transitional or validating provisions</w:t>
          </w:r>
          <w:r>
            <w:rPr>
              <w:noProof/>
            </w:rPr>
            <w:fldChar w:fldCharType="end"/>
          </w:r>
        </w:p>
      </w:tc>
      <w:tc>
        <w:tcPr>
          <w:tcW w:w="700" w:type="dxa"/>
          <w:tcBorders>
            <w:bottom w:val="single" w:sz="4" w:space="0" w:color="auto"/>
          </w:tcBorders>
        </w:tcPr>
        <w:p w14:paraId="4FFA2AC5" w14:textId="72390435" w:rsidR="0051286C" w:rsidRDefault="0051286C">
          <w:pPr>
            <w:pStyle w:val="HeaderOdd6"/>
          </w:pPr>
          <w:r>
            <w:rPr>
              <w:noProof/>
            </w:rPr>
            <w:fldChar w:fldCharType="begin"/>
          </w:r>
          <w:r>
            <w:rPr>
              <w:noProof/>
            </w:rPr>
            <w:instrText xml:space="preserve"> STYLEREF charTableNo \*charformat </w:instrText>
          </w:r>
          <w:r>
            <w:rPr>
              <w:noProof/>
            </w:rPr>
            <w:fldChar w:fldCharType="separate"/>
          </w:r>
          <w:r w:rsidR="00904E62">
            <w:rPr>
              <w:noProof/>
            </w:rPr>
            <w:t>6</w:t>
          </w:r>
          <w:r>
            <w:rPr>
              <w:noProof/>
            </w:rPr>
            <w:fldChar w:fldCharType="end"/>
          </w:r>
        </w:p>
      </w:tc>
    </w:tr>
  </w:tbl>
  <w:p w14:paraId="16E53A7F" w14:textId="77777777" w:rsidR="0051286C" w:rsidRDefault="0051286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E274" w14:textId="77777777" w:rsidR="0090466A" w:rsidRDefault="0090466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7864" w14:textId="77777777" w:rsidR="0090466A" w:rsidRDefault="0090466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6028" w14:textId="77777777" w:rsidR="0090466A" w:rsidRDefault="0090466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DA60" w14:textId="77777777" w:rsidR="0090466A" w:rsidRDefault="00904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F239" w14:textId="77777777" w:rsidR="001D55C6" w:rsidRDefault="001D5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8F99" w14:textId="77777777" w:rsidR="001D55C6" w:rsidRDefault="001D55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1286C" w14:paraId="4D9BE800" w14:textId="77777777">
      <w:tc>
        <w:tcPr>
          <w:tcW w:w="900" w:type="pct"/>
        </w:tcPr>
        <w:p w14:paraId="52CFB5CB" w14:textId="77777777" w:rsidR="0051286C" w:rsidRDefault="0051286C">
          <w:pPr>
            <w:pStyle w:val="HeaderEven"/>
          </w:pPr>
        </w:p>
      </w:tc>
      <w:tc>
        <w:tcPr>
          <w:tcW w:w="4100" w:type="pct"/>
        </w:tcPr>
        <w:p w14:paraId="057DFE92" w14:textId="77777777" w:rsidR="0051286C" w:rsidRDefault="0051286C">
          <w:pPr>
            <w:pStyle w:val="HeaderEven"/>
          </w:pPr>
        </w:p>
      </w:tc>
    </w:tr>
    <w:tr w:rsidR="0051286C" w14:paraId="7B8506D5" w14:textId="77777777">
      <w:tc>
        <w:tcPr>
          <w:tcW w:w="4100" w:type="pct"/>
          <w:gridSpan w:val="2"/>
          <w:tcBorders>
            <w:bottom w:val="single" w:sz="4" w:space="0" w:color="auto"/>
          </w:tcBorders>
        </w:tcPr>
        <w:p w14:paraId="71203458" w14:textId="39D7925B" w:rsidR="0051286C" w:rsidRDefault="00904E62">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396404C0" w14:textId="5EE65262" w:rsidR="0051286C" w:rsidRDefault="0051286C">
    <w:pPr>
      <w:pStyle w:val="N-9pt"/>
    </w:pPr>
    <w:r>
      <w:tab/>
    </w:r>
    <w:r w:rsidR="00904E62">
      <w:fldChar w:fldCharType="begin"/>
    </w:r>
    <w:r w:rsidR="00904E62">
      <w:instrText xml:space="preserve"> STYLEREF charPage \* MERGEFORMAT </w:instrText>
    </w:r>
    <w:r w:rsidR="00904E62">
      <w:fldChar w:fldCharType="separate"/>
    </w:r>
    <w:r w:rsidR="00904E62">
      <w:rPr>
        <w:noProof/>
      </w:rPr>
      <w:t>Page</w:t>
    </w:r>
    <w:r w:rsidR="00904E62">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1286C" w14:paraId="071A93F8" w14:textId="77777777">
      <w:tc>
        <w:tcPr>
          <w:tcW w:w="4100" w:type="pct"/>
        </w:tcPr>
        <w:p w14:paraId="0B068622" w14:textId="77777777" w:rsidR="0051286C" w:rsidRDefault="0051286C">
          <w:pPr>
            <w:pStyle w:val="HeaderOdd"/>
          </w:pPr>
        </w:p>
      </w:tc>
      <w:tc>
        <w:tcPr>
          <w:tcW w:w="900" w:type="pct"/>
        </w:tcPr>
        <w:p w14:paraId="14547509" w14:textId="77777777" w:rsidR="0051286C" w:rsidRDefault="0051286C">
          <w:pPr>
            <w:pStyle w:val="HeaderOdd"/>
          </w:pPr>
        </w:p>
      </w:tc>
    </w:tr>
    <w:tr w:rsidR="0051286C" w14:paraId="41A92FC4" w14:textId="77777777">
      <w:tc>
        <w:tcPr>
          <w:tcW w:w="900" w:type="pct"/>
          <w:gridSpan w:val="2"/>
          <w:tcBorders>
            <w:bottom w:val="single" w:sz="4" w:space="0" w:color="auto"/>
          </w:tcBorders>
        </w:tcPr>
        <w:p w14:paraId="21AB3F54" w14:textId="1AB05EC3" w:rsidR="0051286C" w:rsidRDefault="00904E62">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129A392A" w14:textId="02B94B5F" w:rsidR="0051286C" w:rsidRDefault="0051286C">
    <w:pPr>
      <w:pStyle w:val="N-9pt"/>
    </w:pPr>
    <w:r>
      <w:tab/>
    </w:r>
    <w:r w:rsidR="00904E62">
      <w:fldChar w:fldCharType="begin"/>
    </w:r>
    <w:r w:rsidR="00904E62">
      <w:instrText xml:space="preserve"> STYLEREF charPage \* MERGEFORMAT </w:instrText>
    </w:r>
    <w:r w:rsidR="00904E62">
      <w:fldChar w:fldCharType="separate"/>
    </w:r>
    <w:r w:rsidR="00904E62">
      <w:rPr>
        <w:noProof/>
      </w:rPr>
      <w:t>Page</w:t>
    </w:r>
    <w:r w:rsidR="00904E62">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51286C" w14:paraId="482D3664" w14:textId="77777777" w:rsidTr="00D86897">
      <w:tc>
        <w:tcPr>
          <w:tcW w:w="1701" w:type="dxa"/>
        </w:tcPr>
        <w:p w14:paraId="5A78A415" w14:textId="198A14BD" w:rsidR="0051286C" w:rsidRDefault="0051286C">
          <w:pPr>
            <w:pStyle w:val="HeaderEven"/>
            <w:rPr>
              <w:b/>
            </w:rPr>
          </w:pPr>
          <w:r>
            <w:rPr>
              <w:b/>
            </w:rPr>
            <w:fldChar w:fldCharType="begin"/>
          </w:r>
          <w:r>
            <w:rPr>
              <w:b/>
            </w:rPr>
            <w:instrText xml:space="preserve"> STYLEREF CharPartNo \*charformat </w:instrText>
          </w:r>
          <w:r>
            <w:rPr>
              <w:b/>
            </w:rPr>
            <w:fldChar w:fldCharType="separate"/>
          </w:r>
          <w:r w:rsidR="00904E62">
            <w:rPr>
              <w:b/>
              <w:noProof/>
            </w:rPr>
            <w:t>Part 2</w:t>
          </w:r>
          <w:r>
            <w:rPr>
              <w:b/>
            </w:rPr>
            <w:fldChar w:fldCharType="end"/>
          </w:r>
        </w:p>
      </w:tc>
      <w:tc>
        <w:tcPr>
          <w:tcW w:w="6320" w:type="dxa"/>
        </w:tcPr>
        <w:p w14:paraId="613BA4C6" w14:textId="79B4B643" w:rsidR="0051286C" w:rsidRDefault="0051286C">
          <w:pPr>
            <w:pStyle w:val="HeaderEven"/>
          </w:pPr>
          <w:r>
            <w:rPr>
              <w:noProof/>
            </w:rPr>
            <w:fldChar w:fldCharType="begin"/>
          </w:r>
          <w:r>
            <w:rPr>
              <w:noProof/>
            </w:rPr>
            <w:instrText xml:space="preserve"> STYLEREF CharPartText \*charformat </w:instrText>
          </w:r>
          <w:r>
            <w:rPr>
              <w:noProof/>
            </w:rPr>
            <w:fldChar w:fldCharType="separate"/>
          </w:r>
          <w:r w:rsidR="00904E62">
            <w:rPr>
              <w:noProof/>
            </w:rPr>
            <w:t>Code of practice</w:t>
          </w:r>
          <w:r>
            <w:rPr>
              <w:noProof/>
            </w:rPr>
            <w:fldChar w:fldCharType="end"/>
          </w:r>
        </w:p>
      </w:tc>
    </w:tr>
    <w:tr w:rsidR="0051286C" w14:paraId="606F51E7" w14:textId="77777777" w:rsidTr="00D86897">
      <w:tc>
        <w:tcPr>
          <w:tcW w:w="1701" w:type="dxa"/>
        </w:tcPr>
        <w:p w14:paraId="098C7AD7" w14:textId="2273A047" w:rsidR="0051286C" w:rsidRDefault="0051286C">
          <w:pPr>
            <w:pStyle w:val="HeaderEven"/>
            <w:rPr>
              <w:b/>
            </w:rPr>
          </w:pPr>
          <w:r>
            <w:rPr>
              <w:b/>
            </w:rPr>
            <w:fldChar w:fldCharType="begin"/>
          </w:r>
          <w:r>
            <w:rPr>
              <w:b/>
            </w:rPr>
            <w:instrText xml:space="preserve"> STYLEREF CharDivNo \*charformat </w:instrText>
          </w:r>
          <w:r w:rsidR="00904E62">
            <w:rPr>
              <w:b/>
            </w:rPr>
            <w:fldChar w:fldCharType="separate"/>
          </w:r>
          <w:r w:rsidR="00904E62">
            <w:rPr>
              <w:b/>
              <w:noProof/>
            </w:rPr>
            <w:t>Division 2.6</w:t>
          </w:r>
          <w:r>
            <w:rPr>
              <w:b/>
            </w:rPr>
            <w:fldChar w:fldCharType="end"/>
          </w:r>
        </w:p>
      </w:tc>
      <w:tc>
        <w:tcPr>
          <w:tcW w:w="6320" w:type="dxa"/>
        </w:tcPr>
        <w:p w14:paraId="6D513BC8" w14:textId="36A8DE1B" w:rsidR="0051286C" w:rsidRDefault="00904E62">
          <w:pPr>
            <w:pStyle w:val="HeaderEven"/>
          </w:pPr>
          <w:r>
            <w:fldChar w:fldCharType="begin"/>
          </w:r>
          <w:r>
            <w:instrText xml:space="preserve"> STYLEREF CharDivText \*charformat </w:instrText>
          </w:r>
          <w:r>
            <w:fldChar w:fldCharType="separate"/>
          </w:r>
          <w:r>
            <w:rPr>
              <w:noProof/>
            </w:rPr>
            <w:t>Advertising, promotions and inducements</w:t>
          </w:r>
          <w:r>
            <w:rPr>
              <w:noProof/>
            </w:rPr>
            <w:fldChar w:fldCharType="end"/>
          </w:r>
        </w:p>
      </w:tc>
    </w:tr>
    <w:tr w:rsidR="0051286C" w14:paraId="5F8D1262" w14:textId="77777777" w:rsidTr="00D86897">
      <w:trPr>
        <w:cantSplit/>
      </w:trPr>
      <w:tc>
        <w:tcPr>
          <w:tcW w:w="1701" w:type="dxa"/>
          <w:gridSpan w:val="2"/>
          <w:tcBorders>
            <w:bottom w:val="single" w:sz="4" w:space="0" w:color="auto"/>
          </w:tcBorders>
        </w:tcPr>
        <w:p w14:paraId="29A5FAA3" w14:textId="2933A2F4" w:rsidR="0051286C" w:rsidRDefault="00904E62">
          <w:pPr>
            <w:pStyle w:val="HeaderEven6"/>
          </w:pPr>
          <w:r>
            <w:fldChar w:fldCharType="begin"/>
          </w:r>
          <w:r>
            <w:instrText xml:space="preserve"> DOCPROPERTY "Company"  \* MERGEFORMAT </w:instrText>
          </w:r>
          <w:r>
            <w:fldChar w:fldCharType="separate"/>
          </w:r>
          <w:r w:rsidR="00DA06D4">
            <w:t>Section</w:t>
          </w:r>
          <w:r>
            <w:fldChar w:fldCharType="end"/>
          </w:r>
          <w:r w:rsidR="0051286C">
            <w:t xml:space="preserve"> </w:t>
          </w:r>
          <w:r w:rsidR="0051286C">
            <w:rPr>
              <w:noProof/>
            </w:rPr>
            <w:fldChar w:fldCharType="begin"/>
          </w:r>
          <w:r w:rsidR="0051286C">
            <w:rPr>
              <w:noProof/>
            </w:rPr>
            <w:instrText xml:space="preserve"> STYLEREF CharSectNo \*charformat </w:instrText>
          </w:r>
          <w:r w:rsidR="0051286C">
            <w:rPr>
              <w:noProof/>
            </w:rPr>
            <w:fldChar w:fldCharType="separate"/>
          </w:r>
          <w:r>
            <w:rPr>
              <w:noProof/>
            </w:rPr>
            <w:t>24</w:t>
          </w:r>
          <w:r w:rsidR="0051286C">
            <w:rPr>
              <w:noProof/>
            </w:rPr>
            <w:fldChar w:fldCharType="end"/>
          </w:r>
        </w:p>
      </w:tc>
    </w:tr>
  </w:tbl>
  <w:p w14:paraId="42072B45" w14:textId="77777777" w:rsidR="0051286C" w:rsidRDefault="005128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51286C" w14:paraId="5B592C4A" w14:textId="77777777" w:rsidTr="00D86897">
      <w:tc>
        <w:tcPr>
          <w:tcW w:w="6320" w:type="dxa"/>
        </w:tcPr>
        <w:p w14:paraId="1883C6D5" w14:textId="79C10D3D" w:rsidR="0051286C" w:rsidRDefault="0051286C">
          <w:pPr>
            <w:pStyle w:val="HeaderEven"/>
            <w:jc w:val="right"/>
          </w:pPr>
          <w:r>
            <w:rPr>
              <w:noProof/>
            </w:rPr>
            <w:fldChar w:fldCharType="begin"/>
          </w:r>
          <w:r>
            <w:rPr>
              <w:noProof/>
            </w:rPr>
            <w:instrText xml:space="preserve"> STYLEREF CharPartText \*charformat </w:instrText>
          </w:r>
          <w:r>
            <w:rPr>
              <w:noProof/>
            </w:rPr>
            <w:fldChar w:fldCharType="separate"/>
          </w:r>
          <w:r w:rsidR="00904E62">
            <w:rPr>
              <w:noProof/>
            </w:rPr>
            <w:t>Miscellaneous</w:t>
          </w:r>
          <w:r>
            <w:rPr>
              <w:noProof/>
            </w:rPr>
            <w:fldChar w:fldCharType="end"/>
          </w:r>
        </w:p>
      </w:tc>
      <w:tc>
        <w:tcPr>
          <w:tcW w:w="1701" w:type="dxa"/>
        </w:tcPr>
        <w:p w14:paraId="126F854A" w14:textId="0E39C412" w:rsidR="0051286C" w:rsidRDefault="0051286C">
          <w:pPr>
            <w:pStyle w:val="HeaderEven"/>
            <w:jc w:val="right"/>
            <w:rPr>
              <w:b/>
            </w:rPr>
          </w:pPr>
          <w:r>
            <w:rPr>
              <w:b/>
            </w:rPr>
            <w:fldChar w:fldCharType="begin"/>
          </w:r>
          <w:r>
            <w:rPr>
              <w:b/>
            </w:rPr>
            <w:instrText xml:space="preserve"> STYLEREF CharPartNo \*charformat </w:instrText>
          </w:r>
          <w:r>
            <w:rPr>
              <w:b/>
            </w:rPr>
            <w:fldChar w:fldCharType="separate"/>
          </w:r>
          <w:r w:rsidR="00904E62">
            <w:rPr>
              <w:b/>
              <w:noProof/>
            </w:rPr>
            <w:t>Part 3</w:t>
          </w:r>
          <w:r>
            <w:rPr>
              <w:b/>
            </w:rPr>
            <w:fldChar w:fldCharType="end"/>
          </w:r>
        </w:p>
      </w:tc>
    </w:tr>
    <w:tr w:rsidR="0051286C" w14:paraId="027D723A" w14:textId="77777777" w:rsidTr="00D86897">
      <w:tc>
        <w:tcPr>
          <w:tcW w:w="6320" w:type="dxa"/>
        </w:tcPr>
        <w:p w14:paraId="07050CDF" w14:textId="44B32A51" w:rsidR="0051286C" w:rsidRDefault="00E969A0">
          <w:pPr>
            <w:pStyle w:val="HeaderEven"/>
            <w:jc w:val="right"/>
          </w:pPr>
          <w:r>
            <w:fldChar w:fldCharType="begin"/>
          </w:r>
          <w:r>
            <w:instrText xml:space="preserve"> STYLEREF CharDivText \*charformat </w:instrText>
          </w:r>
          <w:r>
            <w:rPr>
              <w:noProof/>
            </w:rPr>
            <w:fldChar w:fldCharType="end"/>
          </w:r>
        </w:p>
      </w:tc>
      <w:tc>
        <w:tcPr>
          <w:tcW w:w="1701" w:type="dxa"/>
        </w:tcPr>
        <w:p w14:paraId="67CB6F65" w14:textId="351668FF" w:rsidR="0051286C" w:rsidRDefault="0051286C">
          <w:pPr>
            <w:pStyle w:val="HeaderEven"/>
            <w:jc w:val="right"/>
            <w:rPr>
              <w:b/>
            </w:rPr>
          </w:pPr>
          <w:r>
            <w:rPr>
              <w:b/>
            </w:rPr>
            <w:fldChar w:fldCharType="begin"/>
          </w:r>
          <w:r>
            <w:rPr>
              <w:b/>
            </w:rPr>
            <w:instrText xml:space="preserve"> STYLEREF CharDivNo \*charformat </w:instrText>
          </w:r>
          <w:r>
            <w:rPr>
              <w:b/>
            </w:rPr>
            <w:fldChar w:fldCharType="end"/>
          </w:r>
        </w:p>
      </w:tc>
    </w:tr>
    <w:tr w:rsidR="0051286C" w14:paraId="3DC0EA09" w14:textId="77777777" w:rsidTr="00D86897">
      <w:trPr>
        <w:cantSplit/>
      </w:trPr>
      <w:tc>
        <w:tcPr>
          <w:tcW w:w="1701" w:type="dxa"/>
          <w:gridSpan w:val="2"/>
          <w:tcBorders>
            <w:bottom w:val="single" w:sz="4" w:space="0" w:color="auto"/>
          </w:tcBorders>
        </w:tcPr>
        <w:p w14:paraId="2193CA34" w14:textId="6265D240" w:rsidR="0051286C" w:rsidRDefault="00904E62">
          <w:pPr>
            <w:pStyle w:val="HeaderOdd6"/>
          </w:pPr>
          <w:r>
            <w:fldChar w:fldCharType="begin"/>
          </w:r>
          <w:r>
            <w:instrText xml:space="preserve"> DOCPROPERTY "Company"  \* MERGEFORMAT </w:instrText>
          </w:r>
          <w:r>
            <w:fldChar w:fldCharType="separate"/>
          </w:r>
          <w:r w:rsidR="00DA06D4">
            <w:t>Section</w:t>
          </w:r>
          <w:r>
            <w:fldChar w:fldCharType="end"/>
          </w:r>
          <w:r w:rsidR="0051286C">
            <w:t xml:space="preserve"> </w:t>
          </w:r>
          <w:r w:rsidR="0051286C">
            <w:rPr>
              <w:noProof/>
            </w:rPr>
            <w:fldChar w:fldCharType="begin"/>
          </w:r>
          <w:r w:rsidR="0051286C">
            <w:rPr>
              <w:noProof/>
            </w:rPr>
            <w:instrText xml:space="preserve"> STYLEREF CharSectNo \*charformat </w:instrText>
          </w:r>
          <w:r w:rsidR="0051286C">
            <w:rPr>
              <w:noProof/>
            </w:rPr>
            <w:fldChar w:fldCharType="separate"/>
          </w:r>
          <w:r>
            <w:rPr>
              <w:noProof/>
            </w:rPr>
            <w:t>26</w:t>
          </w:r>
          <w:r w:rsidR="0051286C">
            <w:rPr>
              <w:noProof/>
            </w:rPr>
            <w:fldChar w:fldCharType="end"/>
          </w:r>
        </w:p>
      </w:tc>
    </w:tr>
  </w:tbl>
  <w:p w14:paraId="2CDF2E24" w14:textId="77777777" w:rsidR="0051286C" w:rsidRDefault="0051286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51286C" w:rsidRPr="00CB3D59" w14:paraId="1C0A6077" w14:textId="77777777">
      <w:trPr>
        <w:jc w:val="center"/>
      </w:trPr>
      <w:tc>
        <w:tcPr>
          <w:tcW w:w="1560" w:type="dxa"/>
        </w:tcPr>
        <w:p w14:paraId="54903405" w14:textId="1637B3DC" w:rsidR="0051286C" w:rsidRPr="00922BD6" w:rsidRDefault="0051286C">
          <w:pPr>
            <w:pStyle w:val="HeaderEven"/>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904E62">
            <w:rPr>
              <w:rFonts w:cs="Arial"/>
              <w:b/>
              <w:noProof/>
              <w:szCs w:val="18"/>
            </w:rPr>
            <w:t>Schedule 1</w:t>
          </w:r>
          <w:r w:rsidRPr="00922BD6">
            <w:rPr>
              <w:rFonts w:cs="Arial"/>
              <w:b/>
              <w:szCs w:val="18"/>
            </w:rPr>
            <w:fldChar w:fldCharType="end"/>
          </w:r>
        </w:p>
      </w:tc>
      <w:tc>
        <w:tcPr>
          <w:tcW w:w="5741" w:type="dxa"/>
        </w:tcPr>
        <w:p w14:paraId="3B2881DA" w14:textId="5F8A89A4" w:rsidR="0051286C" w:rsidRPr="00922BD6" w:rsidRDefault="0051286C">
          <w:pPr>
            <w:pStyle w:val="HeaderEven"/>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904E62">
            <w:rPr>
              <w:rFonts w:cs="Arial"/>
              <w:noProof/>
              <w:szCs w:val="18"/>
            </w:rPr>
            <w:t>Code of practice</w:t>
          </w:r>
          <w:r w:rsidRPr="00922BD6">
            <w:rPr>
              <w:rFonts w:cs="Arial"/>
              <w:szCs w:val="18"/>
            </w:rPr>
            <w:fldChar w:fldCharType="end"/>
          </w:r>
        </w:p>
      </w:tc>
    </w:tr>
    <w:tr w:rsidR="0051286C" w:rsidRPr="00CB3D59" w14:paraId="73209984" w14:textId="77777777">
      <w:trPr>
        <w:jc w:val="center"/>
      </w:trPr>
      <w:tc>
        <w:tcPr>
          <w:tcW w:w="1560" w:type="dxa"/>
        </w:tcPr>
        <w:p w14:paraId="552367A8" w14:textId="08357FE4" w:rsidR="0051286C" w:rsidRPr="00922BD6" w:rsidRDefault="0051286C">
          <w:pPr>
            <w:pStyle w:val="HeaderEven"/>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separate"/>
          </w:r>
          <w:r w:rsidR="00904E62">
            <w:rPr>
              <w:rFonts w:cs="Arial"/>
              <w:b/>
              <w:noProof/>
              <w:szCs w:val="18"/>
            </w:rPr>
            <w:t>Part 1.5</w:t>
          </w:r>
          <w:r w:rsidRPr="00922BD6">
            <w:rPr>
              <w:rFonts w:cs="Arial"/>
              <w:b/>
              <w:szCs w:val="18"/>
            </w:rPr>
            <w:fldChar w:fldCharType="end"/>
          </w:r>
        </w:p>
      </w:tc>
      <w:tc>
        <w:tcPr>
          <w:tcW w:w="5741" w:type="dxa"/>
        </w:tcPr>
        <w:p w14:paraId="4A4C7B3C" w14:textId="228916FE" w:rsidR="0051286C" w:rsidRPr="00922BD6" w:rsidRDefault="0051286C">
          <w:pPr>
            <w:pStyle w:val="HeaderEven"/>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separate"/>
          </w:r>
          <w:r w:rsidR="00904E62">
            <w:rPr>
              <w:rFonts w:cs="Arial"/>
              <w:noProof/>
              <w:szCs w:val="18"/>
            </w:rPr>
            <w:t>Club licensee obligations—club refuge declarations</w:t>
          </w:r>
          <w:r w:rsidRPr="00922BD6">
            <w:rPr>
              <w:rFonts w:cs="Arial"/>
              <w:szCs w:val="18"/>
            </w:rPr>
            <w:fldChar w:fldCharType="end"/>
          </w:r>
        </w:p>
      </w:tc>
    </w:tr>
    <w:tr w:rsidR="0051286C" w:rsidRPr="00CB3D59" w14:paraId="5A7CE79F" w14:textId="77777777">
      <w:trPr>
        <w:jc w:val="center"/>
      </w:trPr>
      <w:tc>
        <w:tcPr>
          <w:tcW w:w="1560" w:type="dxa"/>
        </w:tcPr>
        <w:p w14:paraId="44AE4C4C" w14:textId="444F9EB2" w:rsidR="0051286C" w:rsidRPr="00922BD6" w:rsidRDefault="0051286C">
          <w:pPr>
            <w:pStyle w:val="HeaderEven"/>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Pr="00922BD6">
            <w:rPr>
              <w:rFonts w:cs="Arial"/>
              <w:b/>
              <w:szCs w:val="18"/>
            </w:rPr>
            <w:fldChar w:fldCharType="end"/>
          </w:r>
        </w:p>
      </w:tc>
      <w:tc>
        <w:tcPr>
          <w:tcW w:w="5741" w:type="dxa"/>
        </w:tcPr>
        <w:p w14:paraId="6DB1D673" w14:textId="2232B4CE" w:rsidR="0051286C" w:rsidRPr="00922BD6" w:rsidRDefault="0051286C">
          <w:pPr>
            <w:pStyle w:val="HeaderEven"/>
            <w:rPr>
              <w:rFonts w:cs="Arial"/>
              <w:szCs w:val="18"/>
            </w:rPr>
          </w:pPr>
          <w:r w:rsidRPr="00922BD6">
            <w:rPr>
              <w:rFonts w:cs="Arial"/>
              <w:szCs w:val="18"/>
            </w:rPr>
            <w:fldChar w:fldCharType="begin"/>
          </w:r>
          <w:r w:rsidRPr="00922BD6">
            <w:rPr>
              <w:rFonts w:cs="Arial"/>
              <w:szCs w:val="18"/>
            </w:rPr>
            <w:instrText xml:space="preserve"> STYLEREF CharDivText \*charformat </w:instrText>
          </w:r>
          <w:r w:rsidRPr="00922BD6">
            <w:rPr>
              <w:rFonts w:cs="Arial"/>
              <w:szCs w:val="18"/>
            </w:rPr>
            <w:fldChar w:fldCharType="end"/>
          </w:r>
        </w:p>
      </w:tc>
    </w:tr>
    <w:tr w:rsidR="0051286C" w:rsidRPr="00CB3D59" w14:paraId="066A8A7B" w14:textId="77777777">
      <w:trPr>
        <w:cantSplit/>
        <w:jc w:val="center"/>
      </w:trPr>
      <w:tc>
        <w:tcPr>
          <w:tcW w:w="7296" w:type="dxa"/>
          <w:gridSpan w:val="2"/>
          <w:tcBorders>
            <w:bottom w:val="single" w:sz="4" w:space="0" w:color="auto"/>
          </w:tcBorders>
        </w:tcPr>
        <w:p w14:paraId="04CEA3B2" w14:textId="06CAA70C" w:rsidR="0051286C" w:rsidRPr="00922BD6" w:rsidRDefault="0051286C" w:rsidP="00B136BA">
          <w:pPr>
            <w:pStyle w:val="HeaderEven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904E62">
            <w:rPr>
              <w:rFonts w:cs="Arial"/>
              <w:noProof/>
              <w:szCs w:val="18"/>
            </w:rPr>
            <w:t>1.36</w:t>
          </w:r>
          <w:r w:rsidRPr="00922BD6">
            <w:rPr>
              <w:rFonts w:cs="Arial"/>
              <w:szCs w:val="18"/>
            </w:rPr>
            <w:fldChar w:fldCharType="end"/>
          </w:r>
        </w:p>
      </w:tc>
    </w:tr>
  </w:tbl>
  <w:p w14:paraId="404F479B" w14:textId="77777777" w:rsidR="0051286C" w:rsidRDefault="0051286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165"/>
      <w:gridCol w:w="1560"/>
    </w:tblGrid>
    <w:tr w:rsidR="0051286C" w:rsidRPr="00CB3D59" w14:paraId="27FE2625" w14:textId="77777777">
      <w:trPr>
        <w:jc w:val="center"/>
      </w:trPr>
      <w:tc>
        <w:tcPr>
          <w:tcW w:w="6165" w:type="dxa"/>
        </w:tcPr>
        <w:p w14:paraId="51A15D09" w14:textId="1927AEB1" w:rsidR="0051286C" w:rsidRPr="00922BD6" w:rsidRDefault="0051286C">
          <w:pPr>
            <w:pStyle w:val="HeaderEven"/>
            <w:jc w:val="right"/>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904E62">
            <w:rPr>
              <w:rFonts w:cs="Arial"/>
              <w:noProof/>
              <w:szCs w:val="18"/>
            </w:rPr>
            <w:t>Code of practice</w:t>
          </w:r>
          <w:r w:rsidRPr="00922BD6">
            <w:rPr>
              <w:rFonts w:cs="Arial"/>
              <w:szCs w:val="18"/>
            </w:rPr>
            <w:fldChar w:fldCharType="end"/>
          </w:r>
        </w:p>
      </w:tc>
      <w:tc>
        <w:tcPr>
          <w:tcW w:w="1560" w:type="dxa"/>
        </w:tcPr>
        <w:p w14:paraId="367B01BB" w14:textId="2CE4C445" w:rsidR="0051286C" w:rsidRPr="00922BD6" w:rsidRDefault="0051286C">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904E62">
            <w:rPr>
              <w:rFonts w:cs="Arial"/>
              <w:b/>
              <w:noProof/>
              <w:szCs w:val="18"/>
            </w:rPr>
            <w:t>Schedule 1</w:t>
          </w:r>
          <w:r w:rsidRPr="00922BD6">
            <w:rPr>
              <w:rFonts w:cs="Arial"/>
              <w:b/>
              <w:szCs w:val="18"/>
            </w:rPr>
            <w:fldChar w:fldCharType="end"/>
          </w:r>
        </w:p>
      </w:tc>
    </w:tr>
    <w:tr w:rsidR="0051286C" w:rsidRPr="00CB3D59" w14:paraId="38CA7E3C" w14:textId="77777777">
      <w:trPr>
        <w:jc w:val="center"/>
      </w:trPr>
      <w:tc>
        <w:tcPr>
          <w:tcW w:w="6165" w:type="dxa"/>
        </w:tcPr>
        <w:p w14:paraId="5C0A30A8" w14:textId="435BB1F9" w:rsidR="0051286C" w:rsidRPr="00922BD6" w:rsidRDefault="0051286C">
          <w:pPr>
            <w:pStyle w:val="HeaderEven"/>
            <w:jc w:val="right"/>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separate"/>
          </w:r>
          <w:r w:rsidR="00904E62">
            <w:rPr>
              <w:rFonts w:cs="Arial"/>
              <w:noProof/>
              <w:szCs w:val="18"/>
            </w:rPr>
            <w:t>Club licensee obligations—club refuge declarations</w:t>
          </w:r>
          <w:r w:rsidRPr="00922BD6">
            <w:rPr>
              <w:rFonts w:cs="Arial"/>
              <w:szCs w:val="18"/>
            </w:rPr>
            <w:fldChar w:fldCharType="end"/>
          </w:r>
        </w:p>
      </w:tc>
      <w:tc>
        <w:tcPr>
          <w:tcW w:w="1560" w:type="dxa"/>
        </w:tcPr>
        <w:p w14:paraId="0DF9875C" w14:textId="10330790" w:rsidR="0051286C" w:rsidRPr="00922BD6" w:rsidRDefault="0051286C">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separate"/>
          </w:r>
          <w:r w:rsidR="00904E62">
            <w:rPr>
              <w:rFonts w:cs="Arial"/>
              <w:b/>
              <w:noProof/>
              <w:szCs w:val="18"/>
            </w:rPr>
            <w:t>Part 1.5</w:t>
          </w:r>
          <w:r w:rsidRPr="00922BD6">
            <w:rPr>
              <w:rFonts w:cs="Arial"/>
              <w:b/>
              <w:szCs w:val="18"/>
            </w:rPr>
            <w:fldChar w:fldCharType="end"/>
          </w:r>
        </w:p>
      </w:tc>
    </w:tr>
    <w:tr w:rsidR="0051286C" w:rsidRPr="00CB3D59" w14:paraId="4D6B28EF" w14:textId="77777777">
      <w:trPr>
        <w:jc w:val="center"/>
      </w:trPr>
      <w:tc>
        <w:tcPr>
          <w:tcW w:w="6165" w:type="dxa"/>
        </w:tcPr>
        <w:p w14:paraId="4B5984E9" w14:textId="2C418B97" w:rsidR="0051286C" w:rsidRPr="00922BD6" w:rsidRDefault="0051286C">
          <w:pPr>
            <w:pStyle w:val="HeaderEven"/>
            <w:jc w:val="right"/>
            <w:rPr>
              <w:rFonts w:cs="Arial"/>
              <w:szCs w:val="18"/>
            </w:rPr>
          </w:pPr>
          <w:r w:rsidRPr="00922BD6">
            <w:rPr>
              <w:rFonts w:cs="Arial"/>
              <w:szCs w:val="18"/>
            </w:rPr>
            <w:fldChar w:fldCharType="begin"/>
          </w:r>
          <w:r w:rsidRPr="00922BD6">
            <w:rPr>
              <w:rFonts w:cs="Arial"/>
              <w:szCs w:val="18"/>
            </w:rPr>
            <w:instrText xml:space="preserve"> STYLEREF CharDivText \*charformat </w:instrText>
          </w:r>
          <w:r w:rsidRPr="00922BD6">
            <w:rPr>
              <w:rFonts w:cs="Arial"/>
              <w:szCs w:val="18"/>
            </w:rPr>
            <w:fldChar w:fldCharType="end"/>
          </w:r>
        </w:p>
      </w:tc>
      <w:tc>
        <w:tcPr>
          <w:tcW w:w="1560" w:type="dxa"/>
        </w:tcPr>
        <w:p w14:paraId="444CB290" w14:textId="0E622B35" w:rsidR="0051286C" w:rsidRPr="00922BD6" w:rsidRDefault="0051286C">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Pr="00922BD6">
            <w:rPr>
              <w:rFonts w:cs="Arial"/>
              <w:b/>
              <w:szCs w:val="18"/>
            </w:rPr>
            <w:fldChar w:fldCharType="end"/>
          </w:r>
        </w:p>
      </w:tc>
    </w:tr>
    <w:tr w:rsidR="0051286C" w:rsidRPr="00CB3D59" w14:paraId="7574F600" w14:textId="77777777">
      <w:trPr>
        <w:cantSplit/>
        <w:jc w:val="center"/>
      </w:trPr>
      <w:tc>
        <w:tcPr>
          <w:tcW w:w="7725" w:type="dxa"/>
          <w:gridSpan w:val="2"/>
          <w:tcBorders>
            <w:bottom w:val="single" w:sz="4" w:space="0" w:color="auto"/>
          </w:tcBorders>
        </w:tcPr>
        <w:p w14:paraId="230E44DF" w14:textId="5E17D47B" w:rsidR="0051286C" w:rsidRPr="00922BD6" w:rsidRDefault="0051286C" w:rsidP="00B136BA">
          <w:pPr>
            <w:pStyle w:val="HeaderOdd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904E62">
            <w:rPr>
              <w:rFonts w:cs="Arial"/>
              <w:noProof/>
              <w:szCs w:val="18"/>
            </w:rPr>
            <w:t>1.32</w:t>
          </w:r>
          <w:r w:rsidRPr="00922BD6">
            <w:rPr>
              <w:rFonts w:cs="Arial"/>
              <w:szCs w:val="18"/>
            </w:rPr>
            <w:fldChar w:fldCharType="end"/>
          </w:r>
        </w:p>
      </w:tc>
    </w:tr>
  </w:tbl>
  <w:p w14:paraId="230E59C9" w14:textId="77777777" w:rsidR="0051286C" w:rsidRDefault="00512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DF5667"/>
    <w:multiLevelType w:val="singleLevel"/>
    <w:tmpl w:val="743CBAAE"/>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6"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7"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FE9684D"/>
    <w:multiLevelType w:val="multilevel"/>
    <w:tmpl w:val="F992F7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608243385">
    <w:abstractNumId w:val="18"/>
  </w:num>
  <w:num w:numId="2" w16cid:durableId="1056590087">
    <w:abstractNumId w:val="19"/>
  </w:num>
  <w:num w:numId="3" w16cid:durableId="846870562">
    <w:abstractNumId w:val="15"/>
  </w:num>
  <w:num w:numId="4" w16cid:durableId="609897395">
    <w:abstractNumId w:val="14"/>
  </w:num>
  <w:num w:numId="5" w16cid:durableId="805008487">
    <w:abstractNumId w:val="21"/>
  </w:num>
  <w:num w:numId="6" w16cid:durableId="1492525917">
    <w:abstractNumId w:val="25"/>
  </w:num>
  <w:num w:numId="7" w16cid:durableId="1538883575">
    <w:abstractNumId w:val="9"/>
  </w:num>
  <w:num w:numId="8" w16cid:durableId="163054335">
    <w:abstractNumId w:val="7"/>
  </w:num>
  <w:num w:numId="9" w16cid:durableId="2079983398">
    <w:abstractNumId w:val="6"/>
  </w:num>
  <w:num w:numId="10" w16cid:durableId="2071077507">
    <w:abstractNumId w:val="5"/>
  </w:num>
  <w:num w:numId="11" w16cid:durableId="1318654951">
    <w:abstractNumId w:val="4"/>
  </w:num>
  <w:num w:numId="12" w16cid:durableId="2000768073">
    <w:abstractNumId w:val="8"/>
  </w:num>
  <w:num w:numId="13" w16cid:durableId="1219127306">
    <w:abstractNumId w:val="3"/>
  </w:num>
  <w:num w:numId="14" w16cid:durableId="1252666506">
    <w:abstractNumId w:val="2"/>
  </w:num>
  <w:num w:numId="15" w16cid:durableId="1260988585">
    <w:abstractNumId w:val="1"/>
  </w:num>
  <w:num w:numId="16" w16cid:durableId="544290235">
    <w:abstractNumId w:val="0"/>
  </w:num>
  <w:num w:numId="17" w16cid:durableId="1617248483">
    <w:abstractNumId w:val="24"/>
  </w:num>
  <w:num w:numId="18" w16cid:durableId="700516073">
    <w:abstractNumId w:val="26"/>
  </w:num>
  <w:num w:numId="19" w16cid:durableId="155735743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F1"/>
    <w:rsid w:val="00000E30"/>
    <w:rsid w:val="00001834"/>
    <w:rsid w:val="00014AE4"/>
    <w:rsid w:val="00016A6A"/>
    <w:rsid w:val="00021A65"/>
    <w:rsid w:val="000271C8"/>
    <w:rsid w:val="00033B6E"/>
    <w:rsid w:val="0003721E"/>
    <w:rsid w:val="00043B54"/>
    <w:rsid w:val="00044C6D"/>
    <w:rsid w:val="000569CA"/>
    <w:rsid w:val="000816F4"/>
    <w:rsid w:val="000A1A3B"/>
    <w:rsid w:val="000B39B0"/>
    <w:rsid w:val="000B7F81"/>
    <w:rsid w:val="000C073E"/>
    <w:rsid w:val="000E5E7F"/>
    <w:rsid w:val="000F00EF"/>
    <w:rsid w:val="000F0D8D"/>
    <w:rsid w:val="00104A64"/>
    <w:rsid w:val="00107C95"/>
    <w:rsid w:val="00112B8D"/>
    <w:rsid w:val="00137843"/>
    <w:rsid w:val="00141032"/>
    <w:rsid w:val="00142FA2"/>
    <w:rsid w:val="001434E3"/>
    <w:rsid w:val="00154209"/>
    <w:rsid w:val="001670ED"/>
    <w:rsid w:val="001739A9"/>
    <w:rsid w:val="00176F35"/>
    <w:rsid w:val="001A1D3F"/>
    <w:rsid w:val="001A5D61"/>
    <w:rsid w:val="001A5E2C"/>
    <w:rsid w:val="001A6F65"/>
    <w:rsid w:val="001C369F"/>
    <w:rsid w:val="001C5459"/>
    <w:rsid w:val="001D0CF9"/>
    <w:rsid w:val="001D15C1"/>
    <w:rsid w:val="001D3D24"/>
    <w:rsid w:val="001D55C6"/>
    <w:rsid w:val="001F5274"/>
    <w:rsid w:val="001F7528"/>
    <w:rsid w:val="0020309E"/>
    <w:rsid w:val="00207A6F"/>
    <w:rsid w:val="00212522"/>
    <w:rsid w:val="00220D86"/>
    <w:rsid w:val="00221019"/>
    <w:rsid w:val="00221DDE"/>
    <w:rsid w:val="00224E14"/>
    <w:rsid w:val="00231D83"/>
    <w:rsid w:val="002518AA"/>
    <w:rsid w:val="002527A3"/>
    <w:rsid w:val="00254B34"/>
    <w:rsid w:val="00256440"/>
    <w:rsid w:val="00262618"/>
    <w:rsid w:val="002647F9"/>
    <w:rsid w:val="00280C39"/>
    <w:rsid w:val="002A7663"/>
    <w:rsid w:val="002B5930"/>
    <w:rsid w:val="002C47BB"/>
    <w:rsid w:val="002D319E"/>
    <w:rsid w:val="002E7D75"/>
    <w:rsid w:val="002F25AC"/>
    <w:rsid w:val="002F4768"/>
    <w:rsid w:val="00322AE5"/>
    <w:rsid w:val="00336029"/>
    <w:rsid w:val="00340410"/>
    <w:rsid w:val="00363479"/>
    <w:rsid w:val="00390718"/>
    <w:rsid w:val="003973A9"/>
    <w:rsid w:val="003C01D9"/>
    <w:rsid w:val="003C1B54"/>
    <w:rsid w:val="003D00F3"/>
    <w:rsid w:val="003E3DF8"/>
    <w:rsid w:val="003F4FE3"/>
    <w:rsid w:val="004031BA"/>
    <w:rsid w:val="004078A3"/>
    <w:rsid w:val="004102FF"/>
    <w:rsid w:val="00414D6D"/>
    <w:rsid w:val="00425AAD"/>
    <w:rsid w:val="00433CEC"/>
    <w:rsid w:val="00436D17"/>
    <w:rsid w:val="004413BC"/>
    <w:rsid w:val="00456C0F"/>
    <w:rsid w:val="00460E0B"/>
    <w:rsid w:val="00461F12"/>
    <w:rsid w:val="00480DC0"/>
    <w:rsid w:val="004A006F"/>
    <w:rsid w:val="004A2630"/>
    <w:rsid w:val="004B5D04"/>
    <w:rsid w:val="004B7734"/>
    <w:rsid w:val="004C1A61"/>
    <w:rsid w:val="004D57A4"/>
    <w:rsid w:val="004E273F"/>
    <w:rsid w:val="00500732"/>
    <w:rsid w:val="00501A7E"/>
    <w:rsid w:val="00504990"/>
    <w:rsid w:val="0051286C"/>
    <w:rsid w:val="00515CD5"/>
    <w:rsid w:val="00517082"/>
    <w:rsid w:val="00521F15"/>
    <w:rsid w:val="005338FD"/>
    <w:rsid w:val="0053766D"/>
    <w:rsid w:val="00562A27"/>
    <w:rsid w:val="00565839"/>
    <w:rsid w:val="005672FE"/>
    <w:rsid w:val="0056747E"/>
    <w:rsid w:val="005852C5"/>
    <w:rsid w:val="00595799"/>
    <w:rsid w:val="00596139"/>
    <w:rsid w:val="005A5470"/>
    <w:rsid w:val="005C0AA0"/>
    <w:rsid w:val="005C6F34"/>
    <w:rsid w:val="005D126E"/>
    <w:rsid w:val="005E00C1"/>
    <w:rsid w:val="0063631C"/>
    <w:rsid w:val="00636C52"/>
    <w:rsid w:val="006532B0"/>
    <w:rsid w:val="006570B4"/>
    <w:rsid w:val="0066283E"/>
    <w:rsid w:val="00667C92"/>
    <w:rsid w:val="00685282"/>
    <w:rsid w:val="006A5457"/>
    <w:rsid w:val="006A595F"/>
    <w:rsid w:val="006B04E1"/>
    <w:rsid w:val="006B290D"/>
    <w:rsid w:val="006D63DD"/>
    <w:rsid w:val="006D7675"/>
    <w:rsid w:val="006D7A47"/>
    <w:rsid w:val="006E2107"/>
    <w:rsid w:val="006E6082"/>
    <w:rsid w:val="006F03C6"/>
    <w:rsid w:val="006F0BE7"/>
    <w:rsid w:val="006F1314"/>
    <w:rsid w:val="006F23FF"/>
    <w:rsid w:val="006F575E"/>
    <w:rsid w:val="006F5CCF"/>
    <w:rsid w:val="0070212B"/>
    <w:rsid w:val="007105C9"/>
    <w:rsid w:val="00710A3B"/>
    <w:rsid w:val="0073189A"/>
    <w:rsid w:val="00731AD8"/>
    <w:rsid w:val="00733DBB"/>
    <w:rsid w:val="007418B2"/>
    <w:rsid w:val="00743CAC"/>
    <w:rsid w:val="007530E7"/>
    <w:rsid w:val="007659AE"/>
    <w:rsid w:val="0077579F"/>
    <w:rsid w:val="00783A96"/>
    <w:rsid w:val="007930A9"/>
    <w:rsid w:val="00795879"/>
    <w:rsid w:val="007A3840"/>
    <w:rsid w:val="007A4ED0"/>
    <w:rsid w:val="007C1855"/>
    <w:rsid w:val="007C2DE6"/>
    <w:rsid w:val="007F160B"/>
    <w:rsid w:val="007F2AE5"/>
    <w:rsid w:val="007F46CD"/>
    <w:rsid w:val="007F6D90"/>
    <w:rsid w:val="00801F26"/>
    <w:rsid w:val="008123E7"/>
    <w:rsid w:val="00821D06"/>
    <w:rsid w:val="00833373"/>
    <w:rsid w:val="0083340B"/>
    <w:rsid w:val="00835911"/>
    <w:rsid w:val="00846629"/>
    <w:rsid w:val="00860803"/>
    <w:rsid w:val="00872598"/>
    <w:rsid w:val="00873A4B"/>
    <w:rsid w:val="00877978"/>
    <w:rsid w:val="00890B09"/>
    <w:rsid w:val="00897982"/>
    <w:rsid w:val="008A104C"/>
    <w:rsid w:val="008A2184"/>
    <w:rsid w:val="008B17B2"/>
    <w:rsid w:val="008C0F0D"/>
    <w:rsid w:val="008C0F76"/>
    <w:rsid w:val="008C3A34"/>
    <w:rsid w:val="008D51DC"/>
    <w:rsid w:val="008D6FF5"/>
    <w:rsid w:val="008E539A"/>
    <w:rsid w:val="008F00E1"/>
    <w:rsid w:val="0090163F"/>
    <w:rsid w:val="0090466A"/>
    <w:rsid w:val="00904E62"/>
    <w:rsid w:val="0091063F"/>
    <w:rsid w:val="009263D8"/>
    <w:rsid w:val="00941D36"/>
    <w:rsid w:val="00955DBA"/>
    <w:rsid w:val="0096050C"/>
    <w:rsid w:val="00972E74"/>
    <w:rsid w:val="00984F82"/>
    <w:rsid w:val="00987026"/>
    <w:rsid w:val="00991BFF"/>
    <w:rsid w:val="00995F7F"/>
    <w:rsid w:val="00996BB2"/>
    <w:rsid w:val="009B66CF"/>
    <w:rsid w:val="009B704E"/>
    <w:rsid w:val="009B72D9"/>
    <w:rsid w:val="009E42A0"/>
    <w:rsid w:val="009E4F02"/>
    <w:rsid w:val="009F276B"/>
    <w:rsid w:val="00A03D08"/>
    <w:rsid w:val="00A10FCD"/>
    <w:rsid w:val="00A139D8"/>
    <w:rsid w:val="00A315E1"/>
    <w:rsid w:val="00A40769"/>
    <w:rsid w:val="00A61F5C"/>
    <w:rsid w:val="00A66854"/>
    <w:rsid w:val="00A83933"/>
    <w:rsid w:val="00A875BE"/>
    <w:rsid w:val="00A96636"/>
    <w:rsid w:val="00AA5D8F"/>
    <w:rsid w:val="00AB06CC"/>
    <w:rsid w:val="00AB30F2"/>
    <w:rsid w:val="00AC5ABF"/>
    <w:rsid w:val="00AC6B49"/>
    <w:rsid w:val="00AD5FFD"/>
    <w:rsid w:val="00AF348D"/>
    <w:rsid w:val="00B019AC"/>
    <w:rsid w:val="00B12AE3"/>
    <w:rsid w:val="00B33F6B"/>
    <w:rsid w:val="00B35225"/>
    <w:rsid w:val="00B35F75"/>
    <w:rsid w:val="00B36027"/>
    <w:rsid w:val="00B47127"/>
    <w:rsid w:val="00B50448"/>
    <w:rsid w:val="00B52C97"/>
    <w:rsid w:val="00B57FEC"/>
    <w:rsid w:val="00B609F2"/>
    <w:rsid w:val="00B61702"/>
    <w:rsid w:val="00B61E43"/>
    <w:rsid w:val="00B776B3"/>
    <w:rsid w:val="00BA5A94"/>
    <w:rsid w:val="00BA76B1"/>
    <w:rsid w:val="00BC249E"/>
    <w:rsid w:val="00BC717B"/>
    <w:rsid w:val="00BE364D"/>
    <w:rsid w:val="00BE6580"/>
    <w:rsid w:val="00BF449F"/>
    <w:rsid w:val="00C041A3"/>
    <w:rsid w:val="00C050B9"/>
    <w:rsid w:val="00C349DC"/>
    <w:rsid w:val="00C356FD"/>
    <w:rsid w:val="00C4267C"/>
    <w:rsid w:val="00C4617D"/>
    <w:rsid w:val="00C514E4"/>
    <w:rsid w:val="00C53A7A"/>
    <w:rsid w:val="00C5748A"/>
    <w:rsid w:val="00C64CE8"/>
    <w:rsid w:val="00C76D2D"/>
    <w:rsid w:val="00C807F7"/>
    <w:rsid w:val="00C83EA7"/>
    <w:rsid w:val="00C96D70"/>
    <w:rsid w:val="00CB3F82"/>
    <w:rsid w:val="00CC0649"/>
    <w:rsid w:val="00CC3469"/>
    <w:rsid w:val="00CC4745"/>
    <w:rsid w:val="00CC7C87"/>
    <w:rsid w:val="00CD58BE"/>
    <w:rsid w:val="00CE08B7"/>
    <w:rsid w:val="00CE2FCA"/>
    <w:rsid w:val="00CE31AD"/>
    <w:rsid w:val="00CF5E33"/>
    <w:rsid w:val="00D11833"/>
    <w:rsid w:val="00D20D3A"/>
    <w:rsid w:val="00D232C5"/>
    <w:rsid w:val="00D241D9"/>
    <w:rsid w:val="00D25207"/>
    <w:rsid w:val="00D3286F"/>
    <w:rsid w:val="00D411DD"/>
    <w:rsid w:val="00D4224C"/>
    <w:rsid w:val="00D442DD"/>
    <w:rsid w:val="00D45E5C"/>
    <w:rsid w:val="00D47918"/>
    <w:rsid w:val="00D74F86"/>
    <w:rsid w:val="00D81070"/>
    <w:rsid w:val="00D838C8"/>
    <w:rsid w:val="00D847F1"/>
    <w:rsid w:val="00D96AB6"/>
    <w:rsid w:val="00D97B75"/>
    <w:rsid w:val="00DA06D4"/>
    <w:rsid w:val="00DA6F13"/>
    <w:rsid w:val="00DC2416"/>
    <w:rsid w:val="00DE09B2"/>
    <w:rsid w:val="00DF21AF"/>
    <w:rsid w:val="00E00794"/>
    <w:rsid w:val="00E02D37"/>
    <w:rsid w:val="00E06193"/>
    <w:rsid w:val="00E13019"/>
    <w:rsid w:val="00E32685"/>
    <w:rsid w:val="00E32B97"/>
    <w:rsid w:val="00E34A85"/>
    <w:rsid w:val="00E5051B"/>
    <w:rsid w:val="00E5599F"/>
    <w:rsid w:val="00E7237E"/>
    <w:rsid w:val="00E9093B"/>
    <w:rsid w:val="00E94C81"/>
    <w:rsid w:val="00E95BAD"/>
    <w:rsid w:val="00E969A0"/>
    <w:rsid w:val="00EA1BC2"/>
    <w:rsid w:val="00EC0987"/>
    <w:rsid w:val="00EC222E"/>
    <w:rsid w:val="00EC2BE7"/>
    <w:rsid w:val="00EC7582"/>
    <w:rsid w:val="00ED3D87"/>
    <w:rsid w:val="00ED7E8F"/>
    <w:rsid w:val="00EF52A4"/>
    <w:rsid w:val="00F0587B"/>
    <w:rsid w:val="00F1531F"/>
    <w:rsid w:val="00F323A5"/>
    <w:rsid w:val="00F414BF"/>
    <w:rsid w:val="00F41D7E"/>
    <w:rsid w:val="00F42436"/>
    <w:rsid w:val="00F453FC"/>
    <w:rsid w:val="00F612A1"/>
    <w:rsid w:val="00F74C1D"/>
    <w:rsid w:val="00F80397"/>
    <w:rsid w:val="00F823D7"/>
    <w:rsid w:val="00F83F19"/>
    <w:rsid w:val="00F87028"/>
    <w:rsid w:val="00F966FF"/>
    <w:rsid w:val="00FA1B52"/>
    <w:rsid w:val="00FB0197"/>
    <w:rsid w:val="00FB11F3"/>
    <w:rsid w:val="00FB6524"/>
    <w:rsid w:val="00FD252A"/>
    <w:rsid w:val="00FD4B14"/>
    <w:rsid w:val="00FF05B5"/>
    <w:rsid w:val="00FF358C"/>
    <w:rsid w:val="00FF73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2438E"/>
  <w15:docId w15:val="{B9D0C919-28EB-4EEC-8B7D-B1DC5070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31F"/>
    <w:pPr>
      <w:tabs>
        <w:tab w:val="left" w:pos="0"/>
      </w:tabs>
    </w:pPr>
    <w:rPr>
      <w:sz w:val="24"/>
      <w:lang w:eastAsia="en-US"/>
    </w:rPr>
  </w:style>
  <w:style w:type="paragraph" w:styleId="Heading1">
    <w:name w:val="heading 1"/>
    <w:basedOn w:val="Normal"/>
    <w:next w:val="Normal"/>
    <w:qFormat/>
    <w:rsid w:val="00F1531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1531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1531F"/>
    <w:pPr>
      <w:keepNext/>
      <w:spacing w:before="140"/>
      <w:outlineLvl w:val="2"/>
    </w:pPr>
    <w:rPr>
      <w:b/>
    </w:rPr>
  </w:style>
  <w:style w:type="paragraph" w:styleId="Heading4">
    <w:name w:val="heading 4"/>
    <w:basedOn w:val="Normal"/>
    <w:next w:val="Normal"/>
    <w:qFormat/>
    <w:rsid w:val="00F1531F"/>
    <w:pPr>
      <w:keepNext/>
      <w:spacing w:before="240" w:after="60"/>
      <w:outlineLvl w:val="3"/>
    </w:pPr>
    <w:rPr>
      <w:rFonts w:ascii="Arial" w:hAnsi="Arial"/>
      <w:b/>
      <w:bCs/>
      <w:sz w:val="22"/>
      <w:szCs w:val="28"/>
    </w:rPr>
  </w:style>
  <w:style w:type="paragraph" w:styleId="Heading5">
    <w:name w:val="heading 5"/>
    <w:basedOn w:val="Normal"/>
    <w:next w:val="Normal"/>
    <w:qFormat/>
    <w:rsid w:val="0020309E"/>
    <w:pPr>
      <w:numPr>
        <w:ilvl w:val="4"/>
        <w:numId w:val="1"/>
      </w:numPr>
      <w:spacing w:before="240" w:after="60"/>
      <w:outlineLvl w:val="4"/>
    </w:pPr>
    <w:rPr>
      <w:sz w:val="22"/>
    </w:rPr>
  </w:style>
  <w:style w:type="paragraph" w:styleId="Heading6">
    <w:name w:val="heading 6"/>
    <w:basedOn w:val="Normal"/>
    <w:next w:val="Normal"/>
    <w:qFormat/>
    <w:rsid w:val="0020309E"/>
    <w:pPr>
      <w:numPr>
        <w:ilvl w:val="5"/>
        <w:numId w:val="1"/>
      </w:numPr>
      <w:spacing w:before="240" w:after="60"/>
      <w:outlineLvl w:val="5"/>
    </w:pPr>
    <w:rPr>
      <w:i/>
      <w:sz w:val="22"/>
    </w:rPr>
  </w:style>
  <w:style w:type="paragraph" w:styleId="Heading7">
    <w:name w:val="heading 7"/>
    <w:basedOn w:val="Normal"/>
    <w:next w:val="Normal"/>
    <w:qFormat/>
    <w:rsid w:val="0020309E"/>
    <w:pPr>
      <w:numPr>
        <w:ilvl w:val="6"/>
        <w:numId w:val="1"/>
      </w:numPr>
      <w:spacing w:before="240" w:after="60"/>
      <w:outlineLvl w:val="6"/>
    </w:pPr>
    <w:rPr>
      <w:rFonts w:ascii="Arial" w:hAnsi="Arial"/>
      <w:sz w:val="20"/>
    </w:rPr>
  </w:style>
  <w:style w:type="paragraph" w:styleId="Heading8">
    <w:name w:val="heading 8"/>
    <w:basedOn w:val="Normal"/>
    <w:next w:val="Normal"/>
    <w:qFormat/>
    <w:rsid w:val="0020309E"/>
    <w:pPr>
      <w:numPr>
        <w:ilvl w:val="7"/>
        <w:numId w:val="1"/>
      </w:numPr>
      <w:spacing w:before="240" w:after="60"/>
      <w:outlineLvl w:val="7"/>
    </w:pPr>
    <w:rPr>
      <w:rFonts w:ascii="Arial" w:hAnsi="Arial"/>
      <w:i/>
      <w:sz w:val="20"/>
    </w:rPr>
  </w:style>
  <w:style w:type="paragraph" w:styleId="Heading9">
    <w:name w:val="heading 9"/>
    <w:basedOn w:val="Normal"/>
    <w:next w:val="Normal"/>
    <w:qFormat/>
    <w:rsid w:val="0020309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F1531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1531F"/>
  </w:style>
  <w:style w:type="paragraph" w:customStyle="1" w:styleId="00ClientCover">
    <w:name w:val="00ClientCover"/>
    <w:basedOn w:val="Normal"/>
    <w:rsid w:val="00F1531F"/>
  </w:style>
  <w:style w:type="paragraph" w:customStyle="1" w:styleId="02Text">
    <w:name w:val="02Text"/>
    <w:basedOn w:val="Normal"/>
    <w:rsid w:val="00F1531F"/>
  </w:style>
  <w:style w:type="paragraph" w:customStyle="1" w:styleId="BillBasic">
    <w:name w:val="BillBasic"/>
    <w:rsid w:val="00F1531F"/>
    <w:pPr>
      <w:spacing w:before="140"/>
      <w:jc w:val="both"/>
    </w:pPr>
    <w:rPr>
      <w:sz w:val="24"/>
      <w:lang w:eastAsia="en-US"/>
    </w:rPr>
  </w:style>
  <w:style w:type="paragraph" w:styleId="Header">
    <w:name w:val="header"/>
    <w:aliases w:val="cnvHeader"/>
    <w:basedOn w:val="Normal"/>
    <w:link w:val="HeaderChar"/>
    <w:rsid w:val="00F1531F"/>
    <w:pPr>
      <w:tabs>
        <w:tab w:val="center" w:pos="4153"/>
        <w:tab w:val="right" w:pos="8306"/>
      </w:tabs>
    </w:pPr>
  </w:style>
  <w:style w:type="paragraph" w:styleId="Footer">
    <w:name w:val="footer"/>
    <w:basedOn w:val="Normal"/>
    <w:link w:val="FooterChar"/>
    <w:rsid w:val="00F1531F"/>
    <w:pPr>
      <w:spacing w:before="120" w:line="240" w:lineRule="exact"/>
    </w:pPr>
    <w:rPr>
      <w:rFonts w:ascii="Arial" w:hAnsi="Arial"/>
      <w:sz w:val="18"/>
    </w:rPr>
  </w:style>
  <w:style w:type="paragraph" w:customStyle="1" w:styleId="Billname">
    <w:name w:val="Billname"/>
    <w:basedOn w:val="Normal"/>
    <w:rsid w:val="00F1531F"/>
    <w:pPr>
      <w:spacing w:before="1220"/>
    </w:pPr>
    <w:rPr>
      <w:rFonts w:ascii="Arial" w:hAnsi="Arial"/>
      <w:b/>
      <w:sz w:val="40"/>
    </w:rPr>
  </w:style>
  <w:style w:type="paragraph" w:customStyle="1" w:styleId="BillBasicHeading">
    <w:name w:val="BillBasicHeading"/>
    <w:basedOn w:val="BillBasic"/>
    <w:rsid w:val="00F1531F"/>
    <w:pPr>
      <w:keepNext/>
      <w:tabs>
        <w:tab w:val="left" w:pos="2600"/>
      </w:tabs>
      <w:jc w:val="left"/>
    </w:pPr>
    <w:rPr>
      <w:rFonts w:ascii="Arial" w:hAnsi="Arial"/>
      <w:b/>
    </w:rPr>
  </w:style>
  <w:style w:type="paragraph" w:customStyle="1" w:styleId="EnactingWordsRules">
    <w:name w:val="EnactingWordsRules"/>
    <w:basedOn w:val="EnactingWords"/>
    <w:rsid w:val="00F1531F"/>
    <w:pPr>
      <w:spacing w:before="240"/>
    </w:pPr>
  </w:style>
  <w:style w:type="paragraph" w:customStyle="1" w:styleId="EnactingWords">
    <w:name w:val="EnactingWords"/>
    <w:basedOn w:val="BillBasic"/>
    <w:rsid w:val="00F1531F"/>
    <w:pPr>
      <w:spacing w:before="120"/>
    </w:pPr>
  </w:style>
  <w:style w:type="paragraph" w:customStyle="1" w:styleId="BillCrest">
    <w:name w:val="Bill Crest"/>
    <w:basedOn w:val="Normal"/>
    <w:next w:val="Normal"/>
    <w:rsid w:val="00F1531F"/>
    <w:pPr>
      <w:tabs>
        <w:tab w:val="center" w:pos="3160"/>
      </w:tabs>
      <w:spacing w:after="60"/>
    </w:pPr>
    <w:rPr>
      <w:sz w:val="216"/>
    </w:rPr>
  </w:style>
  <w:style w:type="paragraph" w:customStyle="1" w:styleId="Amain">
    <w:name w:val="A main"/>
    <w:basedOn w:val="BillBasic"/>
    <w:rsid w:val="00F1531F"/>
    <w:pPr>
      <w:tabs>
        <w:tab w:val="right" w:pos="900"/>
        <w:tab w:val="left" w:pos="1100"/>
      </w:tabs>
      <w:ind w:left="1100" w:hanging="1100"/>
      <w:outlineLvl w:val="5"/>
    </w:pPr>
  </w:style>
  <w:style w:type="paragraph" w:customStyle="1" w:styleId="Amainreturn">
    <w:name w:val="A main return"/>
    <w:basedOn w:val="BillBasic"/>
    <w:link w:val="AmainreturnChar"/>
    <w:rsid w:val="00F1531F"/>
    <w:pPr>
      <w:ind w:left="1100"/>
    </w:pPr>
  </w:style>
  <w:style w:type="paragraph" w:customStyle="1" w:styleId="Apara">
    <w:name w:val="A para"/>
    <w:basedOn w:val="BillBasic"/>
    <w:rsid w:val="00F1531F"/>
    <w:pPr>
      <w:tabs>
        <w:tab w:val="right" w:pos="1400"/>
        <w:tab w:val="left" w:pos="1600"/>
      </w:tabs>
      <w:ind w:left="1600" w:hanging="1600"/>
      <w:outlineLvl w:val="6"/>
    </w:pPr>
  </w:style>
  <w:style w:type="paragraph" w:customStyle="1" w:styleId="Asubpara">
    <w:name w:val="A subpara"/>
    <w:basedOn w:val="BillBasic"/>
    <w:rsid w:val="00F1531F"/>
    <w:pPr>
      <w:tabs>
        <w:tab w:val="right" w:pos="1900"/>
        <w:tab w:val="left" w:pos="2100"/>
      </w:tabs>
      <w:ind w:left="2100" w:hanging="2100"/>
      <w:outlineLvl w:val="7"/>
    </w:pPr>
  </w:style>
  <w:style w:type="paragraph" w:customStyle="1" w:styleId="Asubsubpara">
    <w:name w:val="A subsubpara"/>
    <w:basedOn w:val="BillBasic"/>
    <w:rsid w:val="00F1531F"/>
    <w:pPr>
      <w:tabs>
        <w:tab w:val="right" w:pos="2400"/>
        <w:tab w:val="left" w:pos="2600"/>
      </w:tabs>
      <w:ind w:left="2600" w:hanging="2600"/>
      <w:outlineLvl w:val="8"/>
    </w:pPr>
  </w:style>
  <w:style w:type="paragraph" w:customStyle="1" w:styleId="aDef">
    <w:name w:val="aDef"/>
    <w:basedOn w:val="BillBasic"/>
    <w:rsid w:val="00F1531F"/>
    <w:pPr>
      <w:ind w:left="1100"/>
    </w:pPr>
  </w:style>
  <w:style w:type="paragraph" w:customStyle="1" w:styleId="aExamHead">
    <w:name w:val="aExam Head"/>
    <w:basedOn w:val="BillBasicHeading"/>
    <w:next w:val="aExam"/>
    <w:rsid w:val="00F1531F"/>
    <w:pPr>
      <w:tabs>
        <w:tab w:val="clear" w:pos="2600"/>
      </w:tabs>
      <w:ind w:left="1100"/>
    </w:pPr>
    <w:rPr>
      <w:sz w:val="18"/>
    </w:rPr>
  </w:style>
  <w:style w:type="paragraph" w:customStyle="1" w:styleId="aExam">
    <w:name w:val="aExam"/>
    <w:basedOn w:val="aNoteSymb"/>
    <w:rsid w:val="00F1531F"/>
    <w:pPr>
      <w:spacing w:before="60"/>
      <w:ind w:left="1100" w:firstLine="0"/>
    </w:pPr>
  </w:style>
  <w:style w:type="paragraph" w:customStyle="1" w:styleId="aNote">
    <w:name w:val="aNote"/>
    <w:basedOn w:val="BillBasic"/>
    <w:link w:val="aNoteChar"/>
    <w:rsid w:val="00F1531F"/>
    <w:pPr>
      <w:ind w:left="1900" w:hanging="800"/>
    </w:pPr>
    <w:rPr>
      <w:sz w:val="20"/>
    </w:rPr>
  </w:style>
  <w:style w:type="paragraph" w:customStyle="1" w:styleId="HeaderEven">
    <w:name w:val="HeaderEven"/>
    <w:basedOn w:val="Normal"/>
    <w:rsid w:val="00F1531F"/>
    <w:rPr>
      <w:rFonts w:ascii="Arial" w:hAnsi="Arial"/>
      <w:sz w:val="18"/>
    </w:rPr>
  </w:style>
  <w:style w:type="paragraph" w:customStyle="1" w:styleId="HeaderEven6">
    <w:name w:val="HeaderEven6"/>
    <w:basedOn w:val="HeaderEven"/>
    <w:rsid w:val="00F1531F"/>
    <w:pPr>
      <w:spacing w:before="120" w:after="60"/>
    </w:pPr>
  </w:style>
  <w:style w:type="paragraph" w:customStyle="1" w:styleId="HeaderOdd6">
    <w:name w:val="HeaderOdd6"/>
    <w:basedOn w:val="HeaderEven6"/>
    <w:rsid w:val="00F1531F"/>
    <w:pPr>
      <w:jc w:val="right"/>
    </w:pPr>
  </w:style>
  <w:style w:type="paragraph" w:customStyle="1" w:styleId="HeaderOdd">
    <w:name w:val="HeaderOdd"/>
    <w:basedOn w:val="HeaderEven"/>
    <w:rsid w:val="00F1531F"/>
    <w:pPr>
      <w:jc w:val="right"/>
    </w:pPr>
  </w:style>
  <w:style w:type="paragraph" w:customStyle="1" w:styleId="BillNo">
    <w:name w:val="BillNo"/>
    <w:basedOn w:val="BillBasicHeading"/>
    <w:rsid w:val="00F1531F"/>
    <w:pPr>
      <w:keepNext w:val="0"/>
      <w:spacing w:before="240"/>
      <w:jc w:val="both"/>
    </w:pPr>
  </w:style>
  <w:style w:type="paragraph" w:customStyle="1" w:styleId="N-TOCheading">
    <w:name w:val="N-TOCheading"/>
    <w:basedOn w:val="BillBasicHeading"/>
    <w:next w:val="N-9pt"/>
    <w:rsid w:val="00F1531F"/>
    <w:pPr>
      <w:pBdr>
        <w:bottom w:val="single" w:sz="4" w:space="1" w:color="auto"/>
      </w:pBdr>
      <w:spacing w:before="800"/>
    </w:pPr>
    <w:rPr>
      <w:sz w:val="32"/>
    </w:rPr>
  </w:style>
  <w:style w:type="paragraph" w:customStyle="1" w:styleId="N-9pt">
    <w:name w:val="N-9pt"/>
    <w:basedOn w:val="BillBasic"/>
    <w:next w:val="BillBasic"/>
    <w:rsid w:val="00F1531F"/>
    <w:pPr>
      <w:keepNext/>
      <w:tabs>
        <w:tab w:val="right" w:pos="7707"/>
      </w:tabs>
      <w:spacing w:before="120"/>
    </w:pPr>
    <w:rPr>
      <w:rFonts w:ascii="Arial" w:hAnsi="Arial"/>
      <w:sz w:val="18"/>
    </w:rPr>
  </w:style>
  <w:style w:type="paragraph" w:customStyle="1" w:styleId="N-14pt">
    <w:name w:val="N-14pt"/>
    <w:basedOn w:val="BillBasic"/>
    <w:rsid w:val="00F1531F"/>
    <w:pPr>
      <w:spacing w:before="0"/>
    </w:pPr>
    <w:rPr>
      <w:b/>
      <w:sz w:val="28"/>
    </w:rPr>
  </w:style>
  <w:style w:type="paragraph" w:customStyle="1" w:styleId="N-16pt">
    <w:name w:val="N-16pt"/>
    <w:basedOn w:val="BillBasic"/>
    <w:rsid w:val="00F1531F"/>
    <w:pPr>
      <w:spacing w:before="800"/>
    </w:pPr>
    <w:rPr>
      <w:b/>
      <w:sz w:val="32"/>
    </w:rPr>
  </w:style>
  <w:style w:type="paragraph" w:customStyle="1" w:styleId="N-line3">
    <w:name w:val="N-line3"/>
    <w:basedOn w:val="BillBasic"/>
    <w:next w:val="BillBasic"/>
    <w:rsid w:val="00F1531F"/>
    <w:pPr>
      <w:pBdr>
        <w:bottom w:val="single" w:sz="12" w:space="1" w:color="auto"/>
      </w:pBdr>
      <w:spacing w:before="60"/>
    </w:pPr>
  </w:style>
  <w:style w:type="paragraph" w:customStyle="1" w:styleId="Comment">
    <w:name w:val="Comment"/>
    <w:basedOn w:val="BillBasic"/>
    <w:rsid w:val="00F1531F"/>
    <w:pPr>
      <w:tabs>
        <w:tab w:val="left" w:pos="1800"/>
      </w:tabs>
      <w:ind w:left="1300"/>
      <w:jc w:val="left"/>
    </w:pPr>
    <w:rPr>
      <w:b/>
      <w:sz w:val="18"/>
    </w:rPr>
  </w:style>
  <w:style w:type="paragraph" w:customStyle="1" w:styleId="FooterInfo">
    <w:name w:val="FooterInfo"/>
    <w:basedOn w:val="Normal"/>
    <w:rsid w:val="00F1531F"/>
    <w:pPr>
      <w:tabs>
        <w:tab w:val="right" w:pos="7707"/>
      </w:tabs>
    </w:pPr>
    <w:rPr>
      <w:rFonts w:ascii="Arial" w:hAnsi="Arial"/>
      <w:sz w:val="18"/>
    </w:rPr>
  </w:style>
  <w:style w:type="paragraph" w:customStyle="1" w:styleId="AH1Chapter">
    <w:name w:val="A H1 Chapter"/>
    <w:basedOn w:val="BillBasicHeading"/>
    <w:next w:val="AH2Part"/>
    <w:rsid w:val="00F1531F"/>
    <w:pPr>
      <w:spacing w:before="320"/>
      <w:ind w:left="2600" w:hanging="2600"/>
      <w:outlineLvl w:val="0"/>
    </w:pPr>
    <w:rPr>
      <w:sz w:val="34"/>
    </w:rPr>
  </w:style>
  <w:style w:type="paragraph" w:customStyle="1" w:styleId="AH2Part">
    <w:name w:val="A H2 Part"/>
    <w:basedOn w:val="BillBasicHeading"/>
    <w:next w:val="AH3Div"/>
    <w:rsid w:val="00F1531F"/>
    <w:pPr>
      <w:spacing w:before="380"/>
      <w:ind w:left="2600" w:hanging="2600"/>
      <w:outlineLvl w:val="1"/>
    </w:pPr>
    <w:rPr>
      <w:sz w:val="32"/>
    </w:rPr>
  </w:style>
  <w:style w:type="paragraph" w:customStyle="1" w:styleId="AH3Div">
    <w:name w:val="A H3 Div"/>
    <w:basedOn w:val="BillBasicHeading"/>
    <w:next w:val="AH5Sec"/>
    <w:rsid w:val="00F1531F"/>
    <w:pPr>
      <w:spacing w:before="240"/>
      <w:ind w:left="2600" w:hanging="2600"/>
      <w:outlineLvl w:val="2"/>
    </w:pPr>
    <w:rPr>
      <w:sz w:val="28"/>
    </w:rPr>
  </w:style>
  <w:style w:type="paragraph" w:customStyle="1" w:styleId="AH5Sec">
    <w:name w:val="A H5 Sec"/>
    <w:basedOn w:val="BillBasicHeading"/>
    <w:next w:val="Amain"/>
    <w:rsid w:val="00F1531F"/>
    <w:pPr>
      <w:tabs>
        <w:tab w:val="clear" w:pos="2600"/>
        <w:tab w:val="left" w:pos="1100"/>
      </w:tabs>
      <w:spacing w:before="240"/>
      <w:ind w:left="1100" w:hanging="1100"/>
      <w:outlineLvl w:val="4"/>
    </w:pPr>
  </w:style>
  <w:style w:type="paragraph" w:customStyle="1" w:styleId="AH4SubDiv">
    <w:name w:val="A H4 SubDiv"/>
    <w:basedOn w:val="BillBasicHeading"/>
    <w:next w:val="AH5Sec"/>
    <w:rsid w:val="00F1531F"/>
    <w:pPr>
      <w:spacing w:before="240"/>
      <w:ind w:left="2600" w:hanging="2600"/>
      <w:outlineLvl w:val="3"/>
    </w:pPr>
    <w:rPr>
      <w:sz w:val="26"/>
    </w:rPr>
  </w:style>
  <w:style w:type="paragraph" w:customStyle="1" w:styleId="Sched-heading">
    <w:name w:val="Sched-heading"/>
    <w:basedOn w:val="BillBasicHeading"/>
    <w:next w:val="refSymb"/>
    <w:rsid w:val="00F1531F"/>
    <w:pPr>
      <w:spacing w:before="380"/>
      <w:ind w:left="2600" w:hanging="2600"/>
      <w:outlineLvl w:val="0"/>
    </w:pPr>
    <w:rPr>
      <w:sz w:val="34"/>
    </w:rPr>
  </w:style>
  <w:style w:type="paragraph" w:customStyle="1" w:styleId="ref">
    <w:name w:val="ref"/>
    <w:basedOn w:val="BillBasic"/>
    <w:next w:val="Normal"/>
    <w:rsid w:val="00F1531F"/>
    <w:pPr>
      <w:spacing w:before="60"/>
    </w:pPr>
    <w:rPr>
      <w:sz w:val="18"/>
    </w:rPr>
  </w:style>
  <w:style w:type="paragraph" w:customStyle="1" w:styleId="Sched-Part">
    <w:name w:val="Sched-Part"/>
    <w:basedOn w:val="BillBasicHeading"/>
    <w:next w:val="Sched-Form"/>
    <w:rsid w:val="00F1531F"/>
    <w:pPr>
      <w:spacing w:before="380"/>
      <w:ind w:left="2600" w:hanging="2600"/>
      <w:outlineLvl w:val="1"/>
    </w:pPr>
    <w:rPr>
      <w:sz w:val="32"/>
    </w:rPr>
  </w:style>
  <w:style w:type="paragraph" w:customStyle="1" w:styleId="ShadedSchClause">
    <w:name w:val="Shaded Sch Clause"/>
    <w:basedOn w:val="Schclauseheading"/>
    <w:next w:val="direction"/>
    <w:rsid w:val="00F1531F"/>
    <w:pPr>
      <w:shd w:val="pct25" w:color="auto" w:fill="auto"/>
      <w:outlineLvl w:val="3"/>
    </w:pPr>
  </w:style>
  <w:style w:type="paragraph" w:customStyle="1" w:styleId="Schclauseheading">
    <w:name w:val="Sch clause heading"/>
    <w:basedOn w:val="BillBasic"/>
    <w:next w:val="SchAmainSymb"/>
    <w:rsid w:val="00F1531F"/>
    <w:pPr>
      <w:keepNext/>
      <w:tabs>
        <w:tab w:val="left" w:pos="1100"/>
      </w:tabs>
      <w:spacing w:before="240"/>
      <w:ind w:left="1100" w:hanging="1100"/>
      <w:jc w:val="left"/>
      <w:outlineLvl w:val="4"/>
    </w:pPr>
    <w:rPr>
      <w:rFonts w:ascii="Arial" w:hAnsi="Arial"/>
      <w:b/>
    </w:rPr>
  </w:style>
  <w:style w:type="paragraph" w:customStyle="1" w:styleId="direction">
    <w:name w:val="direction"/>
    <w:basedOn w:val="BillBasic"/>
    <w:next w:val="AmainreturnSymb"/>
    <w:rsid w:val="00F1531F"/>
    <w:pPr>
      <w:ind w:left="1100"/>
    </w:pPr>
    <w:rPr>
      <w:i/>
    </w:rPr>
  </w:style>
  <w:style w:type="paragraph" w:customStyle="1" w:styleId="Sched-Form">
    <w:name w:val="Sched-Form"/>
    <w:basedOn w:val="BillBasicHeading"/>
    <w:next w:val="Schclauseheading"/>
    <w:rsid w:val="00F1531F"/>
    <w:pPr>
      <w:tabs>
        <w:tab w:val="right" w:pos="7200"/>
      </w:tabs>
      <w:spacing w:before="240"/>
      <w:ind w:left="2600" w:hanging="2600"/>
      <w:outlineLvl w:val="2"/>
    </w:pPr>
    <w:rPr>
      <w:sz w:val="28"/>
    </w:rPr>
  </w:style>
  <w:style w:type="paragraph" w:customStyle="1" w:styleId="Dict-Heading">
    <w:name w:val="Dict-Heading"/>
    <w:basedOn w:val="BillBasicHeading"/>
    <w:next w:val="Normal"/>
    <w:rsid w:val="00F1531F"/>
    <w:pPr>
      <w:spacing w:before="320"/>
      <w:ind w:left="2600" w:hanging="2600"/>
      <w:jc w:val="both"/>
      <w:outlineLvl w:val="0"/>
    </w:pPr>
    <w:rPr>
      <w:sz w:val="34"/>
    </w:rPr>
  </w:style>
  <w:style w:type="paragraph" w:styleId="TOC7">
    <w:name w:val="toc 7"/>
    <w:basedOn w:val="TOC2"/>
    <w:next w:val="Normal"/>
    <w:autoRedefine/>
    <w:uiPriority w:val="39"/>
    <w:rsid w:val="00F1531F"/>
    <w:pPr>
      <w:keepNext w:val="0"/>
      <w:spacing w:before="120"/>
    </w:pPr>
    <w:rPr>
      <w:sz w:val="20"/>
    </w:rPr>
  </w:style>
  <w:style w:type="paragraph" w:styleId="TOC2">
    <w:name w:val="toc 2"/>
    <w:basedOn w:val="Normal"/>
    <w:next w:val="Normal"/>
    <w:autoRedefine/>
    <w:uiPriority w:val="39"/>
    <w:rsid w:val="00F1531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F1531F"/>
    <w:pPr>
      <w:keepNext/>
      <w:tabs>
        <w:tab w:val="left" w:pos="400"/>
      </w:tabs>
      <w:spacing w:before="0"/>
      <w:jc w:val="left"/>
    </w:pPr>
    <w:rPr>
      <w:rFonts w:ascii="Arial" w:hAnsi="Arial"/>
      <w:b/>
      <w:sz w:val="28"/>
    </w:rPr>
  </w:style>
  <w:style w:type="paragraph" w:customStyle="1" w:styleId="EndNote2">
    <w:name w:val="EndNote2"/>
    <w:basedOn w:val="BillBasic"/>
    <w:rsid w:val="0020309E"/>
    <w:pPr>
      <w:keepNext/>
      <w:tabs>
        <w:tab w:val="left" w:pos="240"/>
      </w:tabs>
      <w:spacing w:before="160" w:after="80"/>
      <w:jc w:val="left"/>
    </w:pPr>
    <w:rPr>
      <w:b/>
      <w:sz w:val="18"/>
    </w:rPr>
  </w:style>
  <w:style w:type="paragraph" w:customStyle="1" w:styleId="IH1Chap">
    <w:name w:val="I H1 Chap"/>
    <w:basedOn w:val="BillBasicHeading"/>
    <w:next w:val="Normal"/>
    <w:rsid w:val="00F1531F"/>
    <w:pPr>
      <w:spacing w:before="320"/>
      <w:ind w:left="2600" w:hanging="2600"/>
    </w:pPr>
    <w:rPr>
      <w:sz w:val="34"/>
    </w:rPr>
  </w:style>
  <w:style w:type="paragraph" w:customStyle="1" w:styleId="IH2Part">
    <w:name w:val="I H2 Part"/>
    <w:basedOn w:val="BillBasicHeading"/>
    <w:next w:val="Normal"/>
    <w:rsid w:val="00F1531F"/>
    <w:pPr>
      <w:spacing w:before="380"/>
      <w:ind w:left="2600" w:hanging="2600"/>
    </w:pPr>
    <w:rPr>
      <w:sz w:val="32"/>
    </w:rPr>
  </w:style>
  <w:style w:type="paragraph" w:customStyle="1" w:styleId="IH3Div">
    <w:name w:val="I H3 Div"/>
    <w:basedOn w:val="BillBasicHeading"/>
    <w:next w:val="Normal"/>
    <w:rsid w:val="00F1531F"/>
    <w:pPr>
      <w:spacing w:before="240"/>
      <w:ind w:left="2600" w:hanging="2600"/>
    </w:pPr>
    <w:rPr>
      <w:sz w:val="28"/>
    </w:rPr>
  </w:style>
  <w:style w:type="paragraph" w:customStyle="1" w:styleId="IH5Sec">
    <w:name w:val="I H5 Sec"/>
    <w:basedOn w:val="BillBasicHeading"/>
    <w:next w:val="Normal"/>
    <w:rsid w:val="00F1531F"/>
    <w:pPr>
      <w:tabs>
        <w:tab w:val="clear" w:pos="2600"/>
        <w:tab w:val="left" w:pos="1100"/>
      </w:tabs>
      <w:spacing w:before="240"/>
      <w:ind w:left="1100" w:hanging="1100"/>
    </w:pPr>
  </w:style>
  <w:style w:type="paragraph" w:customStyle="1" w:styleId="IH4SubDiv">
    <w:name w:val="I H4 SubDiv"/>
    <w:basedOn w:val="BillBasicHeading"/>
    <w:next w:val="Normal"/>
    <w:rsid w:val="00F1531F"/>
    <w:pPr>
      <w:spacing w:before="240"/>
      <w:ind w:left="2600" w:hanging="2600"/>
      <w:jc w:val="both"/>
    </w:pPr>
    <w:rPr>
      <w:sz w:val="26"/>
    </w:rPr>
  </w:style>
  <w:style w:type="character" w:styleId="LineNumber">
    <w:name w:val="line number"/>
    <w:basedOn w:val="DefaultParagraphFont"/>
    <w:rsid w:val="00F1531F"/>
    <w:rPr>
      <w:rFonts w:ascii="Arial" w:hAnsi="Arial"/>
      <w:sz w:val="16"/>
    </w:rPr>
  </w:style>
  <w:style w:type="paragraph" w:customStyle="1" w:styleId="PageBreak">
    <w:name w:val="PageBreak"/>
    <w:basedOn w:val="Normal"/>
    <w:rsid w:val="00F1531F"/>
    <w:rPr>
      <w:sz w:val="4"/>
    </w:rPr>
  </w:style>
  <w:style w:type="paragraph" w:customStyle="1" w:styleId="04Dictionary">
    <w:name w:val="04Dictionary"/>
    <w:basedOn w:val="Normal"/>
    <w:rsid w:val="00F1531F"/>
  </w:style>
  <w:style w:type="paragraph" w:customStyle="1" w:styleId="N-line1">
    <w:name w:val="N-line1"/>
    <w:basedOn w:val="BillBasic"/>
    <w:rsid w:val="00F1531F"/>
    <w:pPr>
      <w:pBdr>
        <w:bottom w:val="single" w:sz="4" w:space="0" w:color="auto"/>
      </w:pBdr>
      <w:spacing w:before="100"/>
      <w:ind w:left="2980" w:right="3020"/>
      <w:jc w:val="center"/>
    </w:pPr>
  </w:style>
  <w:style w:type="paragraph" w:customStyle="1" w:styleId="N-line2">
    <w:name w:val="N-line2"/>
    <w:basedOn w:val="Normal"/>
    <w:rsid w:val="00F1531F"/>
    <w:pPr>
      <w:pBdr>
        <w:bottom w:val="single" w:sz="8" w:space="0" w:color="auto"/>
      </w:pBdr>
    </w:pPr>
  </w:style>
  <w:style w:type="paragraph" w:customStyle="1" w:styleId="EndNote">
    <w:name w:val="EndNote"/>
    <w:basedOn w:val="BillBasicHeading"/>
    <w:rsid w:val="00F1531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F1531F"/>
    <w:pPr>
      <w:tabs>
        <w:tab w:val="left" w:pos="700"/>
      </w:tabs>
      <w:spacing w:before="160"/>
      <w:ind w:left="700" w:hanging="700"/>
    </w:pPr>
    <w:rPr>
      <w:rFonts w:ascii="Arial (W1)" w:hAnsi="Arial (W1)"/>
    </w:rPr>
  </w:style>
  <w:style w:type="paragraph" w:customStyle="1" w:styleId="PenaltyHeading">
    <w:name w:val="PenaltyHeading"/>
    <w:basedOn w:val="Normal"/>
    <w:rsid w:val="00F1531F"/>
    <w:pPr>
      <w:tabs>
        <w:tab w:val="left" w:pos="1100"/>
      </w:tabs>
      <w:spacing w:before="120"/>
      <w:ind w:left="1100" w:hanging="1100"/>
    </w:pPr>
    <w:rPr>
      <w:rFonts w:ascii="Arial" w:hAnsi="Arial"/>
      <w:b/>
      <w:sz w:val="20"/>
    </w:rPr>
  </w:style>
  <w:style w:type="paragraph" w:customStyle="1" w:styleId="05EndNote">
    <w:name w:val="05EndNote"/>
    <w:basedOn w:val="Normal"/>
    <w:rsid w:val="00F1531F"/>
  </w:style>
  <w:style w:type="paragraph" w:customStyle="1" w:styleId="03Schedule">
    <w:name w:val="03Schedule"/>
    <w:basedOn w:val="Normal"/>
    <w:rsid w:val="00F1531F"/>
  </w:style>
  <w:style w:type="paragraph" w:customStyle="1" w:styleId="ISched-heading">
    <w:name w:val="I Sched-heading"/>
    <w:basedOn w:val="BillBasicHeading"/>
    <w:next w:val="Normal"/>
    <w:rsid w:val="00F1531F"/>
    <w:pPr>
      <w:spacing w:before="320"/>
      <w:ind w:left="2600" w:hanging="2600"/>
    </w:pPr>
    <w:rPr>
      <w:sz w:val="34"/>
    </w:rPr>
  </w:style>
  <w:style w:type="paragraph" w:customStyle="1" w:styleId="ISched-Part">
    <w:name w:val="I Sched-Part"/>
    <w:basedOn w:val="BillBasicHeading"/>
    <w:rsid w:val="00F1531F"/>
    <w:pPr>
      <w:spacing w:before="380"/>
      <w:ind w:left="2600" w:hanging="2600"/>
    </w:pPr>
    <w:rPr>
      <w:sz w:val="32"/>
    </w:rPr>
  </w:style>
  <w:style w:type="paragraph" w:customStyle="1" w:styleId="ISched-form">
    <w:name w:val="I Sched-form"/>
    <w:basedOn w:val="BillBasicHeading"/>
    <w:rsid w:val="00F1531F"/>
    <w:pPr>
      <w:tabs>
        <w:tab w:val="right" w:pos="7200"/>
      </w:tabs>
      <w:spacing w:before="240"/>
      <w:ind w:left="2600" w:hanging="2600"/>
    </w:pPr>
    <w:rPr>
      <w:sz w:val="28"/>
    </w:rPr>
  </w:style>
  <w:style w:type="paragraph" w:customStyle="1" w:styleId="ISchclauseheading">
    <w:name w:val="I Sch clause heading"/>
    <w:basedOn w:val="BillBasic"/>
    <w:rsid w:val="00F1531F"/>
    <w:pPr>
      <w:keepNext/>
      <w:tabs>
        <w:tab w:val="left" w:pos="1100"/>
      </w:tabs>
      <w:spacing w:before="240"/>
      <w:ind w:left="1100" w:hanging="1100"/>
      <w:jc w:val="left"/>
    </w:pPr>
    <w:rPr>
      <w:rFonts w:ascii="Arial" w:hAnsi="Arial"/>
      <w:b/>
    </w:rPr>
  </w:style>
  <w:style w:type="paragraph" w:customStyle="1" w:styleId="IMain">
    <w:name w:val="I Main"/>
    <w:basedOn w:val="Amain"/>
    <w:rsid w:val="00F1531F"/>
  </w:style>
  <w:style w:type="paragraph" w:customStyle="1" w:styleId="Ipara">
    <w:name w:val="I para"/>
    <w:basedOn w:val="Apara"/>
    <w:rsid w:val="00F1531F"/>
    <w:pPr>
      <w:outlineLvl w:val="9"/>
    </w:pPr>
  </w:style>
  <w:style w:type="paragraph" w:customStyle="1" w:styleId="Isubpara">
    <w:name w:val="I subpara"/>
    <w:basedOn w:val="Asubpara"/>
    <w:rsid w:val="00F1531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1531F"/>
    <w:pPr>
      <w:tabs>
        <w:tab w:val="clear" w:pos="2400"/>
        <w:tab w:val="clear" w:pos="2600"/>
        <w:tab w:val="right" w:pos="2460"/>
        <w:tab w:val="left" w:pos="2660"/>
      </w:tabs>
      <w:ind w:left="2660" w:hanging="2660"/>
    </w:pPr>
  </w:style>
  <w:style w:type="character" w:customStyle="1" w:styleId="CharSectNo">
    <w:name w:val="CharSectNo"/>
    <w:basedOn w:val="DefaultParagraphFont"/>
    <w:rsid w:val="00F1531F"/>
  </w:style>
  <w:style w:type="character" w:customStyle="1" w:styleId="CharDivNo">
    <w:name w:val="CharDivNo"/>
    <w:basedOn w:val="DefaultParagraphFont"/>
    <w:rsid w:val="00F1531F"/>
  </w:style>
  <w:style w:type="character" w:customStyle="1" w:styleId="CharDivText">
    <w:name w:val="CharDivText"/>
    <w:basedOn w:val="DefaultParagraphFont"/>
    <w:rsid w:val="00F1531F"/>
  </w:style>
  <w:style w:type="character" w:customStyle="1" w:styleId="CharPartNo">
    <w:name w:val="CharPartNo"/>
    <w:basedOn w:val="DefaultParagraphFont"/>
    <w:rsid w:val="00F1531F"/>
  </w:style>
  <w:style w:type="paragraph" w:customStyle="1" w:styleId="Placeholder">
    <w:name w:val="Placeholder"/>
    <w:basedOn w:val="Normal"/>
    <w:rsid w:val="00F1531F"/>
    <w:rPr>
      <w:sz w:val="10"/>
    </w:rPr>
  </w:style>
  <w:style w:type="paragraph" w:styleId="PlainText">
    <w:name w:val="Plain Text"/>
    <w:basedOn w:val="Normal"/>
    <w:rsid w:val="00F1531F"/>
    <w:rPr>
      <w:rFonts w:ascii="Courier New" w:hAnsi="Courier New"/>
      <w:sz w:val="20"/>
    </w:rPr>
  </w:style>
  <w:style w:type="character" w:customStyle="1" w:styleId="CharChapNo">
    <w:name w:val="CharChapNo"/>
    <w:basedOn w:val="DefaultParagraphFont"/>
    <w:rsid w:val="00F1531F"/>
  </w:style>
  <w:style w:type="character" w:customStyle="1" w:styleId="CharChapText">
    <w:name w:val="CharChapText"/>
    <w:basedOn w:val="DefaultParagraphFont"/>
    <w:rsid w:val="00F1531F"/>
  </w:style>
  <w:style w:type="character" w:customStyle="1" w:styleId="CharPartText">
    <w:name w:val="CharPartText"/>
    <w:basedOn w:val="DefaultParagraphFont"/>
    <w:rsid w:val="00F1531F"/>
  </w:style>
  <w:style w:type="paragraph" w:styleId="TOC1">
    <w:name w:val="toc 1"/>
    <w:basedOn w:val="Normal"/>
    <w:next w:val="Normal"/>
    <w:autoRedefine/>
    <w:uiPriority w:val="39"/>
    <w:rsid w:val="00F1531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F1531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F1531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1531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80397"/>
    <w:pPr>
      <w:keepNext w:val="0"/>
    </w:pPr>
  </w:style>
  <w:style w:type="paragraph" w:styleId="Title">
    <w:name w:val="Title"/>
    <w:basedOn w:val="Normal"/>
    <w:qFormat/>
    <w:rsid w:val="0020309E"/>
    <w:pPr>
      <w:spacing w:before="240" w:after="60"/>
      <w:jc w:val="center"/>
      <w:outlineLvl w:val="0"/>
    </w:pPr>
    <w:rPr>
      <w:rFonts w:ascii="Arial" w:hAnsi="Arial"/>
      <w:b/>
      <w:kern w:val="28"/>
      <w:sz w:val="32"/>
    </w:rPr>
  </w:style>
  <w:style w:type="paragraph" w:styleId="Signature">
    <w:name w:val="Signature"/>
    <w:basedOn w:val="Normal"/>
    <w:rsid w:val="00F1531F"/>
    <w:pPr>
      <w:ind w:left="4252"/>
    </w:pPr>
  </w:style>
  <w:style w:type="paragraph" w:customStyle="1" w:styleId="ActNo">
    <w:name w:val="ActNo"/>
    <w:basedOn w:val="BillBasicHeading"/>
    <w:rsid w:val="00F1531F"/>
    <w:pPr>
      <w:keepNext w:val="0"/>
      <w:tabs>
        <w:tab w:val="clear" w:pos="2600"/>
      </w:tabs>
      <w:spacing w:before="220"/>
    </w:pPr>
  </w:style>
  <w:style w:type="paragraph" w:customStyle="1" w:styleId="aParaNote">
    <w:name w:val="aParaNote"/>
    <w:basedOn w:val="BillBasic"/>
    <w:rsid w:val="00F1531F"/>
    <w:pPr>
      <w:ind w:left="2840" w:hanging="1240"/>
    </w:pPr>
    <w:rPr>
      <w:sz w:val="20"/>
    </w:rPr>
  </w:style>
  <w:style w:type="paragraph" w:customStyle="1" w:styleId="aExamNum">
    <w:name w:val="aExamNum"/>
    <w:basedOn w:val="aExam"/>
    <w:rsid w:val="00F1531F"/>
    <w:pPr>
      <w:ind w:left="1500" w:hanging="400"/>
    </w:pPr>
  </w:style>
  <w:style w:type="paragraph" w:customStyle="1" w:styleId="LongTitle">
    <w:name w:val="LongTitle"/>
    <w:basedOn w:val="BillBasic"/>
    <w:rsid w:val="00F1531F"/>
    <w:pPr>
      <w:spacing w:before="300"/>
    </w:pPr>
  </w:style>
  <w:style w:type="paragraph" w:customStyle="1" w:styleId="Minister">
    <w:name w:val="Minister"/>
    <w:basedOn w:val="BillBasic"/>
    <w:rsid w:val="00F1531F"/>
    <w:pPr>
      <w:spacing w:before="640"/>
      <w:jc w:val="right"/>
    </w:pPr>
    <w:rPr>
      <w:caps/>
    </w:rPr>
  </w:style>
  <w:style w:type="paragraph" w:customStyle="1" w:styleId="DateLine">
    <w:name w:val="DateLine"/>
    <w:basedOn w:val="BillBasic"/>
    <w:rsid w:val="00F1531F"/>
    <w:pPr>
      <w:tabs>
        <w:tab w:val="left" w:pos="4320"/>
      </w:tabs>
    </w:pPr>
  </w:style>
  <w:style w:type="paragraph" w:customStyle="1" w:styleId="madeunder">
    <w:name w:val="made under"/>
    <w:basedOn w:val="BillBasic"/>
    <w:rsid w:val="00F1531F"/>
    <w:pPr>
      <w:spacing w:before="240"/>
    </w:pPr>
  </w:style>
  <w:style w:type="paragraph" w:customStyle="1" w:styleId="EndNoteSubHeading">
    <w:name w:val="EndNoteSubHeading"/>
    <w:basedOn w:val="Normal"/>
    <w:next w:val="EndNoteText"/>
    <w:rsid w:val="0020309E"/>
    <w:pPr>
      <w:keepNext/>
      <w:tabs>
        <w:tab w:val="left" w:pos="700"/>
      </w:tabs>
      <w:spacing w:before="120"/>
      <w:ind w:left="700" w:hanging="700"/>
    </w:pPr>
    <w:rPr>
      <w:rFonts w:ascii="Arial" w:hAnsi="Arial"/>
      <w:b/>
      <w:sz w:val="20"/>
    </w:rPr>
  </w:style>
  <w:style w:type="paragraph" w:customStyle="1" w:styleId="EndNoteText">
    <w:name w:val="EndNoteText"/>
    <w:basedOn w:val="BillBasic"/>
    <w:rsid w:val="00F1531F"/>
    <w:pPr>
      <w:tabs>
        <w:tab w:val="left" w:pos="700"/>
        <w:tab w:val="right" w:pos="6160"/>
      </w:tabs>
      <w:spacing w:before="80"/>
      <w:ind w:left="700" w:hanging="700"/>
    </w:pPr>
    <w:rPr>
      <w:sz w:val="20"/>
    </w:rPr>
  </w:style>
  <w:style w:type="paragraph" w:customStyle="1" w:styleId="BillBasicItalics">
    <w:name w:val="BillBasicItalics"/>
    <w:basedOn w:val="BillBasic"/>
    <w:rsid w:val="00F1531F"/>
    <w:rPr>
      <w:i/>
    </w:rPr>
  </w:style>
  <w:style w:type="paragraph" w:customStyle="1" w:styleId="00SigningPage">
    <w:name w:val="00SigningPage"/>
    <w:basedOn w:val="Normal"/>
    <w:rsid w:val="00F1531F"/>
  </w:style>
  <w:style w:type="paragraph" w:customStyle="1" w:styleId="Aparareturn">
    <w:name w:val="A para return"/>
    <w:basedOn w:val="BillBasic"/>
    <w:rsid w:val="00F1531F"/>
    <w:pPr>
      <w:ind w:left="1600"/>
    </w:pPr>
  </w:style>
  <w:style w:type="paragraph" w:customStyle="1" w:styleId="Asubparareturn">
    <w:name w:val="A subpara return"/>
    <w:basedOn w:val="BillBasic"/>
    <w:rsid w:val="00F1531F"/>
    <w:pPr>
      <w:ind w:left="2100"/>
    </w:pPr>
  </w:style>
  <w:style w:type="paragraph" w:customStyle="1" w:styleId="CommentNum">
    <w:name w:val="CommentNum"/>
    <w:basedOn w:val="Comment"/>
    <w:rsid w:val="00F1531F"/>
    <w:pPr>
      <w:ind w:left="1800" w:hanging="1800"/>
    </w:pPr>
  </w:style>
  <w:style w:type="paragraph" w:styleId="TOC8">
    <w:name w:val="toc 8"/>
    <w:basedOn w:val="TOC3"/>
    <w:next w:val="Normal"/>
    <w:autoRedefine/>
    <w:uiPriority w:val="39"/>
    <w:rsid w:val="00F1531F"/>
    <w:pPr>
      <w:keepNext w:val="0"/>
      <w:spacing w:before="120"/>
    </w:pPr>
  </w:style>
  <w:style w:type="paragraph" w:customStyle="1" w:styleId="Judges">
    <w:name w:val="Judges"/>
    <w:basedOn w:val="Minister"/>
    <w:rsid w:val="00F1531F"/>
    <w:pPr>
      <w:spacing w:before="180"/>
    </w:pPr>
  </w:style>
  <w:style w:type="paragraph" w:customStyle="1" w:styleId="BillFor">
    <w:name w:val="BillFor"/>
    <w:basedOn w:val="BillBasicHeading"/>
    <w:rsid w:val="00F1531F"/>
    <w:pPr>
      <w:keepNext w:val="0"/>
      <w:spacing w:before="320"/>
      <w:jc w:val="both"/>
    </w:pPr>
    <w:rPr>
      <w:sz w:val="28"/>
    </w:rPr>
  </w:style>
  <w:style w:type="paragraph" w:customStyle="1" w:styleId="draft">
    <w:name w:val="draft"/>
    <w:basedOn w:val="Normal"/>
    <w:rsid w:val="00F1531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F1531F"/>
    <w:pPr>
      <w:spacing w:line="260" w:lineRule="atLeast"/>
      <w:jc w:val="center"/>
    </w:pPr>
  </w:style>
  <w:style w:type="paragraph" w:customStyle="1" w:styleId="Amainbullet">
    <w:name w:val="A main bullet"/>
    <w:basedOn w:val="BillBasic"/>
    <w:rsid w:val="00F1531F"/>
    <w:pPr>
      <w:spacing w:before="60"/>
      <w:ind w:left="1500" w:hanging="400"/>
    </w:pPr>
  </w:style>
  <w:style w:type="paragraph" w:customStyle="1" w:styleId="Aparabullet">
    <w:name w:val="A para bullet"/>
    <w:basedOn w:val="BillBasic"/>
    <w:rsid w:val="00F1531F"/>
    <w:pPr>
      <w:spacing w:before="60"/>
      <w:ind w:left="2000" w:hanging="400"/>
    </w:pPr>
  </w:style>
  <w:style w:type="paragraph" w:customStyle="1" w:styleId="Asubparabullet">
    <w:name w:val="A subpara bullet"/>
    <w:basedOn w:val="BillBasic"/>
    <w:rsid w:val="00F1531F"/>
    <w:pPr>
      <w:spacing w:before="60"/>
      <w:ind w:left="2540" w:hanging="400"/>
    </w:pPr>
  </w:style>
  <w:style w:type="paragraph" w:customStyle="1" w:styleId="aDefpara">
    <w:name w:val="aDef para"/>
    <w:basedOn w:val="Apara"/>
    <w:rsid w:val="00F1531F"/>
  </w:style>
  <w:style w:type="paragraph" w:customStyle="1" w:styleId="aDefsubpara">
    <w:name w:val="aDef subpara"/>
    <w:basedOn w:val="Asubpara"/>
    <w:rsid w:val="00F1531F"/>
  </w:style>
  <w:style w:type="paragraph" w:customStyle="1" w:styleId="Idefpara">
    <w:name w:val="I def para"/>
    <w:basedOn w:val="Ipara"/>
    <w:rsid w:val="00F1531F"/>
  </w:style>
  <w:style w:type="paragraph" w:customStyle="1" w:styleId="Idefsubpara">
    <w:name w:val="I def subpara"/>
    <w:basedOn w:val="Isubpara"/>
    <w:rsid w:val="00F1531F"/>
  </w:style>
  <w:style w:type="paragraph" w:customStyle="1" w:styleId="Notified">
    <w:name w:val="Notified"/>
    <w:basedOn w:val="BillBasic"/>
    <w:rsid w:val="00F1531F"/>
    <w:pPr>
      <w:spacing w:before="360"/>
      <w:jc w:val="right"/>
    </w:pPr>
    <w:rPr>
      <w:i/>
    </w:rPr>
  </w:style>
  <w:style w:type="paragraph" w:customStyle="1" w:styleId="03ScheduleLandscape">
    <w:name w:val="03ScheduleLandscape"/>
    <w:basedOn w:val="Normal"/>
    <w:rsid w:val="00F1531F"/>
  </w:style>
  <w:style w:type="paragraph" w:customStyle="1" w:styleId="IDict-Heading">
    <w:name w:val="I Dict-Heading"/>
    <w:basedOn w:val="BillBasicHeading"/>
    <w:rsid w:val="00F1531F"/>
    <w:pPr>
      <w:spacing w:before="320"/>
      <w:ind w:left="2600" w:hanging="2600"/>
      <w:jc w:val="both"/>
    </w:pPr>
    <w:rPr>
      <w:sz w:val="34"/>
    </w:rPr>
  </w:style>
  <w:style w:type="paragraph" w:customStyle="1" w:styleId="02TextLandscape">
    <w:name w:val="02TextLandscape"/>
    <w:basedOn w:val="Normal"/>
    <w:rsid w:val="00F1531F"/>
  </w:style>
  <w:style w:type="paragraph" w:styleId="Salutation">
    <w:name w:val="Salutation"/>
    <w:basedOn w:val="Normal"/>
    <w:next w:val="Normal"/>
    <w:rsid w:val="0020309E"/>
  </w:style>
  <w:style w:type="paragraph" w:customStyle="1" w:styleId="aNoteBullet">
    <w:name w:val="aNoteBullet"/>
    <w:basedOn w:val="aNoteSymb"/>
    <w:rsid w:val="00F1531F"/>
    <w:pPr>
      <w:tabs>
        <w:tab w:val="left" w:pos="2200"/>
      </w:tabs>
      <w:spacing w:before="60"/>
      <w:ind w:left="2600" w:hanging="700"/>
    </w:pPr>
  </w:style>
  <w:style w:type="paragraph" w:customStyle="1" w:styleId="aParaNoteBullet">
    <w:name w:val="aParaNoteBullet"/>
    <w:basedOn w:val="aParaNote"/>
    <w:rsid w:val="00F1531F"/>
    <w:pPr>
      <w:tabs>
        <w:tab w:val="left" w:pos="2700"/>
      </w:tabs>
      <w:spacing w:before="60"/>
      <w:ind w:left="3100" w:hanging="700"/>
    </w:pPr>
  </w:style>
  <w:style w:type="paragraph" w:customStyle="1" w:styleId="MinisterWord">
    <w:name w:val="MinisterWord"/>
    <w:basedOn w:val="Normal"/>
    <w:rsid w:val="00F1531F"/>
    <w:pPr>
      <w:spacing w:before="60"/>
      <w:jc w:val="right"/>
    </w:pPr>
  </w:style>
  <w:style w:type="paragraph" w:customStyle="1" w:styleId="aExamPara">
    <w:name w:val="aExamPara"/>
    <w:basedOn w:val="aExam"/>
    <w:rsid w:val="00F1531F"/>
    <w:pPr>
      <w:tabs>
        <w:tab w:val="right" w:pos="1720"/>
        <w:tab w:val="left" w:pos="2000"/>
        <w:tab w:val="left" w:pos="2300"/>
      </w:tabs>
      <w:ind w:left="2400" w:hanging="1300"/>
    </w:pPr>
  </w:style>
  <w:style w:type="paragraph" w:customStyle="1" w:styleId="aExamNumText">
    <w:name w:val="aExamNumText"/>
    <w:basedOn w:val="aExam"/>
    <w:rsid w:val="00F1531F"/>
    <w:pPr>
      <w:ind w:left="1500"/>
    </w:pPr>
  </w:style>
  <w:style w:type="paragraph" w:customStyle="1" w:styleId="aExamBullet">
    <w:name w:val="aExamBullet"/>
    <w:basedOn w:val="aExam"/>
    <w:rsid w:val="00F1531F"/>
    <w:pPr>
      <w:tabs>
        <w:tab w:val="left" w:pos="1500"/>
        <w:tab w:val="left" w:pos="2300"/>
      </w:tabs>
      <w:ind w:left="1900" w:hanging="800"/>
    </w:pPr>
  </w:style>
  <w:style w:type="paragraph" w:customStyle="1" w:styleId="aNotePara">
    <w:name w:val="aNotePara"/>
    <w:basedOn w:val="aNote"/>
    <w:rsid w:val="00F1531F"/>
    <w:pPr>
      <w:tabs>
        <w:tab w:val="right" w:pos="2140"/>
        <w:tab w:val="left" w:pos="2400"/>
      </w:tabs>
      <w:spacing w:before="60"/>
      <w:ind w:left="2400" w:hanging="1300"/>
    </w:pPr>
  </w:style>
  <w:style w:type="paragraph" w:customStyle="1" w:styleId="aExplanHeading">
    <w:name w:val="aExplanHeading"/>
    <w:basedOn w:val="BillBasicHeading"/>
    <w:next w:val="Normal"/>
    <w:rsid w:val="00F1531F"/>
    <w:rPr>
      <w:rFonts w:ascii="Arial (W1)" w:hAnsi="Arial (W1)"/>
      <w:sz w:val="18"/>
    </w:rPr>
  </w:style>
  <w:style w:type="paragraph" w:customStyle="1" w:styleId="aExplanText">
    <w:name w:val="aExplanText"/>
    <w:basedOn w:val="BillBasic"/>
    <w:rsid w:val="00F1531F"/>
    <w:rPr>
      <w:sz w:val="20"/>
    </w:rPr>
  </w:style>
  <w:style w:type="paragraph" w:customStyle="1" w:styleId="aParaNotePara">
    <w:name w:val="aParaNotePara"/>
    <w:basedOn w:val="aNoteParaSymb"/>
    <w:rsid w:val="00F1531F"/>
    <w:pPr>
      <w:tabs>
        <w:tab w:val="clear" w:pos="2140"/>
        <w:tab w:val="clear" w:pos="2400"/>
        <w:tab w:val="right" w:pos="2644"/>
      </w:tabs>
      <w:ind w:left="3320" w:hanging="1720"/>
    </w:pPr>
  </w:style>
  <w:style w:type="character" w:customStyle="1" w:styleId="charBold">
    <w:name w:val="charBold"/>
    <w:basedOn w:val="DefaultParagraphFont"/>
    <w:rsid w:val="00F1531F"/>
    <w:rPr>
      <w:b/>
    </w:rPr>
  </w:style>
  <w:style w:type="character" w:customStyle="1" w:styleId="charBoldItals">
    <w:name w:val="charBoldItals"/>
    <w:basedOn w:val="DefaultParagraphFont"/>
    <w:rsid w:val="00F1531F"/>
    <w:rPr>
      <w:b/>
      <w:i/>
    </w:rPr>
  </w:style>
  <w:style w:type="character" w:customStyle="1" w:styleId="charItals">
    <w:name w:val="charItals"/>
    <w:basedOn w:val="DefaultParagraphFont"/>
    <w:rsid w:val="00F1531F"/>
    <w:rPr>
      <w:i/>
    </w:rPr>
  </w:style>
  <w:style w:type="character" w:customStyle="1" w:styleId="charUnderline">
    <w:name w:val="charUnderline"/>
    <w:basedOn w:val="DefaultParagraphFont"/>
    <w:rsid w:val="00F1531F"/>
    <w:rPr>
      <w:u w:val="single"/>
    </w:rPr>
  </w:style>
  <w:style w:type="paragraph" w:customStyle="1" w:styleId="TableHd">
    <w:name w:val="TableHd"/>
    <w:basedOn w:val="Normal"/>
    <w:rsid w:val="00F1531F"/>
    <w:pPr>
      <w:keepNext/>
      <w:spacing w:before="300"/>
      <w:ind w:left="1200" w:hanging="1200"/>
    </w:pPr>
    <w:rPr>
      <w:rFonts w:ascii="Arial" w:hAnsi="Arial"/>
      <w:b/>
      <w:sz w:val="20"/>
    </w:rPr>
  </w:style>
  <w:style w:type="paragraph" w:customStyle="1" w:styleId="TableColHd">
    <w:name w:val="TableColHd"/>
    <w:basedOn w:val="Normal"/>
    <w:rsid w:val="00F1531F"/>
    <w:pPr>
      <w:keepNext/>
      <w:spacing w:after="60"/>
    </w:pPr>
    <w:rPr>
      <w:rFonts w:ascii="Arial" w:hAnsi="Arial"/>
      <w:b/>
      <w:sz w:val="18"/>
    </w:rPr>
  </w:style>
  <w:style w:type="paragraph" w:customStyle="1" w:styleId="PenaltyPara">
    <w:name w:val="PenaltyPara"/>
    <w:basedOn w:val="Normal"/>
    <w:rsid w:val="00F1531F"/>
    <w:pPr>
      <w:tabs>
        <w:tab w:val="right" w:pos="1360"/>
      </w:tabs>
      <w:spacing w:before="60"/>
      <w:ind w:left="1600" w:hanging="1600"/>
      <w:jc w:val="both"/>
    </w:pPr>
  </w:style>
  <w:style w:type="paragraph" w:customStyle="1" w:styleId="tablepara">
    <w:name w:val="table para"/>
    <w:basedOn w:val="Normal"/>
    <w:rsid w:val="00F1531F"/>
    <w:pPr>
      <w:tabs>
        <w:tab w:val="right" w:pos="800"/>
        <w:tab w:val="left" w:pos="1100"/>
      </w:tabs>
      <w:spacing w:before="80" w:after="60"/>
      <w:ind w:left="1100" w:hanging="1100"/>
    </w:pPr>
  </w:style>
  <w:style w:type="paragraph" w:customStyle="1" w:styleId="tablesubpara">
    <w:name w:val="table subpara"/>
    <w:basedOn w:val="Normal"/>
    <w:rsid w:val="00F1531F"/>
    <w:pPr>
      <w:tabs>
        <w:tab w:val="right" w:pos="1500"/>
        <w:tab w:val="left" w:pos="1800"/>
      </w:tabs>
      <w:spacing w:before="80" w:after="60"/>
      <w:ind w:left="1800" w:hanging="1800"/>
    </w:pPr>
  </w:style>
  <w:style w:type="paragraph" w:customStyle="1" w:styleId="TableText">
    <w:name w:val="TableText"/>
    <w:basedOn w:val="Normal"/>
    <w:rsid w:val="00F1531F"/>
    <w:pPr>
      <w:spacing w:before="60" w:after="60"/>
    </w:pPr>
  </w:style>
  <w:style w:type="character" w:styleId="PageNumber">
    <w:name w:val="page number"/>
    <w:basedOn w:val="DefaultParagraphFont"/>
    <w:rsid w:val="00F1531F"/>
  </w:style>
  <w:style w:type="paragraph" w:styleId="TOC9">
    <w:name w:val="toc 9"/>
    <w:basedOn w:val="Normal"/>
    <w:next w:val="Normal"/>
    <w:autoRedefine/>
    <w:uiPriority w:val="39"/>
    <w:rsid w:val="00F1531F"/>
    <w:pPr>
      <w:ind w:left="1920" w:right="600"/>
    </w:pPr>
  </w:style>
  <w:style w:type="character" w:styleId="Hyperlink">
    <w:name w:val="Hyperlink"/>
    <w:basedOn w:val="DefaultParagraphFont"/>
    <w:uiPriority w:val="99"/>
    <w:unhideWhenUsed/>
    <w:rsid w:val="00F1531F"/>
    <w:rPr>
      <w:color w:val="0000FF" w:themeColor="hyperlink"/>
      <w:u w:val="single"/>
    </w:rPr>
  </w:style>
  <w:style w:type="paragraph" w:customStyle="1" w:styleId="Status">
    <w:name w:val="Status"/>
    <w:basedOn w:val="Normal"/>
    <w:rsid w:val="00F1531F"/>
    <w:pPr>
      <w:spacing w:before="280"/>
      <w:jc w:val="center"/>
    </w:pPr>
    <w:rPr>
      <w:rFonts w:ascii="Arial" w:hAnsi="Arial"/>
      <w:sz w:val="14"/>
    </w:rPr>
  </w:style>
  <w:style w:type="paragraph" w:customStyle="1" w:styleId="Sched-Form-18Space">
    <w:name w:val="Sched-Form-18Space"/>
    <w:basedOn w:val="Normal"/>
    <w:rsid w:val="00F1531F"/>
    <w:pPr>
      <w:spacing w:before="360" w:after="60"/>
    </w:pPr>
    <w:rPr>
      <w:sz w:val="22"/>
    </w:rPr>
  </w:style>
  <w:style w:type="paragraph" w:customStyle="1" w:styleId="AH1ChapterSymb">
    <w:name w:val="A H1 Chapter Symb"/>
    <w:basedOn w:val="AH1Chapter"/>
    <w:next w:val="AH2Part"/>
    <w:rsid w:val="00F1531F"/>
    <w:pPr>
      <w:tabs>
        <w:tab w:val="clear" w:pos="2600"/>
        <w:tab w:val="left" w:pos="0"/>
      </w:tabs>
      <w:ind w:left="2480" w:hanging="2960"/>
    </w:pPr>
  </w:style>
  <w:style w:type="paragraph" w:customStyle="1" w:styleId="EndnotesAbbrev">
    <w:name w:val="EndnotesAbbrev"/>
    <w:basedOn w:val="Normal"/>
    <w:rsid w:val="00F1531F"/>
    <w:pPr>
      <w:spacing w:before="20"/>
    </w:pPr>
    <w:rPr>
      <w:rFonts w:ascii="Arial" w:hAnsi="Arial"/>
      <w:color w:val="000000"/>
      <w:sz w:val="16"/>
    </w:rPr>
  </w:style>
  <w:style w:type="paragraph" w:customStyle="1" w:styleId="RepubNo">
    <w:name w:val="RepubNo"/>
    <w:basedOn w:val="BillBasicHeading"/>
    <w:rsid w:val="00F1531F"/>
    <w:pPr>
      <w:keepNext w:val="0"/>
      <w:spacing w:before="600"/>
      <w:jc w:val="both"/>
    </w:pPr>
    <w:rPr>
      <w:sz w:val="26"/>
    </w:rPr>
  </w:style>
  <w:style w:type="paragraph" w:customStyle="1" w:styleId="NewAct">
    <w:name w:val="New Act"/>
    <w:basedOn w:val="Normal"/>
    <w:next w:val="Actdetails"/>
    <w:rsid w:val="00F1531F"/>
    <w:pPr>
      <w:keepNext/>
      <w:spacing w:before="180"/>
      <w:ind w:left="1100"/>
    </w:pPr>
    <w:rPr>
      <w:rFonts w:ascii="Arial" w:hAnsi="Arial"/>
      <w:b/>
      <w:sz w:val="20"/>
    </w:rPr>
  </w:style>
  <w:style w:type="paragraph" w:customStyle="1" w:styleId="CoverInForce">
    <w:name w:val="CoverInForce"/>
    <w:basedOn w:val="BillBasicHeading"/>
    <w:rsid w:val="00F1531F"/>
    <w:pPr>
      <w:keepNext w:val="0"/>
      <w:spacing w:before="400"/>
    </w:pPr>
    <w:rPr>
      <w:b w:val="0"/>
    </w:rPr>
  </w:style>
  <w:style w:type="paragraph" w:styleId="Subtitle">
    <w:name w:val="Subtitle"/>
    <w:basedOn w:val="Normal"/>
    <w:qFormat/>
    <w:rsid w:val="00F1531F"/>
    <w:pPr>
      <w:spacing w:after="60"/>
      <w:jc w:val="center"/>
      <w:outlineLvl w:val="1"/>
    </w:pPr>
    <w:rPr>
      <w:rFonts w:ascii="Arial" w:hAnsi="Arial"/>
    </w:rPr>
  </w:style>
  <w:style w:type="paragraph" w:customStyle="1" w:styleId="CoverActName">
    <w:name w:val="CoverActName"/>
    <w:basedOn w:val="BillBasicHeading"/>
    <w:rsid w:val="00F1531F"/>
    <w:pPr>
      <w:keepNext w:val="0"/>
      <w:spacing w:before="260"/>
    </w:pPr>
  </w:style>
  <w:style w:type="paragraph" w:customStyle="1" w:styleId="FormRule">
    <w:name w:val="FormRule"/>
    <w:basedOn w:val="Normal"/>
    <w:rsid w:val="00F1531F"/>
    <w:pPr>
      <w:pBdr>
        <w:top w:val="single" w:sz="4" w:space="1" w:color="auto"/>
      </w:pBdr>
      <w:spacing w:before="160" w:after="40"/>
      <w:ind w:left="3220" w:right="3260"/>
    </w:pPr>
    <w:rPr>
      <w:sz w:val="8"/>
    </w:rPr>
  </w:style>
  <w:style w:type="paragraph" w:customStyle="1" w:styleId="SchSubClause">
    <w:name w:val="Sch SubClause"/>
    <w:basedOn w:val="Schclauseheading"/>
    <w:rsid w:val="00F1531F"/>
    <w:rPr>
      <w:b w:val="0"/>
    </w:rPr>
  </w:style>
  <w:style w:type="paragraph" w:customStyle="1" w:styleId="Endnote20">
    <w:name w:val="Endnote2"/>
    <w:basedOn w:val="Normal"/>
    <w:rsid w:val="00F1531F"/>
    <w:pPr>
      <w:keepNext/>
      <w:tabs>
        <w:tab w:val="left" w:pos="1100"/>
      </w:tabs>
      <w:spacing w:before="360"/>
    </w:pPr>
    <w:rPr>
      <w:rFonts w:ascii="Arial" w:hAnsi="Arial"/>
      <w:b/>
    </w:rPr>
  </w:style>
  <w:style w:type="paragraph" w:customStyle="1" w:styleId="Actdetails">
    <w:name w:val="Act details"/>
    <w:basedOn w:val="Normal"/>
    <w:rsid w:val="00F1531F"/>
    <w:pPr>
      <w:spacing w:before="20"/>
      <w:ind w:left="1400"/>
    </w:pPr>
    <w:rPr>
      <w:rFonts w:ascii="Arial" w:hAnsi="Arial"/>
      <w:sz w:val="20"/>
    </w:rPr>
  </w:style>
  <w:style w:type="paragraph" w:customStyle="1" w:styleId="Asamby">
    <w:name w:val="As am by"/>
    <w:basedOn w:val="Normal"/>
    <w:next w:val="Normal"/>
    <w:rsid w:val="00F1531F"/>
    <w:pPr>
      <w:spacing w:before="240"/>
      <w:ind w:left="1100"/>
    </w:pPr>
    <w:rPr>
      <w:rFonts w:ascii="Arial" w:hAnsi="Arial"/>
      <w:sz w:val="20"/>
    </w:rPr>
  </w:style>
  <w:style w:type="paragraph" w:customStyle="1" w:styleId="AmdtsEntries">
    <w:name w:val="AmdtsEntries"/>
    <w:basedOn w:val="BillBasicHeading"/>
    <w:rsid w:val="00F1531F"/>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F1531F"/>
    <w:pPr>
      <w:tabs>
        <w:tab w:val="clear" w:pos="2600"/>
        <w:tab w:val="left" w:pos="0"/>
      </w:tabs>
      <w:ind w:left="2480" w:hanging="2960"/>
    </w:pPr>
  </w:style>
  <w:style w:type="paragraph" w:customStyle="1" w:styleId="AmdtsEntryHd">
    <w:name w:val="AmdtsEntryHd"/>
    <w:basedOn w:val="BillBasicHeading"/>
    <w:next w:val="AmdtsEntries"/>
    <w:rsid w:val="00F1531F"/>
    <w:pPr>
      <w:tabs>
        <w:tab w:val="clear" w:pos="2600"/>
      </w:tabs>
      <w:spacing w:before="120"/>
      <w:ind w:left="1100"/>
    </w:pPr>
    <w:rPr>
      <w:sz w:val="18"/>
    </w:rPr>
  </w:style>
  <w:style w:type="paragraph" w:customStyle="1" w:styleId="EndNoteParas">
    <w:name w:val="EndNoteParas"/>
    <w:basedOn w:val="EndNoteTextEPS"/>
    <w:rsid w:val="00F1531F"/>
    <w:pPr>
      <w:tabs>
        <w:tab w:val="right" w:pos="1432"/>
      </w:tabs>
      <w:ind w:left="1840" w:hanging="1840"/>
    </w:pPr>
  </w:style>
  <w:style w:type="paragraph" w:customStyle="1" w:styleId="NewReg">
    <w:name w:val="New Reg"/>
    <w:basedOn w:val="NewAct"/>
    <w:next w:val="Actdetails"/>
    <w:rsid w:val="00F1531F"/>
  </w:style>
  <w:style w:type="paragraph" w:customStyle="1" w:styleId="Endnote3">
    <w:name w:val="Endnote3"/>
    <w:basedOn w:val="Normal"/>
    <w:rsid w:val="00F1531F"/>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F1531F"/>
  </w:style>
  <w:style w:type="character" w:customStyle="1" w:styleId="charTableText">
    <w:name w:val="charTableText"/>
    <w:basedOn w:val="DefaultParagraphFont"/>
    <w:rsid w:val="00F1531F"/>
  </w:style>
  <w:style w:type="paragraph" w:customStyle="1" w:styleId="EndNoteTextEPS">
    <w:name w:val="EndNoteTextEPS"/>
    <w:basedOn w:val="Normal"/>
    <w:rsid w:val="00F1531F"/>
    <w:pPr>
      <w:spacing w:before="60"/>
      <w:ind w:left="1100"/>
      <w:jc w:val="both"/>
    </w:pPr>
    <w:rPr>
      <w:sz w:val="20"/>
    </w:rPr>
  </w:style>
  <w:style w:type="paragraph" w:customStyle="1" w:styleId="TLegEntries">
    <w:name w:val="TLegEntries"/>
    <w:basedOn w:val="Normal"/>
    <w:rsid w:val="00F1531F"/>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F1531F"/>
    <w:pPr>
      <w:tabs>
        <w:tab w:val="clear" w:pos="2600"/>
        <w:tab w:val="left" w:leader="dot" w:pos="2700"/>
      </w:tabs>
      <w:ind w:left="2700" w:hanging="2000"/>
    </w:pPr>
    <w:rPr>
      <w:sz w:val="18"/>
    </w:rPr>
  </w:style>
  <w:style w:type="paragraph" w:customStyle="1" w:styleId="CoverText">
    <w:name w:val="CoverText"/>
    <w:basedOn w:val="Normal"/>
    <w:uiPriority w:val="99"/>
    <w:rsid w:val="00F1531F"/>
    <w:pPr>
      <w:spacing w:before="100"/>
      <w:jc w:val="both"/>
    </w:pPr>
    <w:rPr>
      <w:sz w:val="20"/>
    </w:rPr>
  </w:style>
  <w:style w:type="paragraph" w:customStyle="1" w:styleId="CoverHeading">
    <w:name w:val="CoverHeading"/>
    <w:basedOn w:val="Normal"/>
    <w:rsid w:val="00F1531F"/>
    <w:rPr>
      <w:rFonts w:ascii="Arial" w:hAnsi="Arial"/>
      <w:b/>
    </w:rPr>
  </w:style>
  <w:style w:type="paragraph" w:customStyle="1" w:styleId="OldAmdt2ndLine">
    <w:name w:val="OldAmdt2ndLine"/>
    <w:basedOn w:val="OldAmdtsEntries"/>
    <w:rsid w:val="00F1531F"/>
    <w:pPr>
      <w:tabs>
        <w:tab w:val="left" w:pos="2700"/>
      </w:tabs>
      <w:spacing w:before="0"/>
    </w:pPr>
  </w:style>
  <w:style w:type="paragraph" w:customStyle="1" w:styleId="EarlierRepubEntries">
    <w:name w:val="EarlierRepubEntries"/>
    <w:basedOn w:val="Normal"/>
    <w:rsid w:val="00F1531F"/>
    <w:pPr>
      <w:spacing w:before="60" w:after="60"/>
    </w:pPr>
    <w:rPr>
      <w:rFonts w:ascii="Arial" w:hAnsi="Arial"/>
      <w:sz w:val="18"/>
    </w:rPr>
  </w:style>
  <w:style w:type="paragraph" w:customStyle="1" w:styleId="RenumProvEntries">
    <w:name w:val="RenumProvEntries"/>
    <w:basedOn w:val="Normal"/>
    <w:rsid w:val="00F1531F"/>
    <w:pPr>
      <w:spacing w:before="60"/>
    </w:pPr>
    <w:rPr>
      <w:rFonts w:ascii="Arial" w:hAnsi="Arial"/>
      <w:sz w:val="20"/>
    </w:rPr>
  </w:style>
  <w:style w:type="paragraph" w:customStyle="1" w:styleId="CoverSubHdg">
    <w:name w:val="CoverSubHdg"/>
    <w:basedOn w:val="CoverHeading"/>
    <w:rsid w:val="00F1531F"/>
    <w:pPr>
      <w:spacing w:before="120"/>
    </w:pPr>
    <w:rPr>
      <w:sz w:val="20"/>
    </w:rPr>
  </w:style>
  <w:style w:type="paragraph" w:customStyle="1" w:styleId="CoverTextPara">
    <w:name w:val="CoverTextPara"/>
    <w:basedOn w:val="CoverText"/>
    <w:rsid w:val="00F1531F"/>
    <w:pPr>
      <w:tabs>
        <w:tab w:val="right" w:pos="600"/>
        <w:tab w:val="left" w:pos="840"/>
      </w:tabs>
      <w:ind w:left="840" w:hanging="840"/>
    </w:pPr>
  </w:style>
  <w:style w:type="paragraph" w:customStyle="1" w:styleId="AH5SecSymb">
    <w:name w:val="A H5 Sec Symb"/>
    <w:basedOn w:val="AH5Sec"/>
    <w:next w:val="Amain"/>
    <w:rsid w:val="00F1531F"/>
    <w:pPr>
      <w:tabs>
        <w:tab w:val="clear" w:pos="1100"/>
        <w:tab w:val="left" w:pos="0"/>
      </w:tabs>
      <w:ind w:hanging="1580"/>
    </w:pPr>
  </w:style>
  <w:style w:type="character" w:customStyle="1" w:styleId="charSymb">
    <w:name w:val="charSymb"/>
    <w:basedOn w:val="DefaultParagraphFont"/>
    <w:rsid w:val="00F1531F"/>
    <w:rPr>
      <w:rFonts w:ascii="Arial" w:hAnsi="Arial"/>
      <w:sz w:val="24"/>
      <w:bdr w:val="single" w:sz="4" w:space="0" w:color="auto"/>
    </w:rPr>
  </w:style>
  <w:style w:type="paragraph" w:customStyle="1" w:styleId="AH3DivSymb">
    <w:name w:val="A H3 Div Symb"/>
    <w:basedOn w:val="AH3Div"/>
    <w:next w:val="AH5Sec"/>
    <w:rsid w:val="00F1531F"/>
    <w:pPr>
      <w:tabs>
        <w:tab w:val="clear" w:pos="2600"/>
        <w:tab w:val="left" w:pos="0"/>
      </w:tabs>
      <w:ind w:left="2480" w:hanging="2960"/>
    </w:pPr>
  </w:style>
  <w:style w:type="paragraph" w:customStyle="1" w:styleId="AH4SubDivSymb">
    <w:name w:val="A H4 SubDiv Symb"/>
    <w:basedOn w:val="AH4SubDiv"/>
    <w:next w:val="AH5Sec"/>
    <w:rsid w:val="00F1531F"/>
    <w:pPr>
      <w:tabs>
        <w:tab w:val="clear" w:pos="2600"/>
        <w:tab w:val="left" w:pos="0"/>
      </w:tabs>
      <w:ind w:left="2480" w:hanging="2960"/>
    </w:pPr>
  </w:style>
  <w:style w:type="paragraph" w:customStyle="1" w:styleId="Dict-HeadingSymb">
    <w:name w:val="Dict-Heading Symb"/>
    <w:basedOn w:val="Dict-Heading"/>
    <w:rsid w:val="00F1531F"/>
    <w:pPr>
      <w:tabs>
        <w:tab w:val="left" w:pos="0"/>
      </w:tabs>
      <w:ind w:left="2480" w:hanging="2960"/>
    </w:pPr>
  </w:style>
  <w:style w:type="paragraph" w:customStyle="1" w:styleId="Sched-headingSymb">
    <w:name w:val="Sched-heading Symb"/>
    <w:basedOn w:val="Sched-heading"/>
    <w:rsid w:val="00F1531F"/>
    <w:pPr>
      <w:tabs>
        <w:tab w:val="left" w:pos="0"/>
      </w:tabs>
      <w:ind w:left="2480" w:hanging="2960"/>
    </w:pPr>
  </w:style>
  <w:style w:type="paragraph" w:customStyle="1" w:styleId="Sched-PartSymb">
    <w:name w:val="Sched-Part Symb"/>
    <w:basedOn w:val="Sched-Part"/>
    <w:rsid w:val="00F1531F"/>
    <w:pPr>
      <w:tabs>
        <w:tab w:val="left" w:pos="0"/>
      </w:tabs>
      <w:ind w:left="2480" w:hanging="2960"/>
    </w:pPr>
  </w:style>
  <w:style w:type="paragraph" w:customStyle="1" w:styleId="Sched-FormSymb">
    <w:name w:val="Sched-Form Symb"/>
    <w:basedOn w:val="Sched-Form"/>
    <w:rsid w:val="00F1531F"/>
    <w:pPr>
      <w:tabs>
        <w:tab w:val="left" w:pos="0"/>
      </w:tabs>
      <w:ind w:left="2480" w:hanging="2960"/>
    </w:pPr>
  </w:style>
  <w:style w:type="paragraph" w:customStyle="1" w:styleId="SchclauseheadingSymb">
    <w:name w:val="Sch clause heading Symb"/>
    <w:basedOn w:val="Schclauseheading"/>
    <w:rsid w:val="00F1531F"/>
    <w:pPr>
      <w:tabs>
        <w:tab w:val="left" w:pos="0"/>
      </w:tabs>
      <w:ind w:left="980" w:hanging="1460"/>
    </w:pPr>
  </w:style>
  <w:style w:type="paragraph" w:customStyle="1" w:styleId="TLegAsAmBy">
    <w:name w:val="TLegAsAmBy"/>
    <w:basedOn w:val="TLegEntries"/>
    <w:rsid w:val="00F1531F"/>
    <w:pPr>
      <w:ind w:firstLine="0"/>
    </w:pPr>
    <w:rPr>
      <w:b/>
    </w:rPr>
  </w:style>
  <w:style w:type="paragraph" w:customStyle="1" w:styleId="00Spine">
    <w:name w:val="00Spine"/>
    <w:basedOn w:val="Normal"/>
    <w:rsid w:val="00F1531F"/>
  </w:style>
  <w:style w:type="paragraph" w:customStyle="1" w:styleId="AuthorisedBlock">
    <w:name w:val="AuthorisedBlock"/>
    <w:basedOn w:val="Normal"/>
    <w:rsid w:val="00F1531F"/>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F1531F"/>
    <w:pPr>
      <w:tabs>
        <w:tab w:val="left" w:pos="3000"/>
      </w:tabs>
      <w:ind w:left="3100" w:hanging="2000"/>
    </w:pPr>
    <w:rPr>
      <w:rFonts w:ascii="Arial" w:hAnsi="Arial"/>
      <w:sz w:val="18"/>
    </w:rPr>
  </w:style>
  <w:style w:type="paragraph" w:customStyle="1" w:styleId="06Copyright">
    <w:name w:val="06Copyright"/>
    <w:basedOn w:val="Normal"/>
    <w:rsid w:val="00F1531F"/>
  </w:style>
  <w:style w:type="paragraph" w:customStyle="1" w:styleId="AFHdg">
    <w:name w:val="AFHdg"/>
    <w:basedOn w:val="BillBasicHeading"/>
    <w:rsid w:val="00F1531F"/>
    <w:rPr>
      <w:b w:val="0"/>
      <w:sz w:val="32"/>
    </w:rPr>
  </w:style>
  <w:style w:type="paragraph" w:customStyle="1" w:styleId="LegHistNote">
    <w:name w:val="LegHistNote"/>
    <w:basedOn w:val="Actdetails"/>
    <w:rsid w:val="00F1531F"/>
    <w:pPr>
      <w:spacing w:before="60"/>
      <w:ind w:left="2700" w:right="-60" w:hanging="1300"/>
    </w:pPr>
    <w:rPr>
      <w:sz w:val="18"/>
    </w:rPr>
  </w:style>
  <w:style w:type="paragraph" w:customStyle="1" w:styleId="MH1Chapter">
    <w:name w:val="M H1 Chapter"/>
    <w:basedOn w:val="AH1Chapter"/>
    <w:rsid w:val="00F1531F"/>
    <w:pPr>
      <w:tabs>
        <w:tab w:val="clear" w:pos="2600"/>
        <w:tab w:val="left" w:pos="2720"/>
      </w:tabs>
      <w:ind w:left="4000" w:hanging="3300"/>
    </w:pPr>
  </w:style>
  <w:style w:type="paragraph" w:customStyle="1" w:styleId="ModH1Chapter">
    <w:name w:val="Mod H1 Chapter"/>
    <w:basedOn w:val="IH1ChapSymb"/>
    <w:rsid w:val="00F1531F"/>
    <w:pPr>
      <w:tabs>
        <w:tab w:val="clear" w:pos="2600"/>
        <w:tab w:val="left" w:pos="3300"/>
      </w:tabs>
      <w:ind w:left="3300"/>
    </w:pPr>
  </w:style>
  <w:style w:type="paragraph" w:customStyle="1" w:styleId="ModH2Part">
    <w:name w:val="Mod H2 Part"/>
    <w:basedOn w:val="IH2PartSymb"/>
    <w:rsid w:val="00F1531F"/>
    <w:pPr>
      <w:tabs>
        <w:tab w:val="clear" w:pos="2600"/>
        <w:tab w:val="left" w:pos="3300"/>
      </w:tabs>
      <w:ind w:left="3300"/>
    </w:pPr>
  </w:style>
  <w:style w:type="paragraph" w:customStyle="1" w:styleId="ModH3Div">
    <w:name w:val="Mod H3 Div"/>
    <w:basedOn w:val="IH3DivSymb"/>
    <w:rsid w:val="00F1531F"/>
    <w:pPr>
      <w:tabs>
        <w:tab w:val="clear" w:pos="2600"/>
        <w:tab w:val="left" w:pos="3300"/>
      </w:tabs>
      <w:ind w:left="3300"/>
    </w:pPr>
  </w:style>
  <w:style w:type="paragraph" w:customStyle="1" w:styleId="ModH4SubDiv">
    <w:name w:val="Mod H4 SubDiv"/>
    <w:basedOn w:val="IH4SubDivSymb"/>
    <w:rsid w:val="00F1531F"/>
    <w:pPr>
      <w:tabs>
        <w:tab w:val="clear" w:pos="2600"/>
        <w:tab w:val="left" w:pos="3300"/>
      </w:tabs>
      <w:ind w:left="3300"/>
    </w:pPr>
  </w:style>
  <w:style w:type="paragraph" w:customStyle="1" w:styleId="ModH5Sec">
    <w:name w:val="Mod H5 Sec"/>
    <w:basedOn w:val="IH5SecSymb"/>
    <w:rsid w:val="00F1531F"/>
    <w:pPr>
      <w:tabs>
        <w:tab w:val="clear" w:pos="1100"/>
        <w:tab w:val="left" w:pos="1800"/>
      </w:tabs>
      <w:ind w:left="2200"/>
    </w:pPr>
  </w:style>
  <w:style w:type="paragraph" w:customStyle="1" w:styleId="Modmain">
    <w:name w:val="Mod main"/>
    <w:basedOn w:val="Amain"/>
    <w:rsid w:val="00F1531F"/>
    <w:pPr>
      <w:tabs>
        <w:tab w:val="clear" w:pos="900"/>
        <w:tab w:val="clear" w:pos="1100"/>
        <w:tab w:val="right" w:pos="1600"/>
        <w:tab w:val="left" w:pos="1800"/>
      </w:tabs>
      <w:ind w:left="2200"/>
    </w:pPr>
  </w:style>
  <w:style w:type="paragraph" w:customStyle="1" w:styleId="Modpara">
    <w:name w:val="Mod para"/>
    <w:basedOn w:val="BillBasic"/>
    <w:rsid w:val="00F1531F"/>
    <w:pPr>
      <w:tabs>
        <w:tab w:val="right" w:pos="2100"/>
        <w:tab w:val="left" w:pos="2300"/>
      </w:tabs>
      <w:ind w:left="2700" w:hanging="1600"/>
      <w:outlineLvl w:val="6"/>
    </w:pPr>
  </w:style>
  <w:style w:type="paragraph" w:customStyle="1" w:styleId="Modsubpara">
    <w:name w:val="Mod subpara"/>
    <w:basedOn w:val="Asubpara"/>
    <w:rsid w:val="00F1531F"/>
    <w:pPr>
      <w:tabs>
        <w:tab w:val="clear" w:pos="1900"/>
        <w:tab w:val="clear" w:pos="2100"/>
        <w:tab w:val="right" w:pos="2640"/>
        <w:tab w:val="left" w:pos="2840"/>
      </w:tabs>
      <w:ind w:left="3240" w:hanging="2140"/>
    </w:pPr>
  </w:style>
  <w:style w:type="paragraph" w:customStyle="1" w:styleId="Modsubsubpara">
    <w:name w:val="Mod subsubpara"/>
    <w:basedOn w:val="AsubsubparaSymb"/>
    <w:rsid w:val="00F1531F"/>
    <w:pPr>
      <w:tabs>
        <w:tab w:val="clear" w:pos="2400"/>
        <w:tab w:val="clear" w:pos="2600"/>
        <w:tab w:val="right" w:pos="3160"/>
        <w:tab w:val="left" w:pos="3360"/>
      </w:tabs>
      <w:ind w:left="3760" w:hanging="2660"/>
    </w:pPr>
  </w:style>
  <w:style w:type="paragraph" w:customStyle="1" w:styleId="Modmainreturn">
    <w:name w:val="Mod main return"/>
    <w:basedOn w:val="AmainreturnSymb"/>
    <w:rsid w:val="00F1531F"/>
    <w:pPr>
      <w:ind w:left="1800"/>
    </w:pPr>
  </w:style>
  <w:style w:type="paragraph" w:customStyle="1" w:styleId="Modparareturn">
    <w:name w:val="Mod para return"/>
    <w:basedOn w:val="AparareturnSymb"/>
    <w:rsid w:val="00F1531F"/>
    <w:pPr>
      <w:ind w:left="2300"/>
    </w:pPr>
  </w:style>
  <w:style w:type="paragraph" w:customStyle="1" w:styleId="Modsubparareturn">
    <w:name w:val="Mod subpara return"/>
    <w:basedOn w:val="AsubparareturnSymb"/>
    <w:rsid w:val="00F1531F"/>
    <w:pPr>
      <w:ind w:left="3040"/>
    </w:pPr>
  </w:style>
  <w:style w:type="paragraph" w:customStyle="1" w:styleId="Modref">
    <w:name w:val="Mod ref"/>
    <w:basedOn w:val="refSymb"/>
    <w:rsid w:val="00F1531F"/>
    <w:pPr>
      <w:ind w:left="1100"/>
    </w:pPr>
  </w:style>
  <w:style w:type="paragraph" w:customStyle="1" w:styleId="ModaNote">
    <w:name w:val="Mod aNote"/>
    <w:basedOn w:val="aNoteSymb"/>
    <w:rsid w:val="00F1531F"/>
    <w:pPr>
      <w:tabs>
        <w:tab w:val="left" w:pos="2600"/>
      </w:tabs>
      <w:ind w:left="2600"/>
    </w:pPr>
  </w:style>
  <w:style w:type="paragraph" w:customStyle="1" w:styleId="ModNote">
    <w:name w:val="Mod Note"/>
    <w:basedOn w:val="aNoteSymb"/>
    <w:rsid w:val="00F1531F"/>
    <w:pPr>
      <w:tabs>
        <w:tab w:val="left" w:pos="2600"/>
      </w:tabs>
      <w:ind w:left="2600"/>
    </w:pPr>
  </w:style>
  <w:style w:type="paragraph" w:customStyle="1" w:styleId="ApprFormHd">
    <w:name w:val="ApprFormHd"/>
    <w:basedOn w:val="Sched-heading"/>
    <w:rsid w:val="00F1531F"/>
    <w:pPr>
      <w:ind w:left="0" w:firstLine="0"/>
    </w:pPr>
  </w:style>
  <w:style w:type="paragraph" w:customStyle="1" w:styleId="EarlierRepubHdg">
    <w:name w:val="EarlierRepubHdg"/>
    <w:basedOn w:val="Normal"/>
    <w:rsid w:val="00F1531F"/>
    <w:pPr>
      <w:keepNext/>
    </w:pPr>
    <w:rPr>
      <w:rFonts w:ascii="Arial" w:hAnsi="Arial"/>
      <w:b/>
      <w:sz w:val="20"/>
    </w:rPr>
  </w:style>
  <w:style w:type="paragraph" w:customStyle="1" w:styleId="RenumProvHdg">
    <w:name w:val="RenumProvHdg"/>
    <w:basedOn w:val="Normal"/>
    <w:rsid w:val="00F1531F"/>
    <w:rPr>
      <w:rFonts w:ascii="Arial" w:hAnsi="Arial"/>
      <w:b/>
      <w:sz w:val="22"/>
    </w:rPr>
  </w:style>
  <w:style w:type="paragraph" w:customStyle="1" w:styleId="RenumProvHeader">
    <w:name w:val="RenumProvHeader"/>
    <w:basedOn w:val="Normal"/>
    <w:rsid w:val="00F1531F"/>
    <w:rPr>
      <w:rFonts w:ascii="Arial" w:hAnsi="Arial"/>
      <w:b/>
      <w:sz w:val="22"/>
    </w:rPr>
  </w:style>
  <w:style w:type="paragraph" w:customStyle="1" w:styleId="RenumTableHdg">
    <w:name w:val="RenumTableHdg"/>
    <w:basedOn w:val="Normal"/>
    <w:rsid w:val="00F1531F"/>
    <w:pPr>
      <w:spacing w:before="120"/>
    </w:pPr>
    <w:rPr>
      <w:rFonts w:ascii="Arial" w:hAnsi="Arial"/>
      <w:b/>
      <w:sz w:val="20"/>
    </w:rPr>
  </w:style>
  <w:style w:type="paragraph" w:customStyle="1" w:styleId="EPSCoverTop">
    <w:name w:val="EPSCoverTop"/>
    <w:basedOn w:val="Normal"/>
    <w:rsid w:val="00F1531F"/>
    <w:pPr>
      <w:jc w:val="right"/>
    </w:pPr>
    <w:rPr>
      <w:rFonts w:ascii="Arial" w:hAnsi="Arial"/>
      <w:sz w:val="20"/>
    </w:rPr>
  </w:style>
  <w:style w:type="paragraph" w:customStyle="1" w:styleId="AmainSymb">
    <w:name w:val="A main Symb"/>
    <w:basedOn w:val="Amain"/>
    <w:rsid w:val="00F1531F"/>
    <w:pPr>
      <w:tabs>
        <w:tab w:val="left" w:pos="0"/>
      </w:tabs>
      <w:ind w:left="1120" w:hanging="1600"/>
    </w:pPr>
  </w:style>
  <w:style w:type="paragraph" w:customStyle="1" w:styleId="AparaSymb">
    <w:name w:val="A para Symb"/>
    <w:basedOn w:val="Apara"/>
    <w:rsid w:val="00F1531F"/>
    <w:pPr>
      <w:tabs>
        <w:tab w:val="right" w:pos="0"/>
      </w:tabs>
      <w:ind w:hanging="2080"/>
    </w:pPr>
  </w:style>
  <w:style w:type="paragraph" w:customStyle="1" w:styleId="AsubparaSymb">
    <w:name w:val="A subpara Symb"/>
    <w:basedOn w:val="Asubpara"/>
    <w:rsid w:val="00F1531F"/>
    <w:pPr>
      <w:tabs>
        <w:tab w:val="left" w:pos="0"/>
      </w:tabs>
      <w:ind w:left="2098" w:hanging="2580"/>
    </w:pPr>
  </w:style>
  <w:style w:type="paragraph" w:customStyle="1" w:styleId="RenumProvSubsectEntries">
    <w:name w:val="RenumProvSubsectEntries"/>
    <w:basedOn w:val="RenumProvEntries"/>
    <w:rsid w:val="00F1531F"/>
    <w:pPr>
      <w:ind w:left="252"/>
    </w:pPr>
  </w:style>
  <w:style w:type="paragraph" w:customStyle="1" w:styleId="IshadedSchClause">
    <w:name w:val="I shaded Sch Clause"/>
    <w:basedOn w:val="IshadedH5Sec"/>
    <w:rsid w:val="00F1531F"/>
  </w:style>
  <w:style w:type="paragraph" w:customStyle="1" w:styleId="IshadedH5Sec">
    <w:name w:val="I shaded H5 Sec"/>
    <w:basedOn w:val="AH5Sec"/>
    <w:rsid w:val="00F1531F"/>
    <w:pPr>
      <w:shd w:val="pct25" w:color="auto" w:fill="auto"/>
      <w:outlineLvl w:val="9"/>
    </w:pPr>
  </w:style>
  <w:style w:type="paragraph" w:customStyle="1" w:styleId="Endnote4">
    <w:name w:val="Endnote4"/>
    <w:basedOn w:val="Endnote20"/>
    <w:rsid w:val="00F1531F"/>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F1531F"/>
    <w:pPr>
      <w:keepNext/>
      <w:tabs>
        <w:tab w:val="clear" w:pos="900"/>
        <w:tab w:val="clear" w:pos="1100"/>
      </w:tabs>
      <w:spacing w:before="300"/>
      <w:ind w:left="0" w:firstLine="0"/>
      <w:outlineLvl w:val="9"/>
    </w:pPr>
    <w:rPr>
      <w:i/>
    </w:rPr>
  </w:style>
  <w:style w:type="paragraph" w:customStyle="1" w:styleId="Penalty">
    <w:name w:val="Penalty"/>
    <w:basedOn w:val="Amainreturn"/>
    <w:rsid w:val="00F1531F"/>
  </w:style>
  <w:style w:type="paragraph" w:customStyle="1" w:styleId="Billcrest0">
    <w:name w:val="Billcrest"/>
    <w:basedOn w:val="Normal"/>
    <w:rsid w:val="00F1531F"/>
    <w:pPr>
      <w:spacing w:after="60"/>
      <w:ind w:left="2800"/>
    </w:pPr>
    <w:rPr>
      <w:rFonts w:ascii="ACTCrest" w:hAnsi="ACTCrest"/>
      <w:sz w:val="216"/>
    </w:rPr>
  </w:style>
  <w:style w:type="paragraph" w:customStyle="1" w:styleId="EffectiveDate">
    <w:name w:val="EffectiveDate"/>
    <w:basedOn w:val="Normal"/>
    <w:rsid w:val="00F1531F"/>
    <w:pPr>
      <w:spacing w:before="120"/>
    </w:pPr>
    <w:rPr>
      <w:rFonts w:ascii="Arial" w:hAnsi="Arial"/>
      <w:b/>
      <w:sz w:val="26"/>
    </w:rPr>
  </w:style>
  <w:style w:type="paragraph" w:customStyle="1" w:styleId="ChronTabledetails">
    <w:name w:val="Chron Table details"/>
    <w:basedOn w:val="Normal"/>
    <w:rsid w:val="0020309E"/>
    <w:rPr>
      <w:rFonts w:ascii="Arial" w:hAnsi="Arial"/>
      <w:sz w:val="18"/>
      <w:lang w:val="en-US"/>
    </w:rPr>
  </w:style>
  <w:style w:type="paragraph" w:customStyle="1" w:styleId="LongTitleSymb">
    <w:name w:val="LongTitleSymb"/>
    <w:basedOn w:val="LongTitle"/>
    <w:rsid w:val="00F1531F"/>
    <w:pPr>
      <w:ind w:hanging="480"/>
    </w:pPr>
  </w:style>
  <w:style w:type="paragraph" w:customStyle="1" w:styleId="aNoteText">
    <w:name w:val="aNoteText"/>
    <w:basedOn w:val="aNoteSymb"/>
    <w:rsid w:val="00F1531F"/>
    <w:pPr>
      <w:spacing w:before="60"/>
      <w:ind w:firstLine="0"/>
    </w:pPr>
  </w:style>
  <w:style w:type="paragraph" w:customStyle="1" w:styleId="05Endnote0">
    <w:name w:val="05Endnote"/>
    <w:basedOn w:val="Normal"/>
    <w:rsid w:val="00F1531F"/>
  </w:style>
  <w:style w:type="paragraph" w:customStyle="1" w:styleId="AmdtEntries">
    <w:name w:val="AmdtEntries"/>
    <w:basedOn w:val="BillBasicHeading"/>
    <w:rsid w:val="00F1531F"/>
    <w:pPr>
      <w:keepNext w:val="0"/>
      <w:tabs>
        <w:tab w:val="clear" w:pos="2600"/>
      </w:tabs>
      <w:spacing w:before="0"/>
      <w:ind w:left="3200" w:hanging="2100"/>
    </w:pPr>
    <w:rPr>
      <w:sz w:val="18"/>
    </w:rPr>
  </w:style>
  <w:style w:type="paragraph" w:customStyle="1" w:styleId="AmdtEntriesDefL2">
    <w:name w:val="AmdtEntriesDefL2"/>
    <w:basedOn w:val="AmdtEntries"/>
    <w:rsid w:val="00F1531F"/>
    <w:pPr>
      <w:tabs>
        <w:tab w:val="left" w:pos="3000"/>
      </w:tabs>
      <w:ind w:left="3600" w:hanging="2500"/>
    </w:pPr>
  </w:style>
  <w:style w:type="character" w:customStyle="1" w:styleId="charContents">
    <w:name w:val="charContents"/>
    <w:basedOn w:val="DefaultParagraphFont"/>
    <w:rsid w:val="00F1531F"/>
  </w:style>
  <w:style w:type="character" w:customStyle="1" w:styleId="charPage">
    <w:name w:val="charPage"/>
    <w:basedOn w:val="DefaultParagraphFont"/>
    <w:rsid w:val="00F1531F"/>
  </w:style>
  <w:style w:type="paragraph" w:customStyle="1" w:styleId="FooterInfoCentre">
    <w:name w:val="FooterInfoCentre"/>
    <w:basedOn w:val="FooterInfo"/>
    <w:rsid w:val="00F1531F"/>
    <w:pPr>
      <w:spacing w:before="60"/>
      <w:jc w:val="center"/>
    </w:pPr>
  </w:style>
  <w:style w:type="paragraph" w:styleId="MacroText">
    <w:name w:val="macro"/>
    <w:semiHidden/>
    <w:rsid w:val="00F1531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F1531F"/>
    <w:pPr>
      <w:spacing w:before="60"/>
      <w:ind w:left="1100"/>
      <w:jc w:val="both"/>
    </w:pPr>
    <w:rPr>
      <w:sz w:val="20"/>
    </w:rPr>
  </w:style>
  <w:style w:type="paragraph" w:customStyle="1" w:styleId="aExamHdgss">
    <w:name w:val="aExamHdgss"/>
    <w:basedOn w:val="BillBasicHeading"/>
    <w:next w:val="Normal"/>
    <w:rsid w:val="00F1531F"/>
    <w:pPr>
      <w:tabs>
        <w:tab w:val="clear" w:pos="2600"/>
      </w:tabs>
      <w:ind w:left="1100"/>
    </w:pPr>
    <w:rPr>
      <w:sz w:val="18"/>
    </w:rPr>
  </w:style>
  <w:style w:type="paragraph" w:customStyle="1" w:styleId="aExamss">
    <w:name w:val="aExamss"/>
    <w:basedOn w:val="aNoteSymb"/>
    <w:rsid w:val="00F1531F"/>
    <w:pPr>
      <w:spacing w:before="60"/>
      <w:ind w:left="1100" w:firstLine="0"/>
    </w:pPr>
  </w:style>
  <w:style w:type="paragraph" w:customStyle="1" w:styleId="aExamINumss">
    <w:name w:val="aExamINumss"/>
    <w:basedOn w:val="aExamss"/>
    <w:rsid w:val="00F1531F"/>
    <w:pPr>
      <w:tabs>
        <w:tab w:val="left" w:pos="1500"/>
      </w:tabs>
      <w:ind w:left="1500" w:hanging="400"/>
    </w:pPr>
  </w:style>
  <w:style w:type="paragraph" w:customStyle="1" w:styleId="aExamNumTextss">
    <w:name w:val="aExamNumTextss"/>
    <w:basedOn w:val="aExamss"/>
    <w:rsid w:val="00F1531F"/>
    <w:pPr>
      <w:ind w:left="1500"/>
    </w:pPr>
  </w:style>
  <w:style w:type="paragraph" w:customStyle="1" w:styleId="AExamIPara">
    <w:name w:val="AExamIPara"/>
    <w:basedOn w:val="aExam"/>
    <w:rsid w:val="00F1531F"/>
    <w:pPr>
      <w:tabs>
        <w:tab w:val="right" w:pos="1720"/>
        <w:tab w:val="left" w:pos="2000"/>
      </w:tabs>
      <w:ind w:left="2000" w:hanging="900"/>
    </w:pPr>
  </w:style>
  <w:style w:type="paragraph" w:customStyle="1" w:styleId="aNoteTextss">
    <w:name w:val="aNoteTextss"/>
    <w:basedOn w:val="Normal"/>
    <w:rsid w:val="00F1531F"/>
    <w:pPr>
      <w:spacing w:before="60"/>
      <w:ind w:left="1900"/>
      <w:jc w:val="both"/>
    </w:pPr>
    <w:rPr>
      <w:sz w:val="20"/>
    </w:rPr>
  </w:style>
  <w:style w:type="paragraph" w:customStyle="1" w:styleId="aNoteParass">
    <w:name w:val="aNoteParass"/>
    <w:basedOn w:val="Normal"/>
    <w:rsid w:val="00F1531F"/>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F1531F"/>
    <w:pPr>
      <w:ind w:left="1600"/>
    </w:pPr>
  </w:style>
  <w:style w:type="paragraph" w:customStyle="1" w:styleId="aExampar">
    <w:name w:val="aExampar"/>
    <w:basedOn w:val="aExamss"/>
    <w:rsid w:val="00F1531F"/>
    <w:pPr>
      <w:ind w:left="1600"/>
    </w:pPr>
  </w:style>
  <w:style w:type="paragraph" w:customStyle="1" w:styleId="aNotepar">
    <w:name w:val="aNotepar"/>
    <w:basedOn w:val="BillBasic"/>
    <w:next w:val="Normal"/>
    <w:rsid w:val="00F1531F"/>
    <w:pPr>
      <w:ind w:left="2400" w:hanging="800"/>
    </w:pPr>
    <w:rPr>
      <w:sz w:val="20"/>
    </w:rPr>
  </w:style>
  <w:style w:type="paragraph" w:customStyle="1" w:styleId="aNoteTextpar">
    <w:name w:val="aNoteTextpar"/>
    <w:basedOn w:val="aNotepar"/>
    <w:rsid w:val="00F1531F"/>
    <w:pPr>
      <w:spacing w:before="60"/>
      <w:ind w:firstLine="0"/>
    </w:pPr>
  </w:style>
  <w:style w:type="paragraph" w:customStyle="1" w:styleId="aNoteParapar">
    <w:name w:val="aNoteParapar"/>
    <w:basedOn w:val="aNotepar"/>
    <w:rsid w:val="00F1531F"/>
    <w:pPr>
      <w:tabs>
        <w:tab w:val="right" w:pos="2640"/>
      </w:tabs>
      <w:spacing w:before="60"/>
      <w:ind w:left="2920" w:hanging="1320"/>
    </w:pPr>
  </w:style>
  <w:style w:type="paragraph" w:customStyle="1" w:styleId="aExamHdgsubpar">
    <w:name w:val="aExamHdgsubpar"/>
    <w:basedOn w:val="aExamHdgss"/>
    <w:next w:val="Normal"/>
    <w:rsid w:val="00F1531F"/>
    <w:pPr>
      <w:ind w:left="2140"/>
    </w:pPr>
  </w:style>
  <w:style w:type="paragraph" w:customStyle="1" w:styleId="aExamsubpar">
    <w:name w:val="aExamsubpar"/>
    <w:basedOn w:val="aExamss"/>
    <w:rsid w:val="00F1531F"/>
    <w:pPr>
      <w:ind w:left="2140"/>
    </w:pPr>
  </w:style>
  <w:style w:type="paragraph" w:customStyle="1" w:styleId="aNotesubpar">
    <w:name w:val="aNotesubpar"/>
    <w:basedOn w:val="BillBasic"/>
    <w:next w:val="Normal"/>
    <w:rsid w:val="00F1531F"/>
    <w:pPr>
      <w:ind w:left="2940" w:hanging="800"/>
    </w:pPr>
    <w:rPr>
      <w:sz w:val="20"/>
    </w:rPr>
  </w:style>
  <w:style w:type="paragraph" w:customStyle="1" w:styleId="aNoteTextsubpar">
    <w:name w:val="aNoteTextsubpar"/>
    <w:basedOn w:val="aNotesubpar"/>
    <w:rsid w:val="00F1531F"/>
    <w:pPr>
      <w:spacing w:before="60"/>
      <w:ind w:firstLine="0"/>
    </w:pPr>
  </w:style>
  <w:style w:type="paragraph" w:customStyle="1" w:styleId="aExamBulletss">
    <w:name w:val="aExamBulletss"/>
    <w:basedOn w:val="aExamss"/>
    <w:rsid w:val="00F1531F"/>
    <w:pPr>
      <w:ind w:left="1500" w:hanging="400"/>
    </w:pPr>
  </w:style>
  <w:style w:type="paragraph" w:customStyle="1" w:styleId="aNoteBulletss">
    <w:name w:val="aNoteBulletss"/>
    <w:basedOn w:val="Normal"/>
    <w:rsid w:val="00F1531F"/>
    <w:pPr>
      <w:spacing w:before="60"/>
      <w:ind w:left="2300" w:hanging="400"/>
      <w:jc w:val="both"/>
    </w:pPr>
    <w:rPr>
      <w:sz w:val="20"/>
    </w:rPr>
  </w:style>
  <w:style w:type="paragraph" w:customStyle="1" w:styleId="aExamBulletpar">
    <w:name w:val="aExamBulletpar"/>
    <w:basedOn w:val="aExampar"/>
    <w:rsid w:val="00F1531F"/>
    <w:pPr>
      <w:ind w:left="2000" w:hanging="400"/>
    </w:pPr>
  </w:style>
  <w:style w:type="paragraph" w:customStyle="1" w:styleId="aNoteBulletpar">
    <w:name w:val="aNoteBulletpar"/>
    <w:basedOn w:val="aNotepar"/>
    <w:rsid w:val="00F1531F"/>
    <w:pPr>
      <w:spacing w:before="60"/>
      <w:ind w:left="2800" w:hanging="400"/>
    </w:pPr>
  </w:style>
  <w:style w:type="paragraph" w:customStyle="1" w:styleId="aExplanBullet">
    <w:name w:val="aExplanBullet"/>
    <w:basedOn w:val="Normal"/>
    <w:rsid w:val="00F1531F"/>
    <w:pPr>
      <w:spacing w:before="140"/>
      <w:ind w:left="400" w:hanging="400"/>
      <w:jc w:val="both"/>
    </w:pPr>
    <w:rPr>
      <w:snapToGrid w:val="0"/>
      <w:sz w:val="20"/>
    </w:rPr>
  </w:style>
  <w:style w:type="paragraph" w:customStyle="1" w:styleId="Actbullet">
    <w:name w:val="Act bullet"/>
    <w:basedOn w:val="Normal"/>
    <w:uiPriority w:val="99"/>
    <w:rsid w:val="00F1531F"/>
    <w:pPr>
      <w:numPr>
        <w:numId w:val="17"/>
      </w:numPr>
      <w:tabs>
        <w:tab w:val="left" w:pos="900"/>
      </w:tabs>
      <w:spacing w:before="20"/>
      <w:ind w:right="-60"/>
    </w:pPr>
    <w:rPr>
      <w:rFonts w:ascii="Arial" w:hAnsi="Arial"/>
      <w:sz w:val="18"/>
    </w:rPr>
  </w:style>
  <w:style w:type="paragraph" w:customStyle="1" w:styleId="Actdetailsshaded">
    <w:name w:val="Act details shaded"/>
    <w:basedOn w:val="Actdetails"/>
    <w:rsid w:val="0020309E"/>
    <w:pPr>
      <w:shd w:val="pct15" w:color="auto" w:fill="FFFFFF"/>
      <w:spacing w:before="0"/>
      <w:ind w:left="900" w:right="-60"/>
    </w:pPr>
    <w:rPr>
      <w:rFonts w:cs="Arial"/>
      <w:sz w:val="18"/>
      <w:szCs w:val="18"/>
    </w:rPr>
  </w:style>
  <w:style w:type="paragraph" w:customStyle="1" w:styleId="SchAmain">
    <w:name w:val="Sch A main"/>
    <w:basedOn w:val="Amain"/>
    <w:rsid w:val="00F1531F"/>
  </w:style>
  <w:style w:type="paragraph" w:customStyle="1" w:styleId="SchApara">
    <w:name w:val="Sch A para"/>
    <w:basedOn w:val="Apara"/>
    <w:rsid w:val="00F1531F"/>
  </w:style>
  <w:style w:type="paragraph" w:customStyle="1" w:styleId="SchAsubpara">
    <w:name w:val="Sch A subpara"/>
    <w:basedOn w:val="Asubpara"/>
    <w:rsid w:val="00F1531F"/>
  </w:style>
  <w:style w:type="paragraph" w:customStyle="1" w:styleId="SchAsubsubpara">
    <w:name w:val="Sch A subsubpara"/>
    <w:basedOn w:val="Asubsubpara"/>
    <w:rsid w:val="00F1531F"/>
  </w:style>
  <w:style w:type="paragraph" w:customStyle="1" w:styleId="TOCOL1">
    <w:name w:val="TOCOL 1"/>
    <w:basedOn w:val="TOC1"/>
    <w:rsid w:val="00F1531F"/>
  </w:style>
  <w:style w:type="paragraph" w:customStyle="1" w:styleId="TOCOL2">
    <w:name w:val="TOCOL 2"/>
    <w:basedOn w:val="TOC2"/>
    <w:rsid w:val="00F1531F"/>
    <w:pPr>
      <w:keepNext w:val="0"/>
    </w:pPr>
  </w:style>
  <w:style w:type="paragraph" w:customStyle="1" w:styleId="TOCOL3">
    <w:name w:val="TOCOL 3"/>
    <w:basedOn w:val="TOC3"/>
    <w:rsid w:val="00F1531F"/>
    <w:pPr>
      <w:keepNext w:val="0"/>
    </w:pPr>
  </w:style>
  <w:style w:type="paragraph" w:customStyle="1" w:styleId="TOCOL4">
    <w:name w:val="TOCOL 4"/>
    <w:basedOn w:val="TOC4"/>
    <w:rsid w:val="00F1531F"/>
    <w:pPr>
      <w:keepNext w:val="0"/>
    </w:pPr>
  </w:style>
  <w:style w:type="paragraph" w:customStyle="1" w:styleId="TOCOL5">
    <w:name w:val="TOCOL 5"/>
    <w:basedOn w:val="TOC5"/>
    <w:rsid w:val="00F1531F"/>
    <w:pPr>
      <w:tabs>
        <w:tab w:val="left" w:pos="400"/>
      </w:tabs>
    </w:pPr>
  </w:style>
  <w:style w:type="paragraph" w:customStyle="1" w:styleId="TOCOL6">
    <w:name w:val="TOCOL 6"/>
    <w:basedOn w:val="TOC6"/>
    <w:rsid w:val="00F1531F"/>
  </w:style>
  <w:style w:type="paragraph" w:customStyle="1" w:styleId="TOCOL7">
    <w:name w:val="TOCOL 7"/>
    <w:basedOn w:val="TOC7"/>
    <w:rsid w:val="00F1531F"/>
  </w:style>
  <w:style w:type="paragraph" w:customStyle="1" w:styleId="TOCOL8">
    <w:name w:val="TOCOL 8"/>
    <w:basedOn w:val="TOC8"/>
    <w:rsid w:val="00F1531F"/>
  </w:style>
  <w:style w:type="paragraph" w:customStyle="1" w:styleId="TOCOL9">
    <w:name w:val="TOCOL 9"/>
    <w:basedOn w:val="TOC9"/>
    <w:rsid w:val="00F1531F"/>
    <w:pPr>
      <w:ind w:right="0"/>
    </w:pPr>
  </w:style>
  <w:style w:type="paragraph" w:customStyle="1" w:styleId="TOC10">
    <w:name w:val="TOC 10"/>
    <w:basedOn w:val="TOC5"/>
    <w:rsid w:val="00F1531F"/>
    <w:rPr>
      <w:szCs w:val="24"/>
    </w:rPr>
  </w:style>
  <w:style w:type="character" w:customStyle="1" w:styleId="charNotBold">
    <w:name w:val="charNotBold"/>
    <w:basedOn w:val="DefaultParagraphFont"/>
    <w:rsid w:val="00F1531F"/>
    <w:rPr>
      <w:rFonts w:ascii="Arial" w:hAnsi="Arial"/>
      <w:sz w:val="20"/>
    </w:rPr>
  </w:style>
  <w:style w:type="paragraph" w:customStyle="1" w:styleId="Billname1">
    <w:name w:val="Billname1"/>
    <w:basedOn w:val="Normal"/>
    <w:rsid w:val="00F1531F"/>
    <w:pPr>
      <w:tabs>
        <w:tab w:val="left" w:pos="2400"/>
      </w:tabs>
      <w:spacing w:before="1220"/>
    </w:pPr>
    <w:rPr>
      <w:rFonts w:ascii="Arial" w:hAnsi="Arial"/>
      <w:b/>
      <w:sz w:val="40"/>
    </w:rPr>
  </w:style>
  <w:style w:type="paragraph" w:customStyle="1" w:styleId="TablePara10">
    <w:name w:val="TablePara10"/>
    <w:basedOn w:val="tablepara"/>
    <w:rsid w:val="00F1531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1531F"/>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1531F"/>
    <w:rPr>
      <w:sz w:val="20"/>
    </w:rPr>
  </w:style>
  <w:style w:type="paragraph" w:customStyle="1" w:styleId="aExamINumpar">
    <w:name w:val="aExamINumpar"/>
    <w:basedOn w:val="aExampar"/>
    <w:rsid w:val="00F1531F"/>
    <w:pPr>
      <w:tabs>
        <w:tab w:val="left" w:pos="2000"/>
      </w:tabs>
      <w:ind w:left="2000" w:hanging="400"/>
    </w:pPr>
  </w:style>
  <w:style w:type="character" w:customStyle="1" w:styleId="FooterChar">
    <w:name w:val="Footer Char"/>
    <w:basedOn w:val="DefaultParagraphFont"/>
    <w:link w:val="Footer"/>
    <w:rsid w:val="00F1531F"/>
    <w:rPr>
      <w:rFonts w:ascii="Arial" w:hAnsi="Arial"/>
      <w:sz w:val="18"/>
      <w:lang w:eastAsia="en-US"/>
    </w:rPr>
  </w:style>
  <w:style w:type="paragraph" w:customStyle="1" w:styleId="ShadedSchClauseSymb">
    <w:name w:val="Shaded Sch Clause Symb"/>
    <w:basedOn w:val="ShadedSchClause"/>
    <w:rsid w:val="00F1531F"/>
    <w:pPr>
      <w:tabs>
        <w:tab w:val="left" w:pos="0"/>
      </w:tabs>
      <w:ind w:left="975" w:hanging="1457"/>
    </w:pPr>
  </w:style>
  <w:style w:type="paragraph" w:styleId="BalloonText">
    <w:name w:val="Balloon Text"/>
    <w:basedOn w:val="Normal"/>
    <w:link w:val="BalloonTextChar"/>
    <w:uiPriority w:val="99"/>
    <w:unhideWhenUsed/>
    <w:rsid w:val="00F1531F"/>
    <w:rPr>
      <w:rFonts w:ascii="Tahoma" w:hAnsi="Tahoma" w:cs="Tahoma"/>
      <w:sz w:val="16"/>
      <w:szCs w:val="16"/>
    </w:rPr>
  </w:style>
  <w:style w:type="character" w:customStyle="1" w:styleId="BalloonTextChar">
    <w:name w:val="Balloon Text Char"/>
    <w:basedOn w:val="DefaultParagraphFont"/>
    <w:link w:val="BalloonText"/>
    <w:uiPriority w:val="99"/>
    <w:rsid w:val="00F1531F"/>
    <w:rPr>
      <w:rFonts w:ascii="Tahoma" w:hAnsi="Tahoma" w:cs="Tahoma"/>
      <w:sz w:val="16"/>
      <w:szCs w:val="16"/>
      <w:lang w:eastAsia="en-US"/>
    </w:rPr>
  </w:style>
  <w:style w:type="paragraph" w:customStyle="1" w:styleId="CoverTextBullet">
    <w:name w:val="CoverTextBullet"/>
    <w:basedOn w:val="CoverText"/>
    <w:qFormat/>
    <w:rsid w:val="00F1531F"/>
    <w:pPr>
      <w:numPr>
        <w:numId w:val="2"/>
      </w:numPr>
    </w:pPr>
    <w:rPr>
      <w:color w:val="000000"/>
    </w:rPr>
  </w:style>
  <w:style w:type="paragraph" w:customStyle="1" w:styleId="01aPreamble">
    <w:name w:val="01aPreamble"/>
    <w:basedOn w:val="Normal"/>
    <w:qFormat/>
    <w:rsid w:val="00F1531F"/>
  </w:style>
  <w:style w:type="paragraph" w:customStyle="1" w:styleId="TableBullet">
    <w:name w:val="TableBullet"/>
    <w:basedOn w:val="TableText10"/>
    <w:qFormat/>
    <w:rsid w:val="00F1531F"/>
    <w:pPr>
      <w:numPr>
        <w:numId w:val="5"/>
      </w:numPr>
    </w:pPr>
  </w:style>
  <w:style w:type="paragraph" w:customStyle="1" w:styleId="TableNumbered">
    <w:name w:val="TableNumbered"/>
    <w:basedOn w:val="TableText10"/>
    <w:qFormat/>
    <w:rsid w:val="00F1531F"/>
    <w:pPr>
      <w:numPr>
        <w:numId w:val="6"/>
      </w:numPr>
    </w:pPr>
  </w:style>
  <w:style w:type="character" w:customStyle="1" w:styleId="charCitHyperlinkItal">
    <w:name w:val="charCitHyperlinkItal"/>
    <w:basedOn w:val="Hyperlink"/>
    <w:uiPriority w:val="1"/>
    <w:rsid w:val="00F1531F"/>
    <w:rPr>
      <w:i/>
      <w:color w:val="0000FF" w:themeColor="hyperlink"/>
      <w:u w:val="none"/>
    </w:rPr>
  </w:style>
  <w:style w:type="character" w:customStyle="1" w:styleId="charCitHyperlinkAbbrev">
    <w:name w:val="charCitHyperlinkAbbrev"/>
    <w:basedOn w:val="Hyperlink"/>
    <w:uiPriority w:val="1"/>
    <w:rsid w:val="00F1531F"/>
    <w:rPr>
      <w:color w:val="0000FF" w:themeColor="hyperlink"/>
      <w:u w:val="none"/>
    </w:rPr>
  </w:style>
  <w:style w:type="character" w:customStyle="1" w:styleId="Heading3Char">
    <w:name w:val="Heading 3 Char"/>
    <w:aliases w:val="h3 Char,sec Char"/>
    <w:basedOn w:val="DefaultParagraphFont"/>
    <w:link w:val="Heading3"/>
    <w:rsid w:val="00F1531F"/>
    <w:rPr>
      <w:b/>
      <w:sz w:val="24"/>
      <w:lang w:eastAsia="en-US"/>
    </w:rPr>
  </w:style>
  <w:style w:type="paragraph" w:customStyle="1" w:styleId="parainpara">
    <w:name w:val="para in para"/>
    <w:rsid w:val="00F1531F"/>
    <w:pPr>
      <w:tabs>
        <w:tab w:val="right" w:pos="1500"/>
      </w:tabs>
      <w:spacing w:before="80" w:after="80"/>
      <w:ind w:left="1800" w:hanging="1800"/>
      <w:jc w:val="both"/>
    </w:pPr>
    <w:rPr>
      <w:rFonts w:ascii="Times" w:hAnsi="Times"/>
      <w:sz w:val="24"/>
      <w:lang w:eastAsia="en-US"/>
    </w:rPr>
  </w:style>
  <w:style w:type="paragraph" w:customStyle="1" w:styleId="Actdetailsnote">
    <w:name w:val="Act details note"/>
    <w:basedOn w:val="Actdetails"/>
    <w:uiPriority w:val="99"/>
    <w:rsid w:val="00F1531F"/>
    <w:pPr>
      <w:ind w:left="1620" w:right="-60" w:hanging="720"/>
    </w:pPr>
    <w:rPr>
      <w:sz w:val="18"/>
    </w:rPr>
  </w:style>
  <w:style w:type="paragraph" w:customStyle="1" w:styleId="DetailsNo">
    <w:name w:val="Details No"/>
    <w:basedOn w:val="Actdetails"/>
    <w:uiPriority w:val="99"/>
    <w:rsid w:val="00F1531F"/>
    <w:pPr>
      <w:ind w:left="0"/>
    </w:pPr>
    <w:rPr>
      <w:sz w:val="18"/>
    </w:rPr>
  </w:style>
  <w:style w:type="paragraph" w:customStyle="1" w:styleId="ISchMain">
    <w:name w:val="I Sch Main"/>
    <w:basedOn w:val="BillBasic"/>
    <w:rsid w:val="00F1531F"/>
    <w:pPr>
      <w:tabs>
        <w:tab w:val="right" w:pos="900"/>
        <w:tab w:val="left" w:pos="1100"/>
      </w:tabs>
      <w:ind w:left="1100" w:hanging="1100"/>
    </w:pPr>
  </w:style>
  <w:style w:type="paragraph" w:customStyle="1" w:styleId="ISchpara">
    <w:name w:val="I Sch para"/>
    <w:basedOn w:val="BillBasic"/>
    <w:rsid w:val="00F1531F"/>
    <w:pPr>
      <w:tabs>
        <w:tab w:val="right" w:pos="1400"/>
        <w:tab w:val="left" w:pos="1600"/>
      </w:tabs>
      <w:ind w:left="1600" w:hanging="1600"/>
    </w:pPr>
  </w:style>
  <w:style w:type="paragraph" w:customStyle="1" w:styleId="ISchsubpara">
    <w:name w:val="I Sch subpara"/>
    <w:basedOn w:val="BillBasic"/>
    <w:rsid w:val="00F1531F"/>
    <w:pPr>
      <w:tabs>
        <w:tab w:val="right" w:pos="1940"/>
        <w:tab w:val="left" w:pos="2140"/>
      </w:tabs>
      <w:ind w:left="2140" w:hanging="2140"/>
    </w:pPr>
  </w:style>
  <w:style w:type="paragraph" w:customStyle="1" w:styleId="ISchsubsubpara">
    <w:name w:val="I Sch subsubpara"/>
    <w:basedOn w:val="BillBasic"/>
    <w:rsid w:val="00F1531F"/>
    <w:pPr>
      <w:tabs>
        <w:tab w:val="right" w:pos="2460"/>
        <w:tab w:val="left" w:pos="2660"/>
      </w:tabs>
      <w:ind w:left="2660" w:hanging="2660"/>
    </w:pPr>
  </w:style>
  <w:style w:type="paragraph" w:customStyle="1" w:styleId="AssectheadingSymb">
    <w:name w:val="A ssect heading Symb"/>
    <w:basedOn w:val="Amain"/>
    <w:rsid w:val="00F1531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1531F"/>
    <w:pPr>
      <w:tabs>
        <w:tab w:val="left" w:pos="0"/>
        <w:tab w:val="right" w:pos="2400"/>
        <w:tab w:val="left" w:pos="2600"/>
      </w:tabs>
      <w:ind w:left="2602" w:hanging="3084"/>
      <w:outlineLvl w:val="8"/>
    </w:pPr>
  </w:style>
  <w:style w:type="paragraph" w:customStyle="1" w:styleId="AmainreturnSymb">
    <w:name w:val="A main return Symb"/>
    <w:basedOn w:val="BillBasic"/>
    <w:rsid w:val="00F1531F"/>
    <w:pPr>
      <w:tabs>
        <w:tab w:val="left" w:pos="1582"/>
      </w:tabs>
      <w:ind w:left="1100" w:hanging="1582"/>
    </w:pPr>
  </w:style>
  <w:style w:type="paragraph" w:customStyle="1" w:styleId="AparareturnSymb">
    <w:name w:val="A para return Symb"/>
    <w:basedOn w:val="BillBasic"/>
    <w:rsid w:val="00F1531F"/>
    <w:pPr>
      <w:tabs>
        <w:tab w:val="left" w:pos="2081"/>
      </w:tabs>
      <w:ind w:left="1599" w:hanging="2081"/>
    </w:pPr>
  </w:style>
  <w:style w:type="paragraph" w:customStyle="1" w:styleId="AsubparareturnSymb">
    <w:name w:val="A subpara return Symb"/>
    <w:basedOn w:val="BillBasic"/>
    <w:rsid w:val="00F1531F"/>
    <w:pPr>
      <w:tabs>
        <w:tab w:val="left" w:pos="2580"/>
      </w:tabs>
      <w:ind w:left="2098" w:hanging="2580"/>
    </w:pPr>
  </w:style>
  <w:style w:type="paragraph" w:customStyle="1" w:styleId="aDefSymb">
    <w:name w:val="aDef Symb"/>
    <w:basedOn w:val="BillBasic"/>
    <w:rsid w:val="00F1531F"/>
    <w:pPr>
      <w:tabs>
        <w:tab w:val="left" w:pos="1582"/>
      </w:tabs>
      <w:ind w:left="1100" w:hanging="1582"/>
    </w:pPr>
  </w:style>
  <w:style w:type="paragraph" w:customStyle="1" w:styleId="aDefparaSymb">
    <w:name w:val="aDef para Symb"/>
    <w:basedOn w:val="Apara"/>
    <w:rsid w:val="00F1531F"/>
    <w:pPr>
      <w:tabs>
        <w:tab w:val="clear" w:pos="1600"/>
        <w:tab w:val="left" w:pos="0"/>
        <w:tab w:val="left" w:pos="1599"/>
      </w:tabs>
      <w:ind w:left="1599" w:hanging="2081"/>
    </w:pPr>
  </w:style>
  <w:style w:type="paragraph" w:customStyle="1" w:styleId="aDefsubparaSymb">
    <w:name w:val="aDef subpara Symb"/>
    <w:basedOn w:val="Asubpara"/>
    <w:rsid w:val="00F1531F"/>
    <w:pPr>
      <w:tabs>
        <w:tab w:val="left" w:pos="0"/>
      </w:tabs>
      <w:ind w:left="2098" w:hanging="2580"/>
    </w:pPr>
  </w:style>
  <w:style w:type="paragraph" w:customStyle="1" w:styleId="SchAmainSymb">
    <w:name w:val="Sch A main Symb"/>
    <w:basedOn w:val="Amain"/>
    <w:rsid w:val="00F1531F"/>
    <w:pPr>
      <w:tabs>
        <w:tab w:val="left" w:pos="0"/>
      </w:tabs>
      <w:ind w:hanging="1580"/>
    </w:pPr>
  </w:style>
  <w:style w:type="paragraph" w:customStyle="1" w:styleId="SchAparaSymb">
    <w:name w:val="Sch A para Symb"/>
    <w:basedOn w:val="Apara"/>
    <w:rsid w:val="00F1531F"/>
    <w:pPr>
      <w:tabs>
        <w:tab w:val="left" w:pos="0"/>
      </w:tabs>
      <w:ind w:hanging="2080"/>
    </w:pPr>
  </w:style>
  <w:style w:type="paragraph" w:customStyle="1" w:styleId="SchAsubparaSymb">
    <w:name w:val="Sch A subpara Symb"/>
    <w:basedOn w:val="Asubpara"/>
    <w:rsid w:val="00F1531F"/>
    <w:pPr>
      <w:tabs>
        <w:tab w:val="left" w:pos="0"/>
      </w:tabs>
      <w:ind w:hanging="2580"/>
    </w:pPr>
  </w:style>
  <w:style w:type="paragraph" w:customStyle="1" w:styleId="SchAsubsubparaSymb">
    <w:name w:val="Sch A subsubpara Symb"/>
    <w:basedOn w:val="AsubsubparaSymb"/>
    <w:rsid w:val="00F1531F"/>
  </w:style>
  <w:style w:type="paragraph" w:customStyle="1" w:styleId="refSymb">
    <w:name w:val="ref Symb"/>
    <w:basedOn w:val="BillBasic"/>
    <w:next w:val="Normal"/>
    <w:rsid w:val="00F1531F"/>
    <w:pPr>
      <w:tabs>
        <w:tab w:val="left" w:pos="-480"/>
      </w:tabs>
      <w:spacing w:before="60"/>
      <w:ind w:hanging="480"/>
    </w:pPr>
    <w:rPr>
      <w:sz w:val="18"/>
    </w:rPr>
  </w:style>
  <w:style w:type="paragraph" w:customStyle="1" w:styleId="IshadedH5SecSymb">
    <w:name w:val="I shaded H5 Sec Symb"/>
    <w:basedOn w:val="AH5Sec"/>
    <w:rsid w:val="00F1531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1531F"/>
    <w:pPr>
      <w:tabs>
        <w:tab w:val="clear" w:pos="-1580"/>
      </w:tabs>
      <w:ind w:left="975" w:hanging="1457"/>
    </w:pPr>
  </w:style>
  <w:style w:type="paragraph" w:customStyle="1" w:styleId="IH1ChapSymb">
    <w:name w:val="I H1 Chap Symb"/>
    <w:basedOn w:val="BillBasicHeading"/>
    <w:next w:val="Normal"/>
    <w:rsid w:val="00F1531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1531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1531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1531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1531F"/>
    <w:pPr>
      <w:tabs>
        <w:tab w:val="clear" w:pos="2600"/>
        <w:tab w:val="left" w:pos="-1580"/>
        <w:tab w:val="left" w:pos="0"/>
        <w:tab w:val="left" w:pos="1100"/>
      </w:tabs>
      <w:spacing w:before="240"/>
      <w:ind w:left="1100" w:hanging="1580"/>
    </w:pPr>
  </w:style>
  <w:style w:type="paragraph" w:customStyle="1" w:styleId="IMainSymb">
    <w:name w:val="I Main Symb"/>
    <w:basedOn w:val="Amain"/>
    <w:rsid w:val="00F1531F"/>
    <w:pPr>
      <w:tabs>
        <w:tab w:val="left" w:pos="0"/>
      </w:tabs>
      <w:ind w:hanging="1580"/>
    </w:pPr>
  </w:style>
  <w:style w:type="paragraph" w:customStyle="1" w:styleId="IparaSymb">
    <w:name w:val="I para Symb"/>
    <w:basedOn w:val="Apara"/>
    <w:rsid w:val="00F1531F"/>
    <w:pPr>
      <w:tabs>
        <w:tab w:val="left" w:pos="0"/>
      </w:tabs>
      <w:ind w:hanging="2080"/>
      <w:outlineLvl w:val="9"/>
    </w:pPr>
  </w:style>
  <w:style w:type="paragraph" w:customStyle="1" w:styleId="IsubparaSymb">
    <w:name w:val="I subpara Symb"/>
    <w:basedOn w:val="Asubpara"/>
    <w:rsid w:val="00F1531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1531F"/>
    <w:pPr>
      <w:tabs>
        <w:tab w:val="clear" w:pos="2400"/>
        <w:tab w:val="clear" w:pos="2600"/>
        <w:tab w:val="right" w:pos="2460"/>
        <w:tab w:val="left" w:pos="2660"/>
      </w:tabs>
      <w:ind w:left="2660" w:hanging="3140"/>
    </w:pPr>
  </w:style>
  <w:style w:type="paragraph" w:customStyle="1" w:styleId="IdefparaSymb">
    <w:name w:val="I def para Symb"/>
    <w:basedOn w:val="IparaSymb"/>
    <w:rsid w:val="00F1531F"/>
    <w:pPr>
      <w:ind w:left="1599" w:hanging="2081"/>
    </w:pPr>
  </w:style>
  <w:style w:type="paragraph" w:customStyle="1" w:styleId="IdefsubparaSymb">
    <w:name w:val="I def subpara Symb"/>
    <w:basedOn w:val="IsubparaSymb"/>
    <w:rsid w:val="00F1531F"/>
    <w:pPr>
      <w:ind w:left="2138"/>
    </w:pPr>
  </w:style>
  <w:style w:type="paragraph" w:customStyle="1" w:styleId="ISched-headingSymb">
    <w:name w:val="I Sched-heading Symb"/>
    <w:basedOn w:val="BillBasicHeading"/>
    <w:next w:val="Normal"/>
    <w:rsid w:val="00F1531F"/>
    <w:pPr>
      <w:tabs>
        <w:tab w:val="left" w:pos="-3080"/>
        <w:tab w:val="left" w:pos="0"/>
      </w:tabs>
      <w:spacing w:before="320"/>
      <w:ind w:left="2600" w:hanging="3080"/>
    </w:pPr>
    <w:rPr>
      <w:sz w:val="34"/>
    </w:rPr>
  </w:style>
  <w:style w:type="paragraph" w:customStyle="1" w:styleId="ISched-PartSymb">
    <w:name w:val="I Sched-Part Symb"/>
    <w:basedOn w:val="BillBasicHeading"/>
    <w:rsid w:val="00F1531F"/>
    <w:pPr>
      <w:tabs>
        <w:tab w:val="left" w:pos="-3080"/>
        <w:tab w:val="left" w:pos="0"/>
      </w:tabs>
      <w:spacing w:before="380"/>
      <w:ind w:left="2600" w:hanging="3080"/>
    </w:pPr>
    <w:rPr>
      <w:sz w:val="32"/>
    </w:rPr>
  </w:style>
  <w:style w:type="paragraph" w:customStyle="1" w:styleId="ISched-formSymb">
    <w:name w:val="I Sched-form Symb"/>
    <w:basedOn w:val="BillBasicHeading"/>
    <w:rsid w:val="00F1531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1531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1531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1531F"/>
    <w:pPr>
      <w:tabs>
        <w:tab w:val="left" w:pos="1100"/>
      </w:tabs>
      <w:spacing w:before="60"/>
      <w:ind w:left="1500" w:hanging="1986"/>
    </w:pPr>
  </w:style>
  <w:style w:type="paragraph" w:customStyle="1" w:styleId="aExamHdgssSymb">
    <w:name w:val="aExamHdgss Symb"/>
    <w:basedOn w:val="BillBasicHeading"/>
    <w:next w:val="Normal"/>
    <w:rsid w:val="00F1531F"/>
    <w:pPr>
      <w:tabs>
        <w:tab w:val="clear" w:pos="2600"/>
        <w:tab w:val="left" w:pos="1582"/>
      </w:tabs>
      <w:ind w:left="1100" w:hanging="1582"/>
    </w:pPr>
    <w:rPr>
      <w:sz w:val="18"/>
    </w:rPr>
  </w:style>
  <w:style w:type="paragraph" w:customStyle="1" w:styleId="aExamssSymb">
    <w:name w:val="aExamss Symb"/>
    <w:basedOn w:val="aNote"/>
    <w:rsid w:val="00F1531F"/>
    <w:pPr>
      <w:tabs>
        <w:tab w:val="left" w:pos="1582"/>
      </w:tabs>
      <w:spacing w:before="60"/>
      <w:ind w:left="1100" w:hanging="1582"/>
    </w:pPr>
  </w:style>
  <w:style w:type="paragraph" w:customStyle="1" w:styleId="aExamINumssSymb">
    <w:name w:val="aExamINumss Symb"/>
    <w:basedOn w:val="aExamssSymb"/>
    <w:rsid w:val="00F1531F"/>
    <w:pPr>
      <w:tabs>
        <w:tab w:val="left" w:pos="1100"/>
      </w:tabs>
      <w:ind w:left="1500" w:hanging="1986"/>
    </w:pPr>
  </w:style>
  <w:style w:type="paragraph" w:customStyle="1" w:styleId="aExamNumTextssSymb">
    <w:name w:val="aExamNumTextss Symb"/>
    <w:basedOn w:val="aExamssSymb"/>
    <w:rsid w:val="00F1531F"/>
    <w:pPr>
      <w:tabs>
        <w:tab w:val="clear" w:pos="1582"/>
        <w:tab w:val="left" w:pos="1985"/>
      </w:tabs>
      <w:ind w:left="1503" w:hanging="1985"/>
    </w:pPr>
  </w:style>
  <w:style w:type="paragraph" w:customStyle="1" w:styleId="AExamIParaSymb">
    <w:name w:val="AExamIPara Symb"/>
    <w:basedOn w:val="aExam"/>
    <w:rsid w:val="00F1531F"/>
    <w:pPr>
      <w:tabs>
        <w:tab w:val="right" w:pos="1718"/>
      </w:tabs>
      <w:ind w:left="1984" w:hanging="2466"/>
    </w:pPr>
  </w:style>
  <w:style w:type="paragraph" w:customStyle="1" w:styleId="aExamBulletssSymb">
    <w:name w:val="aExamBulletss Symb"/>
    <w:basedOn w:val="aExamssSymb"/>
    <w:rsid w:val="00F1531F"/>
    <w:pPr>
      <w:tabs>
        <w:tab w:val="left" w:pos="1100"/>
      </w:tabs>
      <w:ind w:left="1500" w:hanging="1986"/>
    </w:pPr>
  </w:style>
  <w:style w:type="paragraph" w:customStyle="1" w:styleId="aNoteSymb">
    <w:name w:val="aNote Symb"/>
    <w:basedOn w:val="BillBasic"/>
    <w:rsid w:val="00F1531F"/>
    <w:pPr>
      <w:tabs>
        <w:tab w:val="left" w:pos="1100"/>
        <w:tab w:val="left" w:pos="2381"/>
      </w:tabs>
      <w:ind w:left="1899" w:hanging="2381"/>
    </w:pPr>
    <w:rPr>
      <w:sz w:val="20"/>
    </w:rPr>
  </w:style>
  <w:style w:type="paragraph" w:customStyle="1" w:styleId="aNoteTextssSymb">
    <w:name w:val="aNoteTextss Symb"/>
    <w:basedOn w:val="Normal"/>
    <w:rsid w:val="00F1531F"/>
    <w:pPr>
      <w:tabs>
        <w:tab w:val="clear" w:pos="0"/>
        <w:tab w:val="left" w:pos="1418"/>
      </w:tabs>
      <w:spacing w:before="60"/>
      <w:ind w:left="1417" w:hanging="1899"/>
      <w:jc w:val="both"/>
    </w:pPr>
    <w:rPr>
      <w:sz w:val="20"/>
    </w:rPr>
  </w:style>
  <w:style w:type="paragraph" w:customStyle="1" w:styleId="aNoteParaSymb">
    <w:name w:val="aNotePara Symb"/>
    <w:basedOn w:val="aNoteSymb"/>
    <w:rsid w:val="00F1531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1531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F1531F"/>
    <w:pPr>
      <w:tabs>
        <w:tab w:val="left" w:pos="1616"/>
        <w:tab w:val="left" w:pos="2495"/>
      </w:tabs>
      <w:spacing w:before="60"/>
      <w:ind w:left="2013" w:hanging="2495"/>
    </w:pPr>
  </w:style>
  <w:style w:type="paragraph" w:customStyle="1" w:styleId="aExamHdgparSymb">
    <w:name w:val="aExamHdgpar Symb"/>
    <w:basedOn w:val="aExamHdgssSymb"/>
    <w:next w:val="Normal"/>
    <w:rsid w:val="00F1531F"/>
    <w:pPr>
      <w:tabs>
        <w:tab w:val="clear" w:pos="1582"/>
        <w:tab w:val="left" w:pos="1599"/>
      </w:tabs>
      <w:ind w:left="1599" w:hanging="2081"/>
    </w:pPr>
  </w:style>
  <w:style w:type="paragraph" w:customStyle="1" w:styleId="aExamparSymb">
    <w:name w:val="aExampar Symb"/>
    <w:basedOn w:val="aExamssSymb"/>
    <w:rsid w:val="00F1531F"/>
    <w:pPr>
      <w:tabs>
        <w:tab w:val="clear" w:pos="1582"/>
        <w:tab w:val="left" w:pos="1599"/>
      </w:tabs>
      <w:ind w:left="1599" w:hanging="2081"/>
    </w:pPr>
  </w:style>
  <w:style w:type="paragraph" w:customStyle="1" w:styleId="aExamINumparSymb">
    <w:name w:val="aExamINumpar Symb"/>
    <w:basedOn w:val="aExamparSymb"/>
    <w:rsid w:val="00F1531F"/>
    <w:pPr>
      <w:tabs>
        <w:tab w:val="left" w:pos="2000"/>
      </w:tabs>
      <w:ind w:left="2041" w:hanging="2495"/>
    </w:pPr>
  </w:style>
  <w:style w:type="paragraph" w:customStyle="1" w:styleId="aExamBulletparSymb">
    <w:name w:val="aExamBulletpar Symb"/>
    <w:basedOn w:val="aExamparSymb"/>
    <w:rsid w:val="00F1531F"/>
    <w:pPr>
      <w:tabs>
        <w:tab w:val="clear" w:pos="1599"/>
        <w:tab w:val="left" w:pos="1616"/>
        <w:tab w:val="left" w:pos="2495"/>
      </w:tabs>
      <w:ind w:left="2013" w:hanging="2495"/>
    </w:pPr>
  </w:style>
  <w:style w:type="paragraph" w:customStyle="1" w:styleId="aNoteparSymb">
    <w:name w:val="aNotepar Symb"/>
    <w:basedOn w:val="BillBasic"/>
    <w:next w:val="Normal"/>
    <w:rsid w:val="00F1531F"/>
    <w:pPr>
      <w:tabs>
        <w:tab w:val="left" w:pos="1599"/>
        <w:tab w:val="left" w:pos="2398"/>
      </w:tabs>
      <w:ind w:left="2410" w:hanging="2892"/>
    </w:pPr>
    <w:rPr>
      <w:sz w:val="20"/>
    </w:rPr>
  </w:style>
  <w:style w:type="paragraph" w:customStyle="1" w:styleId="aNoteTextparSymb">
    <w:name w:val="aNoteTextpar Symb"/>
    <w:basedOn w:val="aNoteparSymb"/>
    <w:rsid w:val="00F1531F"/>
    <w:pPr>
      <w:tabs>
        <w:tab w:val="clear" w:pos="1599"/>
        <w:tab w:val="clear" w:pos="2398"/>
        <w:tab w:val="left" w:pos="2880"/>
      </w:tabs>
      <w:spacing w:before="60"/>
      <w:ind w:left="2398" w:hanging="2880"/>
    </w:pPr>
  </w:style>
  <w:style w:type="paragraph" w:customStyle="1" w:styleId="aNoteParaparSymb">
    <w:name w:val="aNoteParapar Symb"/>
    <w:basedOn w:val="aNoteparSymb"/>
    <w:rsid w:val="00F1531F"/>
    <w:pPr>
      <w:tabs>
        <w:tab w:val="right" w:pos="2640"/>
      </w:tabs>
      <w:spacing w:before="60"/>
      <w:ind w:left="2920" w:hanging="3402"/>
    </w:pPr>
  </w:style>
  <w:style w:type="paragraph" w:customStyle="1" w:styleId="aNoteBulletparSymb">
    <w:name w:val="aNoteBulletpar Symb"/>
    <w:basedOn w:val="aNoteparSymb"/>
    <w:rsid w:val="00F1531F"/>
    <w:pPr>
      <w:tabs>
        <w:tab w:val="clear" w:pos="1599"/>
        <w:tab w:val="left" w:pos="3289"/>
      </w:tabs>
      <w:spacing w:before="60"/>
      <w:ind w:left="2807" w:hanging="3289"/>
    </w:pPr>
  </w:style>
  <w:style w:type="paragraph" w:customStyle="1" w:styleId="AsubparabulletSymb">
    <w:name w:val="A subpara bullet Symb"/>
    <w:basedOn w:val="BillBasic"/>
    <w:rsid w:val="00F1531F"/>
    <w:pPr>
      <w:tabs>
        <w:tab w:val="left" w:pos="2138"/>
        <w:tab w:val="left" w:pos="3005"/>
      </w:tabs>
      <w:spacing w:before="60"/>
      <w:ind w:left="2523" w:hanging="3005"/>
    </w:pPr>
  </w:style>
  <w:style w:type="paragraph" w:customStyle="1" w:styleId="aExamHdgsubparSymb">
    <w:name w:val="aExamHdgsubpar Symb"/>
    <w:basedOn w:val="aExamHdgssSymb"/>
    <w:next w:val="Normal"/>
    <w:rsid w:val="00F1531F"/>
    <w:pPr>
      <w:tabs>
        <w:tab w:val="clear" w:pos="1582"/>
        <w:tab w:val="left" w:pos="2620"/>
      </w:tabs>
      <w:ind w:left="2138" w:hanging="2620"/>
    </w:pPr>
  </w:style>
  <w:style w:type="paragraph" w:customStyle="1" w:styleId="aExamsubparSymb">
    <w:name w:val="aExamsubpar Symb"/>
    <w:basedOn w:val="aExamssSymb"/>
    <w:rsid w:val="00F1531F"/>
    <w:pPr>
      <w:tabs>
        <w:tab w:val="clear" w:pos="1582"/>
        <w:tab w:val="left" w:pos="2620"/>
      </w:tabs>
      <w:ind w:left="2138" w:hanging="2620"/>
    </w:pPr>
  </w:style>
  <w:style w:type="paragraph" w:customStyle="1" w:styleId="aNotesubparSymb">
    <w:name w:val="aNotesubpar Symb"/>
    <w:basedOn w:val="BillBasic"/>
    <w:next w:val="Normal"/>
    <w:rsid w:val="00F1531F"/>
    <w:pPr>
      <w:tabs>
        <w:tab w:val="left" w:pos="2138"/>
        <w:tab w:val="left" w:pos="2937"/>
      </w:tabs>
      <w:ind w:left="2455" w:hanging="2937"/>
    </w:pPr>
    <w:rPr>
      <w:sz w:val="20"/>
    </w:rPr>
  </w:style>
  <w:style w:type="paragraph" w:customStyle="1" w:styleId="aNoteTextsubparSymb">
    <w:name w:val="aNoteTextsubpar Symb"/>
    <w:basedOn w:val="aNotesubparSymb"/>
    <w:rsid w:val="00F1531F"/>
    <w:pPr>
      <w:tabs>
        <w:tab w:val="clear" w:pos="2138"/>
        <w:tab w:val="clear" w:pos="2937"/>
        <w:tab w:val="left" w:pos="2943"/>
      </w:tabs>
      <w:spacing w:before="60"/>
      <w:ind w:left="2943" w:hanging="3425"/>
    </w:pPr>
  </w:style>
  <w:style w:type="paragraph" w:customStyle="1" w:styleId="PenaltySymb">
    <w:name w:val="Penalty Symb"/>
    <w:basedOn w:val="AmainreturnSymb"/>
    <w:rsid w:val="00F1531F"/>
  </w:style>
  <w:style w:type="paragraph" w:customStyle="1" w:styleId="PenaltyParaSymb">
    <w:name w:val="PenaltyPara Symb"/>
    <w:basedOn w:val="Normal"/>
    <w:rsid w:val="00F1531F"/>
    <w:pPr>
      <w:tabs>
        <w:tab w:val="right" w:pos="1360"/>
      </w:tabs>
      <w:spacing w:before="60"/>
      <w:ind w:left="1599" w:hanging="2081"/>
      <w:jc w:val="both"/>
    </w:pPr>
  </w:style>
  <w:style w:type="paragraph" w:customStyle="1" w:styleId="FormulaSymb">
    <w:name w:val="Formula Symb"/>
    <w:basedOn w:val="BillBasic"/>
    <w:rsid w:val="00F1531F"/>
    <w:pPr>
      <w:tabs>
        <w:tab w:val="left" w:pos="-480"/>
      </w:tabs>
      <w:spacing w:line="260" w:lineRule="atLeast"/>
      <w:ind w:hanging="480"/>
      <w:jc w:val="center"/>
    </w:pPr>
  </w:style>
  <w:style w:type="paragraph" w:customStyle="1" w:styleId="NormalSymb">
    <w:name w:val="Normal Symb"/>
    <w:basedOn w:val="Normal"/>
    <w:qFormat/>
    <w:rsid w:val="00F1531F"/>
    <w:pPr>
      <w:ind w:hanging="482"/>
    </w:pPr>
  </w:style>
  <w:style w:type="character" w:styleId="PlaceholderText">
    <w:name w:val="Placeholder Text"/>
    <w:basedOn w:val="DefaultParagraphFont"/>
    <w:uiPriority w:val="99"/>
    <w:semiHidden/>
    <w:rsid w:val="00F1531F"/>
    <w:rPr>
      <w:color w:val="808080"/>
    </w:rPr>
  </w:style>
  <w:style w:type="character" w:customStyle="1" w:styleId="aNoteChar">
    <w:name w:val="aNote Char"/>
    <w:basedOn w:val="DefaultParagraphFont"/>
    <w:link w:val="aNote"/>
    <w:locked/>
    <w:rsid w:val="00FD252A"/>
    <w:rPr>
      <w:lang w:eastAsia="en-US"/>
    </w:rPr>
  </w:style>
  <w:style w:type="character" w:customStyle="1" w:styleId="AmainreturnChar">
    <w:name w:val="A main return Char"/>
    <w:basedOn w:val="DefaultParagraphFont"/>
    <w:link w:val="Amainreturn"/>
    <w:locked/>
    <w:rsid w:val="00E02D37"/>
    <w:rPr>
      <w:sz w:val="24"/>
      <w:lang w:eastAsia="en-US"/>
    </w:rPr>
  </w:style>
  <w:style w:type="character" w:styleId="UnresolvedMention">
    <w:name w:val="Unresolved Mention"/>
    <w:basedOn w:val="DefaultParagraphFont"/>
    <w:uiPriority w:val="99"/>
    <w:semiHidden/>
    <w:unhideWhenUsed/>
    <w:rsid w:val="00D838C8"/>
    <w:rPr>
      <w:color w:val="605E5C"/>
      <w:shd w:val="clear" w:color="auto" w:fill="E1DFDD"/>
    </w:rPr>
  </w:style>
  <w:style w:type="character" w:customStyle="1" w:styleId="HeaderChar">
    <w:name w:val="Header Char"/>
    <w:aliases w:val="cnvHeader Char"/>
    <w:basedOn w:val="DefaultParagraphFont"/>
    <w:link w:val="Header"/>
    <w:rsid w:val="008A2184"/>
    <w:rPr>
      <w:sz w:val="24"/>
      <w:lang w:eastAsia="en-US"/>
    </w:rPr>
  </w:style>
  <w:style w:type="character" w:customStyle="1" w:styleId="charbolditals0">
    <w:name w:val="charbolditals"/>
    <w:basedOn w:val="DefaultParagraphFont"/>
    <w:rsid w:val="00EF5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04-31" TargetMode="External"/><Relationship Id="rId299" Type="http://schemas.openxmlformats.org/officeDocument/2006/relationships/hyperlink" Target="http://www.legislation.act.gov.au/sl/2004-31" TargetMode="External"/><Relationship Id="rId21" Type="http://schemas.openxmlformats.org/officeDocument/2006/relationships/footer" Target="footer3.xml"/><Relationship Id="rId63" Type="http://schemas.openxmlformats.org/officeDocument/2006/relationships/hyperlink" Target="http://www.legislation.act.gov.au/a/2014-4" TargetMode="External"/><Relationship Id="rId159" Type="http://schemas.openxmlformats.org/officeDocument/2006/relationships/hyperlink" Target="http://www.legislation.act.gov.au/sl/2023-8/" TargetMode="External"/><Relationship Id="rId324" Type="http://schemas.openxmlformats.org/officeDocument/2006/relationships/hyperlink" Target="http://www.legislation.act.gov.au/a/2006-2" TargetMode="External"/><Relationship Id="rId170" Type="http://schemas.openxmlformats.org/officeDocument/2006/relationships/hyperlink" Target="http://www.legislation.act.gov.au/sl/2014-17" TargetMode="External"/><Relationship Id="rId226" Type="http://schemas.openxmlformats.org/officeDocument/2006/relationships/hyperlink" Target="http://www.legislation.act.gov.au/sl/2023-8/" TargetMode="External"/><Relationship Id="rId268" Type="http://schemas.openxmlformats.org/officeDocument/2006/relationships/hyperlink" Target="http://www.legislation.act.gov.au/a/2023-28/" TargetMode="External"/><Relationship Id="rId32" Type="http://schemas.openxmlformats.org/officeDocument/2006/relationships/hyperlink" Target="http://www.legislation.act.gov.au/a/2014-4" TargetMode="External"/><Relationship Id="rId74" Type="http://schemas.openxmlformats.org/officeDocument/2006/relationships/hyperlink" Target="http://www.legislation.act.gov.au/a/2004-34" TargetMode="External"/><Relationship Id="rId128" Type="http://schemas.openxmlformats.org/officeDocument/2006/relationships/hyperlink" Target="http://www.legislation.act.gov.au/sl/2004-31" TargetMode="External"/><Relationship Id="rId335" Type="http://schemas.openxmlformats.org/officeDocument/2006/relationships/hyperlink" Target="http://www.legislation.act.gov.au/a/2001-14" TargetMode="External"/><Relationship Id="rId5" Type="http://schemas.openxmlformats.org/officeDocument/2006/relationships/footnotes" Target="footnotes.xml"/><Relationship Id="rId181" Type="http://schemas.openxmlformats.org/officeDocument/2006/relationships/hyperlink" Target="http://www.legislation.act.gov.au/sl/2022-16/" TargetMode="External"/><Relationship Id="rId237" Type="http://schemas.openxmlformats.org/officeDocument/2006/relationships/hyperlink" Target="http://www.legislation.act.gov.au/sl/2023-8/" TargetMode="External"/><Relationship Id="rId279" Type="http://schemas.openxmlformats.org/officeDocument/2006/relationships/hyperlink" Target="http://www.legislation.act.gov.au/sl/2022-16/" TargetMode="External"/><Relationship Id="rId43" Type="http://schemas.openxmlformats.org/officeDocument/2006/relationships/hyperlink" Target="http://www.legislation.act.gov.au/a/2008-35" TargetMode="External"/><Relationship Id="rId139" Type="http://schemas.openxmlformats.org/officeDocument/2006/relationships/hyperlink" Target="http://www.legislation.act.gov.au/sl/2014-17" TargetMode="External"/><Relationship Id="rId290" Type="http://schemas.openxmlformats.org/officeDocument/2006/relationships/hyperlink" Target="http://www.legislation.act.gov.au/sl/2022-16/" TargetMode="External"/><Relationship Id="rId304" Type="http://schemas.openxmlformats.org/officeDocument/2006/relationships/hyperlink" Target="http://www.legislation.act.gov.au/sl/2014-17" TargetMode="External"/><Relationship Id="rId346" Type="http://schemas.openxmlformats.org/officeDocument/2006/relationships/header" Target="header17.xml"/><Relationship Id="rId85" Type="http://schemas.openxmlformats.org/officeDocument/2006/relationships/hyperlink" Target="http://www.legislation.act.gov.au/a/1964-13" TargetMode="External"/><Relationship Id="rId150" Type="http://schemas.openxmlformats.org/officeDocument/2006/relationships/hyperlink" Target="http://www.legislation.act.gov.au/a/2006-2" TargetMode="External"/><Relationship Id="rId192" Type="http://schemas.openxmlformats.org/officeDocument/2006/relationships/hyperlink" Target="http://www.legislation.act.gov.au/sl/2019-10" TargetMode="External"/><Relationship Id="rId206" Type="http://schemas.openxmlformats.org/officeDocument/2006/relationships/hyperlink" Target="http://www.legislation.act.gov.au/sl/2022-16/" TargetMode="External"/><Relationship Id="rId248" Type="http://schemas.openxmlformats.org/officeDocument/2006/relationships/hyperlink" Target="http://www.legislation.act.gov.au/sl/2019-1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5-21/default.asp" TargetMode="External"/><Relationship Id="rId315" Type="http://schemas.openxmlformats.org/officeDocument/2006/relationships/hyperlink" Target="http://www.legislation.act.gov.au/sl/2023-8/" TargetMode="External"/><Relationship Id="rId54" Type="http://schemas.openxmlformats.org/officeDocument/2006/relationships/hyperlink" Target="http://www.legislation.act.gov.au/a/2001-49" TargetMode="External"/><Relationship Id="rId96" Type="http://schemas.openxmlformats.org/officeDocument/2006/relationships/hyperlink" Target="http://www.legislation.act.gov.au/sl/2004-31" TargetMode="External"/><Relationship Id="rId161" Type="http://schemas.openxmlformats.org/officeDocument/2006/relationships/hyperlink" Target="http://www.legislation.act.gov.au/sl/2014-17" TargetMode="External"/><Relationship Id="rId217" Type="http://schemas.openxmlformats.org/officeDocument/2006/relationships/hyperlink" Target="http://www.legislation.act.gov.au/sl/2014-17" TargetMode="External"/><Relationship Id="rId259" Type="http://schemas.openxmlformats.org/officeDocument/2006/relationships/hyperlink" Target="http://www.legislation.act.gov.au/sl/2019-10" TargetMode="External"/><Relationship Id="rId23" Type="http://schemas.openxmlformats.org/officeDocument/2006/relationships/header" Target="header5.xml"/><Relationship Id="rId119" Type="http://schemas.openxmlformats.org/officeDocument/2006/relationships/hyperlink" Target="http://www.legislation.act.gov.au/a/2015-41" TargetMode="External"/><Relationship Id="rId270" Type="http://schemas.openxmlformats.org/officeDocument/2006/relationships/hyperlink" Target="http://www.legislation.act.gov.au/a/2023-28/" TargetMode="External"/><Relationship Id="rId326" Type="http://schemas.openxmlformats.org/officeDocument/2006/relationships/hyperlink" Target="http://www.legislation.act.gov.au/a/2008-37" TargetMode="External"/><Relationship Id="rId65" Type="http://schemas.openxmlformats.org/officeDocument/2006/relationships/hyperlink" Target="http://www.legislation.act.gov.au/a/1998-24" TargetMode="External"/><Relationship Id="rId130" Type="http://schemas.openxmlformats.org/officeDocument/2006/relationships/hyperlink" Target="http://www.legislation.act.gov.au/sl/2014-17" TargetMode="External"/><Relationship Id="rId172" Type="http://schemas.openxmlformats.org/officeDocument/2006/relationships/hyperlink" Target="http://www.legislation.act.gov.au/a/2008-37" TargetMode="External"/><Relationship Id="rId228" Type="http://schemas.openxmlformats.org/officeDocument/2006/relationships/hyperlink" Target="http://www.legislation.act.gov.au/sl/2023-8/" TargetMode="External"/><Relationship Id="rId281" Type="http://schemas.openxmlformats.org/officeDocument/2006/relationships/hyperlink" Target="http://www.legislation.act.gov.au/sl/2014-17" TargetMode="External"/><Relationship Id="rId337" Type="http://schemas.openxmlformats.org/officeDocument/2006/relationships/header" Target="header13.xml"/><Relationship Id="rId34" Type="http://schemas.openxmlformats.org/officeDocument/2006/relationships/hyperlink" Target="http://www.legislation.act.gov.au/a/1964-15" TargetMode="External"/><Relationship Id="rId76" Type="http://schemas.openxmlformats.org/officeDocument/2006/relationships/header" Target="header8.xml"/><Relationship Id="rId141" Type="http://schemas.openxmlformats.org/officeDocument/2006/relationships/hyperlink" Target="http://www.legislation.act.gov.au/sl/2014-17" TargetMode="External"/><Relationship Id="rId7" Type="http://schemas.openxmlformats.org/officeDocument/2006/relationships/image" Target="media/image1.png"/><Relationship Id="rId183" Type="http://schemas.openxmlformats.org/officeDocument/2006/relationships/hyperlink" Target="http://www.legislation.act.gov.au/sl/2022-16/" TargetMode="External"/><Relationship Id="rId239" Type="http://schemas.openxmlformats.org/officeDocument/2006/relationships/hyperlink" Target="http://www.legislation.act.gov.au/sl/2023-8/" TargetMode="External"/><Relationship Id="rId250" Type="http://schemas.openxmlformats.org/officeDocument/2006/relationships/hyperlink" Target="http://www.legislation.act.gov.au/sl/2014-17" TargetMode="External"/><Relationship Id="rId292" Type="http://schemas.openxmlformats.org/officeDocument/2006/relationships/hyperlink" Target="http://www.legislation.act.gov.au/sl/2022-16/" TargetMode="External"/><Relationship Id="rId306" Type="http://schemas.openxmlformats.org/officeDocument/2006/relationships/hyperlink" Target="http://www.legislation.act.gov.au/sl/2022-16/" TargetMode="External"/><Relationship Id="rId45" Type="http://schemas.openxmlformats.org/officeDocument/2006/relationships/hyperlink" Target="http://www.legislation.act.gov.au/a/1998-24" TargetMode="External"/><Relationship Id="rId87" Type="http://schemas.openxmlformats.org/officeDocument/2006/relationships/hyperlink" Target="http://www.legislation.act.gov.au/a/2001-49" TargetMode="External"/><Relationship Id="rId110" Type="http://schemas.openxmlformats.org/officeDocument/2006/relationships/hyperlink" Target="http://www.legislation.act.gov.au/a/2015-41" TargetMode="External"/><Relationship Id="rId348" Type="http://schemas.openxmlformats.org/officeDocument/2006/relationships/fontTable" Target="fontTable.xml"/><Relationship Id="rId152" Type="http://schemas.openxmlformats.org/officeDocument/2006/relationships/hyperlink" Target="http://www.legislation.act.gov.au/a/2015-41" TargetMode="External"/><Relationship Id="rId194" Type="http://schemas.openxmlformats.org/officeDocument/2006/relationships/hyperlink" Target="http://www.legislation.act.gov.au/sl/2022-16/" TargetMode="External"/><Relationship Id="rId208" Type="http://schemas.openxmlformats.org/officeDocument/2006/relationships/hyperlink" Target="http://www.legislation.act.gov.au/sl/2022-16/" TargetMode="External"/><Relationship Id="rId261" Type="http://schemas.openxmlformats.org/officeDocument/2006/relationships/hyperlink" Target="http://www.legislation.act.gov.au/sl/2023-8/"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2014-4" TargetMode="External"/><Relationship Id="rId317" Type="http://schemas.openxmlformats.org/officeDocument/2006/relationships/hyperlink" Target="http://www.legislation.act.gov.au/sl/2014-17"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06-2" TargetMode="External"/><Relationship Id="rId121" Type="http://schemas.openxmlformats.org/officeDocument/2006/relationships/hyperlink" Target="http://www.legislation.act.gov.au/sl/2014-17" TargetMode="External"/><Relationship Id="rId142" Type="http://schemas.openxmlformats.org/officeDocument/2006/relationships/hyperlink" Target="http://www.legislation.act.gov.au/sl/2022-17/" TargetMode="External"/><Relationship Id="rId163" Type="http://schemas.openxmlformats.org/officeDocument/2006/relationships/hyperlink" Target="http://www.legislation.act.gov.au/sl/2014-17" TargetMode="External"/><Relationship Id="rId184" Type="http://schemas.openxmlformats.org/officeDocument/2006/relationships/hyperlink" Target="http://www.legislation.act.gov.au/sl/2019-10" TargetMode="External"/><Relationship Id="rId219" Type="http://schemas.openxmlformats.org/officeDocument/2006/relationships/hyperlink" Target="http://www.legislation.act.gov.au/sl/2014-17" TargetMode="External"/><Relationship Id="rId230" Type="http://schemas.openxmlformats.org/officeDocument/2006/relationships/hyperlink" Target="http://www.legislation.act.gov.au/sl/2023-8/" TargetMode="External"/><Relationship Id="rId251" Type="http://schemas.openxmlformats.org/officeDocument/2006/relationships/hyperlink" Target="http://www.legislation.act.gov.au/sl/2019-10" TargetMode="External"/><Relationship Id="rId25" Type="http://schemas.openxmlformats.org/officeDocument/2006/relationships/footer" Target="footer5.xml"/><Relationship Id="rId46" Type="http://schemas.openxmlformats.org/officeDocument/2006/relationships/hyperlink" Target="http://www.legislation.act.gov.au/a/2008-35" TargetMode="External"/><Relationship Id="rId67" Type="http://schemas.openxmlformats.org/officeDocument/2006/relationships/hyperlink" Target="http://www.legislation.act.gov.au/a/1999-46/default.asp" TargetMode="External"/><Relationship Id="rId272" Type="http://schemas.openxmlformats.org/officeDocument/2006/relationships/hyperlink" Target="http://www.legislation.act.gov.au/sl/2019-10" TargetMode="External"/><Relationship Id="rId293" Type="http://schemas.openxmlformats.org/officeDocument/2006/relationships/hyperlink" Target="http://www.legislation.act.gov.au/sl/2023-8/" TargetMode="External"/><Relationship Id="rId307" Type="http://schemas.openxmlformats.org/officeDocument/2006/relationships/hyperlink" Target="http://www.legislation.act.gov.au/sl/2023-8/" TargetMode="External"/><Relationship Id="rId328" Type="http://schemas.openxmlformats.org/officeDocument/2006/relationships/hyperlink" Target="http://www.legislation.act.gov.au/sl/2014-17/default.asp" TargetMode="External"/><Relationship Id="rId349" Type="http://schemas.openxmlformats.org/officeDocument/2006/relationships/theme" Target="theme/theme1.xml"/><Relationship Id="rId88" Type="http://schemas.openxmlformats.org/officeDocument/2006/relationships/hyperlink" Target="http://www.legislation.act.gov.au/a/2014-4/default.asp" TargetMode="External"/><Relationship Id="rId111" Type="http://schemas.openxmlformats.org/officeDocument/2006/relationships/hyperlink" Target="http://www.legislation.act.gov.au/sl/2019-10" TargetMode="External"/><Relationship Id="rId132" Type="http://schemas.openxmlformats.org/officeDocument/2006/relationships/hyperlink" Target="http://www.legislation.act.gov.au/sl/2004-31" TargetMode="External"/><Relationship Id="rId153" Type="http://schemas.openxmlformats.org/officeDocument/2006/relationships/hyperlink" Target="http://www.legislation.act.gov.au/sl/2014-17" TargetMode="External"/><Relationship Id="rId174" Type="http://schemas.openxmlformats.org/officeDocument/2006/relationships/hyperlink" Target="http://www.legislation.act.gov.au/sl/2014-17" TargetMode="External"/><Relationship Id="rId195" Type="http://schemas.openxmlformats.org/officeDocument/2006/relationships/hyperlink" Target="http://www.legislation.act.gov.au/sl/2022-16/" TargetMode="External"/><Relationship Id="rId209" Type="http://schemas.openxmlformats.org/officeDocument/2006/relationships/hyperlink" Target="http://www.legislation.act.gov.au/sl/2022-16/" TargetMode="External"/><Relationship Id="rId220" Type="http://schemas.openxmlformats.org/officeDocument/2006/relationships/hyperlink" Target="http://www.legislation.act.gov.au/sl/2014-17" TargetMode="External"/><Relationship Id="rId241" Type="http://schemas.openxmlformats.org/officeDocument/2006/relationships/hyperlink" Target="http://www.legislation.act.gov.au/sl/2023-8/"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64-13" TargetMode="External"/><Relationship Id="rId57" Type="http://schemas.openxmlformats.org/officeDocument/2006/relationships/hyperlink" Target="http://www.legislation.act.gov.au/a/2006-2" TargetMode="External"/><Relationship Id="rId262" Type="http://schemas.openxmlformats.org/officeDocument/2006/relationships/hyperlink" Target="http://www.legislation.act.gov.au/sl/2014-17" TargetMode="External"/><Relationship Id="rId283" Type="http://schemas.openxmlformats.org/officeDocument/2006/relationships/hyperlink" Target="http://www.legislation.act.gov.au/sl/2022-16/" TargetMode="External"/><Relationship Id="rId318" Type="http://schemas.openxmlformats.org/officeDocument/2006/relationships/hyperlink" Target="http://www.legislation.act.gov.au/sl/2022-16/" TargetMode="External"/><Relationship Id="rId339" Type="http://schemas.openxmlformats.org/officeDocument/2006/relationships/footer" Target="footer15.xml"/><Relationship Id="rId78" Type="http://schemas.openxmlformats.org/officeDocument/2006/relationships/footer" Target="footer10.xml"/><Relationship Id="rId99" Type="http://schemas.openxmlformats.org/officeDocument/2006/relationships/hyperlink" Target="http://www.legislation.act.gov.au/cn/2006-6/default.asp" TargetMode="External"/><Relationship Id="rId101" Type="http://schemas.openxmlformats.org/officeDocument/2006/relationships/hyperlink" Target="http://www.legislation.act.gov.au/a/2008-37" TargetMode="External"/><Relationship Id="rId122" Type="http://schemas.openxmlformats.org/officeDocument/2006/relationships/hyperlink" Target="http://www.legislation.act.gov.au/sl/2004-31" TargetMode="External"/><Relationship Id="rId143" Type="http://schemas.openxmlformats.org/officeDocument/2006/relationships/hyperlink" Target="http://www.legislation.act.gov.au/sl/2022-16/" TargetMode="External"/><Relationship Id="rId164" Type="http://schemas.openxmlformats.org/officeDocument/2006/relationships/hyperlink" Target="http://www.legislation.act.gov.au/sl/2014-17" TargetMode="External"/><Relationship Id="rId185" Type="http://schemas.openxmlformats.org/officeDocument/2006/relationships/hyperlink" Target="http://www.legislation.act.gov.au/sl/2022-16/"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sl/2022-16/" TargetMode="External"/><Relationship Id="rId26" Type="http://schemas.openxmlformats.org/officeDocument/2006/relationships/footer" Target="footer6.xml"/><Relationship Id="rId231" Type="http://schemas.openxmlformats.org/officeDocument/2006/relationships/hyperlink" Target="http://www.legislation.act.gov.au/sl/2023-8/" TargetMode="External"/><Relationship Id="rId252" Type="http://schemas.openxmlformats.org/officeDocument/2006/relationships/hyperlink" Target="http://www.legislation.act.gov.au/sl/2014-17" TargetMode="External"/><Relationship Id="rId273" Type="http://schemas.openxmlformats.org/officeDocument/2006/relationships/hyperlink" Target="http://www.legislation.act.gov.au/sl/2019-10" TargetMode="External"/><Relationship Id="rId294" Type="http://schemas.openxmlformats.org/officeDocument/2006/relationships/hyperlink" Target="http://www.legislation.act.gov.au/sl/2022-16/" TargetMode="External"/><Relationship Id="rId308" Type="http://schemas.openxmlformats.org/officeDocument/2006/relationships/hyperlink" Target="http://www.legislation.act.gov.au/sl/2004-31" TargetMode="External"/><Relationship Id="rId329" Type="http://schemas.openxmlformats.org/officeDocument/2006/relationships/hyperlink" Target="http://www.legislation.act.gov.au/sl/2015-27/default.asp" TargetMode="External"/><Relationship Id="rId47" Type="http://schemas.openxmlformats.org/officeDocument/2006/relationships/hyperlink" Target="http://www.legislation.act.gov.au/a/2008-35" TargetMode="External"/><Relationship Id="rId68" Type="http://schemas.openxmlformats.org/officeDocument/2006/relationships/hyperlink" Target="http://www.legislation.act.gov.au/a/1999-46/default.asp" TargetMode="External"/><Relationship Id="rId89" Type="http://schemas.openxmlformats.org/officeDocument/2006/relationships/header" Target="header10.xml"/><Relationship Id="rId112" Type="http://schemas.openxmlformats.org/officeDocument/2006/relationships/hyperlink" Target="http://www.legislation.act.gov.au/sl/2022-17/" TargetMode="External"/><Relationship Id="rId133" Type="http://schemas.openxmlformats.org/officeDocument/2006/relationships/hyperlink" Target="http://www.legislation.act.gov.au/sl/2014-17" TargetMode="External"/><Relationship Id="rId154" Type="http://schemas.openxmlformats.org/officeDocument/2006/relationships/hyperlink" Target="http://www.legislation.act.gov.au/sl/2004-31" TargetMode="External"/><Relationship Id="rId175" Type="http://schemas.openxmlformats.org/officeDocument/2006/relationships/hyperlink" Target="http://www.legislation.act.gov.au/a/2006-2" TargetMode="External"/><Relationship Id="rId340" Type="http://schemas.openxmlformats.org/officeDocument/2006/relationships/header" Target="header14.xml"/><Relationship Id="rId196" Type="http://schemas.openxmlformats.org/officeDocument/2006/relationships/hyperlink" Target="http://www.legislation.act.gov.au/sl/2022-16/" TargetMode="External"/><Relationship Id="rId200" Type="http://schemas.openxmlformats.org/officeDocument/2006/relationships/hyperlink" Target="http://www.legislation.act.gov.au/sl/2022-16/" TargetMode="External"/><Relationship Id="rId16" Type="http://schemas.openxmlformats.org/officeDocument/2006/relationships/header" Target="header1.xml"/><Relationship Id="rId221" Type="http://schemas.openxmlformats.org/officeDocument/2006/relationships/hyperlink" Target="http://www.legislation.act.gov.au/sl/2015-27" TargetMode="External"/><Relationship Id="rId242" Type="http://schemas.openxmlformats.org/officeDocument/2006/relationships/hyperlink" Target="http://www.legislation.act.gov.au/sl/2023-8/" TargetMode="External"/><Relationship Id="rId263" Type="http://schemas.openxmlformats.org/officeDocument/2006/relationships/hyperlink" Target="http://www.legislation.act.gov.au/sl/2019-10" TargetMode="External"/><Relationship Id="rId284" Type="http://schemas.openxmlformats.org/officeDocument/2006/relationships/hyperlink" Target="http://www.legislation.act.gov.au/sl/2023-8/" TargetMode="External"/><Relationship Id="rId319" Type="http://schemas.openxmlformats.org/officeDocument/2006/relationships/hyperlink" Target="http://www.legislation.act.gov.au/sl/2022-16/" TargetMode="External"/><Relationship Id="rId37" Type="http://schemas.openxmlformats.org/officeDocument/2006/relationships/hyperlink" Target="http://www.legislation.act.gov.au/a/1998-24" TargetMode="External"/><Relationship Id="rId58" Type="http://schemas.openxmlformats.org/officeDocument/2006/relationships/hyperlink" Target="http://www.legislation.act.gov.au/a/1998-24" TargetMode="External"/><Relationship Id="rId79" Type="http://schemas.openxmlformats.org/officeDocument/2006/relationships/footer" Target="footer11.xml"/><Relationship Id="rId102" Type="http://schemas.openxmlformats.org/officeDocument/2006/relationships/hyperlink" Target="http://www.legislation.act.gov.au/a/2008-35" TargetMode="External"/><Relationship Id="rId123" Type="http://schemas.openxmlformats.org/officeDocument/2006/relationships/hyperlink" Target="http://www.legislation.act.gov.au/sl/2004-31" TargetMode="External"/><Relationship Id="rId144" Type="http://schemas.openxmlformats.org/officeDocument/2006/relationships/hyperlink" Target="http://www.legislation.act.gov.au/sl/2022-16/" TargetMode="External"/><Relationship Id="rId330" Type="http://schemas.openxmlformats.org/officeDocument/2006/relationships/hyperlink" Target="http://www.legislation.act.gov.au/a/2015-41" TargetMode="External"/><Relationship Id="rId90" Type="http://schemas.openxmlformats.org/officeDocument/2006/relationships/header" Target="header11.xml"/><Relationship Id="rId165" Type="http://schemas.openxmlformats.org/officeDocument/2006/relationships/hyperlink" Target="http://www.legislation.act.gov.au/sl/2014-17" TargetMode="External"/><Relationship Id="rId186" Type="http://schemas.openxmlformats.org/officeDocument/2006/relationships/hyperlink" Target="http://www.legislation.act.gov.au/sl/2019-10" TargetMode="External"/><Relationship Id="rId211" Type="http://schemas.openxmlformats.org/officeDocument/2006/relationships/hyperlink" Target="http://www.legislation.act.gov.au/sl/2004-31" TargetMode="External"/><Relationship Id="rId232" Type="http://schemas.openxmlformats.org/officeDocument/2006/relationships/hyperlink" Target="http://www.legislation.act.gov.au/sl/2023-8/" TargetMode="External"/><Relationship Id="rId253" Type="http://schemas.openxmlformats.org/officeDocument/2006/relationships/hyperlink" Target="http://www.legislation.act.gov.au/sl/2019-10" TargetMode="External"/><Relationship Id="rId274" Type="http://schemas.openxmlformats.org/officeDocument/2006/relationships/hyperlink" Target="http://www.legislation.act.gov.au/sl/2004-31" TargetMode="External"/><Relationship Id="rId295" Type="http://schemas.openxmlformats.org/officeDocument/2006/relationships/hyperlink" Target="http://www.legislation.act.gov.au/sl/2023-8/" TargetMode="External"/><Relationship Id="rId309" Type="http://schemas.openxmlformats.org/officeDocument/2006/relationships/hyperlink" Target="http://www.legislation.act.gov.au/sl/2023-8/" TargetMode="External"/><Relationship Id="rId27" Type="http://schemas.openxmlformats.org/officeDocument/2006/relationships/hyperlink" Target="http://www.legislation.act.gov.au/a/1964-13" TargetMode="External"/><Relationship Id="rId48" Type="http://schemas.openxmlformats.org/officeDocument/2006/relationships/hyperlink" Target="http://www.legislation.act.gov.au/a/2008-35" TargetMode="External"/><Relationship Id="rId69" Type="http://schemas.openxmlformats.org/officeDocument/2006/relationships/hyperlink" Target="http://www.legislation.act.gov.au/a/1999-46/default.asp" TargetMode="External"/><Relationship Id="rId113" Type="http://schemas.openxmlformats.org/officeDocument/2006/relationships/hyperlink" Target="http://www.legislation.act.gov.au/sl/2023-8/" TargetMode="External"/><Relationship Id="rId134" Type="http://schemas.openxmlformats.org/officeDocument/2006/relationships/hyperlink" Target="http://www.legislation.act.gov.au/a/2008-37" TargetMode="External"/><Relationship Id="rId320" Type="http://schemas.openxmlformats.org/officeDocument/2006/relationships/hyperlink" Target="http://www.legislation.act.gov.au/sl/2023-8/"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14-4" TargetMode="External"/><Relationship Id="rId176" Type="http://schemas.openxmlformats.org/officeDocument/2006/relationships/hyperlink" Target="http://www.legislation.act.gov.au/sl/2004-31" TargetMode="External"/><Relationship Id="rId197" Type="http://schemas.openxmlformats.org/officeDocument/2006/relationships/hyperlink" Target="http://www.legislation.act.gov.au/sl/2022-16/" TargetMode="External"/><Relationship Id="rId341" Type="http://schemas.openxmlformats.org/officeDocument/2006/relationships/header" Target="header15.xml"/><Relationship Id="rId201" Type="http://schemas.openxmlformats.org/officeDocument/2006/relationships/hyperlink" Target="http://www.legislation.act.gov.au/sl/2022-16/" TargetMode="External"/><Relationship Id="rId222" Type="http://schemas.openxmlformats.org/officeDocument/2006/relationships/hyperlink" Target="http://www.legislation.act.gov.au/sl/2023-8/" TargetMode="External"/><Relationship Id="rId243" Type="http://schemas.openxmlformats.org/officeDocument/2006/relationships/hyperlink" Target="http://www.legislation.act.gov.au/sl/2023-8/" TargetMode="External"/><Relationship Id="rId264" Type="http://schemas.openxmlformats.org/officeDocument/2006/relationships/hyperlink" Target="http://www.legislation.act.gov.au/a/2023-28/" TargetMode="External"/><Relationship Id="rId285" Type="http://schemas.openxmlformats.org/officeDocument/2006/relationships/hyperlink" Target="http://www.legislation.act.gov.au/a/2006-2" TargetMode="External"/><Relationship Id="rId17" Type="http://schemas.openxmlformats.org/officeDocument/2006/relationships/header" Target="header2.xml"/><Relationship Id="rId38" Type="http://schemas.openxmlformats.org/officeDocument/2006/relationships/hyperlink" Target="http://www.legislation.act.gov.au/a/2001-49" TargetMode="External"/><Relationship Id="rId59" Type="http://schemas.openxmlformats.org/officeDocument/2006/relationships/hyperlink" Target="http://www.legislation.act.gov.au/a/2001-49" TargetMode="External"/><Relationship Id="rId103" Type="http://schemas.openxmlformats.org/officeDocument/2006/relationships/hyperlink" Target="http://www.legislation.act.gov.au/cn/2009-2/default.asp" TargetMode="External"/><Relationship Id="rId124" Type="http://schemas.openxmlformats.org/officeDocument/2006/relationships/hyperlink" Target="http://www.legislation.act.gov.au/sl/2014-17" TargetMode="External"/><Relationship Id="rId310" Type="http://schemas.openxmlformats.org/officeDocument/2006/relationships/hyperlink" Target="http://www.legislation.act.gov.au/sl/2023-8/" TargetMode="External"/><Relationship Id="rId70" Type="http://schemas.openxmlformats.org/officeDocument/2006/relationships/hyperlink" Target="http://www.legislation.act.gov.au/a/2001-14" TargetMode="External"/><Relationship Id="rId91" Type="http://schemas.openxmlformats.org/officeDocument/2006/relationships/footer" Target="footer12.xml"/><Relationship Id="rId145" Type="http://schemas.openxmlformats.org/officeDocument/2006/relationships/hyperlink" Target="http://www.legislation.act.gov.au/sl/2023-8/" TargetMode="External"/><Relationship Id="rId166" Type="http://schemas.openxmlformats.org/officeDocument/2006/relationships/hyperlink" Target="http://www.legislation.act.gov.au/a/2006-2" TargetMode="External"/><Relationship Id="rId187" Type="http://schemas.openxmlformats.org/officeDocument/2006/relationships/hyperlink" Target="http://www.legislation.act.gov.au/sl/2022-16/" TargetMode="External"/><Relationship Id="rId331" Type="http://schemas.openxmlformats.org/officeDocument/2006/relationships/hyperlink" Target="https://www.legislation.act.gov.au/sl/2019-10/" TargetMode="External"/><Relationship Id="rId1" Type="http://schemas.openxmlformats.org/officeDocument/2006/relationships/numbering" Target="numbering.xml"/><Relationship Id="rId212" Type="http://schemas.openxmlformats.org/officeDocument/2006/relationships/hyperlink" Target="http://www.legislation.act.gov.au/a/2006-2" TargetMode="External"/><Relationship Id="rId233" Type="http://schemas.openxmlformats.org/officeDocument/2006/relationships/hyperlink" Target="http://www.legislation.act.gov.au/sl/2023-8/" TargetMode="External"/><Relationship Id="rId254" Type="http://schemas.openxmlformats.org/officeDocument/2006/relationships/hyperlink" Target="http://www.legislation.act.gov.au/sl/2023-8/" TargetMode="External"/><Relationship Id="rId28" Type="http://schemas.openxmlformats.org/officeDocument/2006/relationships/hyperlink" Target="http://www.legislation.act.gov.au/a/2001-14" TargetMode="External"/><Relationship Id="rId49" Type="http://schemas.openxmlformats.org/officeDocument/2006/relationships/header" Target="header6.xml"/><Relationship Id="rId114" Type="http://schemas.openxmlformats.org/officeDocument/2006/relationships/hyperlink" Target="http://www.legislation.act.gov.au/a/2023-28/" TargetMode="External"/><Relationship Id="rId275" Type="http://schemas.openxmlformats.org/officeDocument/2006/relationships/hyperlink" Target="http://www.legislation.act.gov.au/a/2008-37" TargetMode="External"/><Relationship Id="rId296" Type="http://schemas.openxmlformats.org/officeDocument/2006/relationships/hyperlink" Target="http://www.legislation.act.gov.au/sl/2023-8/" TargetMode="External"/><Relationship Id="rId300" Type="http://schemas.openxmlformats.org/officeDocument/2006/relationships/hyperlink" Target="http://www.legislation.act.gov.au/a/2007-16" TargetMode="External"/><Relationship Id="rId60" Type="http://schemas.openxmlformats.org/officeDocument/2006/relationships/hyperlink" Target="http://www.legislation.act.gov.au/a/2014-4" TargetMode="External"/><Relationship Id="rId81" Type="http://schemas.openxmlformats.org/officeDocument/2006/relationships/hyperlink" Target="http://www.legislation.act.gov.au/a/1999-46" TargetMode="External"/><Relationship Id="rId135" Type="http://schemas.openxmlformats.org/officeDocument/2006/relationships/hyperlink" Target="http://www.legislation.act.gov.au/a/2008-37" TargetMode="External"/><Relationship Id="rId156" Type="http://schemas.openxmlformats.org/officeDocument/2006/relationships/hyperlink" Target="http://www.legislation.act.gov.au/sl/2014-17" TargetMode="External"/><Relationship Id="rId177" Type="http://schemas.openxmlformats.org/officeDocument/2006/relationships/hyperlink" Target="http://www.legislation.act.gov.au/a/2006-2" TargetMode="External"/><Relationship Id="rId198" Type="http://schemas.openxmlformats.org/officeDocument/2006/relationships/hyperlink" Target="http://www.legislation.act.gov.au/sl/2022-16/" TargetMode="External"/><Relationship Id="rId321" Type="http://schemas.openxmlformats.org/officeDocument/2006/relationships/hyperlink" Target="http://www.legislation.act.gov.au/sl/2014-17" TargetMode="External"/><Relationship Id="rId342" Type="http://schemas.openxmlformats.org/officeDocument/2006/relationships/footer" Target="footer16.xml"/><Relationship Id="rId202" Type="http://schemas.openxmlformats.org/officeDocument/2006/relationships/hyperlink" Target="http://www.legislation.act.gov.au/sl/2022-16/" TargetMode="External"/><Relationship Id="rId223" Type="http://schemas.openxmlformats.org/officeDocument/2006/relationships/hyperlink" Target="http://www.legislation.act.gov.au/sl/2004-31" TargetMode="External"/><Relationship Id="rId244" Type="http://schemas.openxmlformats.org/officeDocument/2006/relationships/hyperlink" Target="http://www.legislation.act.gov.au/sl/2023-8/" TargetMode="External"/><Relationship Id="rId18" Type="http://schemas.openxmlformats.org/officeDocument/2006/relationships/footer" Target="footer1.xml"/><Relationship Id="rId39" Type="http://schemas.openxmlformats.org/officeDocument/2006/relationships/hyperlink" Target="http://www.legislation.act.gov.au/a/1999-46/default.asp" TargetMode="External"/><Relationship Id="rId265" Type="http://schemas.openxmlformats.org/officeDocument/2006/relationships/hyperlink" Target="http://www.legislation.act.gov.au/a/2023-28/" TargetMode="External"/><Relationship Id="rId286" Type="http://schemas.openxmlformats.org/officeDocument/2006/relationships/hyperlink" Target="http://www.legislation.act.gov.au/a/2023-28/" TargetMode="External"/><Relationship Id="rId50" Type="http://schemas.openxmlformats.org/officeDocument/2006/relationships/header" Target="header7.xml"/><Relationship Id="rId104" Type="http://schemas.openxmlformats.org/officeDocument/2006/relationships/hyperlink" Target="http://www.legislation.act.gov.au/a/2014-4" TargetMode="External"/><Relationship Id="rId125" Type="http://schemas.openxmlformats.org/officeDocument/2006/relationships/hyperlink" Target="http://www.legislation.act.gov.au/sl/2014-17" TargetMode="External"/><Relationship Id="rId146" Type="http://schemas.openxmlformats.org/officeDocument/2006/relationships/hyperlink" Target="http://www.legislation.act.gov.au/sl/2022-16/" TargetMode="External"/><Relationship Id="rId167" Type="http://schemas.openxmlformats.org/officeDocument/2006/relationships/hyperlink" Target="http://www.legislation.act.gov.au/sl/2004-31" TargetMode="External"/><Relationship Id="rId188" Type="http://schemas.openxmlformats.org/officeDocument/2006/relationships/hyperlink" Target="http://www.legislation.act.gov.au/sl/2019-10" TargetMode="External"/><Relationship Id="rId311" Type="http://schemas.openxmlformats.org/officeDocument/2006/relationships/hyperlink" Target="http://www.legislation.act.gov.au/sl/2014-17" TargetMode="External"/><Relationship Id="rId332" Type="http://schemas.openxmlformats.org/officeDocument/2006/relationships/hyperlink" Target="https://www.legislation.act.gov.au/sl/2019-10/" TargetMode="External"/><Relationship Id="rId71" Type="http://schemas.openxmlformats.org/officeDocument/2006/relationships/hyperlink" Target="http://www.legislation.act.gov.au/a/2006-2" TargetMode="External"/><Relationship Id="rId92" Type="http://schemas.openxmlformats.org/officeDocument/2006/relationships/footer" Target="footer13.xml"/><Relationship Id="rId213" Type="http://schemas.openxmlformats.org/officeDocument/2006/relationships/hyperlink" Target="http://www.legislation.act.gov.au/sl/2014-17" TargetMode="External"/><Relationship Id="rId234" Type="http://schemas.openxmlformats.org/officeDocument/2006/relationships/hyperlink" Target="http://www.legislation.act.gov.au/sl/2023-8/"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sl/2022-16/" TargetMode="External"/><Relationship Id="rId276" Type="http://schemas.openxmlformats.org/officeDocument/2006/relationships/hyperlink" Target="http://www.legislation.act.gov.au/sl/2022-16/" TargetMode="External"/><Relationship Id="rId297" Type="http://schemas.openxmlformats.org/officeDocument/2006/relationships/hyperlink" Target="http://www.legislation.act.gov.au/sl/2014-17"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sl/2004-31" TargetMode="External"/><Relationship Id="rId136" Type="http://schemas.openxmlformats.org/officeDocument/2006/relationships/hyperlink" Target="http://www.legislation.act.gov.au/sl/2014-17" TargetMode="External"/><Relationship Id="rId157" Type="http://schemas.openxmlformats.org/officeDocument/2006/relationships/hyperlink" Target="http://www.legislation.act.gov.au/sl/2022-16/" TargetMode="External"/><Relationship Id="rId178" Type="http://schemas.openxmlformats.org/officeDocument/2006/relationships/hyperlink" Target="http://www.legislation.act.gov.au/sl/2019-10" TargetMode="External"/><Relationship Id="rId301" Type="http://schemas.openxmlformats.org/officeDocument/2006/relationships/hyperlink" Target="http://www.legislation.act.gov.au/sl/2023-8/" TargetMode="External"/><Relationship Id="rId322" Type="http://schemas.openxmlformats.org/officeDocument/2006/relationships/hyperlink" Target="http://www.legislation.act.gov.au/sl/2004-31" TargetMode="External"/><Relationship Id="rId343" Type="http://schemas.openxmlformats.org/officeDocument/2006/relationships/footer" Target="footer17.xml"/><Relationship Id="rId61" Type="http://schemas.openxmlformats.org/officeDocument/2006/relationships/hyperlink" Target="http://www.legislation.act.gov.au/a/1964-13" TargetMode="External"/><Relationship Id="rId82" Type="http://schemas.openxmlformats.org/officeDocument/2006/relationships/hyperlink" Target="http://www.legislation.act.gov.au/a/1999-46" TargetMode="External"/><Relationship Id="rId199" Type="http://schemas.openxmlformats.org/officeDocument/2006/relationships/hyperlink" Target="http://www.legislation.act.gov.au/sl/2022-16/" TargetMode="External"/><Relationship Id="rId203" Type="http://schemas.openxmlformats.org/officeDocument/2006/relationships/hyperlink" Target="http://www.legislation.act.gov.au/sl/2022-16/" TargetMode="External"/><Relationship Id="rId19" Type="http://schemas.openxmlformats.org/officeDocument/2006/relationships/footer" Target="footer2.xml"/><Relationship Id="rId224" Type="http://schemas.openxmlformats.org/officeDocument/2006/relationships/hyperlink" Target="http://www.legislation.act.gov.au/sl/2023-8/" TargetMode="External"/><Relationship Id="rId245" Type="http://schemas.openxmlformats.org/officeDocument/2006/relationships/hyperlink" Target="http://www.legislation.act.gov.au/sl/2004-31" TargetMode="External"/><Relationship Id="rId266" Type="http://schemas.openxmlformats.org/officeDocument/2006/relationships/hyperlink" Target="http://www.legislation.act.gov.au/a/2023-28/" TargetMode="External"/><Relationship Id="rId287" Type="http://schemas.openxmlformats.org/officeDocument/2006/relationships/hyperlink" Target="http://www.legislation.act.gov.au/sl/2014-17" TargetMode="External"/><Relationship Id="rId30" Type="http://schemas.openxmlformats.org/officeDocument/2006/relationships/hyperlink" Target="http://www.legislation.act.gov.au/a/1998-24" TargetMode="External"/><Relationship Id="rId105" Type="http://schemas.openxmlformats.org/officeDocument/2006/relationships/hyperlink" Target="http://www.legislation.act.gov.au/sl/2014-17" TargetMode="External"/><Relationship Id="rId126" Type="http://schemas.openxmlformats.org/officeDocument/2006/relationships/hyperlink" Target="http://www.legislation.act.gov.au/sl/2014-17" TargetMode="External"/><Relationship Id="rId147" Type="http://schemas.openxmlformats.org/officeDocument/2006/relationships/hyperlink" Target="http://www.legislation.act.gov.au/sl/2023-8/" TargetMode="External"/><Relationship Id="rId168" Type="http://schemas.openxmlformats.org/officeDocument/2006/relationships/hyperlink" Target="http://www.legislation.act.gov.au/sl/2014-17" TargetMode="External"/><Relationship Id="rId312" Type="http://schemas.openxmlformats.org/officeDocument/2006/relationships/hyperlink" Target="http://www.legislation.act.gov.au/sl/2022-16/" TargetMode="External"/><Relationship Id="rId333" Type="http://schemas.openxmlformats.org/officeDocument/2006/relationships/hyperlink" Target="https://www.legislation.act.gov.au/sl/2022-17/" TargetMode="External"/><Relationship Id="rId51" Type="http://schemas.openxmlformats.org/officeDocument/2006/relationships/footer" Target="footer7.xml"/><Relationship Id="rId72" Type="http://schemas.openxmlformats.org/officeDocument/2006/relationships/hyperlink" Target="http://www.legislation.act.gov.au/a/2006-2"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sl/2019-10" TargetMode="External"/><Relationship Id="rId3" Type="http://schemas.openxmlformats.org/officeDocument/2006/relationships/settings" Target="settings.xml"/><Relationship Id="rId214" Type="http://schemas.openxmlformats.org/officeDocument/2006/relationships/hyperlink" Target="http://www.legislation.act.gov.au/sl/2004-31" TargetMode="External"/><Relationship Id="rId235" Type="http://schemas.openxmlformats.org/officeDocument/2006/relationships/hyperlink" Target="http://www.legislation.act.gov.au/sl/2023-8/" TargetMode="External"/><Relationship Id="rId256" Type="http://schemas.openxmlformats.org/officeDocument/2006/relationships/hyperlink" Target="http://www.legislation.act.gov.au/sl/2019-10" TargetMode="External"/><Relationship Id="rId277" Type="http://schemas.openxmlformats.org/officeDocument/2006/relationships/hyperlink" Target="http://www.legislation.act.gov.au/a/2023-28/" TargetMode="External"/><Relationship Id="rId298" Type="http://schemas.openxmlformats.org/officeDocument/2006/relationships/hyperlink" Target="http://www.legislation.act.gov.au/sl/2022-16/" TargetMode="External"/><Relationship Id="rId116" Type="http://schemas.openxmlformats.org/officeDocument/2006/relationships/hyperlink" Target="http://www.legislation.act.gov.au/a/2007-16" TargetMode="External"/><Relationship Id="rId137" Type="http://schemas.openxmlformats.org/officeDocument/2006/relationships/hyperlink" Target="http://www.legislation.act.gov.au/sl/2014-17" TargetMode="External"/><Relationship Id="rId158" Type="http://schemas.openxmlformats.org/officeDocument/2006/relationships/hyperlink" Target="http://www.legislation.act.gov.au/sl/2023-8/" TargetMode="External"/><Relationship Id="rId302" Type="http://schemas.openxmlformats.org/officeDocument/2006/relationships/hyperlink" Target="http://www.legislation.act.gov.au/sl/2022-16/" TargetMode="External"/><Relationship Id="rId323" Type="http://schemas.openxmlformats.org/officeDocument/2006/relationships/hyperlink" Target="http://www.legislation.act.gov.au/sl/2004-31" TargetMode="External"/><Relationship Id="rId344" Type="http://schemas.openxmlformats.org/officeDocument/2006/relationships/header" Target="header16.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1964-15" TargetMode="External"/><Relationship Id="rId83" Type="http://schemas.openxmlformats.org/officeDocument/2006/relationships/hyperlink" Target="http://www.legislation.act.gov.au/a/2006-2" TargetMode="External"/><Relationship Id="rId179" Type="http://schemas.openxmlformats.org/officeDocument/2006/relationships/hyperlink" Target="http://www.legislation.act.gov.au/sl/2022-16/" TargetMode="External"/><Relationship Id="rId190" Type="http://schemas.openxmlformats.org/officeDocument/2006/relationships/hyperlink" Target="http://www.legislation.act.gov.au/sl/2019-10" TargetMode="External"/><Relationship Id="rId204" Type="http://schemas.openxmlformats.org/officeDocument/2006/relationships/hyperlink" Target="http://www.legislation.act.gov.au/sl/2022-16/" TargetMode="External"/><Relationship Id="rId225" Type="http://schemas.openxmlformats.org/officeDocument/2006/relationships/hyperlink" Target="http://www.legislation.act.gov.au/sl/2023-8/" TargetMode="External"/><Relationship Id="rId246" Type="http://schemas.openxmlformats.org/officeDocument/2006/relationships/hyperlink" Target="http://www.legislation.act.gov.au/a/2006-2" TargetMode="External"/><Relationship Id="rId267" Type="http://schemas.openxmlformats.org/officeDocument/2006/relationships/hyperlink" Target="http://www.legislation.act.gov.au/a/2023-28/" TargetMode="External"/><Relationship Id="rId288" Type="http://schemas.openxmlformats.org/officeDocument/2006/relationships/hyperlink" Target="http://www.legislation.act.gov.au/sl/2014-17" TargetMode="External"/><Relationship Id="rId106" Type="http://schemas.openxmlformats.org/officeDocument/2006/relationships/hyperlink" Target="http://www.legislation.act.gov.au/cn/2014-11/default.asp" TargetMode="External"/><Relationship Id="rId127" Type="http://schemas.openxmlformats.org/officeDocument/2006/relationships/hyperlink" Target="http://www.legislation.act.gov.au/sl/2004-31" TargetMode="External"/><Relationship Id="rId313" Type="http://schemas.openxmlformats.org/officeDocument/2006/relationships/hyperlink" Target="http://www.legislation.act.gov.au/sl/2023-8/"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49" TargetMode="External"/><Relationship Id="rId52" Type="http://schemas.openxmlformats.org/officeDocument/2006/relationships/footer" Target="footer8.xml"/><Relationship Id="rId73" Type="http://schemas.openxmlformats.org/officeDocument/2006/relationships/hyperlink" Target="http://www.legislation.act.gov.au/a/2001-14" TargetMode="External"/><Relationship Id="rId94" Type="http://schemas.openxmlformats.org/officeDocument/2006/relationships/hyperlink" Target="http://www.legislation.act.gov.au/sl/2002-28" TargetMode="External"/><Relationship Id="rId148" Type="http://schemas.openxmlformats.org/officeDocument/2006/relationships/hyperlink" Target="http://www.legislation.act.gov.au/sl/2023-8/" TargetMode="External"/><Relationship Id="rId169" Type="http://schemas.openxmlformats.org/officeDocument/2006/relationships/hyperlink" Target="http://www.legislation.act.gov.au/sl/2014-17" TargetMode="External"/><Relationship Id="rId334" Type="http://schemas.openxmlformats.org/officeDocument/2006/relationships/hyperlink" Target="http://www.legislation.act.gov.au/sl/2023-8/" TargetMode="External"/><Relationship Id="rId4" Type="http://schemas.openxmlformats.org/officeDocument/2006/relationships/webSettings" Target="webSettings.xml"/><Relationship Id="rId180" Type="http://schemas.openxmlformats.org/officeDocument/2006/relationships/hyperlink" Target="http://www.legislation.act.gov.au/sl/2019-10" TargetMode="External"/><Relationship Id="rId215" Type="http://schemas.openxmlformats.org/officeDocument/2006/relationships/hyperlink" Target="http://www.legislation.act.gov.au/a/2014-4" TargetMode="External"/><Relationship Id="rId236" Type="http://schemas.openxmlformats.org/officeDocument/2006/relationships/hyperlink" Target="http://www.legislation.act.gov.au/sl/2023-8/" TargetMode="External"/><Relationship Id="rId257" Type="http://schemas.openxmlformats.org/officeDocument/2006/relationships/hyperlink" Target="http://www.legislation.act.gov.au/sl/2022-16/" TargetMode="External"/><Relationship Id="rId278" Type="http://schemas.openxmlformats.org/officeDocument/2006/relationships/hyperlink" Target="http://www.legislation.act.gov.au/sl/2022-16/" TargetMode="External"/><Relationship Id="rId303" Type="http://schemas.openxmlformats.org/officeDocument/2006/relationships/hyperlink" Target="http://www.legislation.act.gov.au/sl/2022-16/" TargetMode="External"/><Relationship Id="rId42" Type="http://schemas.openxmlformats.org/officeDocument/2006/relationships/hyperlink" Target="http://www.legislation.act.gov.au/a/2008-35" TargetMode="External"/><Relationship Id="rId84" Type="http://schemas.openxmlformats.org/officeDocument/2006/relationships/hyperlink" Target="http://www.legislation.act.gov.au/a/2004-34" TargetMode="External"/><Relationship Id="rId138" Type="http://schemas.openxmlformats.org/officeDocument/2006/relationships/hyperlink" Target="http://www.legislation.act.gov.au/sl/2014-17" TargetMode="External"/><Relationship Id="rId345" Type="http://schemas.openxmlformats.org/officeDocument/2006/relationships/footer" Target="footer18.xml"/><Relationship Id="rId191" Type="http://schemas.openxmlformats.org/officeDocument/2006/relationships/hyperlink" Target="http://www.legislation.act.gov.au/sl/2019-10" TargetMode="External"/><Relationship Id="rId205" Type="http://schemas.openxmlformats.org/officeDocument/2006/relationships/hyperlink" Target="http://www.legislation.act.gov.au/sl/2022-16/" TargetMode="External"/><Relationship Id="rId247" Type="http://schemas.openxmlformats.org/officeDocument/2006/relationships/hyperlink" Target="http://www.legislation.act.gov.au/sl/2014-17" TargetMode="External"/><Relationship Id="rId107" Type="http://schemas.openxmlformats.org/officeDocument/2006/relationships/hyperlink" Target="http://www.legislation.act.gov.au/sl/2015-27" TargetMode="External"/><Relationship Id="rId289" Type="http://schemas.openxmlformats.org/officeDocument/2006/relationships/hyperlink" Target="http://www.legislation.act.gov.au/sl/2022-16/" TargetMode="External"/><Relationship Id="rId11" Type="http://schemas.openxmlformats.org/officeDocument/2006/relationships/hyperlink" Target="http://www.legislation.act.gov.au/a/2001-14" TargetMode="External"/><Relationship Id="rId53" Type="http://schemas.openxmlformats.org/officeDocument/2006/relationships/footer" Target="footer9.xml"/><Relationship Id="rId149" Type="http://schemas.openxmlformats.org/officeDocument/2006/relationships/hyperlink" Target="http://www.legislation.act.gov.au/sl/2004-31" TargetMode="External"/><Relationship Id="rId314" Type="http://schemas.openxmlformats.org/officeDocument/2006/relationships/hyperlink" Target="http://www.legislation.act.gov.au/sl/2023-8/"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sl/2014-17" TargetMode="External"/><Relationship Id="rId216" Type="http://schemas.openxmlformats.org/officeDocument/2006/relationships/hyperlink" Target="http://www.legislation.act.gov.au/sl/2014-17" TargetMode="External"/><Relationship Id="rId258" Type="http://schemas.openxmlformats.org/officeDocument/2006/relationships/hyperlink" Target="http://www.legislation.act.gov.au/sl/2022-16/" TargetMode="External"/><Relationship Id="rId22" Type="http://schemas.openxmlformats.org/officeDocument/2006/relationships/header" Target="header4.xml"/><Relationship Id="rId64" Type="http://schemas.openxmlformats.org/officeDocument/2006/relationships/hyperlink" Target="https://www.legislation.gov.au/Series/C2011A00012" TargetMode="External"/><Relationship Id="rId118" Type="http://schemas.openxmlformats.org/officeDocument/2006/relationships/hyperlink" Target="http://www.legislation.act.gov.au/a/2014-4" TargetMode="External"/><Relationship Id="rId325" Type="http://schemas.openxmlformats.org/officeDocument/2006/relationships/hyperlink" Target="http://www.legislation.act.gov.au/a/2007-16" TargetMode="External"/><Relationship Id="rId171" Type="http://schemas.openxmlformats.org/officeDocument/2006/relationships/hyperlink" Target="http://www.legislation.act.gov.au/sl/2004-31" TargetMode="External"/><Relationship Id="rId227" Type="http://schemas.openxmlformats.org/officeDocument/2006/relationships/hyperlink" Target="http://www.legislation.act.gov.au/sl/2023-8/" TargetMode="External"/><Relationship Id="rId269" Type="http://schemas.openxmlformats.org/officeDocument/2006/relationships/hyperlink" Target="http://www.legislation.act.gov.au/a/2023-28/" TargetMode="External"/><Relationship Id="rId33" Type="http://schemas.openxmlformats.org/officeDocument/2006/relationships/hyperlink" Target="http://www.legislation.act.gov.au/a/1964-13" TargetMode="External"/><Relationship Id="rId129" Type="http://schemas.openxmlformats.org/officeDocument/2006/relationships/hyperlink" Target="http://www.legislation.act.gov.au/sl/2014-17" TargetMode="External"/><Relationship Id="rId280" Type="http://schemas.openxmlformats.org/officeDocument/2006/relationships/hyperlink" Target="http://www.legislation.act.gov.au/sl/2023-8/" TargetMode="External"/><Relationship Id="rId336" Type="http://schemas.openxmlformats.org/officeDocument/2006/relationships/header" Target="header12.xml"/><Relationship Id="rId75" Type="http://schemas.openxmlformats.org/officeDocument/2006/relationships/hyperlink" Target="http://www.legislation.act.gov.au/a/2004-28" TargetMode="External"/><Relationship Id="rId140" Type="http://schemas.openxmlformats.org/officeDocument/2006/relationships/hyperlink" Target="http://www.legislation.act.gov.au/sl/2014-17" TargetMode="External"/><Relationship Id="rId182" Type="http://schemas.openxmlformats.org/officeDocument/2006/relationships/hyperlink" Target="http://www.legislation.act.gov.au/sl/2019-10" TargetMode="External"/><Relationship Id="rId6" Type="http://schemas.openxmlformats.org/officeDocument/2006/relationships/endnotes" Target="endnotes.xml"/><Relationship Id="rId238" Type="http://schemas.openxmlformats.org/officeDocument/2006/relationships/hyperlink" Target="http://www.legislation.act.gov.au/sl/2023-8/" TargetMode="External"/><Relationship Id="rId291" Type="http://schemas.openxmlformats.org/officeDocument/2006/relationships/hyperlink" Target="http://www.legislation.act.gov.au/sl/2023-8/" TargetMode="External"/><Relationship Id="rId305" Type="http://schemas.openxmlformats.org/officeDocument/2006/relationships/hyperlink" Target="http://www.legislation.act.gov.au/sl/2022-16/" TargetMode="External"/><Relationship Id="rId347" Type="http://schemas.openxmlformats.org/officeDocument/2006/relationships/footer" Target="footer19.xml"/><Relationship Id="rId44" Type="http://schemas.openxmlformats.org/officeDocument/2006/relationships/hyperlink" Target="http://www.legislation.act.gov.au/a/1998-24" TargetMode="External"/><Relationship Id="rId86" Type="http://schemas.openxmlformats.org/officeDocument/2006/relationships/hyperlink" Target="http://www.legislation.act.gov.au/a/2004-34" TargetMode="External"/><Relationship Id="rId151" Type="http://schemas.openxmlformats.org/officeDocument/2006/relationships/hyperlink" Target="http://www.legislation.act.gov.au/a/2014-4" TargetMode="External"/><Relationship Id="rId193" Type="http://schemas.openxmlformats.org/officeDocument/2006/relationships/hyperlink" Target="http://www.legislation.act.gov.au/sl/2019-10" TargetMode="External"/><Relationship Id="rId207" Type="http://schemas.openxmlformats.org/officeDocument/2006/relationships/hyperlink" Target="http://www.legislation.act.gov.au/sl/2022-16/" TargetMode="External"/><Relationship Id="rId249" Type="http://schemas.openxmlformats.org/officeDocument/2006/relationships/hyperlink" Target="http://www.legislation.act.gov.au/sl/2022-16/"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cn/2015-18/default.asp" TargetMode="External"/><Relationship Id="rId260" Type="http://schemas.openxmlformats.org/officeDocument/2006/relationships/hyperlink" Target="http://www.legislation.act.gov.au/sl/2022-16/" TargetMode="External"/><Relationship Id="rId316" Type="http://schemas.openxmlformats.org/officeDocument/2006/relationships/hyperlink" Target="http://www.legislation.act.gov.au/sl/2014-17" TargetMode="External"/><Relationship Id="rId55" Type="http://schemas.openxmlformats.org/officeDocument/2006/relationships/hyperlink" Target="http://www.legislation.act.gov.au/a/2001-49" TargetMode="External"/><Relationship Id="rId97" Type="http://schemas.openxmlformats.org/officeDocument/2006/relationships/hyperlink" Target="http://www.legislation.act.gov.au/cn/2004-15/default.asp" TargetMode="External"/><Relationship Id="rId120" Type="http://schemas.openxmlformats.org/officeDocument/2006/relationships/hyperlink" Target="http://www.legislation.act.gov.au/a/2014-4" TargetMode="External"/><Relationship Id="rId162" Type="http://schemas.openxmlformats.org/officeDocument/2006/relationships/hyperlink" Target="http://www.legislation.act.gov.au/sl/2004-31" TargetMode="External"/><Relationship Id="rId218" Type="http://schemas.openxmlformats.org/officeDocument/2006/relationships/hyperlink" Target="http://www.legislation.act.gov.au/sl/2004-31" TargetMode="External"/><Relationship Id="rId271" Type="http://schemas.openxmlformats.org/officeDocument/2006/relationships/hyperlink" Target="http://www.legislation.act.gov.au/sl/2019-10" TargetMode="External"/><Relationship Id="rId24" Type="http://schemas.openxmlformats.org/officeDocument/2006/relationships/footer" Target="footer4.xml"/><Relationship Id="rId66" Type="http://schemas.openxmlformats.org/officeDocument/2006/relationships/hyperlink" Target="http://www.legislation.act.gov.au/a/1998-24" TargetMode="External"/><Relationship Id="rId131" Type="http://schemas.openxmlformats.org/officeDocument/2006/relationships/hyperlink" Target="http://www.legislation.act.gov.au/a/2006-2" TargetMode="External"/><Relationship Id="rId327" Type="http://schemas.openxmlformats.org/officeDocument/2006/relationships/hyperlink" Target="http://www.legislation.act.gov.au/a/2014-4" TargetMode="External"/><Relationship Id="rId173" Type="http://schemas.openxmlformats.org/officeDocument/2006/relationships/hyperlink" Target="http://www.legislation.act.gov.au/sl/2014-17" TargetMode="External"/><Relationship Id="rId229" Type="http://schemas.openxmlformats.org/officeDocument/2006/relationships/hyperlink" Target="http://www.legislation.act.gov.au/sl/2023-8/" TargetMode="External"/><Relationship Id="rId240" Type="http://schemas.openxmlformats.org/officeDocument/2006/relationships/hyperlink" Target="http://www.legislation.act.gov.au/sl/2023-8/" TargetMode="External"/><Relationship Id="rId35" Type="http://schemas.openxmlformats.org/officeDocument/2006/relationships/hyperlink" Target="http://www.legislation.act.gov.au/a/1964-13" TargetMode="External"/><Relationship Id="rId77" Type="http://schemas.openxmlformats.org/officeDocument/2006/relationships/header" Target="header9.xml"/><Relationship Id="rId100" Type="http://schemas.openxmlformats.org/officeDocument/2006/relationships/hyperlink" Target="http://www.legislation.act.gov.au/a/2007-16" TargetMode="External"/><Relationship Id="rId282" Type="http://schemas.openxmlformats.org/officeDocument/2006/relationships/hyperlink" Target="http://www.legislation.act.gov.au/sl/2022-16/" TargetMode="External"/><Relationship Id="rId338"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97</Pages>
  <Words>18398</Words>
  <Characters>91677</Characters>
  <Application>Microsoft Office Word</Application>
  <DocSecurity>0</DocSecurity>
  <Lines>2566</Lines>
  <Paragraphs>1704</Paragraphs>
  <ScaleCrop>false</ScaleCrop>
  <HeadingPairs>
    <vt:vector size="2" baseType="variant">
      <vt:variant>
        <vt:lpstr>Title</vt:lpstr>
      </vt:variant>
      <vt:variant>
        <vt:i4>1</vt:i4>
      </vt:variant>
    </vt:vector>
  </HeadingPairs>
  <TitlesOfParts>
    <vt:vector size="1" baseType="lpstr">
      <vt:lpstr>Gambling and Racing Control (Code of Practice) Regulation 2002</vt:lpstr>
    </vt:vector>
  </TitlesOfParts>
  <Manager>regulation</Manager>
  <Company>Section</Company>
  <LinksUpToDate>false</LinksUpToDate>
  <CharactersWithSpaces>109098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Gambling and Racing Control (Code of Practice) Regulation 2002</dc:title>
  <dc:subject/>
  <dc:creator>rowena cornwell</dc:creator>
  <cp:keywords>R16</cp:keywords>
  <dc:description/>
  <cp:lastModifiedBy>PCODCS</cp:lastModifiedBy>
  <cp:revision>4</cp:revision>
  <cp:lastPrinted>2019-05-23T06:28:00Z</cp:lastPrinted>
  <dcterms:created xsi:type="dcterms:W3CDTF">2025-12-14T22:35:00Z</dcterms:created>
  <dcterms:modified xsi:type="dcterms:W3CDTF">2025-12-14T22:35:00Z</dcterms:modified>
  <cp:category>R16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07/01/24</vt:lpwstr>
  </property>
  <property fmtid="{D5CDD505-2E9C-101B-9397-08002B2CF9AE}" pid="5" name="Eff">
    <vt:lpwstr>Effective:  </vt:lpwstr>
  </property>
  <property fmtid="{D5CDD505-2E9C-101B-9397-08002B2CF9AE}" pid="6" name="StartDt">
    <vt:lpwstr>07/01/24</vt:lpwstr>
  </property>
  <property fmtid="{D5CDD505-2E9C-101B-9397-08002B2CF9AE}" pid="7" name="EndDt">
    <vt:lpwstr>-15/12/25</vt:lpwstr>
  </property>
  <property fmtid="{D5CDD505-2E9C-101B-9397-08002B2CF9AE}" pid="8" name="DMSID">
    <vt:lpwstr>11390562</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2025-12-03T03:40:24Z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dcdcb341-a955-424d-95b3-06988b069b45</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